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56312" w14:textId="06998556" w:rsidR="0003640E" w:rsidRPr="006B77BB" w:rsidRDefault="0076467D" w:rsidP="0003640E">
      <w:pPr>
        <w:pStyle w:val="BodyText"/>
      </w:pPr>
      <w:r>
        <w:rPr>
          <w:noProof/>
        </w:rPr>
        <w:drawing>
          <wp:anchor distT="0" distB="0" distL="114300" distR="114300" simplePos="0" relativeHeight="251658240" behindDoc="0" locked="0" layoutInCell="1" allowOverlap="1" wp14:anchorId="4A9CDCB4" wp14:editId="55149E7B">
            <wp:simplePos x="0" y="0"/>
            <wp:positionH relativeFrom="column">
              <wp:posOffset>-1072516</wp:posOffset>
            </wp:positionH>
            <wp:positionV relativeFrom="paragraph">
              <wp:posOffset>-3585210</wp:posOffset>
            </wp:positionV>
            <wp:extent cx="7557779" cy="1069086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7571701" cy="10710553"/>
                    </a:xfrm>
                    <a:prstGeom prst="rect">
                      <a:avLst/>
                    </a:prstGeom>
                  </pic:spPr>
                </pic:pic>
              </a:graphicData>
            </a:graphic>
            <wp14:sizeRelH relativeFrom="page">
              <wp14:pctWidth>0</wp14:pctWidth>
            </wp14:sizeRelH>
            <wp14:sizeRelV relativeFrom="page">
              <wp14:pctHeight>0</wp14:pctHeight>
            </wp14:sizeRelV>
          </wp:anchor>
        </w:drawing>
      </w:r>
    </w:p>
    <w:p w14:paraId="2676A2C6" w14:textId="77777777" w:rsidR="0003640E" w:rsidRPr="006B77BB" w:rsidRDefault="0003640E" w:rsidP="0080531E">
      <w:pPr>
        <w:jc w:val="left"/>
        <w:rPr>
          <w:color w:val="FF0000"/>
        </w:rPr>
        <w:sectPr w:rsidR="0003640E" w:rsidRPr="006B77BB" w:rsidSect="00B86F2A">
          <w:headerReference w:type="default" r:id="rId13"/>
          <w:footerReference w:type="default" r:id="rId14"/>
          <w:pgSz w:w="11907" w:h="16840" w:code="9"/>
          <w:pgMar w:top="5670" w:right="1701" w:bottom="1701" w:left="1701" w:header="567" w:footer="1134" w:gutter="0"/>
          <w:cols w:space="720"/>
        </w:sectPr>
      </w:pPr>
    </w:p>
    <w:p w14:paraId="304F5BB9" w14:textId="77777777" w:rsidR="00452EC4" w:rsidRPr="006B77BB" w:rsidRDefault="00452EC4" w:rsidP="00775F57">
      <w:pPr>
        <w:pStyle w:val="Imprint"/>
        <w:spacing w:before="0" w:after="0"/>
        <w:rPr>
          <w:b/>
        </w:rPr>
      </w:pPr>
      <w:r w:rsidRPr="006B77BB">
        <w:rPr>
          <w:b/>
        </w:rPr>
        <w:lastRenderedPageBreak/>
        <w:t>Disclaimer</w:t>
      </w:r>
    </w:p>
    <w:p w14:paraId="6F7EA138" w14:textId="77777777" w:rsidR="00562487" w:rsidRPr="00747EF6" w:rsidRDefault="00562487" w:rsidP="00562487">
      <w:pPr>
        <w:pStyle w:val="BodyText"/>
      </w:pPr>
      <w:r w:rsidRPr="00747EF6">
        <w:t>The information in this publication is, according to the Ministry for the Environment’s best efforts, accurate at the time of publication. The Ministry will make every reasonable effort to keep it current and accurate. However, users of this publication are advised that:</w:t>
      </w:r>
      <w:r>
        <w:t xml:space="preserve"> </w:t>
      </w:r>
    </w:p>
    <w:p w14:paraId="67FBD974" w14:textId="77777777" w:rsidR="00562487" w:rsidRPr="00747EF6" w:rsidRDefault="00562487" w:rsidP="00562487">
      <w:pPr>
        <w:pStyle w:val="Bullet"/>
        <w:tabs>
          <w:tab w:val="num" w:pos="397"/>
        </w:tabs>
        <w:spacing w:line="280" w:lineRule="exact"/>
      </w:pPr>
      <w:r w:rsidRPr="00747EF6">
        <w:rPr>
          <w:rFonts w:cs="Calibri"/>
          <w:szCs w:val="22"/>
        </w:rPr>
        <w:t xml:space="preserve">The information does not alter the laws of </w:t>
      </w:r>
      <w:r>
        <w:rPr>
          <w:rFonts w:cs="Calibri"/>
          <w:szCs w:val="22"/>
        </w:rPr>
        <w:t xml:space="preserve">Aotearoa </w:t>
      </w:r>
      <w:r w:rsidRPr="00747EF6">
        <w:rPr>
          <w:rFonts w:cs="Calibri"/>
          <w:szCs w:val="22"/>
        </w:rPr>
        <w:t>New Zealand, other official guidelines, or requirements.</w:t>
      </w:r>
      <w:r>
        <w:rPr>
          <w:rFonts w:cs="Calibri"/>
          <w:szCs w:val="22"/>
        </w:rPr>
        <w:t xml:space="preserve"> </w:t>
      </w:r>
    </w:p>
    <w:p w14:paraId="43D21793" w14:textId="77777777" w:rsidR="00562487" w:rsidRPr="00747EF6" w:rsidRDefault="00562487" w:rsidP="00562487">
      <w:pPr>
        <w:pStyle w:val="Bullet"/>
        <w:tabs>
          <w:tab w:val="num" w:pos="397"/>
        </w:tabs>
        <w:spacing w:line="280" w:lineRule="exact"/>
      </w:pPr>
      <w:r w:rsidRPr="00747EF6">
        <w:rPr>
          <w:rFonts w:cs="Calibri"/>
          <w:szCs w:val="22"/>
        </w:rPr>
        <w:t>It does not constitute legal advice, and users should take specific advice from qualified professionals before taking any action based on information in this publication.</w:t>
      </w:r>
      <w:r>
        <w:rPr>
          <w:rFonts w:cs="Calibri"/>
          <w:szCs w:val="22"/>
        </w:rPr>
        <w:t xml:space="preserve"> </w:t>
      </w:r>
    </w:p>
    <w:p w14:paraId="6DDF3379" w14:textId="77777777" w:rsidR="00562487" w:rsidRPr="00747EF6" w:rsidRDefault="00562487" w:rsidP="00562487">
      <w:pPr>
        <w:pStyle w:val="Bullet"/>
        <w:tabs>
          <w:tab w:val="num" w:pos="397"/>
        </w:tabs>
        <w:spacing w:line="280" w:lineRule="exact"/>
      </w:pPr>
      <w:r w:rsidRPr="00747EF6">
        <w:rPr>
          <w:rFonts w:cs="Calibri"/>
          <w:szCs w:val="22"/>
        </w:rPr>
        <w:t xml:space="preserve">The Ministry does not accept any responsibility or liability whatsoever whether in contract, tort, equity, or otherwise for any action taken </w:t>
      </w:r>
      <w:proofErr w:type="gramStart"/>
      <w:r w:rsidRPr="00747EF6">
        <w:rPr>
          <w:rFonts w:cs="Calibri"/>
          <w:szCs w:val="22"/>
        </w:rPr>
        <w:t>as a result of</w:t>
      </w:r>
      <w:proofErr w:type="gramEnd"/>
      <w:r w:rsidRPr="00747EF6">
        <w:rPr>
          <w:rFonts w:cs="Calibri"/>
          <w:szCs w:val="22"/>
        </w:rPr>
        <w:t xml:space="preserve"> reading, or reliance placed on this publication because of having read any part, or all, of the information in this publication or for any error, or inadequacy, deficiency, flaw in, or omission from the information in this publication.</w:t>
      </w:r>
      <w:r>
        <w:rPr>
          <w:rFonts w:cs="Calibri"/>
          <w:szCs w:val="22"/>
        </w:rPr>
        <w:t xml:space="preserve"> </w:t>
      </w:r>
    </w:p>
    <w:p w14:paraId="26C69754" w14:textId="77777777" w:rsidR="00562487" w:rsidRPr="00747EF6" w:rsidRDefault="00562487" w:rsidP="00562487">
      <w:pPr>
        <w:pStyle w:val="Bullet"/>
        <w:tabs>
          <w:tab w:val="num" w:pos="397"/>
        </w:tabs>
        <w:spacing w:line="280" w:lineRule="exact"/>
      </w:pPr>
      <w:r w:rsidRPr="00747EF6">
        <w:rPr>
          <w:rFonts w:cs="Calibri"/>
          <w:szCs w:val="22"/>
        </w:rPr>
        <w:t xml:space="preserve">All references to websites, </w:t>
      </w:r>
      <w:proofErr w:type="gramStart"/>
      <w:r w:rsidRPr="00747EF6">
        <w:rPr>
          <w:rFonts w:cs="Calibri"/>
          <w:szCs w:val="22"/>
        </w:rPr>
        <w:t>organisations</w:t>
      </w:r>
      <w:proofErr w:type="gramEnd"/>
      <w:r w:rsidRPr="00747EF6">
        <w:rPr>
          <w:rFonts w:cs="Calibri"/>
          <w:szCs w:val="22"/>
        </w:rPr>
        <w:t xml:space="preserve"> or people not within the Ministry are for convenience only and should not be taken as endorsement of those websites or information contained in those websites nor of organisations or people referred to.</w:t>
      </w:r>
      <w:r>
        <w:rPr>
          <w:rFonts w:cs="Calibri"/>
          <w:szCs w:val="22"/>
        </w:rPr>
        <w:t xml:space="preserve"> </w:t>
      </w:r>
    </w:p>
    <w:p w14:paraId="2BA83A6C" w14:textId="77777777" w:rsidR="00562487" w:rsidRPr="00747EF6" w:rsidRDefault="00562487" w:rsidP="00562487">
      <w:pPr>
        <w:pStyle w:val="BodyText"/>
      </w:pPr>
      <w:r w:rsidRPr="00747EF6">
        <w:t xml:space="preserve">While the term </w:t>
      </w:r>
      <w:r>
        <w:t>‘</w:t>
      </w:r>
      <w:r w:rsidRPr="00747EF6">
        <w:t>financial product</w:t>
      </w:r>
      <w:r>
        <w:t>’</w:t>
      </w:r>
      <w:r w:rsidRPr="00747EF6">
        <w:t xml:space="preserve"> is a defined term in the Financial Markets Conduct Act 2013 and it is one option to treat NZUs as if it were a </w:t>
      </w:r>
      <w:r>
        <w:t>‘</w:t>
      </w:r>
      <w:r w:rsidRPr="00747EF6">
        <w:t>financial product</w:t>
      </w:r>
      <w:r>
        <w:t>’</w:t>
      </w:r>
      <w:r w:rsidRPr="00747EF6">
        <w:t xml:space="preserve">, the shape and form of legislative design of any </w:t>
      </w:r>
      <w:r>
        <w:t xml:space="preserve">New Zealand </w:t>
      </w:r>
      <w:r w:rsidRPr="00747EF6">
        <w:t xml:space="preserve">Emissions Trading Scheme market governance reform package will be decided at a later stage. </w:t>
      </w:r>
    </w:p>
    <w:p w14:paraId="6FD610F5" w14:textId="77777777" w:rsidR="00562487" w:rsidRPr="00747EF6" w:rsidRDefault="00562487" w:rsidP="00562487">
      <w:pPr>
        <w:pStyle w:val="BodyText"/>
      </w:pPr>
      <w:r w:rsidRPr="00747EF6">
        <w:t xml:space="preserve">These proposals should not be treated as consulting on the use of any </w:t>
      </w:r>
      <w:proofErr w:type="gramStart"/>
      <w:r w:rsidRPr="00747EF6">
        <w:t>particular regulatory</w:t>
      </w:r>
      <w:proofErr w:type="gramEnd"/>
      <w:r w:rsidRPr="00747EF6">
        <w:t xml:space="preserve"> framework or design.</w:t>
      </w:r>
    </w:p>
    <w:p w14:paraId="02556B0A" w14:textId="77777777" w:rsidR="00452EC4" w:rsidRPr="006B77BB" w:rsidRDefault="00452EC4" w:rsidP="00452EC4">
      <w:pPr>
        <w:pStyle w:val="Imprint"/>
      </w:pPr>
    </w:p>
    <w:p w14:paraId="21F7FEA1" w14:textId="77777777" w:rsidR="00452EC4" w:rsidRPr="006B77BB" w:rsidRDefault="00452EC4" w:rsidP="00452EC4">
      <w:pPr>
        <w:pStyle w:val="Imprint"/>
      </w:pPr>
    </w:p>
    <w:p w14:paraId="41F02F79" w14:textId="5C6E9330" w:rsidR="00562487" w:rsidRPr="00747EF6" w:rsidRDefault="00562487" w:rsidP="00562487">
      <w:pPr>
        <w:pStyle w:val="Imprint"/>
      </w:pPr>
      <w:r w:rsidRPr="00747EF6">
        <w:t xml:space="preserve">This document may be cited as: Ministry for the Environment. 2022. </w:t>
      </w:r>
      <w:r w:rsidRPr="00747EF6">
        <w:rPr>
          <w:i/>
        </w:rPr>
        <w:t xml:space="preserve">Market </w:t>
      </w:r>
      <w:r w:rsidR="00064D17">
        <w:rPr>
          <w:i/>
        </w:rPr>
        <w:t>g</w:t>
      </w:r>
      <w:r w:rsidRPr="00747EF6">
        <w:rPr>
          <w:i/>
        </w:rPr>
        <w:t xml:space="preserve">overnance of the New Zealand Emissions Trading Scheme: </w:t>
      </w:r>
      <w:r>
        <w:rPr>
          <w:i/>
        </w:rPr>
        <w:t>Discussion</w:t>
      </w:r>
      <w:r w:rsidRPr="00747EF6">
        <w:rPr>
          <w:i/>
        </w:rPr>
        <w:t xml:space="preserve"> </w:t>
      </w:r>
      <w:r w:rsidR="00064D17">
        <w:rPr>
          <w:i/>
        </w:rPr>
        <w:t>d</w:t>
      </w:r>
      <w:r w:rsidRPr="00747EF6">
        <w:rPr>
          <w:i/>
        </w:rPr>
        <w:t>ocument</w:t>
      </w:r>
      <w:r w:rsidRPr="00747EF6">
        <w:t>. Wellington: Ministry for the Environment.</w:t>
      </w:r>
    </w:p>
    <w:p w14:paraId="3659FC4A" w14:textId="77777777" w:rsidR="00457135" w:rsidRDefault="00457135" w:rsidP="0080531E">
      <w:pPr>
        <w:pStyle w:val="Imprint"/>
      </w:pPr>
    </w:p>
    <w:p w14:paraId="353079BA" w14:textId="77777777" w:rsidR="00457135" w:rsidRPr="006B77BB" w:rsidRDefault="00457135" w:rsidP="0080531E">
      <w:pPr>
        <w:pStyle w:val="Imprint"/>
      </w:pPr>
    </w:p>
    <w:p w14:paraId="1FBA9C0E" w14:textId="77777777" w:rsidR="0080531E" w:rsidRPr="006B77BB" w:rsidRDefault="0080531E" w:rsidP="0080531E">
      <w:pPr>
        <w:pStyle w:val="Imprint"/>
      </w:pPr>
      <w:r w:rsidRPr="006B77BB">
        <w:t xml:space="preserve">Published in </w:t>
      </w:r>
      <w:r w:rsidR="00562487">
        <w:t>November 2022</w:t>
      </w:r>
      <w:r w:rsidRPr="006B77BB">
        <w:t xml:space="preserve"> 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Pr="006B77BB">
        <w:t>Mō</w:t>
      </w:r>
      <w:proofErr w:type="spellEnd"/>
      <w:r w:rsidRPr="006B77BB">
        <w:t xml:space="preserve"> </w:t>
      </w:r>
      <w:proofErr w:type="spellStart"/>
      <w:r w:rsidRPr="006B77BB">
        <w:t>Te</w:t>
      </w:r>
      <w:proofErr w:type="spellEnd"/>
      <w:r w:rsidRPr="006B77BB">
        <w:t xml:space="preserve"> </w:t>
      </w:r>
      <w:proofErr w:type="spellStart"/>
      <w:r w:rsidRPr="006B77BB">
        <w:t>Taiao</w:t>
      </w:r>
      <w:proofErr w:type="spellEnd"/>
      <w:r w:rsidRPr="006B77BB">
        <w:br/>
        <w:t>PO Box 10362, Wellington 6143, New Zealand</w:t>
      </w:r>
    </w:p>
    <w:p w14:paraId="55018380" w14:textId="3ADFC3F1" w:rsidR="0080531E" w:rsidRPr="006B77BB" w:rsidRDefault="0080531E" w:rsidP="0080531E">
      <w:pPr>
        <w:pStyle w:val="Imprint"/>
        <w:tabs>
          <w:tab w:val="left" w:pos="720"/>
        </w:tabs>
        <w:ind w:left="720" w:hanging="720"/>
      </w:pPr>
      <w:r w:rsidRPr="006B77BB">
        <w:t xml:space="preserve">ISBN: </w:t>
      </w:r>
      <w:r w:rsidR="00562487" w:rsidRPr="00747EF6">
        <w:t>978-1-99-102590-6 (online)</w:t>
      </w:r>
    </w:p>
    <w:p w14:paraId="361EAB1B" w14:textId="77777777" w:rsidR="0080531E" w:rsidRPr="006B77BB" w:rsidRDefault="0080531E" w:rsidP="0080531E">
      <w:pPr>
        <w:pStyle w:val="Imprint"/>
        <w:ind w:left="720" w:hanging="720"/>
      </w:pPr>
      <w:r w:rsidRPr="006B77BB">
        <w:t xml:space="preserve">Publication number: </w:t>
      </w:r>
      <w:r w:rsidR="00562487" w:rsidRPr="00747EF6">
        <w:t>ME 1697</w:t>
      </w:r>
    </w:p>
    <w:p w14:paraId="5196E9F9" w14:textId="77777777" w:rsidR="0080531E" w:rsidRPr="006B77BB" w:rsidRDefault="0080531E" w:rsidP="00593E94">
      <w:pPr>
        <w:pStyle w:val="Imprint"/>
        <w:spacing w:after="80"/>
      </w:pPr>
      <w:r w:rsidRPr="006B77BB">
        <w:t xml:space="preserve">© Crown copyright New Zealand </w:t>
      </w:r>
      <w:r w:rsidR="00562487">
        <w:t>2022</w:t>
      </w:r>
    </w:p>
    <w:p w14:paraId="259AD405" w14:textId="429CCFF9" w:rsidR="00A84FE1" w:rsidRDefault="0080531E" w:rsidP="00A84FE1">
      <w:pPr>
        <w:pStyle w:val="Imprint"/>
        <w:spacing w:before="240" w:after="0"/>
      </w:pPr>
      <w:r w:rsidRPr="006B77BB">
        <w:t>This document is available on the Ministry for</w:t>
      </w:r>
      <w:r w:rsidR="004C4E8A" w:rsidRPr="006B77BB">
        <w:t xml:space="preserve"> the Environment </w:t>
      </w:r>
      <w:r w:rsidR="00CB557F" w:rsidRPr="006B77BB">
        <w:t>website</w:t>
      </w:r>
      <w:r w:rsidRPr="006B77BB">
        <w:t xml:space="preserve">: </w:t>
      </w:r>
      <w:hyperlink r:id="rId15" w:history="1">
        <w:r w:rsidR="005858DE" w:rsidRPr="009C7519">
          <w:rPr>
            <w:rStyle w:val="Hyperlink"/>
          </w:rPr>
          <w:t>www.environment.govt.nz</w:t>
        </w:r>
      </w:hyperlink>
      <w:r w:rsidR="00B51610" w:rsidRPr="006B77BB">
        <w:rPr>
          <w:rStyle w:val="Hyperlink"/>
          <w:color w:val="auto"/>
        </w:rPr>
        <w:t>.</w:t>
      </w:r>
    </w:p>
    <w:p w14:paraId="3FC48022" w14:textId="77777777" w:rsidR="0080531E" w:rsidRPr="00A84FE1" w:rsidRDefault="0080531E" w:rsidP="00A84FE1">
      <w:pPr>
        <w:sectPr w:rsidR="0080531E" w:rsidRPr="00A84FE1" w:rsidSect="008A7498">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70747AA8" w14:textId="77777777" w:rsidR="0080531E" w:rsidRPr="00F06E0B" w:rsidRDefault="0080531E" w:rsidP="00585FD0">
      <w:pPr>
        <w:pStyle w:val="Heading"/>
      </w:pPr>
      <w:r w:rsidRPr="00F06E0B">
        <w:lastRenderedPageBreak/>
        <w:t>Contents</w:t>
      </w:r>
    </w:p>
    <w:p w14:paraId="3F9264DC" w14:textId="350A238C" w:rsidR="00A52A00" w:rsidRDefault="00775F57">
      <w:pPr>
        <w:pStyle w:val="TOC1"/>
        <w:rPr>
          <w:rFonts w:asciiTheme="minorHAnsi" w:hAnsiTheme="minorHAnsi"/>
          <w:noProof/>
          <w:lang w:val="en-AU" w:eastAsia="en-AU"/>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18953567" w:history="1">
        <w:r w:rsidR="00A52A00" w:rsidRPr="00487811">
          <w:rPr>
            <w:rStyle w:val="Hyperlink"/>
            <w:noProof/>
          </w:rPr>
          <w:t>Executive summary</w:t>
        </w:r>
        <w:r w:rsidR="00A52A00">
          <w:rPr>
            <w:noProof/>
            <w:webHidden/>
          </w:rPr>
          <w:tab/>
        </w:r>
        <w:r w:rsidR="00A52A00">
          <w:rPr>
            <w:noProof/>
            <w:webHidden/>
          </w:rPr>
          <w:fldChar w:fldCharType="begin"/>
        </w:r>
        <w:r w:rsidR="00A52A00">
          <w:rPr>
            <w:noProof/>
            <w:webHidden/>
          </w:rPr>
          <w:instrText xml:space="preserve"> PAGEREF _Toc118953567 \h </w:instrText>
        </w:r>
        <w:r w:rsidR="00A52A00">
          <w:rPr>
            <w:noProof/>
            <w:webHidden/>
          </w:rPr>
        </w:r>
        <w:r w:rsidR="00A52A00">
          <w:rPr>
            <w:noProof/>
            <w:webHidden/>
          </w:rPr>
          <w:fldChar w:fldCharType="separate"/>
        </w:r>
        <w:r w:rsidR="008A6D82">
          <w:rPr>
            <w:noProof/>
            <w:webHidden/>
          </w:rPr>
          <w:t>6</w:t>
        </w:r>
        <w:r w:rsidR="00A52A00">
          <w:rPr>
            <w:noProof/>
            <w:webHidden/>
          </w:rPr>
          <w:fldChar w:fldCharType="end"/>
        </w:r>
      </w:hyperlink>
    </w:p>
    <w:p w14:paraId="6E342010" w14:textId="52D00797" w:rsidR="00A52A00" w:rsidRDefault="008A6D82">
      <w:pPr>
        <w:pStyle w:val="TOC1"/>
        <w:rPr>
          <w:rFonts w:asciiTheme="minorHAnsi" w:hAnsiTheme="minorHAnsi"/>
          <w:noProof/>
          <w:lang w:val="en-AU" w:eastAsia="en-AU"/>
        </w:rPr>
      </w:pPr>
      <w:hyperlink w:anchor="_Toc118953568" w:history="1">
        <w:r w:rsidR="00A52A00" w:rsidRPr="00487811">
          <w:rPr>
            <w:rStyle w:val="Hyperlink"/>
            <w:noProof/>
          </w:rPr>
          <w:t>About this engagement</w:t>
        </w:r>
        <w:r w:rsidR="00A52A00">
          <w:rPr>
            <w:noProof/>
            <w:webHidden/>
          </w:rPr>
          <w:tab/>
        </w:r>
        <w:r w:rsidR="00A52A00">
          <w:rPr>
            <w:noProof/>
            <w:webHidden/>
          </w:rPr>
          <w:fldChar w:fldCharType="begin"/>
        </w:r>
        <w:r w:rsidR="00A52A00">
          <w:rPr>
            <w:noProof/>
            <w:webHidden/>
          </w:rPr>
          <w:instrText xml:space="preserve"> PAGEREF _Toc118953568 \h </w:instrText>
        </w:r>
        <w:r w:rsidR="00A52A00">
          <w:rPr>
            <w:noProof/>
            <w:webHidden/>
          </w:rPr>
        </w:r>
        <w:r w:rsidR="00A52A00">
          <w:rPr>
            <w:noProof/>
            <w:webHidden/>
          </w:rPr>
          <w:fldChar w:fldCharType="separate"/>
        </w:r>
        <w:r>
          <w:rPr>
            <w:noProof/>
            <w:webHidden/>
          </w:rPr>
          <w:t>9</w:t>
        </w:r>
        <w:r w:rsidR="00A52A00">
          <w:rPr>
            <w:noProof/>
            <w:webHidden/>
          </w:rPr>
          <w:fldChar w:fldCharType="end"/>
        </w:r>
      </w:hyperlink>
    </w:p>
    <w:p w14:paraId="60BF0557" w14:textId="10F5E5A1" w:rsidR="00A52A00" w:rsidRDefault="008A6D82">
      <w:pPr>
        <w:pStyle w:val="TOC2"/>
        <w:rPr>
          <w:rFonts w:asciiTheme="minorHAnsi" w:hAnsiTheme="minorHAnsi"/>
          <w:noProof/>
          <w:lang w:val="en-AU" w:eastAsia="en-AU"/>
        </w:rPr>
      </w:pPr>
      <w:hyperlink w:anchor="_Toc118953569" w:history="1">
        <w:r w:rsidR="00A52A00" w:rsidRPr="00487811">
          <w:rPr>
            <w:rStyle w:val="Hyperlink"/>
            <w:noProof/>
          </w:rPr>
          <w:t>Scope of this engagement</w:t>
        </w:r>
        <w:r w:rsidR="00A52A00">
          <w:rPr>
            <w:noProof/>
            <w:webHidden/>
          </w:rPr>
          <w:tab/>
        </w:r>
        <w:r w:rsidR="00A52A00">
          <w:rPr>
            <w:noProof/>
            <w:webHidden/>
          </w:rPr>
          <w:fldChar w:fldCharType="begin"/>
        </w:r>
        <w:r w:rsidR="00A52A00">
          <w:rPr>
            <w:noProof/>
            <w:webHidden/>
          </w:rPr>
          <w:instrText xml:space="preserve"> PAGEREF _Toc118953569 \h </w:instrText>
        </w:r>
        <w:r w:rsidR="00A52A00">
          <w:rPr>
            <w:noProof/>
            <w:webHidden/>
          </w:rPr>
        </w:r>
        <w:r w:rsidR="00A52A00">
          <w:rPr>
            <w:noProof/>
            <w:webHidden/>
          </w:rPr>
          <w:fldChar w:fldCharType="separate"/>
        </w:r>
        <w:r>
          <w:rPr>
            <w:noProof/>
            <w:webHidden/>
          </w:rPr>
          <w:t>9</w:t>
        </w:r>
        <w:r w:rsidR="00A52A00">
          <w:rPr>
            <w:noProof/>
            <w:webHidden/>
          </w:rPr>
          <w:fldChar w:fldCharType="end"/>
        </w:r>
      </w:hyperlink>
    </w:p>
    <w:p w14:paraId="1B3CBA71" w14:textId="3CE01B01" w:rsidR="00A52A00" w:rsidRDefault="008A6D82">
      <w:pPr>
        <w:pStyle w:val="TOC1"/>
        <w:rPr>
          <w:rFonts w:asciiTheme="minorHAnsi" w:hAnsiTheme="minorHAnsi"/>
          <w:noProof/>
          <w:lang w:val="en-AU" w:eastAsia="en-AU"/>
        </w:rPr>
      </w:pPr>
      <w:hyperlink w:anchor="_Toc118953570" w:history="1">
        <w:r w:rsidR="00A52A00" w:rsidRPr="00487811">
          <w:rPr>
            <w:rStyle w:val="Hyperlink"/>
            <w:noProof/>
          </w:rPr>
          <w:t>Context</w:t>
        </w:r>
        <w:r w:rsidR="00A52A00">
          <w:rPr>
            <w:noProof/>
            <w:webHidden/>
          </w:rPr>
          <w:tab/>
        </w:r>
        <w:r w:rsidR="00A52A00">
          <w:rPr>
            <w:noProof/>
            <w:webHidden/>
          </w:rPr>
          <w:fldChar w:fldCharType="begin"/>
        </w:r>
        <w:r w:rsidR="00A52A00">
          <w:rPr>
            <w:noProof/>
            <w:webHidden/>
          </w:rPr>
          <w:instrText xml:space="preserve"> PAGEREF _Toc118953570 \h </w:instrText>
        </w:r>
        <w:r w:rsidR="00A52A00">
          <w:rPr>
            <w:noProof/>
            <w:webHidden/>
          </w:rPr>
        </w:r>
        <w:r w:rsidR="00A52A00">
          <w:rPr>
            <w:noProof/>
            <w:webHidden/>
          </w:rPr>
          <w:fldChar w:fldCharType="separate"/>
        </w:r>
        <w:r>
          <w:rPr>
            <w:noProof/>
            <w:webHidden/>
          </w:rPr>
          <w:t>11</w:t>
        </w:r>
        <w:r w:rsidR="00A52A00">
          <w:rPr>
            <w:noProof/>
            <w:webHidden/>
          </w:rPr>
          <w:fldChar w:fldCharType="end"/>
        </w:r>
      </w:hyperlink>
    </w:p>
    <w:p w14:paraId="03C940BE" w14:textId="329A6469" w:rsidR="00A52A00" w:rsidRDefault="008A6D82">
      <w:pPr>
        <w:pStyle w:val="TOC2"/>
        <w:rPr>
          <w:rFonts w:asciiTheme="minorHAnsi" w:hAnsiTheme="minorHAnsi"/>
          <w:noProof/>
          <w:lang w:val="en-AU" w:eastAsia="en-AU"/>
        </w:rPr>
      </w:pPr>
      <w:hyperlink w:anchor="_Toc118953571" w:history="1">
        <w:r w:rsidR="00A52A00" w:rsidRPr="00487811">
          <w:rPr>
            <w:rStyle w:val="Hyperlink"/>
            <w:noProof/>
          </w:rPr>
          <w:t>What has happened so far</w:t>
        </w:r>
        <w:r w:rsidR="00A52A00">
          <w:rPr>
            <w:noProof/>
            <w:webHidden/>
          </w:rPr>
          <w:tab/>
        </w:r>
        <w:r w:rsidR="00A52A00">
          <w:rPr>
            <w:noProof/>
            <w:webHidden/>
          </w:rPr>
          <w:fldChar w:fldCharType="begin"/>
        </w:r>
        <w:r w:rsidR="00A52A00">
          <w:rPr>
            <w:noProof/>
            <w:webHidden/>
          </w:rPr>
          <w:instrText xml:space="preserve"> PAGEREF _Toc118953571 \h </w:instrText>
        </w:r>
        <w:r w:rsidR="00A52A00">
          <w:rPr>
            <w:noProof/>
            <w:webHidden/>
          </w:rPr>
        </w:r>
        <w:r w:rsidR="00A52A00">
          <w:rPr>
            <w:noProof/>
            <w:webHidden/>
          </w:rPr>
          <w:fldChar w:fldCharType="separate"/>
        </w:r>
        <w:r>
          <w:rPr>
            <w:noProof/>
            <w:webHidden/>
          </w:rPr>
          <w:t>14</w:t>
        </w:r>
        <w:r w:rsidR="00A52A00">
          <w:rPr>
            <w:noProof/>
            <w:webHidden/>
          </w:rPr>
          <w:fldChar w:fldCharType="end"/>
        </w:r>
      </w:hyperlink>
    </w:p>
    <w:p w14:paraId="5AC57BA2" w14:textId="687C23C0" w:rsidR="00A52A00" w:rsidRDefault="008A6D82">
      <w:pPr>
        <w:pStyle w:val="TOC1"/>
        <w:rPr>
          <w:rFonts w:asciiTheme="minorHAnsi" w:hAnsiTheme="minorHAnsi"/>
          <w:noProof/>
          <w:lang w:val="en-AU" w:eastAsia="en-AU"/>
        </w:rPr>
      </w:pPr>
      <w:hyperlink w:anchor="_Toc118953572" w:history="1">
        <w:r w:rsidR="00A52A00" w:rsidRPr="00487811">
          <w:rPr>
            <w:rStyle w:val="Hyperlink"/>
            <w:noProof/>
          </w:rPr>
          <w:t>Market governance framework</w:t>
        </w:r>
        <w:r w:rsidR="00A52A00">
          <w:rPr>
            <w:noProof/>
            <w:webHidden/>
          </w:rPr>
          <w:tab/>
        </w:r>
        <w:r w:rsidR="00A52A00">
          <w:rPr>
            <w:noProof/>
            <w:webHidden/>
          </w:rPr>
          <w:fldChar w:fldCharType="begin"/>
        </w:r>
        <w:r w:rsidR="00A52A00">
          <w:rPr>
            <w:noProof/>
            <w:webHidden/>
          </w:rPr>
          <w:instrText xml:space="preserve"> PAGEREF _Toc118953572 \h </w:instrText>
        </w:r>
        <w:r w:rsidR="00A52A00">
          <w:rPr>
            <w:noProof/>
            <w:webHidden/>
          </w:rPr>
        </w:r>
        <w:r w:rsidR="00A52A00">
          <w:rPr>
            <w:noProof/>
            <w:webHidden/>
          </w:rPr>
          <w:fldChar w:fldCharType="separate"/>
        </w:r>
        <w:r>
          <w:rPr>
            <w:noProof/>
            <w:webHidden/>
          </w:rPr>
          <w:t>17</w:t>
        </w:r>
        <w:r w:rsidR="00A52A00">
          <w:rPr>
            <w:noProof/>
            <w:webHidden/>
          </w:rPr>
          <w:fldChar w:fldCharType="end"/>
        </w:r>
      </w:hyperlink>
    </w:p>
    <w:p w14:paraId="6524E20C" w14:textId="346CFCFF" w:rsidR="00A52A00" w:rsidRDefault="008A6D82">
      <w:pPr>
        <w:pStyle w:val="TOC2"/>
        <w:rPr>
          <w:rFonts w:asciiTheme="minorHAnsi" w:hAnsiTheme="minorHAnsi"/>
          <w:noProof/>
          <w:lang w:val="en-AU" w:eastAsia="en-AU"/>
        </w:rPr>
      </w:pPr>
      <w:hyperlink w:anchor="_Toc118953573" w:history="1">
        <w:r w:rsidR="00A52A00" w:rsidRPr="00487811">
          <w:rPr>
            <w:rStyle w:val="Hyperlink"/>
            <w:noProof/>
          </w:rPr>
          <w:t>Objectives</w:t>
        </w:r>
        <w:r w:rsidR="00A52A00">
          <w:rPr>
            <w:noProof/>
            <w:webHidden/>
          </w:rPr>
          <w:tab/>
        </w:r>
        <w:r w:rsidR="00A52A00">
          <w:rPr>
            <w:noProof/>
            <w:webHidden/>
          </w:rPr>
          <w:fldChar w:fldCharType="begin"/>
        </w:r>
        <w:r w:rsidR="00A52A00">
          <w:rPr>
            <w:noProof/>
            <w:webHidden/>
          </w:rPr>
          <w:instrText xml:space="preserve"> PAGEREF _Toc118953573 \h </w:instrText>
        </w:r>
        <w:r w:rsidR="00A52A00">
          <w:rPr>
            <w:noProof/>
            <w:webHidden/>
          </w:rPr>
        </w:r>
        <w:r w:rsidR="00A52A00">
          <w:rPr>
            <w:noProof/>
            <w:webHidden/>
          </w:rPr>
          <w:fldChar w:fldCharType="separate"/>
        </w:r>
        <w:r>
          <w:rPr>
            <w:noProof/>
            <w:webHidden/>
          </w:rPr>
          <w:t>17</w:t>
        </w:r>
        <w:r w:rsidR="00A52A00">
          <w:rPr>
            <w:noProof/>
            <w:webHidden/>
          </w:rPr>
          <w:fldChar w:fldCharType="end"/>
        </w:r>
      </w:hyperlink>
    </w:p>
    <w:p w14:paraId="5300CB49" w14:textId="0F5A80CA" w:rsidR="00A52A00" w:rsidRDefault="008A6D82">
      <w:pPr>
        <w:pStyle w:val="TOC2"/>
        <w:rPr>
          <w:rFonts w:asciiTheme="minorHAnsi" w:hAnsiTheme="minorHAnsi"/>
          <w:noProof/>
          <w:lang w:val="en-AU" w:eastAsia="en-AU"/>
        </w:rPr>
      </w:pPr>
      <w:hyperlink w:anchor="_Toc118953574" w:history="1">
        <w:r w:rsidR="00A52A00" w:rsidRPr="00487811">
          <w:rPr>
            <w:rStyle w:val="Hyperlink"/>
            <w:noProof/>
          </w:rPr>
          <w:t>The status quo: no unified framework or regulator</w:t>
        </w:r>
        <w:r w:rsidR="00A52A00">
          <w:rPr>
            <w:noProof/>
            <w:webHidden/>
          </w:rPr>
          <w:tab/>
        </w:r>
        <w:r w:rsidR="00A52A00">
          <w:rPr>
            <w:noProof/>
            <w:webHidden/>
          </w:rPr>
          <w:fldChar w:fldCharType="begin"/>
        </w:r>
        <w:r w:rsidR="00A52A00">
          <w:rPr>
            <w:noProof/>
            <w:webHidden/>
          </w:rPr>
          <w:instrText xml:space="preserve"> PAGEREF _Toc118953574 \h </w:instrText>
        </w:r>
        <w:r w:rsidR="00A52A00">
          <w:rPr>
            <w:noProof/>
            <w:webHidden/>
          </w:rPr>
        </w:r>
        <w:r w:rsidR="00A52A00">
          <w:rPr>
            <w:noProof/>
            <w:webHidden/>
          </w:rPr>
          <w:fldChar w:fldCharType="separate"/>
        </w:r>
        <w:r>
          <w:rPr>
            <w:noProof/>
            <w:webHidden/>
          </w:rPr>
          <w:t>18</w:t>
        </w:r>
        <w:r w:rsidR="00A52A00">
          <w:rPr>
            <w:noProof/>
            <w:webHidden/>
          </w:rPr>
          <w:fldChar w:fldCharType="end"/>
        </w:r>
      </w:hyperlink>
    </w:p>
    <w:p w14:paraId="6083A30F" w14:textId="51922060" w:rsidR="00A52A00" w:rsidRDefault="008A6D82">
      <w:pPr>
        <w:pStyle w:val="TOC2"/>
        <w:rPr>
          <w:rFonts w:asciiTheme="minorHAnsi" w:hAnsiTheme="minorHAnsi"/>
          <w:noProof/>
          <w:lang w:val="en-AU" w:eastAsia="en-AU"/>
        </w:rPr>
      </w:pPr>
      <w:hyperlink w:anchor="_Toc118953575" w:history="1">
        <w:r w:rsidR="00A52A00" w:rsidRPr="00487811">
          <w:rPr>
            <w:rStyle w:val="Hyperlink"/>
            <w:noProof/>
          </w:rPr>
          <w:t>Leverage existing financial market frameworks</w:t>
        </w:r>
        <w:r w:rsidR="00A52A00">
          <w:rPr>
            <w:noProof/>
            <w:webHidden/>
          </w:rPr>
          <w:tab/>
        </w:r>
        <w:r w:rsidR="00A52A00">
          <w:rPr>
            <w:noProof/>
            <w:webHidden/>
          </w:rPr>
          <w:fldChar w:fldCharType="begin"/>
        </w:r>
        <w:r w:rsidR="00A52A00">
          <w:rPr>
            <w:noProof/>
            <w:webHidden/>
          </w:rPr>
          <w:instrText xml:space="preserve"> PAGEREF _Toc118953575 \h </w:instrText>
        </w:r>
        <w:r w:rsidR="00A52A00">
          <w:rPr>
            <w:noProof/>
            <w:webHidden/>
          </w:rPr>
        </w:r>
        <w:r w:rsidR="00A52A00">
          <w:rPr>
            <w:noProof/>
            <w:webHidden/>
          </w:rPr>
          <w:fldChar w:fldCharType="separate"/>
        </w:r>
        <w:r>
          <w:rPr>
            <w:noProof/>
            <w:webHidden/>
          </w:rPr>
          <w:t>20</w:t>
        </w:r>
        <w:r w:rsidR="00A52A00">
          <w:rPr>
            <w:noProof/>
            <w:webHidden/>
          </w:rPr>
          <w:fldChar w:fldCharType="end"/>
        </w:r>
      </w:hyperlink>
    </w:p>
    <w:p w14:paraId="351353BC" w14:textId="0218601E" w:rsidR="00A52A00" w:rsidRDefault="008A6D82">
      <w:pPr>
        <w:pStyle w:val="TOC2"/>
        <w:rPr>
          <w:rFonts w:asciiTheme="minorHAnsi" w:hAnsiTheme="minorHAnsi"/>
          <w:noProof/>
          <w:lang w:val="en-AU" w:eastAsia="en-AU"/>
        </w:rPr>
      </w:pPr>
      <w:hyperlink w:anchor="_Toc118953576" w:history="1">
        <w:r w:rsidR="00A52A00" w:rsidRPr="00487811">
          <w:rPr>
            <w:rStyle w:val="Hyperlink"/>
            <w:noProof/>
          </w:rPr>
          <w:t>Appoint the FMA as a regulator</w:t>
        </w:r>
        <w:r w:rsidR="00A52A00">
          <w:rPr>
            <w:noProof/>
            <w:webHidden/>
          </w:rPr>
          <w:tab/>
        </w:r>
        <w:r w:rsidR="00A52A00">
          <w:rPr>
            <w:noProof/>
            <w:webHidden/>
          </w:rPr>
          <w:fldChar w:fldCharType="begin"/>
        </w:r>
        <w:r w:rsidR="00A52A00">
          <w:rPr>
            <w:noProof/>
            <w:webHidden/>
          </w:rPr>
          <w:instrText xml:space="preserve"> PAGEREF _Toc118953576 \h </w:instrText>
        </w:r>
        <w:r w:rsidR="00A52A00">
          <w:rPr>
            <w:noProof/>
            <w:webHidden/>
          </w:rPr>
        </w:r>
        <w:r w:rsidR="00A52A00">
          <w:rPr>
            <w:noProof/>
            <w:webHidden/>
          </w:rPr>
          <w:fldChar w:fldCharType="separate"/>
        </w:r>
        <w:r>
          <w:rPr>
            <w:noProof/>
            <w:webHidden/>
          </w:rPr>
          <w:t>20</w:t>
        </w:r>
        <w:r w:rsidR="00A52A00">
          <w:rPr>
            <w:noProof/>
            <w:webHidden/>
          </w:rPr>
          <w:fldChar w:fldCharType="end"/>
        </w:r>
      </w:hyperlink>
    </w:p>
    <w:p w14:paraId="4180329B" w14:textId="2A61E454" w:rsidR="00A52A00" w:rsidRDefault="008A6D82">
      <w:pPr>
        <w:pStyle w:val="TOC1"/>
        <w:rPr>
          <w:rFonts w:asciiTheme="minorHAnsi" w:hAnsiTheme="minorHAnsi"/>
          <w:noProof/>
          <w:lang w:val="en-AU" w:eastAsia="en-AU"/>
        </w:rPr>
      </w:pPr>
      <w:hyperlink w:anchor="_Toc118953577" w:history="1">
        <w:r w:rsidR="00A52A00" w:rsidRPr="00487811">
          <w:rPr>
            <w:rStyle w:val="Hyperlink"/>
            <w:noProof/>
          </w:rPr>
          <w:t>Purpose of engagement</w:t>
        </w:r>
        <w:r w:rsidR="00A52A00">
          <w:rPr>
            <w:noProof/>
            <w:webHidden/>
          </w:rPr>
          <w:tab/>
        </w:r>
        <w:r w:rsidR="00A52A00">
          <w:rPr>
            <w:noProof/>
            <w:webHidden/>
          </w:rPr>
          <w:fldChar w:fldCharType="begin"/>
        </w:r>
        <w:r w:rsidR="00A52A00">
          <w:rPr>
            <w:noProof/>
            <w:webHidden/>
          </w:rPr>
          <w:instrText xml:space="preserve"> PAGEREF _Toc118953577 \h </w:instrText>
        </w:r>
        <w:r w:rsidR="00A52A00">
          <w:rPr>
            <w:noProof/>
            <w:webHidden/>
          </w:rPr>
        </w:r>
        <w:r w:rsidR="00A52A00">
          <w:rPr>
            <w:noProof/>
            <w:webHidden/>
          </w:rPr>
          <w:fldChar w:fldCharType="separate"/>
        </w:r>
        <w:r>
          <w:rPr>
            <w:noProof/>
            <w:webHidden/>
          </w:rPr>
          <w:t>21</w:t>
        </w:r>
        <w:r w:rsidR="00A52A00">
          <w:rPr>
            <w:noProof/>
            <w:webHidden/>
          </w:rPr>
          <w:fldChar w:fldCharType="end"/>
        </w:r>
      </w:hyperlink>
    </w:p>
    <w:p w14:paraId="6E223FF2" w14:textId="3680B49F" w:rsidR="00A52A00" w:rsidRDefault="008A6D82">
      <w:pPr>
        <w:pStyle w:val="TOC2"/>
        <w:rPr>
          <w:rFonts w:asciiTheme="minorHAnsi" w:hAnsiTheme="minorHAnsi"/>
          <w:noProof/>
          <w:lang w:val="en-AU" w:eastAsia="en-AU"/>
        </w:rPr>
      </w:pPr>
      <w:hyperlink w:anchor="_Toc118953578" w:history="1">
        <w:r w:rsidR="00A52A00" w:rsidRPr="00487811">
          <w:rPr>
            <w:rStyle w:val="Hyperlink"/>
            <w:noProof/>
          </w:rPr>
          <w:t>Understand the impacts of treating NZUs as a financial product</w:t>
        </w:r>
        <w:r w:rsidR="00A52A00">
          <w:rPr>
            <w:noProof/>
            <w:webHidden/>
          </w:rPr>
          <w:tab/>
        </w:r>
        <w:r w:rsidR="00A52A00">
          <w:rPr>
            <w:noProof/>
            <w:webHidden/>
          </w:rPr>
          <w:fldChar w:fldCharType="begin"/>
        </w:r>
        <w:r w:rsidR="00A52A00">
          <w:rPr>
            <w:noProof/>
            <w:webHidden/>
          </w:rPr>
          <w:instrText xml:space="preserve"> PAGEREF _Toc118953578 \h </w:instrText>
        </w:r>
        <w:r w:rsidR="00A52A00">
          <w:rPr>
            <w:noProof/>
            <w:webHidden/>
          </w:rPr>
        </w:r>
        <w:r w:rsidR="00A52A00">
          <w:rPr>
            <w:noProof/>
            <w:webHidden/>
          </w:rPr>
          <w:fldChar w:fldCharType="separate"/>
        </w:r>
        <w:r>
          <w:rPr>
            <w:noProof/>
            <w:webHidden/>
          </w:rPr>
          <w:t>21</w:t>
        </w:r>
        <w:r w:rsidR="00A52A00">
          <w:rPr>
            <w:noProof/>
            <w:webHidden/>
          </w:rPr>
          <w:fldChar w:fldCharType="end"/>
        </w:r>
      </w:hyperlink>
    </w:p>
    <w:p w14:paraId="32FC0660" w14:textId="218A9B02" w:rsidR="00A52A00" w:rsidRDefault="008A6D82">
      <w:pPr>
        <w:pStyle w:val="TOC2"/>
        <w:rPr>
          <w:rFonts w:asciiTheme="minorHAnsi" w:hAnsiTheme="minorHAnsi"/>
          <w:noProof/>
          <w:lang w:val="en-AU" w:eastAsia="en-AU"/>
        </w:rPr>
      </w:pPr>
      <w:hyperlink w:anchor="_Toc118953579" w:history="1">
        <w:r w:rsidR="00A52A00" w:rsidRPr="00487811">
          <w:rPr>
            <w:rStyle w:val="Hyperlink"/>
            <w:noProof/>
          </w:rPr>
          <w:t>Criteria used to compare options to the status quo</w:t>
        </w:r>
        <w:r w:rsidR="00A52A00">
          <w:rPr>
            <w:noProof/>
            <w:webHidden/>
          </w:rPr>
          <w:tab/>
        </w:r>
        <w:r w:rsidR="00A52A00">
          <w:rPr>
            <w:noProof/>
            <w:webHidden/>
          </w:rPr>
          <w:fldChar w:fldCharType="begin"/>
        </w:r>
        <w:r w:rsidR="00A52A00">
          <w:rPr>
            <w:noProof/>
            <w:webHidden/>
          </w:rPr>
          <w:instrText xml:space="preserve"> PAGEREF _Toc118953579 \h </w:instrText>
        </w:r>
        <w:r w:rsidR="00A52A00">
          <w:rPr>
            <w:noProof/>
            <w:webHidden/>
          </w:rPr>
        </w:r>
        <w:r w:rsidR="00A52A00">
          <w:rPr>
            <w:noProof/>
            <w:webHidden/>
          </w:rPr>
          <w:fldChar w:fldCharType="separate"/>
        </w:r>
        <w:r>
          <w:rPr>
            <w:noProof/>
            <w:webHidden/>
          </w:rPr>
          <w:t>21</w:t>
        </w:r>
        <w:r w:rsidR="00A52A00">
          <w:rPr>
            <w:noProof/>
            <w:webHidden/>
          </w:rPr>
          <w:fldChar w:fldCharType="end"/>
        </w:r>
      </w:hyperlink>
    </w:p>
    <w:p w14:paraId="098D543D" w14:textId="47EBC456" w:rsidR="00A52A00" w:rsidRDefault="008A6D82">
      <w:pPr>
        <w:pStyle w:val="TOC2"/>
        <w:rPr>
          <w:rFonts w:asciiTheme="minorHAnsi" w:hAnsiTheme="minorHAnsi"/>
          <w:noProof/>
          <w:lang w:val="en-AU" w:eastAsia="en-AU"/>
        </w:rPr>
      </w:pPr>
      <w:hyperlink w:anchor="_Toc118953580" w:history="1">
        <w:r w:rsidR="00A52A00" w:rsidRPr="00487811">
          <w:rPr>
            <w:rStyle w:val="Hyperlink"/>
            <w:noProof/>
          </w:rPr>
          <w:t>Your views</w:t>
        </w:r>
        <w:r w:rsidR="00A52A00">
          <w:rPr>
            <w:noProof/>
            <w:webHidden/>
          </w:rPr>
          <w:tab/>
        </w:r>
        <w:r w:rsidR="00A52A00">
          <w:rPr>
            <w:noProof/>
            <w:webHidden/>
          </w:rPr>
          <w:fldChar w:fldCharType="begin"/>
        </w:r>
        <w:r w:rsidR="00A52A00">
          <w:rPr>
            <w:noProof/>
            <w:webHidden/>
          </w:rPr>
          <w:instrText xml:space="preserve"> PAGEREF _Toc118953580 \h </w:instrText>
        </w:r>
        <w:r w:rsidR="00A52A00">
          <w:rPr>
            <w:noProof/>
            <w:webHidden/>
          </w:rPr>
        </w:r>
        <w:r w:rsidR="00A52A00">
          <w:rPr>
            <w:noProof/>
            <w:webHidden/>
          </w:rPr>
          <w:fldChar w:fldCharType="separate"/>
        </w:r>
        <w:r>
          <w:rPr>
            <w:noProof/>
            <w:webHidden/>
          </w:rPr>
          <w:t>22</w:t>
        </w:r>
        <w:r w:rsidR="00A52A00">
          <w:rPr>
            <w:noProof/>
            <w:webHidden/>
          </w:rPr>
          <w:fldChar w:fldCharType="end"/>
        </w:r>
      </w:hyperlink>
    </w:p>
    <w:p w14:paraId="0DE566F4" w14:textId="76E21A9C" w:rsidR="00A52A00" w:rsidRDefault="008A6D82">
      <w:pPr>
        <w:pStyle w:val="TOC1"/>
        <w:rPr>
          <w:rFonts w:asciiTheme="minorHAnsi" w:hAnsiTheme="minorHAnsi"/>
          <w:noProof/>
          <w:lang w:val="en-AU" w:eastAsia="en-AU"/>
        </w:rPr>
      </w:pPr>
      <w:hyperlink w:anchor="_Toc118953581" w:history="1">
        <w:r w:rsidR="00A52A00" w:rsidRPr="00487811">
          <w:rPr>
            <w:rStyle w:val="Hyperlink"/>
            <w:noProof/>
          </w:rPr>
          <w:t>Topic 1: Regulating the NZU market based on financial legislation</w:t>
        </w:r>
        <w:r w:rsidR="00A52A00">
          <w:rPr>
            <w:noProof/>
            <w:webHidden/>
          </w:rPr>
          <w:tab/>
        </w:r>
        <w:r w:rsidR="00A52A00">
          <w:rPr>
            <w:noProof/>
            <w:webHidden/>
          </w:rPr>
          <w:fldChar w:fldCharType="begin"/>
        </w:r>
        <w:r w:rsidR="00A52A00">
          <w:rPr>
            <w:noProof/>
            <w:webHidden/>
          </w:rPr>
          <w:instrText xml:space="preserve"> PAGEREF _Toc118953581 \h </w:instrText>
        </w:r>
        <w:r w:rsidR="00A52A00">
          <w:rPr>
            <w:noProof/>
            <w:webHidden/>
          </w:rPr>
        </w:r>
        <w:r w:rsidR="00A52A00">
          <w:rPr>
            <w:noProof/>
            <w:webHidden/>
          </w:rPr>
          <w:fldChar w:fldCharType="separate"/>
        </w:r>
        <w:r>
          <w:rPr>
            <w:noProof/>
            <w:webHidden/>
          </w:rPr>
          <w:t>23</w:t>
        </w:r>
        <w:r w:rsidR="00A52A00">
          <w:rPr>
            <w:noProof/>
            <w:webHidden/>
          </w:rPr>
          <w:fldChar w:fldCharType="end"/>
        </w:r>
      </w:hyperlink>
    </w:p>
    <w:p w14:paraId="34AB5A5C" w14:textId="67337996" w:rsidR="00A52A00" w:rsidRDefault="008A6D82">
      <w:pPr>
        <w:pStyle w:val="TOC2"/>
        <w:rPr>
          <w:rFonts w:asciiTheme="minorHAnsi" w:hAnsiTheme="minorHAnsi"/>
          <w:noProof/>
          <w:lang w:val="en-AU" w:eastAsia="en-AU"/>
        </w:rPr>
      </w:pPr>
      <w:hyperlink w:anchor="_Toc118953582" w:history="1">
        <w:r w:rsidR="00A52A00" w:rsidRPr="00487811">
          <w:rPr>
            <w:rStyle w:val="Hyperlink"/>
            <w:noProof/>
          </w:rPr>
          <w:t>Objective</w:t>
        </w:r>
        <w:r w:rsidR="00A52A00">
          <w:rPr>
            <w:noProof/>
            <w:webHidden/>
          </w:rPr>
          <w:tab/>
        </w:r>
        <w:r w:rsidR="00A52A00">
          <w:rPr>
            <w:noProof/>
            <w:webHidden/>
          </w:rPr>
          <w:fldChar w:fldCharType="begin"/>
        </w:r>
        <w:r w:rsidR="00A52A00">
          <w:rPr>
            <w:noProof/>
            <w:webHidden/>
          </w:rPr>
          <w:instrText xml:space="preserve"> PAGEREF _Toc118953582 \h </w:instrText>
        </w:r>
        <w:r w:rsidR="00A52A00">
          <w:rPr>
            <w:noProof/>
            <w:webHidden/>
          </w:rPr>
        </w:r>
        <w:r w:rsidR="00A52A00">
          <w:rPr>
            <w:noProof/>
            <w:webHidden/>
          </w:rPr>
          <w:fldChar w:fldCharType="separate"/>
        </w:r>
        <w:r>
          <w:rPr>
            <w:noProof/>
            <w:webHidden/>
          </w:rPr>
          <w:t>23</w:t>
        </w:r>
        <w:r w:rsidR="00A52A00">
          <w:rPr>
            <w:noProof/>
            <w:webHidden/>
          </w:rPr>
          <w:fldChar w:fldCharType="end"/>
        </w:r>
      </w:hyperlink>
    </w:p>
    <w:p w14:paraId="2CB64C59" w14:textId="45AA9CDC" w:rsidR="00A52A00" w:rsidRDefault="008A6D82">
      <w:pPr>
        <w:pStyle w:val="TOC2"/>
        <w:rPr>
          <w:rFonts w:asciiTheme="minorHAnsi" w:hAnsiTheme="minorHAnsi"/>
          <w:noProof/>
          <w:lang w:val="en-AU" w:eastAsia="en-AU"/>
        </w:rPr>
      </w:pPr>
      <w:hyperlink w:anchor="_Toc118953583" w:history="1">
        <w:r w:rsidR="00A52A00" w:rsidRPr="00487811">
          <w:rPr>
            <w:rStyle w:val="Hyperlink"/>
            <w:noProof/>
          </w:rPr>
          <w:t>What we have heard so far</w:t>
        </w:r>
        <w:r w:rsidR="00A52A00">
          <w:rPr>
            <w:noProof/>
            <w:webHidden/>
          </w:rPr>
          <w:tab/>
        </w:r>
        <w:r w:rsidR="00A52A00">
          <w:rPr>
            <w:noProof/>
            <w:webHidden/>
          </w:rPr>
          <w:fldChar w:fldCharType="begin"/>
        </w:r>
        <w:r w:rsidR="00A52A00">
          <w:rPr>
            <w:noProof/>
            <w:webHidden/>
          </w:rPr>
          <w:instrText xml:space="preserve"> PAGEREF _Toc118953583 \h </w:instrText>
        </w:r>
        <w:r w:rsidR="00A52A00">
          <w:rPr>
            <w:noProof/>
            <w:webHidden/>
          </w:rPr>
        </w:r>
        <w:r w:rsidR="00A52A00">
          <w:rPr>
            <w:noProof/>
            <w:webHidden/>
          </w:rPr>
          <w:fldChar w:fldCharType="separate"/>
        </w:r>
        <w:r>
          <w:rPr>
            <w:noProof/>
            <w:webHidden/>
          </w:rPr>
          <w:t>24</w:t>
        </w:r>
        <w:r w:rsidR="00A52A00">
          <w:rPr>
            <w:noProof/>
            <w:webHidden/>
          </w:rPr>
          <w:fldChar w:fldCharType="end"/>
        </w:r>
      </w:hyperlink>
    </w:p>
    <w:p w14:paraId="689BAC66" w14:textId="6585A327" w:rsidR="00A52A00" w:rsidRDefault="008A6D82">
      <w:pPr>
        <w:pStyle w:val="TOC2"/>
        <w:rPr>
          <w:rFonts w:asciiTheme="minorHAnsi" w:hAnsiTheme="minorHAnsi"/>
          <w:noProof/>
          <w:lang w:val="en-AU" w:eastAsia="en-AU"/>
        </w:rPr>
      </w:pPr>
      <w:hyperlink w:anchor="_Toc118953584" w:history="1">
        <w:r w:rsidR="00A52A00" w:rsidRPr="00487811">
          <w:rPr>
            <w:rStyle w:val="Hyperlink"/>
            <w:noProof/>
          </w:rPr>
          <w:t>Options considered</w:t>
        </w:r>
        <w:r w:rsidR="00A52A00">
          <w:rPr>
            <w:noProof/>
            <w:webHidden/>
          </w:rPr>
          <w:tab/>
        </w:r>
        <w:r w:rsidR="00A52A00">
          <w:rPr>
            <w:noProof/>
            <w:webHidden/>
          </w:rPr>
          <w:fldChar w:fldCharType="begin"/>
        </w:r>
        <w:r w:rsidR="00A52A00">
          <w:rPr>
            <w:noProof/>
            <w:webHidden/>
          </w:rPr>
          <w:instrText xml:space="preserve"> PAGEREF _Toc118953584 \h </w:instrText>
        </w:r>
        <w:r w:rsidR="00A52A00">
          <w:rPr>
            <w:noProof/>
            <w:webHidden/>
          </w:rPr>
        </w:r>
        <w:r w:rsidR="00A52A00">
          <w:rPr>
            <w:noProof/>
            <w:webHidden/>
          </w:rPr>
          <w:fldChar w:fldCharType="separate"/>
        </w:r>
        <w:r>
          <w:rPr>
            <w:noProof/>
            <w:webHidden/>
          </w:rPr>
          <w:t>24</w:t>
        </w:r>
        <w:r w:rsidR="00A52A00">
          <w:rPr>
            <w:noProof/>
            <w:webHidden/>
          </w:rPr>
          <w:fldChar w:fldCharType="end"/>
        </w:r>
      </w:hyperlink>
    </w:p>
    <w:p w14:paraId="3731BC7E" w14:textId="5F187853" w:rsidR="00A52A00" w:rsidRDefault="008A6D82">
      <w:pPr>
        <w:pStyle w:val="TOC2"/>
        <w:rPr>
          <w:rFonts w:asciiTheme="minorHAnsi" w:hAnsiTheme="minorHAnsi"/>
          <w:noProof/>
          <w:lang w:val="en-AU" w:eastAsia="en-AU"/>
        </w:rPr>
      </w:pPr>
      <w:hyperlink w:anchor="_Toc118953585" w:history="1">
        <w:r w:rsidR="00A52A00" w:rsidRPr="00487811">
          <w:rPr>
            <w:rStyle w:val="Hyperlink"/>
            <w:noProof/>
          </w:rPr>
          <w:t>Options analysis</w:t>
        </w:r>
        <w:r w:rsidR="00A52A00">
          <w:rPr>
            <w:noProof/>
            <w:webHidden/>
          </w:rPr>
          <w:tab/>
        </w:r>
        <w:r w:rsidR="00A52A00">
          <w:rPr>
            <w:noProof/>
            <w:webHidden/>
          </w:rPr>
          <w:fldChar w:fldCharType="begin"/>
        </w:r>
        <w:r w:rsidR="00A52A00">
          <w:rPr>
            <w:noProof/>
            <w:webHidden/>
          </w:rPr>
          <w:instrText xml:space="preserve"> PAGEREF _Toc118953585 \h </w:instrText>
        </w:r>
        <w:r w:rsidR="00A52A00">
          <w:rPr>
            <w:noProof/>
            <w:webHidden/>
          </w:rPr>
        </w:r>
        <w:r w:rsidR="00A52A00">
          <w:rPr>
            <w:noProof/>
            <w:webHidden/>
          </w:rPr>
          <w:fldChar w:fldCharType="separate"/>
        </w:r>
        <w:r>
          <w:rPr>
            <w:noProof/>
            <w:webHidden/>
          </w:rPr>
          <w:t>26</w:t>
        </w:r>
        <w:r w:rsidR="00A52A00">
          <w:rPr>
            <w:noProof/>
            <w:webHidden/>
          </w:rPr>
          <w:fldChar w:fldCharType="end"/>
        </w:r>
      </w:hyperlink>
    </w:p>
    <w:p w14:paraId="0A18F5C8" w14:textId="2B0B5F80" w:rsidR="00A52A00" w:rsidRDefault="008A6D82">
      <w:pPr>
        <w:pStyle w:val="TOC2"/>
        <w:rPr>
          <w:rFonts w:asciiTheme="minorHAnsi" w:hAnsiTheme="minorHAnsi"/>
          <w:noProof/>
          <w:lang w:val="en-AU" w:eastAsia="en-AU"/>
        </w:rPr>
      </w:pPr>
      <w:hyperlink w:anchor="_Toc118953586" w:history="1">
        <w:r w:rsidR="00A52A00" w:rsidRPr="00487811">
          <w:rPr>
            <w:rStyle w:val="Hyperlink"/>
            <w:noProof/>
          </w:rPr>
          <w:t>Option two is preferred at this stage: FMC Act with suitable modifications</w:t>
        </w:r>
        <w:r w:rsidR="00A52A00">
          <w:rPr>
            <w:noProof/>
            <w:webHidden/>
          </w:rPr>
          <w:tab/>
        </w:r>
        <w:r w:rsidR="00A52A00">
          <w:rPr>
            <w:noProof/>
            <w:webHidden/>
          </w:rPr>
          <w:fldChar w:fldCharType="begin"/>
        </w:r>
        <w:r w:rsidR="00A52A00">
          <w:rPr>
            <w:noProof/>
            <w:webHidden/>
          </w:rPr>
          <w:instrText xml:space="preserve"> PAGEREF _Toc118953586 \h </w:instrText>
        </w:r>
        <w:r w:rsidR="00A52A00">
          <w:rPr>
            <w:noProof/>
            <w:webHidden/>
          </w:rPr>
        </w:r>
        <w:r w:rsidR="00A52A00">
          <w:rPr>
            <w:noProof/>
            <w:webHidden/>
          </w:rPr>
          <w:fldChar w:fldCharType="separate"/>
        </w:r>
        <w:r>
          <w:rPr>
            <w:noProof/>
            <w:webHidden/>
          </w:rPr>
          <w:t>27</w:t>
        </w:r>
        <w:r w:rsidR="00A52A00">
          <w:rPr>
            <w:noProof/>
            <w:webHidden/>
          </w:rPr>
          <w:fldChar w:fldCharType="end"/>
        </w:r>
      </w:hyperlink>
    </w:p>
    <w:p w14:paraId="7A99C27C" w14:textId="57342AEF" w:rsidR="00A52A00" w:rsidRDefault="008A6D82">
      <w:pPr>
        <w:pStyle w:val="TOC2"/>
        <w:rPr>
          <w:rFonts w:asciiTheme="minorHAnsi" w:hAnsiTheme="minorHAnsi"/>
          <w:noProof/>
          <w:lang w:val="en-AU" w:eastAsia="en-AU"/>
        </w:rPr>
      </w:pPr>
      <w:hyperlink w:anchor="_Toc118953587" w:history="1">
        <w:r w:rsidR="00A52A00" w:rsidRPr="00487811">
          <w:rPr>
            <w:rStyle w:val="Hyperlink"/>
            <w:noProof/>
          </w:rPr>
          <w:t>What this proposal means in practice</w:t>
        </w:r>
        <w:r w:rsidR="00A52A00">
          <w:rPr>
            <w:noProof/>
            <w:webHidden/>
          </w:rPr>
          <w:tab/>
        </w:r>
        <w:r w:rsidR="00A52A00">
          <w:rPr>
            <w:noProof/>
            <w:webHidden/>
          </w:rPr>
          <w:fldChar w:fldCharType="begin"/>
        </w:r>
        <w:r w:rsidR="00A52A00">
          <w:rPr>
            <w:noProof/>
            <w:webHidden/>
          </w:rPr>
          <w:instrText xml:space="preserve"> PAGEREF _Toc118953587 \h </w:instrText>
        </w:r>
        <w:r w:rsidR="00A52A00">
          <w:rPr>
            <w:noProof/>
            <w:webHidden/>
          </w:rPr>
        </w:r>
        <w:r w:rsidR="00A52A00">
          <w:rPr>
            <w:noProof/>
            <w:webHidden/>
          </w:rPr>
          <w:fldChar w:fldCharType="separate"/>
        </w:r>
        <w:r>
          <w:rPr>
            <w:noProof/>
            <w:webHidden/>
          </w:rPr>
          <w:t>27</w:t>
        </w:r>
        <w:r w:rsidR="00A52A00">
          <w:rPr>
            <w:noProof/>
            <w:webHidden/>
          </w:rPr>
          <w:fldChar w:fldCharType="end"/>
        </w:r>
      </w:hyperlink>
    </w:p>
    <w:p w14:paraId="77C6FE2A" w14:textId="1E244CFD" w:rsidR="00A52A00" w:rsidRDefault="008A6D82">
      <w:pPr>
        <w:pStyle w:val="TOC1"/>
        <w:rPr>
          <w:rFonts w:asciiTheme="minorHAnsi" w:hAnsiTheme="minorHAnsi"/>
          <w:noProof/>
          <w:lang w:val="en-AU" w:eastAsia="en-AU"/>
        </w:rPr>
      </w:pPr>
      <w:hyperlink w:anchor="_Toc118953588" w:history="1">
        <w:r w:rsidR="00A52A00" w:rsidRPr="00487811">
          <w:rPr>
            <w:rStyle w:val="Hyperlink"/>
            <w:noProof/>
          </w:rPr>
          <w:t>Topic 2: Regulating NZU financial advice, transac</w:t>
        </w:r>
        <w:r w:rsidR="00A52A00" w:rsidRPr="00487811">
          <w:rPr>
            <w:rStyle w:val="Hyperlink"/>
            <w:noProof/>
          </w:rPr>
          <w:t>t</w:t>
        </w:r>
        <w:r w:rsidR="00A52A00" w:rsidRPr="00487811">
          <w:rPr>
            <w:rStyle w:val="Hyperlink"/>
            <w:noProof/>
          </w:rPr>
          <w:t>ional and/or custodial services</w:t>
        </w:r>
        <w:r w:rsidR="00A52A00">
          <w:rPr>
            <w:noProof/>
            <w:webHidden/>
          </w:rPr>
          <w:tab/>
        </w:r>
        <w:r w:rsidR="00A52A00">
          <w:rPr>
            <w:noProof/>
            <w:webHidden/>
          </w:rPr>
          <w:fldChar w:fldCharType="begin"/>
        </w:r>
        <w:r w:rsidR="00A52A00">
          <w:rPr>
            <w:noProof/>
            <w:webHidden/>
          </w:rPr>
          <w:instrText xml:space="preserve"> PAGEREF _Toc118953588 \h </w:instrText>
        </w:r>
        <w:r w:rsidR="00A52A00">
          <w:rPr>
            <w:noProof/>
            <w:webHidden/>
          </w:rPr>
        </w:r>
        <w:r w:rsidR="00A52A00">
          <w:rPr>
            <w:noProof/>
            <w:webHidden/>
          </w:rPr>
          <w:fldChar w:fldCharType="separate"/>
        </w:r>
        <w:r>
          <w:rPr>
            <w:noProof/>
            <w:webHidden/>
          </w:rPr>
          <w:t>38</w:t>
        </w:r>
        <w:r w:rsidR="00A52A00">
          <w:rPr>
            <w:noProof/>
            <w:webHidden/>
          </w:rPr>
          <w:fldChar w:fldCharType="end"/>
        </w:r>
      </w:hyperlink>
    </w:p>
    <w:p w14:paraId="2811797C" w14:textId="6026482C" w:rsidR="00A52A00" w:rsidRDefault="008A6D82">
      <w:pPr>
        <w:pStyle w:val="TOC2"/>
        <w:rPr>
          <w:rFonts w:asciiTheme="minorHAnsi" w:hAnsiTheme="minorHAnsi"/>
          <w:noProof/>
          <w:lang w:val="en-AU" w:eastAsia="en-AU"/>
        </w:rPr>
      </w:pPr>
      <w:hyperlink w:anchor="_Toc118953589" w:history="1">
        <w:r w:rsidR="00A52A00" w:rsidRPr="00487811">
          <w:rPr>
            <w:rStyle w:val="Hyperlink"/>
            <w:noProof/>
          </w:rPr>
          <w:t>Objective</w:t>
        </w:r>
        <w:r w:rsidR="00A52A00">
          <w:rPr>
            <w:noProof/>
            <w:webHidden/>
          </w:rPr>
          <w:tab/>
        </w:r>
        <w:r w:rsidR="00A52A00">
          <w:rPr>
            <w:noProof/>
            <w:webHidden/>
          </w:rPr>
          <w:fldChar w:fldCharType="begin"/>
        </w:r>
        <w:r w:rsidR="00A52A00">
          <w:rPr>
            <w:noProof/>
            <w:webHidden/>
          </w:rPr>
          <w:instrText xml:space="preserve"> PAGEREF _Toc118953589 \h </w:instrText>
        </w:r>
        <w:r w:rsidR="00A52A00">
          <w:rPr>
            <w:noProof/>
            <w:webHidden/>
          </w:rPr>
        </w:r>
        <w:r w:rsidR="00A52A00">
          <w:rPr>
            <w:noProof/>
            <w:webHidden/>
          </w:rPr>
          <w:fldChar w:fldCharType="separate"/>
        </w:r>
        <w:r>
          <w:rPr>
            <w:noProof/>
            <w:webHidden/>
          </w:rPr>
          <w:t>39</w:t>
        </w:r>
        <w:r w:rsidR="00A52A00">
          <w:rPr>
            <w:noProof/>
            <w:webHidden/>
          </w:rPr>
          <w:fldChar w:fldCharType="end"/>
        </w:r>
      </w:hyperlink>
    </w:p>
    <w:p w14:paraId="416E5700" w14:textId="7C85E908" w:rsidR="00A52A00" w:rsidRDefault="008A6D82">
      <w:pPr>
        <w:pStyle w:val="TOC2"/>
        <w:rPr>
          <w:rFonts w:asciiTheme="minorHAnsi" w:hAnsiTheme="minorHAnsi"/>
          <w:noProof/>
          <w:lang w:val="en-AU" w:eastAsia="en-AU"/>
        </w:rPr>
      </w:pPr>
      <w:hyperlink w:anchor="_Toc118953590" w:history="1">
        <w:r w:rsidR="00A52A00" w:rsidRPr="00487811">
          <w:rPr>
            <w:rStyle w:val="Hyperlink"/>
            <w:noProof/>
          </w:rPr>
          <w:t>What we have heard so far</w:t>
        </w:r>
        <w:r w:rsidR="00A52A00">
          <w:rPr>
            <w:noProof/>
            <w:webHidden/>
          </w:rPr>
          <w:tab/>
        </w:r>
        <w:r w:rsidR="00A52A00">
          <w:rPr>
            <w:noProof/>
            <w:webHidden/>
          </w:rPr>
          <w:fldChar w:fldCharType="begin"/>
        </w:r>
        <w:r w:rsidR="00A52A00">
          <w:rPr>
            <w:noProof/>
            <w:webHidden/>
          </w:rPr>
          <w:instrText xml:space="preserve"> PAGEREF _Toc118953590 \h </w:instrText>
        </w:r>
        <w:r w:rsidR="00A52A00">
          <w:rPr>
            <w:noProof/>
            <w:webHidden/>
          </w:rPr>
        </w:r>
        <w:r w:rsidR="00A52A00">
          <w:rPr>
            <w:noProof/>
            <w:webHidden/>
          </w:rPr>
          <w:fldChar w:fldCharType="separate"/>
        </w:r>
        <w:r>
          <w:rPr>
            <w:noProof/>
            <w:webHidden/>
          </w:rPr>
          <w:t>39</w:t>
        </w:r>
        <w:r w:rsidR="00A52A00">
          <w:rPr>
            <w:noProof/>
            <w:webHidden/>
          </w:rPr>
          <w:fldChar w:fldCharType="end"/>
        </w:r>
      </w:hyperlink>
    </w:p>
    <w:p w14:paraId="410C6362" w14:textId="280E98C4" w:rsidR="00A52A00" w:rsidRDefault="008A6D82">
      <w:pPr>
        <w:pStyle w:val="TOC2"/>
        <w:rPr>
          <w:rFonts w:asciiTheme="minorHAnsi" w:hAnsiTheme="minorHAnsi"/>
          <w:noProof/>
          <w:lang w:val="en-AU" w:eastAsia="en-AU"/>
        </w:rPr>
      </w:pPr>
      <w:hyperlink w:anchor="_Toc118953591" w:history="1">
        <w:r w:rsidR="00A52A00" w:rsidRPr="00487811">
          <w:rPr>
            <w:rStyle w:val="Hyperlink"/>
            <w:noProof/>
          </w:rPr>
          <w:t>Options considered</w:t>
        </w:r>
        <w:r w:rsidR="00A52A00">
          <w:rPr>
            <w:noProof/>
            <w:webHidden/>
          </w:rPr>
          <w:tab/>
        </w:r>
        <w:r w:rsidR="00A52A00">
          <w:rPr>
            <w:noProof/>
            <w:webHidden/>
          </w:rPr>
          <w:fldChar w:fldCharType="begin"/>
        </w:r>
        <w:r w:rsidR="00A52A00">
          <w:rPr>
            <w:noProof/>
            <w:webHidden/>
          </w:rPr>
          <w:instrText xml:space="preserve"> PAGEREF _Toc118953591 \h </w:instrText>
        </w:r>
        <w:r w:rsidR="00A52A00">
          <w:rPr>
            <w:noProof/>
            <w:webHidden/>
          </w:rPr>
        </w:r>
        <w:r w:rsidR="00A52A00">
          <w:rPr>
            <w:noProof/>
            <w:webHidden/>
          </w:rPr>
          <w:fldChar w:fldCharType="separate"/>
        </w:r>
        <w:r>
          <w:rPr>
            <w:noProof/>
            <w:webHidden/>
          </w:rPr>
          <w:t>39</w:t>
        </w:r>
        <w:r w:rsidR="00A52A00">
          <w:rPr>
            <w:noProof/>
            <w:webHidden/>
          </w:rPr>
          <w:fldChar w:fldCharType="end"/>
        </w:r>
      </w:hyperlink>
    </w:p>
    <w:p w14:paraId="134D6BEA" w14:textId="272CBBDC" w:rsidR="00A52A00" w:rsidRDefault="008A6D82">
      <w:pPr>
        <w:pStyle w:val="TOC2"/>
        <w:rPr>
          <w:rFonts w:asciiTheme="minorHAnsi" w:hAnsiTheme="minorHAnsi"/>
          <w:noProof/>
          <w:lang w:val="en-AU" w:eastAsia="en-AU"/>
        </w:rPr>
      </w:pPr>
      <w:hyperlink w:anchor="_Toc118953592" w:history="1">
        <w:r w:rsidR="00A52A00" w:rsidRPr="00487811">
          <w:rPr>
            <w:rStyle w:val="Hyperlink"/>
            <w:noProof/>
          </w:rPr>
          <w:t>Options analysis</w:t>
        </w:r>
        <w:r w:rsidR="00A52A00">
          <w:rPr>
            <w:noProof/>
            <w:webHidden/>
          </w:rPr>
          <w:tab/>
        </w:r>
        <w:r w:rsidR="00A52A00">
          <w:rPr>
            <w:noProof/>
            <w:webHidden/>
          </w:rPr>
          <w:fldChar w:fldCharType="begin"/>
        </w:r>
        <w:r w:rsidR="00A52A00">
          <w:rPr>
            <w:noProof/>
            <w:webHidden/>
          </w:rPr>
          <w:instrText xml:space="preserve"> PAGEREF _Toc118953592 \h </w:instrText>
        </w:r>
        <w:r w:rsidR="00A52A00">
          <w:rPr>
            <w:noProof/>
            <w:webHidden/>
          </w:rPr>
        </w:r>
        <w:r w:rsidR="00A52A00">
          <w:rPr>
            <w:noProof/>
            <w:webHidden/>
          </w:rPr>
          <w:fldChar w:fldCharType="separate"/>
        </w:r>
        <w:r>
          <w:rPr>
            <w:noProof/>
            <w:webHidden/>
          </w:rPr>
          <w:t>44</w:t>
        </w:r>
        <w:r w:rsidR="00A52A00">
          <w:rPr>
            <w:noProof/>
            <w:webHidden/>
          </w:rPr>
          <w:fldChar w:fldCharType="end"/>
        </w:r>
      </w:hyperlink>
    </w:p>
    <w:p w14:paraId="1C31A429" w14:textId="23DCDA07" w:rsidR="00A52A00" w:rsidRDefault="008A6D82">
      <w:pPr>
        <w:pStyle w:val="TOC2"/>
        <w:rPr>
          <w:rFonts w:asciiTheme="minorHAnsi" w:hAnsiTheme="minorHAnsi"/>
          <w:noProof/>
          <w:lang w:val="en-AU" w:eastAsia="en-AU"/>
        </w:rPr>
      </w:pPr>
      <w:hyperlink w:anchor="_Toc118953593" w:history="1">
        <w:r w:rsidR="00A52A00" w:rsidRPr="00487811">
          <w:rPr>
            <w:rStyle w:val="Hyperlink"/>
            <w:noProof/>
          </w:rPr>
          <w:t>Option two is preferred at this stage: Regulating NZU financial advice, transaction and/or custodial services</w:t>
        </w:r>
        <w:r w:rsidR="00A52A00">
          <w:rPr>
            <w:noProof/>
            <w:webHidden/>
          </w:rPr>
          <w:tab/>
        </w:r>
        <w:r w:rsidR="00A52A00">
          <w:rPr>
            <w:noProof/>
            <w:webHidden/>
          </w:rPr>
          <w:fldChar w:fldCharType="begin"/>
        </w:r>
        <w:r w:rsidR="00A52A00">
          <w:rPr>
            <w:noProof/>
            <w:webHidden/>
          </w:rPr>
          <w:instrText xml:space="preserve"> PAGEREF _Toc118953593 \h </w:instrText>
        </w:r>
        <w:r w:rsidR="00A52A00">
          <w:rPr>
            <w:noProof/>
            <w:webHidden/>
          </w:rPr>
        </w:r>
        <w:r w:rsidR="00A52A00">
          <w:rPr>
            <w:noProof/>
            <w:webHidden/>
          </w:rPr>
          <w:fldChar w:fldCharType="separate"/>
        </w:r>
        <w:r>
          <w:rPr>
            <w:noProof/>
            <w:webHidden/>
          </w:rPr>
          <w:t>44</w:t>
        </w:r>
        <w:r w:rsidR="00A52A00">
          <w:rPr>
            <w:noProof/>
            <w:webHidden/>
          </w:rPr>
          <w:fldChar w:fldCharType="end"/>
        </w:r>
      </w:hyperlink>
    </w:p>
    <w:p w14:paraId="37737C8E" w14:textId="4AE9119B" w:rsidR="00A52A00" w:rsidRDefault="008A6D82">
      <w:pPr>
        <w:pStyle w:val="TOC2"/>
        <w:rPr>
          <w:rFonts w:asciiTheme="minorHAnsi" w:hAnsiTheme="minorHAnsi"/>
          <w:noProof/>
          <w:lang w:val="en-AU" w:eastAsia="en-AU"/>
        </w:rPr>
      </w:pPr>
      <w:hyperlink w:anchor="_Toc118953594" w:history="1">
        <w:r w:rsidR="00A52A00" w:rsidRPr="00487811">
          <w:rPr>
            <w:rStyle w:val="Hyperlink"/>
            <w:noProof/>
          </w:rPr>
          <w:t>What this proposal means in practice</w:t>
        </w:r>
        <w:r w:rsidR="00A52A00">
          <w:rPr>
            <w:noProof/>
            <w:webHidden/>
          </w:rPr>
          <w:tab/>
        </w:r>
        <w:r w:rsidR="00A52A00">
          <w:rPr>
            <w:noProof/>
            <w:webHidden/>
          </w:rPr>
          <w:fldChar w:fldCharType="begin"/>
        </w:r>
        <w:r w:rsidR="00A52A00">
          <w:rPr>
            <w:noProof/>
            <w:webHidden/>
          </w:rPr>
          <w:instrText xml:space="preserve"> PAGEREF _Toc118953594 \h </w:instrText>
        </w:r>
        <w:r w:rsidR="00A52A00">
          <w:rPr>
            <w:noProof/>
            <w:webHidden/>
          </w:rPr>
        </w:r>
        <w:r w:rsidR="00A52A00">
          <w:rPr>
            <w:noProof/>
            <w:webHidden/>
          </w:rPr>
          <w:fldChar w:fldCharType="separate"/>
        </w:r>
        <w:r>
          <w:rPr>
            <w:noProof/>
            <w:webHidden/>
          </w:rPr>
          <w:t>45</w:t>
        </w:r>
        <w:r w:rsidR="00A52A00">
          <w:rPr>
            <w:noProof/>
            <w:webHidden/>
          </w:rPr>
          <w:fldChar w:fldCharType="end"/>
        </w:r>
      </w:hyperlink>
    </w:p>
    <w:p w14:paraId="647E2E3F" w14:textId="5F547F21" w:rsidR="00A52A00" w:rsidRDefault="008A6D82">
      <w:pPr>
        <w:pStyle w:val="TOC1"/>
        <w:rPr>
          <w:rFonts w:asciiTheme="minorHAnsi" w:hAnsiTheme="minorHAnsi"/>
          <w:noProof/>
          <w:lang w:val="en-AU" w:eastAsia="en-AU"/>
        </w:rPr>
      </w:pPr>
      <w:hyperlink w:anchor="_Toc118953595" w:history="1">
        <w:r w:rsidR="00A52A00" w:rsidRPr="00487811">
          <w:rPr>
            <w:rStyle w:val="Hyperlink"/>
            <w:noProof/>
          </w:rPr>
          <w:t>Topic 3: Improved transaction reporting</w:t>
        </w:r>
        <w:r w:rsidR="00A52A00">
          <w:rPr>
            <w:noProof/>
            <w:webHidden/>
          </w:rPr>
          <w:tab/>
        </w:r>
        <w:r w:rsidR="00A52A00">
          <w:rPr>
            <w:noProof/>
            <w:webHidden/>
          </w:rPr>
          <w:fldChar w:fldCharType="begin"/>
        </w:r>
        <w:r w:rsidR="00A52A00">
          <w:rPr>
            <w:noProof/>
            <w:webHidden/>
          </w:rPr>
          <w:instrText xml:space="preserve"> PAGEREF _Toc118953595 \h </w:instrText>
        </w:r>
        <w:r w:rsidR="00A52A00">
          <w:rPr>
            <w:noProof/>
            <w:webHidden/>
          </w:rPr>
        </w:r>
        <w:r w:rsidR="00A52A00">
          <w:rPr>
            <w:noProof/>
            <w:webHidden/>
          </w:rPr>
          <w:fldChar w:fldCharType="separate"/>
        </w:r>
        <w:r>
          <w:rPr>
            <w:noProof/>
            <w:webHidden/>
          </w:rPr>
          <w:t>60</w:t>
        </w:r>
        <w:r w:rsidR="00A52A00">
          <w:rPr>
            <w:noProof/>
            <w:webHidden/>
          </w:rPr>
          <w:fldChar w:fldCharType="end"/>
        </w:r>
      </w:hyperlink>
    </w:p>
    <w:p w14:paraId="57C11ED9" w14:textId="7B332E4A" w:rsidR="00A52A00" w:rsidRDefault="008A6D82">
      <w:pPr>
        <w:pStyle w:val="TOC2"/>
        <w:rPr>
          <w:rFonts w:asciiTheme="minorHAnsi" w:hAnsiTheme="minorHAnsi"/>
          <w:noProof/>
          <w:lang w:val="en-AU" w:eastAsia="en-AU"/>
        </w:rPr>
      </w:pPr>
      <w:hyperlink w:anchor="_Toc118953596" w:history="1">
        <w:r w:rsidR="00A52A00" w:rsidRPr="00487811">
          <w:rPr>
            <w:rStyle w:val="Hyperlink"/>
            <w:noProof/>
          </w:rPr>
          <w:t>Objective</w:t>
        </w:r>
        <w:r w:rsidR="00A52A00">
          <w:rPr>
            <w:noProof/>
            <w:webHidden/>
          </w:rPr>
          <w:tab/>
        </w:r>
        <w:r w:rsidR="00A52A00">
          <w:rPr>
            <w:noProof/>
            <w:webHidden/>
          </w:rPr>
          <w:fldChar w:fldCharType="begin"/>
        </w:r>
        <w:r w:rsidR="00A52A00">
          <w:rPr>
            <w:noProof/>
            <w:webHidden/>
          </w:rPr>
          <w:instrText xml:space="preserve"> PAGEREF _Toc118953596 \h </w:instrText>
        </w:r>
        <w:r w:rsidR="00A52A00">
          <w:rPr>
            <w:noProof/>
            <w:webHidden/>
          </w:rPr>
        </w:r>
        <w:r w:rsidR="00A52A00">
          <w:rPr>
            <w:noProof/>
            <w:webHidden/>
          </w:rPr>
          <w:fldChar w:fldCharType="separate"/>
        </w:r>
        <w:r>
          <w:rPr>
            <w:noProof/>
            <w:webHidden/>
          </w:rPr>
          <w:t>60</w:t>
        </w:r>
        <w:r w:rsidR="00A52A00">
          <w:rPr>
            <w:noProof/>
            <w:webHidden/>
          </w:rPr>
          <w:fldChar w:fldCharType="end"/>
        </w:r>
      </w:hyperlink>
    </w:p>
    <w:p w14:paraId="26C93D41" w14:textId="6720932D" w:rsidR="00A52A00" w:rsidRDefault="008A6D82">
      <w:pPr>
        <w:pStyle w:val="TOC2"/>
        <w:rPr>
          <w:rFonts w:asciiTheme="minorHAnsi" w:hAnsiTheme="minorHAnsi"/>
          <w:noProof/>
          <w:lang w:val="en-AU" w:eastAsia="en-AU"/>
        </w:rPr>
      </w:pPr>
      <w:hyperlink w:anchor="_Toc118953597" w:history="1">
        <w:r w:rsidR="00A52A00" w:rsidRPr="00487811">
          <w:rPr>
            <w:rStyle w:val="Hyperlink"/>
            <w:noProof/>
          </w:rPr>
          <w:t>What we have heard so far</w:t>
        </w:r>
        <w:r w:rsidR="00A52A00">
          <w:rPr>
            <w:noProof/>
            <w:webHidden/>
          </w:rPr>
          <w:tab/>
        </w:r>
        <w:r w:rsidR="00A52A00">
          <w:rPr>
            <w:noProof/>
            <w:webHidden/>
          </w:rPr>
          <w:fldChar w:fldCharType="begin"/>
        </w:r>
        <w:r w:rsidR="00A52A00">
          <w:rPr>
            <w:noProof/>
            <w:webHidden/>
          </w:rPr>
          <w:instrText xml:space="preserve"> PAGEREF _Toc118953597 \h </w:instrText>
        </w:r>
        <w:r w:rsidR="00A52A00">
          <w:rPr>
            <w:noProof/>
            <w:webHidden/>
          </w:rPr>
        </w:r>
        <w:r w:rsidR="00A52A00">
          <w:rPr>
            <w:noProof/>
            <w:webHidden/>
          </w:rPr>
          <w:fldChar w:fldCharType="separate"/>
        </w:r>
        <w:r>
          <w:rPr>
            <w:noProof/>
            <w:webHidden/>
          </w:rPr>
          <w:t>61</w:t>
        </w:r>
        <w:r w:rsidR="00A52A00">
          <w:rPr>
            <w:noProof/>
            <w:webHidden/>
          </w:rPr>
          <w:fldChar w:fldCharType="end"/>
        </w:r>
      </w:hyperlink>
    </w:p>
    <w:p w14:paraId="113FB8F6" w14:textId="0B175E82" w:rsidR="00A52A00" w:rsidRDefault="008A6D82">
      <w:pPr>
        <w:pStyle w:val="TOC2"/>
        <w:rPr>
          <w:rFonts w:asciiTheme="minorHAnsi" w:hAnsiTheme="minorHAnsi"/>
          <w:noProof/>
          <w:lang w:val="en-AU" w:eastAsia="en-AU"/>
        </w:rPr>
      </w:pPr>
      <w:hyperlink w:anchor="_Toc118953598" w:history="1">
        <w:r w:rsidR="00A52A00" w:rsidRPr="00487811">
          <w:rPr>
            <w:rStyle w:val="Hyperlink"/>
            <w:noProof/>
          </w:rPr>
          <w:t>Options considered</w:t>
        </w:r>
        <w:r w:rsidR="00A52A00">
          <w:rPr>
            <w:noProof/>
            <w:webHidden/>
          </w:rPr>
          <w:tab/>
        </w:r>
        <w:r w:rsidR="00A52A00">
          <w:rPr>
            <w:noProof/>
            <w:webHidden/>
          </w:rPr>
          <w:fldChar w:fldCharType="begin"/>
        </w:r>
        <w:r w:rsidR="00A52A00">
          <w:rPr>
            <w:noProof/>
            <w:webHidden/>
          </w:rPr>
          <w:instrText xml:space="preserve"> PAGEREF _Toc118953598 \h </w:instrText>
        </w:r>
        <w:r w:rsidR="00A52A00">
          <w:rPr>
            <w:noProof/>
            <w:webHidden/>
          </w:rPr>
        </w:r>
        <w:r w:rsidR="00A52A00">
          <w:rPr>
            <w:noProof/>
            <w:webHidden/>
          </w:rPr>
          <w:fldChar w:fldCharType="separate"/>
        </w:r>
        <w:r>
          <w:rPr>
            <w:noProof/>
            <w:webHidden/>
          </w:rPr>
          <w:t>61</w:t>
        </w:r>
        <w:r w:rsidR="00A52A00">
          <w:rPr>
            <w:noProof/>
            <w:webHidden/>
          </w:rPr>
          <w:fldChar w:fldCharType="end"/>
        </w:r>
      </w:hyperlink>
    </w:p>
    <w:p w14:paraId="54A780BE" w14:textId="7F0DF7D5" w:rsidR="00A52A00" w:rsidRDefault="008A6D82">
      <w:pPr>
        <w:pStyle w:val="TOC2"/>
        <w:rPr>
          <w:rFonts w:asciiTheme="minorHAnsi" w:hAnsiTheme="minorHAnsi"/>
          <w:noProof/>
          <w:lang w:val="en-AU" w:eastAsia="en-AU"/>
        </w:rPr>
      </w:pPr>
      <w:hyperlink w:anchor="_Toc118953599" w:history="1">
        <w:r w:rsidR="00A52A00" w:rsidRPr="00487811">
          <w:rPr>
            <w:rStyle w:val="Hyperlink"/>
            <w:noProof/>
          </w:rPr>
          <w:t>Options analysis</w:t>
        </w:r>
        <w:r w:rsidR="00A52A00">
          <w:rPr>
            <w:noProof/>
            <w:webHidden/>
          </w:rPr>
          <w:tab/>
        </w:r>
        <w:r w:rsidR="00A52A00">
          <w:rPr>
            <w:noProof/>
            <w:webHidden/>
          </w:rPr>
          <w:fldChar w:fldCharType="begin"/>
        </w:r>
        <w:r w:rsidR="00A52A00">
          <w:rPr>
            <w:noProof/>
            <w:webHidden/>
          </w:rPr>
          <w:instrText xml:space="preserve"> PAGEREF _Toc118953599 \h </w:instrText>
        </w:r>
        <w:r w:rsidR="00A52A00">
          <w:rPr>
            <w:noProof/>
            <w:webHidden/>
          </w:rPr>
        </w:r>
        <w:r w:rsidR="00A52A00">
          <w:rPr>
            <w:noProof/>
            <w:webHidden/>
          </w:rPr>
          <w:fldChar w:fldCharType="separate"/>
        </w:r>
        <w:r>
          <w:rPr>
            <w:noProof/>
            <w:webHidden/>
          </w:rPr>
          <w:t>63</w:t>
        </w:r>
        <w:r w:rsidR="00A52A00">
          <w:rPr>
            <w:noProof/>
            <w:webHidden/>
          </w:rPr>
          <w:fldChar w:fldCharType="end"/>
        </w:r>
      </w:hyperlink>
    </w:p>
    <w:p w14:paraId="3902EEE3" w14:textId="3931B638" w:rsidR="00A52A00" w:rsidRDefault="008A6D82">
      <w:pPr>
        <w:pStyle w:val="TOC2"/>
        <w:rPr>
          <w:rFonts w:asciiTheme="minorHAnsi" w:hAnsiTheme="minorHAnsi"/>
          <w:noProof/>
          <w:lang w:val="en-AU" w:eastAsia="en-AU"/>
        </w:rPr>
      </w:pPr>
      <w:hyperlink w:anchor="_Toc118953600" w:history="1">
        <w:r w:rsidR="00A52A00" w:rsidRPr="00487811">
          <w:rPr>
            <w:rStyle w:val="Hyperlink"/>
            <w:noProof/>
          </w:rPr>
          <w:t>Option two is preferred at this stage: Improved transaction reporting</w:t>
        </w:r>
        <w:r w:rsidR="00A52A00">
          <w:rPr>
            <w:noProof/>
            <w:webHidden/>
          </w:rPr>
          <w:tab/>
        </w:r>
        <w:r w:rsidR="00A52A00">
          <w:rPr>
            <w:noProof/>
            <w:webHidden/>
          </w:rPr>
          <w:fldChar w:fldCharType="begin"/>
        </w:r>
        <w:r w:rsidR="00A52A00">
          <w:rPr>
            <w:noProof/>
            <w:webHidden/>
          </w:rPr>
          <w:instrText xml:space="preserve"> PAGEREF _Toc118953600 \h </w:instrText>
        </w:r>
        <w:r w:rsidR="00A52A00">
          <w:rPr>
            <w:noProof/>
            <w:webHidden/>
          </w:rPr>
        </w:r>
        <w:r w:rsidR="00A52A00">
          <w:rPr>
            <w:noProof/>
            <w:webHidden/>
          </w:rPr>
          <w:fldChar w:fldCharType="separate"/>
        </w:r>
        <w:r>
          <w:rPr>
            <w:noProof/>
            <w:webHidden/>
          </w:rPr>
          <w:t>63</w:t>
        </w:r>
        <w:r w:rsidR="00A52A00">
          <w:rPr>
            <w:noProof/>
            <w:webHidden/>
          </w:rPr>
          <w:fldChar w:fldCharType="end"/>
        </w:r>
      </w:hyperlink>
    </w:p>
    <w:p w14:paraId="40934997" w14:textId="010032C1" w:rsidR="00A52A00" w:rsidRDefault="008A6D82">
      <w:pPr>
        <w:pStyle w:val="TOC2"/>
        <w:rPr>
          <w:rFonts w:asciiTheme="minorHAnsi" w:hAnsiTheme="minorHAnsi"/>
          <w:noProof/>
          <w:lang w:val="en-AU" w:eastAsia="en-AU"/>
        </w:rPr>
      </w:pPr>
      <w:hyperlink w:anchor="_Toc118953601" w:history="1">
        <w:r w:rsidR="00A52A00" w:rsidRPr="00487811">
          <w:rPr>
            <w:rStyle w:val="Hyperlink"/>
            <w:noProof/>
          </w:rPr>
          <w:t>What this proposal means in practice</w:t>
        </w:r>
        <w:r w:rsidR="00A52A00">
          <w:rPr>
            <w:noProof/>
            <w:webHidden/>
          </w:rPr>
          <w:tab/>
        </w:r>
        <w:r w:rsidR="00A52A00">
          <w:rPr>
            <w:noProof/>
            <w:webHidden/>
          </w:rPr>
          <w:fldChar w:fldCharType="begin"/>
        </w:r>
        <w:r w:rsidR="00A52A00">
          <w:rPr>
            <w:noProof/>
            <w:webHidden/>
          </w:rPr>
          <w:instrText xml:space="preserve"> PAGEREF _Toc118953601 \h </w:instrText>
        </w:r>
        <w:r w:rsidR="00A52A00">
          <w:rPr>
            <w:noProof/>
            <w:webHidden/>
          </w:rPr>
        </w:r>
        <w:r w:rsidR="00A52A00">
          <w:rPr>
            <w:noProof/>
            <w:webHidden/>
          </w:rPr>
          <w:fldChar w:fldCharType="separate"/>
        </w:r>
        <w:r>
          <w:rPr>
            <w:noProof/>
            <w:webHidden/>
          </w:rPr>
          <w:t>63</w:t>
        </w:r>
        <w:r w:rsidR="00A52A00">
          <w:rPr>
            <w:noProof/>
            <w:webHidden/>
          </w:rPr>
          <w:fldChar w:fldCharType="end"/>
        </w:r>
      </w:hyperlink>
    </w:p>
    <w:p w14:paraId="6D7AF880" w14:textId="2A9C385F" w:rsidR="00A52A00" w:rsidRDefault="008A6D82">
      <w:pPr>
        <w:pStyle w:val="TOC1"/>
        <w:rPr>
          <w:rFonts w:asciiTheme="minorHAnsi" w:hAnsiTheme="minorHAnsi"/>
          <w:noProof/>
          <w:lang w:val="en-AU" w:eastAsia="en-AU"/>
        </w:rPr>
      </w:pPr>
      <w:hyperlink w:anchor="_Toc118953602" w:history="1">
        <w:r w:rsidR="00A52A00" w:rsidRPr="00487811">
          <w:rPr>
            <w:rStyle w:val="Hyperlink"/>
            <w:noProof/>
          </w:rPr>
          <w:t>Topic 4: Applying the AML/CFT Act framework</w:t>
        </w:r>
        <w:r w:rsidR="00A52A00">
          <w:rPr>
            <w:noProof/>
            <w:webHidden/>
          </w:rPr>
          <w:tab/>
        </w:r>
        <w:r w:rsidR="00A52A00">
          <w:rPr>
            <w:noProof/>
            <w:webHidden/>
          </w:rPr>
          <w:fldChar w:fldCharType="begin"/>
        </w:r>
        <w:r w:rsidR="00A52A00">
          <w:rPr>
            <w:noProof/>
            <w:webHidden/>
          </w:rPr>
          <w:instrText xml:space="preserve"> PAGEREF _Toc118953602 \h </w:instrText>
        </w:r>
        <w:r w:rsidR="00A52A00">
          <w:rPr>
            <w:noProof/>
            <w:webHidden/>
          </w:rPr>
        </w:r>
        <w:r w:rsidR="00A52A00">
          <w:rPr>
            <w:noProof/>
            <w:webHidden/>
          </w:rPr>
          <w:fldChar w:fldCharType="separate"/>
        </w:r>
        <w:r>
          <w:rPr>
            <w:noProof/>
            <w:webHidden/>
          </w:rPr>
          <w:t>66</w:t>
        </w:r>
        <w:r w:rsidR="00A52A00">
          <w:rPr>
            <w:noProof/>
            <w:webHidden/>
          </w:rPr>
          <w:fldChar w:fldCharType="end"/>
        </w:r>
      </w:hyperlink>
    </w:p>
    <w:p w14:paraId="219C2DC1" w14:textId="53827422" w:rsidR="00A52A00" w:rsidRDefault="008A6D82">
      <w:pPr>
        <w:pStyle w:val="TOC2"/>
        <w:rPr>
          <w:rFonts w:asciiTheme="minorHAnsi" w:hAnsiTheme="minorHAnsi"/>
          <w:noProof/>
          <w:lang w:val="en-AU" w:eastAsia="en-AU"/>
        </w:rPr>
      </w:pPr>
      <w:hyperlink w:anchor="_Toc118953603" w:history="1">
        <w:r w:rsidR="00A52A00" w:rsidRPr="00487811">
          <w:rPr>
            <w:rStyle w:val="Hyperlink"/>
            <w:noProof/>
          </w:rPr>
          <w:t>Objective</w:t>
        </w:r>
        <w:r w:rsidR="00A52A00">
          <w:rPr>
            <w:noProof/>
            <w:webHidden/>
          </w:rPr>
          <w:tab/>
        </w:r>
        <w:r w:rsidR="00A52A00">
          <w:rPr>
            <w:noProof/>
            <w:webHidden/>
          </w:rPr>
          <w:fldChar w:fldCharType="begin"/>
        </w:r>
        <w:r w:rsidR="00A52A00">
          <w:rPr>
            <w:noProof/>
            <w:webHidden/>
          </w:rPr>
          <w:instrText xml:space="preserve"> PAGEREF _Toc118953603 \h </w:instrText>
        </w:r>
        <w:r w:rsidR="00A52A00">
          <w:rPr>
            <w:noProof/>
            <w:webHidden/>
          </w:rPr>
        </w:r>
        <w:r w:rsidR="00A52A00">
          <w:rPr>
            <w:noProof/>
            <w:webHidden/>
          </w:rPr>
          <w:fldChar w:fldCharType="separate"/>
        </w:r>
        <w:r>
          <w:rPr>
            <w:noProof/>
            <w:webHidden/>
          </w:rPr>
          <w:t>66</w:t>
        </w:r>
        <w:r w:rsidR="00A52A00">
          <w:rPr>
            <w:noProof/>
            <w:webHidden/>
          </w:rPr>
          <w:fldChar w:fldCharType="end"/>
        </w:r>
      </w:hyperlink>
    </w:p>
    <w:p w14:paraId="7F940446" w14:textId="721FFAA1" w:rsidR="00A52A00" w:rsidRDefault="008A6D82">
      <w:pPr>
        <w:pStyle w:val="TOC2"/>
        <w:rPr>
          <w:rFonts w:asciiTheme="minorHAnsi" w:hAnsiTheme="minorHAnsi"/>
          <w:noProof/>
          <w:lang w:val="en-AU" w:eastAsia="en-AU"/>
        </w:rPr>
      </w:pPr>
      <w:hyperlink w:anchor="_Toc118953604" w:history="1">
        <w:r w:rsidR="00A52A00" w:rsidRPr="00487811">
          <w:rPr>
            <w:rStyle w:val="Hyperlink"/>
            <w:noProof/>
          </w:rPr>
          <w:t>What we have heard so far</w:t>
        </w:r>
        <w:r w:rsidR="00A52A00">
          <w:rPr>
            <w:noProof/>
            <w:webHidden/>
          </w:rPr>
          <w:tab/>
        </w:r>
        <w:r w:rsidR="00A52A00">
          <w:rPr>
            <w:noProof/>
            <w:webHidden/>
          </w:rPr>
          <w:fldChar w:fldCharType="begin"/>
        </w:r>
        <w:r w:rsidR="00A52A00">
          <w:rPr>
            <w:noProof/>
            <w:webHidden/>
          </w:rPr>
          <w:instrText xml:space="preserve"> PAGEREF _Toc118953604 \h </w:instrText>
        </w:r>
        <w:r w:rsidR="00A52A00">
          <w:rPr>
            <w:noProof/>
            <w:webHidden/>
          </w:rPr>
        </w:r>
        <w:r w:rsidR="00A52A00">
          <w:rPr>
            <w:noProof/>
            <w:webHidden/>
          </w:rPr>
          <w:fldChar w:fldCharType="separate"/>
        </w:r>
        <w:r>
          <w:rPr>
            <w:noProof/>
            <w:webHidden/>
          </w:rPr>
          <w:t>66</w:t>
        </w:r>
        <w:r w:rsidR="00A52A00">
          <w:rPr>
            <w:noProof/>
            <w:webHidden/>
          </w:rPr>
          <w:fldChar w:fldCharType="end"/>
        </w:r>
      </w:hyperlink>
    </w:p>
    <w:p w14:paraId="6C74F65A" w14:textId="4D9DD364" w:rsidR="00A52A00" w:rsidRDefault="008A6D82">
      <w:pPr>
        <w:pStyle w:val="TOC2"/>
        <w:rPr>
          <w:rFonts w:asciiTheme="minorHAnsi" w:hAnsiTheme="minorHAnsi"/>
          <w:noProof/>
          <w:lang w:val="en-AU" w:eastAsia="en-AU"/>
        </w:rPr>
      </w:pPr>
      <w:hyperlink w:anchor="_Toc118953605" w:history="1">
        <w:r w:rsidR="00A52A00" w:rsidRPr="00487811">
          <w:rPr>
            <w:rStyle w:val="Hyperlink"/>
            <w:noProof/>
          </w:rPr>
          <w:t>What this means in practice</w:t>
        </w:r>
        <w:r w:rsidR="00A52A00">
          <w:rPr>
            <w:noProof/>
            <w:webHidden/>
          </w:rPr>
          <w:tab/>
        </w:r>
        <w:r w:rsidR="00A52A00">
          <w:rPr>
            <w:noProof/>
            <w:webHidden/>
          </w:rPr>
          <w:fldChar w:fldCharType="begin"/>
        </w:r>
        <w:r w:rsidR="00A52A00">
          <w:rPr>
            <w:noProof/>
            <w:webHidden/>
          </w:rPr>
          <w:instrText xml:space="preserve"> PAGEREF _Toc118953605 \h </w:instrText>
        </w:r>
        <w:r w:rsidR="00A52A00">
          <w:rPr>
            <w:noProof/>
            <w:webHidden/>
          </w:rPr>
        </w:r>
        <w:r w:rsidR="00A52A00">
          <w:rPr>
            <w:noProof/>
            <w:webHidden/>
          </w:rPr>
          <w:fldChar w:fldCharType="separate"/>
        </w:r>
        <w:r>
          <w:rPr>
            <w:noProof/>
            <w:webHidden/>
          </w:rPr>
          <w:t>68</w:t>
        </w:r>
        <w:r w:rsidR="00A52A00">
          <w:rPr>
            <w:noProof/>
            <w:webHidden/>
          </w:rPr>
          <w:fldChar w:fldCharType="end"/>
        </w:r>
      </w:hyperlink>
    </w:p>
    <w:p w14:paraId="5E1BBD86" w14:textId="09EC6027" w:rsidR="00A52A00" w:rsidRDefault="008A6D82">
      <w:pPr>
        <w:pStyle w:val="TOC1"/>
        <w:rPr>
          <w:rFonts w:asciiTheme="minorHAnsi" w:hAnsiTheme="minorHAnsi"/>
          <w:noProof/>
          <w:lang w:val="en-AU" w:eastAsia="en-AU"/>
        </w:rPr>
      </w:pPr>
      <w:hyperlink w:anchor="_Toc118953606" w:history="1">
        <w:r w:rsidR="00A52A00" w:rsidRPr="00487811">
          <w:rPr>
            <w:rStyle w:val="Hyperlink"/>
            <w:noProof/>
          </w:rPr>
          <w:t>Summary of engagement questions</w:t>
        </w:r>
        <w:r w:rsidR="00A52A00">
          <w:rPr>
            <w:noProof/>
            <w:webHidden/>
          </w:rPr>
          <w:tab/>
        </w:r>
        <w:r w:rsidR="00A52A00">
          <w:rPr>
            <w:noProof/>
            <w:webHidden/>
          </w:rPr>
          <w:fldChar w:fldCharType="begin"/>
        </w:r>
        <w:r w:rsidR="00A52A00">
          <w:rPr>
            <w:noProof/>
            <w:webHidden/>
          </w:rPr>
          <w:instrText xml:space="preserve"> PAGEREF _Toc118953606 \h </w:instrText>
        </w:r>
        <w:r w:rsidR="00A52A00">
          <w:rPr>
            <w:noProof/>
            <w:webHidden/>
          </w:rPr>
        </w:r>
        <w:r w:rsidR="00A52A00">
          <w:rPr>
            <w:noProof/>
            <w:webHidden/>
          </w:rPr>
          <w:fldChar w:fldCharType="separate"/>
        </w:r>
        <w:r>
          <w:rPr>
            <w:noProof/>
            <w:webHidden/>
          </w:rPr>
          <w:t>72</w:t>
        </w:r>
        <w:r w:rsidR="00A52A00">
          <w:rPr>
            <w:noProof/>
            <w:webHidden/>
          </w:rPr>
          <w:fldChar w:fldCharType="end"/>
        </w:r>
      </w:hyperlink>
    </w:p>
    <w:p w14:paraId="6942ADFF" w14:textId="2EABCA02" w:rsidR="00A52A00" w:rsidRDefault="008A6D82">
      <w:pPr>
        <w:pStyle w:val="TOC1"/>
        <w:rPr>
          <w:rFonts w:asciiTheme="minorHAnsi" w:hAnsiTheme="minorHAnsi"/>
          <w:noProof/>
          <w:lang w:val="en-AU" w:eastAsia="en-AU"/>
        </w:rPr>
      </w:pPr>
      <w:hyperlink w:anchor="_Toc118953607" w:history="1">
        <w:r w:rsidR="00A52A00" w:rsidRPr="00487811">
          <w:rPr>
            <w:rStyle w:val="Hyperlink"/>
            <w:noProof/>
          </w:rPr>
          <w:t>Have your say</w:t>
        </w:r>
        <w:r w:rsidR="00A52A00">
          <w:rPr>
            <w:noProof/>
            <w:webHidden/>
          </w:rPr>
          <w:tab/>
        </w:r>
        <w:r w:rsidR="00A52A00">
          <w:rPr>
            <w:noProof/>
            <w:webHidden/>
          </w:rPr>
          <w:fldChar w:fldCharType="begin"/>
        </w:r>
        <w:r w:rsidR="00A52A00">
          <w:rPr>
            <w:noProof/>
            <w:webHidden/>
          </w:rPr>
          <w:instrText xml:space="preserve"> PAGEREF _Toc118953607 \h </w:instrText>
        </w:r>
        <w:r w:rsidR="00A52A00">
          <w:rPr>
            <w:noProof/>
            <w:webHidden/>
          </w:rPr>
        </w:r>
        <w:r w:rsidR="00A52A00">
          <w:rPr>
            <w:noProof/>
            <w:webHidden/>
          </w:rPr>
          <w:fldChar w:fldCharType="separate"/>
        </w:r>
        <w:r>
          <w:rPr>
            <w:noProof/>
            <w:webHidden/>
          </w:rPr>
          <w:t>75</w:t>
        </w:r>
        <w:r w:rsidR="00A52A00">
          <w:rPr>
            <w:noProof/>
            <w:webHidden/>
          </w:rPr>
          <w:fldChar w:fldCharType="end"/>
        </w:r>
      </w:hyperlink>
    </w:p>
    <w:p w14:paraId="3E19F431" w14:textId="5B38D140" w:rsidR="00A52A00" w:rsidRDefault="008A6D82">
      <w:pPr>
        <w:pStyle w:val="TOC2"/>
        <w:rPr>
          <w:rFonts w:asciiTheme="minorHAnsi" w:hAnsiTheme="minorHAnsi"/>
          <w:noProof/>
          <w:lang w:val="en-AU" w:eastAsia="en-AU"/>
        </w:rPr>
      </w:pPr>
      <w:hyperlink w:anchor="_Toc118953608" w:history="1">
        <w:r w:rsidR="00A52A00" w:rsidRPr="00487811">
          <w:rPr>
            <w:rStyle w:val="Hyperlink"/>
            <w:noProof/>
          </w:rPr>
          <w:t>Timeframes</w:t>
        </w:r>
        <w:r w:rsidR="00A52A00">
          <w:rPr>
            <w:noProof/>
            <w:webHidden/>
          </w:rPr>
          <w:tab/>
        </w:r>
        <w:r w:rsidR="00A52A00">
          <w:rPr>
            <w:noProof/>
            <w:webHidden/>
          </w:rPr>
          <w:fldChar w:fldCharType="begin"/>
        </w:r>
        <w:r w:rsidR="00A52A00">
          <w:rPr>
            <w:noProof/>
            <w:webHidden/>
          </w:rPr>
          <w:instrText xml:space="preserve"> PAGEREF _Toc118953608 \h </w:instrText>
        </w:r>
        <w:r w:rsidR="00A52A00">
          <w:rPr>
            <w:noProof/>
            <w:webHidden/>
          </w:rPr>
        </w:r>
        <w:r w:rsidR="00A52A00">
          <w:rPr>
            <w:noProof/>
            <w:webHidden/>
          </w:rPr>
          <w:fldChar w:fldCharType="separate"/>
        </w:r>
        <w:r>
          <w:rPr>
            <w:noProof/>
            <w:webHidden/>
          </w:rPr>
          <w:t>75</w:t>
        </w:r>
        <w:r w:rsidR="00A52A00">
          <w:rPr>
            <w:noProof/>
            <w:webHidden/>
          </w:rPr>
          <w:fldChar w:fldCharType="end"/>
        </w:r>
      </w:hyperlink>
    </w:p>
    <w:p w14:paraId="04B9CC81" w14:textId="01FF8193" w:rsidR="00A52A00" w:rsidRDefault="008A6D82">
      <w:pPr>
        <w:pStyle w:val="TOC2"/>
        <w:rPr>
          <w:rFonts w:asciiTheme="minorHAnsi" w:hAnsiTheme="minorHAnsi"/>
          <w:noProof/>
          <w:lang w:val="en-AU" w:eastAsia="en-AU"/>
        </w:rPr>
      </w:pPr>
      <w:hyperlink w:anchor="_Toc118953609" w:history="1">
        <w:r w:rsidR="00A52A00" w:rsidRPr="00487811">
          <w:rPr>
            <w:rStyle w:val="Hyperlink"/>
            <w:noProof/>
          </w:rPr>
          <w:t>How to provide feedback</w:t>
        </w:r>
        <w:r w:rsidR="00A52A00">
          <w:rPr>
            <w:noProof/>
            <w:webHidden/>
          </w:rPr>
          <w:tab/>
        </w:r>
        <w:r w:rsidR="00A52A00">
          <w:rPr>
            <w:noProof/>
            <w:webHidden/>
          </w:rPr>
          <w:fldChar w:fldCharType="begin"/>
        </w:r>
        <w:r w:rsidR="00A52A00">
          <w:rPr>
            <w:noProof/>
            <w:webHidden/>
          </w:rPr>
          <w:instrText xml:space="preserve"> PAGEREF _Toc118953609 \h </w:instrText>
        </w:r>
        <w:r w:rsidR="00A52A00">
          <w:rPr>
            <w:noProof/>
            <w:webHidden/>
          </w:rPr>
        </w:r>
        <w:r w:rsidR="00A52A00">
          <w:rPr>
            <w:noProof/>
            <w:webHidden/>
          </w:rPr>
          <w:fldChar w:fldCharType="separate"/>
        </w:r>
        <w:r>
          <w:rPr>
            <w:noProof/>
            <w:webHidden/>
          </w:rPr>
          <w:t>75</w:t>
        </w:r>
        <w:r w:rsidR="00A52A00">
          <w:rPr>
            <w:noProof/>
            <w:webHidden/>
          </w:rPr>
          <w:fldChar w:fldCharType="end"/>
        </w:r>
      </w:hyperlink>
    </w:p>
    <w:p w14:paraId="66E71607" w14:textId="48E6AD9D" w:rsidR="00A52A00" w:rsidRDefault="008A6D82">
      <w:pPr>
        <w:pStyle w:val="TOC2"/>
        <w:rPr>
          <w:rFonts w:asciiTheme="minorHAnsi" w:hAnsiTheme="minorHAnsi"/>
          <w:noProof/>
          <w:lang w:val="en-AU" w:eastAsia="en-AU"/>
        </w:rPr>
      </w:pPr>
      <w:hyperlink w:anchor="_Toc118953610" w:history="1">
        <w:r w:rsidR="00A52A00" w:rsidRPr="00487811">
          <w:rPr>
            <w:rStyle w:val="Hyperlink"/>
            <w:noProof/>
          </w:rPr>
          <w:t>Publishing and releasing submissions</w:t>
        </w:r>
        <w:r w:rsidR="00A52A00">
          <w:rPr>
            <w:noProof/>
            <w:webHidden/>
          </w:rPr>
          <w:tab/>
        </w:r>
        <w:r w:rsidR="00A52A00">
          <w:rPr>
            <w:noProof/>
            <w:webHidden/>
          </w:rPr>
          <w:fldChar w:fldCharType="begin"/>
        </w:r>
        <w:r w:rsidR="00A52A00">
          <w:rPr>
            <w:noProof/>
            <w:webHidden/>
          </w:rPr>
          <w:instrText xml:space="preserve"> PAGEREF _Toc118953610 \h </w:instrText>
        </w:r>
        <w:r w:rsidR="00A52A00">
          <w:rPr>
            <w:noProof/>
            <w:webHidden/>
          </w:rPr>
        </w:r>
        <w:r w:rsidR="00A52A00">
          <w:rPr>
            <w:noProof/>
            <w:webHidden/>
          </w:rPr>
          <w:fldChar w:fldCharType="separate"/>
        </w:r>
        <w:r>
          <w:rPr>
            <w:noProof/>
            <w:webHidden/>
          </w:rPr>
          <w:t>75</w:t>
        </w:r>
        <w:r w:rsidR="00A52A00">
          <w:rPr>
            <w:noProof/>
            <w:webHidden/>
          </w:rPr>
          <w:fldChar w:fldCharType="end"/>
        </w:r>
      </w:hyperlink>
    </w:p>
    <w:p w14:paraId="4A44E7FA" w14:textId="1168644C" w:rsidR="00A52A00" w:rsidRDefault="008A6D82">
      <w:pPr>
        <w:pStyle w:val="TOC1"/>
        <w:rPr>
          <w:rFonts w:asciiTheme="minorHAnsi" w:hAnsiTheme="minorHAnsi"/>
          <w:noProof/>
          <w:lang w:val="en-AU" w:eastAsia="en-AU"/>
        </w:rPr>
      </w:pPr>
      <w:hyperlink w:anchor="_Toc118953611" w:history="1">
        <w:r w:rsidR="00A52A00" w:rsidRPr="00487811">
          <w:rPr>
            <w:rStyle w:val="Hyperlink"/>
            <w:noProof/>
          </w:rPr>
          <w:t>Glossary</w:t>
        </w:r>
        <w:r w:rsidR="00A52A00">
          <w:rPr>
            <w:noProof/>
            <w:webHidden/>
          </w:rPr>
          <w:tab/>
        </w:r>
        <w:r w:rsidR="00A52A00">
          <w:rPr>
            <w:noProof/>
            <w:webHidden/>
          </w:rPr>
          <w:fldChar w:fldCharType="begin"/>
        </w:r>
        <w:r w:rsidR="00A52A00">
          <w:rPr>
            <w:noProof/>
            <w:webHidden/>
          </w:rPr>
          <w:instrText xml:space="preserve"> PAGEREF _Toc118953611 \h </w:instrText>
        </w:r>
        <w:r w:rsidR="00A52A00">
          <w:rPr>
            <w:noProof/>
            <w:webHidden/>
          </w:rPr>
        </w:r>
        <w:r w:rsidR="00A52A00">
          <w:rPr>
            <w:noProof/>
            <w:webHidden/>
          </w:rPr>
          <w:fldChar w:fldCharType="separate"/>
        </w:r>
        <w:r>
          <w:rPr>
            <w:noProof/>
            <w:webHidden/>
          </w:rPr>
          <w:t>77</w:t>
        </w:r>
        <w:r w:rsidR="00A52A00">
          <w:rPr>
            <w:noProof/>
            <w:webHidden/>
          </w:rPr>
          <w:fldChar w:fldCharType="end"/>
        </w:r>
      </w:hyperlink>
    </w:p>
    <w:p w14:paraId="50844F11" w14:textId="7938CAE1" w:rsidR="00A52A00" w:rsidRDefault="008A6D82">
      <w:pPr>
        <w:pStyle w:val="TOC1"/>
        <w:rPr>
          <w:rFonts w:asciiTheme="minorHAnsi" w:hAnsiTheme="minorHAnsi"/>
          <w:noProof/>
          <w:lang w:val="en-AU" w:eastAsia="en-AU"/>
        </w:rPr>
      </w:pPr>
      <w:hyperlink w:anchor="_Toc118953612" w:history="1">
        <w:r w:rsidR="00A52A00" w:rsidRPr="00487811">
          <w:rPr>
            <w:rStyle w:val="Hyperlink"/>
            <w:noProof/>
          </w:rPr>
          <w:t>Appendix A: Summary of 2021 consultation options</w:t>
        </w:r>
        <w:r w:rsidR="00A52A00">
          <w:rPr>
            <w:noProof/>
            <w:webHidden/>
          </w:rPr>
          <w:tab/>
        </w:r>
        <w:r w:rsidR="00A52A00">
          <w:rPr>
            <w:noProof/>
            <w:webHidden/>
          </w:rPr>
          <w:fldChar w:fldCharType="begin"/>
        </w:r>
        <w:r w:rsidR="00A52A00">
          <w:rPr>
            <w:noProof/>
            <w:webHidden/>
          </w:rPr>
          <w:instrText xml:space="preserve"> PAGEREF _Toc118953612 \h </w:instrText>
        </w:r>
        <w:r w:rsidR="00A52A00">
          <w:rPr>
            <w:noProof/>
            <w:webHidden/>
          </w:rPr>
        </w:r>
        <w:r w:rsidR="00A52A00">
          <w:rPr>
            <w:noProof/>
            <w:webHidden/>
          </w:rPr>
          <w:fldChar w:fldCharType="separate"/>
        </w:r>
        <w:r>
          <w:rPr>
            <w:noProof/>
            <w:webHidden/>
          </w:rPr>
          <w:t>80</w:t>
        </w:r>
        <w:r w:rsidR="00A52A00">
          <w:rPr>
            <w:noProof/>
            <w:webHidden/>
          </w:rPr>
          <w:fldChar w:fldCharType="end"/>
        </w:r>
      </w:hyperlink>
    </w:p>
    <w:p w14:paraId="7EDA1291" w14:textId="1796B4D7" w:rsidR="00A52A00" w:rsidRDefault="008A6D82">
      <w:pPr>
        <w:pStyle w:val="TOC1"/>
        <w:rPr>
          <w:rFonts w:asciiTheme="minorHAnsi" w:hAnsiTheme="minorHAnsi"/>
          <w:noProof/>
          <w:lang w:val="en-AU" w:eastAsia="en-AU"/>
        </w:rPr>
      </w:pPr>
      <w:hyperlink w:anchor="_Toc118953613" w:history="1">
        <w:r w:rsidR="00A52A00" w:rsidRPr="00487811">
          <w:rPr>
            <w:rStyle w:val="Hyperlink"/>
            <w:noProof/>
          </w:rPr>
          <w:t>Appendix B: Topic 1 options and risk analysis</w:t>
        </w:r>
        <w:r w:rsidR="00A52A00">
          <w:rPr>
            <w:noProof/>
            <w:webHidden/>
          </w:rPr>
          <w:tab/>
        </w:r>
        <w:r w:rsidR="00A52A00">
          <w:rPr>
            <w:noProof/>
            <w:webHidden/>
          </w:rPr>
          <w:fldChar w:fldCharType="begin"/>
        </w:r>
        <w:r w:rsidR="00A52A00">
          <w:rPr>
            <w:noProof/>
            <w:webHidden/>
          </w:rPr>
          <w:instrText xml:space="preserve"> PAGEREF _Toc118953613 \h </w:instrText>
        </w:r>
        <w:r w:rsidR="00A52A00">
          <w:rPr>
            <w:noProof/>
            <w:webHidden/>
          </w:rPr>
        </w:r>
        <w:r w:rsidR="00A52A00">
          <w:rPr>
            <w:noProof/>
            <w:webHidden/>
          </w:rPr>
          <w:fldChar w:fldCharType="separate"/>
        </w:r>
        <w:r>
          <w:rPr>
            <w:noProof/>
            <w:webHidden/>
          </w:rPr>
          <w:t>82</w:t>
        </w:r>
        <w:r w:rsidR="00A52A00">
          <w:rPr>
            <w:noProof/>
            <w:webHidden/>
          </w:rPr>
          <w:fldChar w:fldCharType="end"/>
        </w:r>
      </w:hyperlink>
    </w:p>
    <w:p w14:paraId="0F074B40" w14:textId="4F4E9D53" w:rsidR="00A52A00" w:rsidRDefault="008A6D82">
      <w:pPr>
        <w:pStyle w:val="TOC1"/>
        <w:rPr>
          <w:rFonts w:asciiTheme="minorHAnsi" w:hAnsiTheme="minorHAnsi"/>
          <w:noProof/>
          <w:lang w:val="en-AU" w:eastAsia="en-AU"/>
        </w:rPr>
      </w:pPr>
      <w:hyperlink w:anchor="_Toc118953614" w:history="1">
        <w:r w:rsidR="00A52A00" w:rsidRPr="00487811">
          <w:rPr>
            <w:rStyle w:val="Hyperlink"/>
            <w:noProof/>
          </w:rPr>
          <w:t>Appendix C: Topic 2 options and risk analysis</w:t>
        </w:r>
        <w:r w:rsidR="00A52A00">
          <w:rPr>
            <w:noProof/>
            <w:webHidden/>
          </w:rPr>
          <w:tab/>
        </w:r>
        <w:r w:rsidR="00A52A00">
          <w:rPr>
            <w:noProof/>
            <w:webHidden/>
          </w:rPr>
          <w:fldChar w:fldCharType="begin"/>
        </w:r>
        <w:r w:rsidR="00A52A00">
          <w:rPr>
            <w:noProof/>
            <w:webHidden/>
          </w:rPr>
          <w:instrText xml:space="preserve"> PAGEREF _Toc118953614 \h </w:instrText>
        </w:r>
        <w:r w:rsidR="00A52A00">
          <w:rPr>
            <w:noProof/>
            <w:webHidden/>
          </w:rPr>
        </w:r>
        <w:r w:rsidR="00A52A00">
          <w:rPr>
            <w:noProof/>
            <w:webHidden/>
          </w:rPr>
          <w:fldChar w:fldCharType="separate"/>
        </w:r>
        <w:r>
          <w:rPr>
            <w:noProof/>
            <w:webHidden/>
          </w:rPr>
          <w:t>86</w:t>
        </w:r>
        <w:r w:rsidR="00A52A00">
          <w:rPr>
            <w:noProof/>
            <w:webHidden/>
          </w:rPr>
          <w:fldChar w:fldCharType="end"/>
        </w:r>
      </w:hyperlink>
    </w:p>
    <w:p w14:paraId="25DE926B" w14:textId="2989F3F2" w:rsidR="00A52A00" w:rsidRDefault="008A6D82">
      <w:pPr>
        <w:pStyle w:val="TOC1"/>
        <w:rPr>
          <w:rFonts w:asciiTheme="minorHAnsi" w:hAnsiTheme="minorHAnsi"/>
          <w:noProof/>
          <w:lang w:val="en-AU" w:eastAsia="en-AU"/>
        </w:rPr>
      </w:pPr>
      <w:hyperlink w:anchor="_Toc118953615" w:history="1">
        <w:r w:rsidR="00A52A00" w:rsidRPr="00487811">
          <w:rPr>
            <w:rStyle w:val="Hyperlink"/>
            <w:noProof/>
          </w:rPr>
          <w:t>Appendix D: Topic 3 options and risk analysis</w:t>
        </w:r>
        <w:r w:rsidR="00A52A00">
          <w:rPr>
            <w:noProof/>
            <w:webHidden/>
          </w:rPr>
          <w:tab/>
        </w:r>
        <w:r w:rsidR="00A52A00">
          <w:rPr>
            <w:noProof/>
            <w:webHidden/>
          </w:rPr>
          <w:fldChar w:fldCharType="begin"/>
        </w:r>
        <w:r w:rsidR="00A52A00">
          <w:rPr>
            <w:noProof/>
            <w:webHidden/>
          </w:rPr>
          <w:instrText xml:space="preserve"> PAGEREF _Toc118953615 \h </w:instrText>
        </w:r>
        <w:r w:rsidR="00A52A00">
          <w:rPr>
            <w:noProof/>
            <w:webHidden/>
          </w:rPr>
        </w:r>
        <w:r w:rsidR="00A52A00">
          <w:rPr>
            <w:noProof/>
            <w:webHidden/>
          </w:rPr>
          <w:fldChar w:fldCharType="separate"/>
        </w:r>
        <w:r>
          <w:rPr>
            <w:noProof/>
            <w:webHidden/>
          </w:rPr>
          <w:t>89</w:t>
        </w:r>
        <w:r w:rsidR="00A52A00">
          <w:rPr>
            <w:noProof/>
            <w:webHidden/>
          </w:rPr>
          <w:fldChar w:fldCharType="end"/>
        </w:r>
      </w:hyperlink>
    </w:p>
    <w:p w14:paraId="66A3E73D" w14:textId="77777777" w:rsidR="0080531E" w:rsidRPr="006B77BB" w:rsidRDefault="00775F57" w:rsidP="002B4778">
      <w:pPr>
        <w:pStyle w:val="Glossary"/>
      </w:pPr>
      <w:r w:rsidRPr="006B77BB">
        <w:rPr>
          <w:color w:val="0092CF"/>
        </w:rPr>
        <w:fldChar w:fldCharType="end"/>
      </w:r>
    </w:p>
    <w:p w14:paraId="38EAFD3B" w14:textId="77777777" w:rsidR="00796A6F" w:rsidRPr="00554B30" w:rsidRDefault="00796A6F" w:rsidP="00554B30">
      <w:r w:rsidRPr="00554B30">
        <w:br w:type="page"/>
      </w:r>
    </w:p>
    <w:p w14:paraId="2A0193C1" w14:textId="77777777" w:rsidR="00532334" w:rsidRPr="006B77BB" w:rsidRDefault="00532334" w:rsidP="00585FD0">
      <w:pPr>
        <w:pStyle w:val="Heading"/>
      </w:pPr>
      <w:r w:rsidRPr="006B77BB">
        <w:lastRenderedPageBreak/>
        <w:t>Tables</w:t>
      </w:r>
    </w:p>
    <w:p w14:paraId="198E2C5B" w14:textId="77777777" w:rsidR="00A52A00" w:rsidRDefault="004943C2">
      <w:pPr>
        <w:pStyle w:val="TableofFigures"/>
        <w:tabs>
          <w:tab w:val="right" w:pos="8495"/>
        </w:tabs>
        <w:rPr>
          <w:rFonts w:asciiTheme="minorHAnsi" w:hAnsiTheme="minorHAnsi"/>
          <w:noProof/>
          <w:lang w:val="en-AU" w:eastAsia="en-AU"/>
        </w:rPr>
      </w:pPr>
      <w:r w:rsidRPr="006B77BB">
        <w:fldChar w:fldCharType="begin"/>
      </w:r>
      <w:r w:rsidRPr="006B77BB">
        <w:instrText xml:space="preserve"> TOC \h \z \t "Table heading" \c </w:instrText>
      </w:r>
      <w:r w:rsidRPr="006B77BB">
        <w:fldChar w:fldCharType="separate"/>
      </w:r>
      <w:hyperlink w:anchor="_Toc118953819" w:history="1">
        <w:r w:rsidR="00A52A00" w:rsidRPr="004667ED">
          <w:rPr>
            <w:rStyle w:val="Hyperlink"/>
            <w:noProof/>
          </w:rPr>
          <w:t xml:space="preserve">Table 1: </w:t>
        </w:r>
        <w:r w:rsidR="00A52A00">
          <w:rPr>
            <w:rFonts w:asciiTheme="minorHAnsi" w:hAnsiTheme="minorHAnsi"/>
            <w:noProof/>
            <w:lang w:val="en-AU" w:eastAsia="en-AU"/>
          </w:rPr>
          <w:tab/>
        </w:r>
        <w:r w:rsidR="00A52A00" w:rsidRPr="004667ED">
          <w:rPr>
            <w:rStyle w:val="Hyperlink"/>
            <w:noProof/>
          </w:rPr>
          <w:t>Market governance options</w:t>
        </w:r>
        <w:r w:rsidR="00A52A00">
          <w:rPr>
            <w:noProof/>
            <w:webHidden/>
          </w:rPr>
          <w:tab/>
        </w:r>
        <w:r w:rsidR="00A52A00">
          <w:rPr>
            <w:noProof/>
            <w:webHidden/>
          </w:rPr>
          <w:fldChar w:fldCharType="begin"/>
        </w:r>
        <w:r w:rsidR="00A52A00">
          <w:rPr>
            <w:noProof/>
            <w:webHidden/>
          </w:rPr>
          <w:instrText xml:space="preserve"> PAGEREF _Toc118953819 \h </w:instrText>
        </w:r>
        <w:r w:rsidR="00A52A00">
          <w:rPr>
            <w:noProof/>
            <w:webHidden/>
          </w:rPr>
        </w:r>
        <w:r w:rsidR="00A52A00">
          <w:rPr>
            <w:noProof/>
            <w:webHidden/>
          </w:rPr>
          <w:fldChar w:fldCharType="separate"/>
        </w:r>
        <w:r w:rsidR="00A52A00">
          <w:rPr>
            <w:noProof/>
            <w:webHidden/>
          </w:rPr>
          <w:t>7</w:t>
        </w:r>
        <w:r w:rsidR="00A52A00">
          <w:rPr>
            <w:noProof/>
            <w:webHidden/>
          </w:rPr>
          <w:fldChar w:fldCharType="end"/>
        </w:r>
      </w:hyperlink>
    </w:p>
    <w:p w14:paraId="7E485F58" w14:textId="77777777" w:rsidR="00A52A00" w:rsidRDefault="008A6D82">
      <w:pPr>
        <w:pStyle w:val="TableofFigures"/>
        <w:tabs>
          <w:tab w:val="right" w:pos="8495"/>
        </w:tabs>
        <w:rPr>
          <w:rFonts w:asciiTheme="minorHAnsi" w:hAnsiTheme="minorHAnsi"/>
          <w:noProof/>
          <w:lang w:val="en-AU" w:eastAsia="en-AU"/>
        </w:rPr>
      </w:pPr>
      <w:hyperlink w:anchor="_Toc118953820" w:history="1">
        <w:r w:rsidR="00A52A00" w:rsidRPr="004667ED">
          <w:rPr>
            <w:rStyle w:val="Hyperlink"/>
            <w:noProof/>
          </w:rPr>
          <w:t xml:space="preserve">Table 2: </w:t>
        </w:r>
        <w:r w:rsidR="00A52A00">
          <w:rPr>
            <w:rFonts w:asciiTheme="minorHAnsi" w:hAnsiTheme="minorHAnsi"/>
            <w:noProof/>
            <w:lang w:val="en-AU" w:eastAsia="en-AU"/>
          </w:rPr>
          <w:tab/>
        </w:r>
        <w:r w:rsidR="00A52A00" w:rsidRPr="004667ED">
          <w:rPr>
            <w:rStyle w:val="Hyperlink"/>
            <w:noProof/>
          </w:rPr>
          <w:t>Treatment of market risks in international carbon markets</w:t>
        </w:r>
        <w:r w:rsidR="00A52A00">
          <w:rPr>
            <w:noProof/>
            <w:webHidden/>
          </w:rPr>
          <w:tab/>
        </w:r>
        <w:r w:rsidR="00A52A00">
          <w:rPr>
            <w:noProof/>
            <w:webHidden/>
          </w:rPr>
          <w:fldChar w:fldCharType="begin"/>
        </w:r>
        <w:r w:rsidR="00A52A00">
          <w:rPr>
            <w:noProof/>
            <w:webHidden/>
          </w:rPr>
          <w:instrText xml:space="preserve"> PAGEREF _Toc118953820 \h </w:instrText>
        </w:r>
        <w:r w:rsidR="00A52A00">
          <w:rPr>
            <w:noProof/>
            <w:webHidden/>
          </w:rPr>
        </w:r>
        <w:r w:rsidR="00A52A00">
          <w:rPr>
            <w:noProof/>
            <w:webHidden/>
          </w:rPr>
          <w:fldChar w:fldCharType="separate"/>
        </w:r>
        <w:r w:rsidR="00A52A00">
          <w:rPr>
            <w:noProof/>
            <w:webHidden/>
          </w:rPr>
          <w:t>13</w:t>
        </w:r>
        <w:r w:rsidR="00A52A00">
          <w:rPr>
            <w:noProof/>
            <w:webHidden/>
          </w:rPr>
          <w:fldChar w:fldCharType="end"/>
        </w:r>
      </w:hyperlink>
    </w:p>
    <w:p w14:paraId="397EAD54" w14:textId="77777777" w:rsidR="00A52A00" w:rsidRDefault="008A6D82">
      <w:pPr>
        <w:pStyle w:val="TableofFigures"/>
        <w:tabs>
          <w:tab w:val="right" w:pos="8495"/>
        </w:tabs>
        <w:rPr>
          <w:rFonts w:asciiTheme="minorHAnsi" w:hAnsiTheme="minorHAnsi"/>
          <w:noProof/>
          <w:lang w:val="en-AU" w:eastAsia="en-AU"/>
        </w:rPr>
      </w:pPr>
      <w:hyperlink w:anchor="_Toc118953821" w:history="1">
        <w:r w:rsidR="00A52A00" w:rsidRPr="004667ED">
          <w:rPr>
            <w:rStyle w:val="Hyperlink"/>
            <w:noProof/>
          </w:rPr>
          <w:t xml:space="preserve">Table 3: </w:t>
        </w:r>
        <w:r w:rsidR="00A52A00">
          <w:rPr>
            <w:rFonts w:asciiTheme="minorHAnsi" w:hAnsiTheme="minorHAnsi"/>
            <w:noProof/>
            <w:lang w:val="en-AU" w:eastAsia="en-AU"/>
          </w:rPr>
          <w:tab/>
        </w:r>
        <w:r w:rsidR="00A52A00" w:rsidRPr="004667ED">
          <w:rPr>
            <w:rStyle w:val="Hyperlink"/>
            <w:noProof/>
          </w:rPr>
          <w:t>Market governance risks and themes</w:t>
        </w:r>
        <w:r w:rsidR="00A52A00">
          <w:rPr>
            <w:noProof/>
            <w:webHidden/>
          </w:rPr>
          <w:tab/>
        </w:r>
        <w:r w:rsidR="00A52A00">
          <w:rPr>
            <w:noProof/>
            <w:webHidden/>
          </w:rPr>
          <w:fldChar w:fldCharType="begin"/>
        </w:r>
        <w:r w:rsidR="00A52A00">
          <w:rPr>
            <w:noProof/>
            <w:webHidden/>
          </w:rPr>
          <w:instrText xml:space="preserve"> PAGEREF _Toc118953821 \h </w:instrText>
        </w:r>
        <w:r w:rsidR="00A52A00">
          <w:rPr>
            <w:noProof/>
            <w:webHidden/>
          </w:rPr>
        </w:r>
        <w:r w:rsidR="00A52A00">
          <w:rPr>
            <w:noProof/>
            <w:webHidden/>
          </w:rPr>
          <w:fldChar w:fldCharType="separate"/>
        </w:r>
        <w:r w:rsidR="00A52A00">
          <w:rPr>
            <w:noProof/>
            <w:webHidden/>
          </w:rPr>
          <w:t>14</w:t>
        </w:r>
        <w:r w:rsidR="00A52A00">
          <w:rPr>
            <w:noProof/>
            <w:webHidden/>
          </w:rPr>
          <w:fldChar w:fldCharType="end"/>
        </w:r>
      </w:hyperlink>
    </w:p>
    <w:p w14:paraId="4BCC3AD1" w14:textId="77777777" w:rsidR="00A52A00" w:rsidRDefault="008A6D82">
      <w:pPr>
        <w:pStyle w:val="TableofFigures"/>
        <w:tabs>
          <w:tab w:val="right" w:pos="8495"/>
        </w:tabs>
        <w:rPr>
          <w:rFonts w:asciiTheme="minorHAnsi" w:hAnsiTheme="minorHAnsi"/>
          <w:noProof/>
          <w:lang w:val="en-AU" w:eastAsia="en-AU"/>
        </w:rPr>
      </w:pPr>
      <w:hyperlink w:anchor="_Toc118953822" w:history="1">
        <w:r w:rsidR="00A52A00" w:rsidRPr="004667ED">
          <w:rPr>
            <w:rStyle w:val="Hyperlink"/>
            <w:noProof/>
          </w:rPr>
          <w:t xml:space="preserve">Table 4: </w:t>
        </w:r>
        <w:r w:rsidR="00A52A00">
          <w:rPr>
            <w:rFonts w:asciiTheme="minorHAnsi" w:hAnsiTheme="minorHAnsi"/>
            <w:noProof/>
            <w:lang w:val="en-AU" w:eastAsia="en-AU"/>
          </w:rPr>
          <w:tab/>
        </w:r>
        <w:r w:rsidR="00A52A00" w:rsidRPr="004667ED">
          <w:rPr>
            <w:rStyle w:val="Hyperlink"/>
            <w:noProof/>
          </w:rPr>
          <w:t>Summary of market governance topic objectives</w:t>
        </w:r>
        <w:r w:rsidR="00A52A00">
          <w:rPr>
            <w:noProof/>
            <w:webHidden/>
          </w:rPr>
          <w:tab/>
        </w:r>
        <w:r w:rsidR="00A52A00">
          <w:rPr>
            <w:noProof/>
            <w:webHidden/>
          </w:rPr>
          <w:fldChar w:fldCharType="begin"/>
        </w:r>
        <w:r w:rsidR="00A52A00">
          <w:rPr>
            <w:noProof/>
            <w:webHidden/>
          </w:rPr>
          <w:instrText xml:space="preserve"> PAGEREF _Toc118953822 \h </w:instrText>
        </w:r>
        <w:r w:rsidR="00A52A00">
          <w:rPr>
            <w:noProof/>
            <w:webHidden/>
          </w:rPr>
        </w:r>
        <w:r w:rsidR="00A52A00">
          <w:rPr>
            <w:noProof/>
            <w:webHidden/>
          </w:rPr>
          <w:fldChar w:fldCharType="separate"/>
        </w:r>
        <w:r w:rsidR="00A52A00">
          <w:rPr>
            <w:noProof/>
            <w:webHidden/>
          </w:rPr>
          <w:t>17</w:t>
        </w:r>
        <w:r w:rsidR="00A52A00">
          <w:rPr>
            <w:noProof/>
            <w:webHidden/>
          </w:rPr>
          <w:fldChar w:fldCharType="end"/>
        </w:r>
      </w:hyperlink>
    </w:p>
    <w:p w14:paraId="74F952D1" w14:textId="77777777" w:rsidR="00A52A00" w:rsidRDefault="008A6D82">
      <w:pPr>
        <w:pStyle w:val="TableofFigures"/>
        <w:tabs>
          <w:tab w:val="right" w:pos="8495"/>
        </w:tabs>
        <w:rPr>
          <w:rFonts w:asciiTheme="minorHAnsi" w:hAnsiTheme="minorHAnsi"/>
          <w:noProof/>
          <w:lang w:val="en-AU" w:eastAsia="en-AU"/>
        </w:rPr>
      </w:pPr>
      <w:hyperlink w:anchor="_Toc118953823" w:history="1">
        <w:r w:rsidR="00A52A00" w:rsidRPr="004667ED">
          <w:rPr>
            <w:rStyle w:val="Hyperlink"/>
            <w:noProof/>
          </w:rPr>
          <w:t xml:space="preserve">Table 5: </w:t>
        </w:r>
        <w:r w:rsidR="00A52A00">
          <w:rPr>
            <w:rFonts w:asciiTheme="minorHAnsi" w:hAnsiTheme="minorHAnsi"/>
            <w:noProof/>
            <w:lang w:val="en-AU" w:eastAsia="en-AU"/>
          </w:rPr>
          <w:tab/>
        </w:r>
        <w:r w:rsidR="00A52A00" w:rsidRPr="004667ED">
          <w:rPr>
            <w:rStyle w:val="Hyperlink"/>
            <w:noProof/>
          </w:rPr>
          <w:t>How each topic addresses market governance risks</w:t>
        </w:r>
        <w:r w:rsidR="00A52A00">
          <w:rPr>
            <w:noProof/>
            <w:webHidden/>
          </w:rPr>
          <w:tab/>
        </w:r>
        <w:r w:rsidR="00A52A00">
          <w:rPr>
            <w:noProof/>
            <w:webHidden/>
          </w:rPr>
          <w:fldChar w:fldCharType="begin"/>
        </w:r>
        <w:r w:rsidR="00A52A00">
          <w:rPr>
            <w:noProof/>
            <w:webHidden/>
          </w:rPr>
          <w:instrText xml:space="preserve"> PAGEREF _Toc118953823 \h </w:instrText>
        </w:r>
        <w:r w:rsidR="00A52A00">
          <w:rPr>
            <w:noProof/>
            <w:webHidden/>
          </w:rPr>
        </w:r>
        <w:r w:rsidR="00A52A00">
          <w:rPr>
            <w:noProof/>
            <w:webHidden/>
          </w:rPr>
          <w:fldChar w:fldCharType="separate"/>
        </w:r>
        <w:r w:rsidR="00A52A00">
          <w:rPr>
            <w:noProof/>
            <w:webHidden/>
          </w:rPr>
          <w:t>18</w:t>
        </w:r>
        <w:r w:rsidR="00A52A00">
          <w:rPr>
            <w:noProof/>
            <w:webHidden/>
          </w:rPr>
          <w:fldChar w:fldCharType="end"/>
        </w:r>
      </w:hyperlink>
    </w:p>
    <w:p w14:paraId="1BEB1589" w14:textId="77777777" w:rsidR="00A52A00" w:rsidRDefault="008A6D82">
      <w:pPr>
        <w:pStyle w:val="TableofFigures"/>
        <w:tabs>
          <w:tab w:val="right" w:pos="8495"/>
        </w:tabs>
        <w:rPr>
          <w:rFonts w:asciiTheme="minorHAnsi" w:hAnsiTheme="minorHAnsi"/>
          <w:noProof/>
          <w:lang w:val="en-AU" w:eastAsia="en-AU"/>
        </w:rPr>
      </w:pPr>
      <w:hyperlink w:anchor="_Toc118953824" w:history="1">
        <w:r w:rsidR="00A52A00" w:rsidRPr="004667ED">
          <w:rPr>
            <w:rStyle w:val="Hyperlink"/>
            <w:noProof/>
          </w:rPr>
          <w:t xml:space="preserve">Table 6: </w:t>
        </w:r>
        <w:r w:rsidR="00A52A00">
          <w:rPr>
            <w:rFonts w:asciiTheme="minorHAnsi" w:hAnsiTheme="minorHAnsi"/>
            <w:noProof/>
            <w:lang w:val="en-AU" w:eastAsia="en-AU"/>
          </w:rPr>
          <w:tab/>
        </w:r>
        <w:r w:rsidR="00A52A00" w:rsidRPr="004667ED">
          <w:rPr>
            <w:rStyle w:val="Hyperlink"/>
            <w:noProof/>
          </w:rPr>
          <w:t>Status quo legislation under each proposal topic</w:t>
        </w:r>
        <w:r w:rsidR="00A52A00">
          <w:rPr>
            <w:noProof/>
            <w:webHidden/>
          </w:rPr>
          <w:tab/>
        </w:r>
        <w:r w:rsidR="00A52A00">
          <w:rPr>
            <w:noProof/>
            <w:webHidden/>
          </w:rPr>
          <w:fldChar w:fldCharType="begin"/>
        </w:r>
        <w:r w:rsidR="00A52A00">
          <w:rPr>
            <w:noProof/>
            <w:webHidden/>
          </w:rPr>
          <w:instrText xml:space="preserve"> PAGEREF _Toc118953824 \h </w:instrText>
        </w:r>
        <w:r w:rsidR="00A52A00">
          <w:rPr>
            <w:noProof/>
            <w:webHidden/>
          </w:rPr>
        </w:r>
        <w:r w:rsidR="00A52A00">
          <w:rPr>
            <w:noProof/>
            <w:webHidden/>
          </w:rPr>
          <w:fldChar w:fldCharType="separate"/>
        </w:r>
        <w:r w:rsidR="00A52A00">
          <w:rPr>
            <w:noProof/>
            <w:webHidden/>
          </w:rPr>
          <w:t>19</w:t>
        </w:r>
        <w:r w:rsidR="00A52A00">
          <w:rPr>
            <w:noProof/>
            <w:webHidden/>
          </w:rPr>
          <w:fldChar w:fldCharType="end"/>
        </w:r>
      </w:hyperlink>
    </w:p>
    <w:p w14:paraId="24A5FB1E" w14:textId="77777777" w:rsidR="00A52A00" w:rsidRDefault="008A6D82">
      <w:pPr>
        <w:pStyle w:val="TableofFigures"/>
        <w:tabs>
          <w:tab w:val="right" w:pos="8495"/>
        </w:tabs>
        <w:rPr>
          <w:rFonts w:asciiTheme="minorHAnsi" w:hAnsiTheme="minorHAnsi"/>
          <w:noProof/>
          <w:lang w:val="en-AU" w:eastAsia="en-AU"/>
        </w:rPr>
      </w:pPr>
      <w:hyperlink w:anchor="_Toc118953825" w:history="1">
        <w:r w:rsidR="00A52A00" w:rsidRPr="004667ED">
          <w:rPr>
            <w:rStyle w:val="Hyperlink"/>
            <w:noProof/>
          </w:rPr>
          <w:t xml:space="preserve">Table 7: </w:t>
        </w:r>
        <w:r w:rsidR="00A52A00">
          <w:rPr>
            <w:rFonts w:asciiTheme="minorHAnsi" w:hAnsiTheme="minorHAnsi"/>
            <w:noProof/>
            <w:lang w:val="en-AU" w:eastAsia="en-AU"/>
          </w:rPr>
          <w:tab/>
        </w:r>
        <w:r w:rsidR="00A52A00" w:rsidRPr="004667ED">
          <w:rPr>
            <w:rStyle w:val="Hyperlink"/>
            <w:noProof/>
          </w:rPr>
          <w:t>Five impact criteria</w:t>
        </w:r>
        <w:r w:rsidR="00A52A00">
          <w:rPr>
            <w:noProof/>
            <w:webHidden/>
          </w:rPr>
          <w:tab/>
        </w:r>
        <w:r w:rsidR="00A52A00">
          <w:rPr>
            <w:noProof/>
            <w:webHidden/>
          </w:rPr>
          <w:fldChar w:fldCharType="begin"/>
        </w:r>
        <w:r w:rsidR="00A52A00">
          <w:rPr>
            <w:noProof/>
            <w:webHidden/>
          </w:rPr>
          <w:instrText xml:space="preserve"> PAGEREF _Toc118953825 \h </w:instrText>
        </w:r>
        <w:r w:rsidR="00A52A00">
          <w:rPr>
            <w:noProof/>
            <w:webHidden/>
          </w:rPr>
        </w:r>
        <w:r w:rsidR="00A52A00">
          <w:rPr>
            <w:noProof/>
            <w:webHidden/>
          </w:rPr>
          <w:fldChar w:fldCharType="separate"/>
        </w:r>
        <w:r w:rsidR="00A52A00">
          <w:rPr>
            <w:noProof/>
            <w:webHidden/>
          </w:rPr>
          <w:t>21</w:t>
        </w:r>
        <w:r w:rsidR="00A52A00">
          <w:rPr>
            <w:noProof/>
            <w:webHidden/>
          </w:rPr>
          <w:fldChar w:fldCharType="end"/>
        </w:r>
      </w:hyperlink>
    </w:p>
    <w:p w14:paraId="0E9F7948" w14:textId="77777777" w:rsidR="00A52A00" w:rsidRDefault="008A6D82">
      <w:pPr>
        <w:pStyle w:val="TableofFigures"/>
        <w:tabs>
          <w:tab w:val="right" w:pos="8495"/>
        </w:tabs>
        <w:rPr>
          <w:rFonts w:asciiTheme="minorHAnsi" w:hAnsiTheme="minorHAnsi"/>
          <w:noProof/>
          <w:lang w:val="en-AU" w:eastAsia="en-AU"/>
        </w:rPr>
      </w:pPr>
      <w:hyperlink w:anchor="_Toc118953826" w:history="1">
        <w:r w:rsidR="00A52A00" w:rsidRPr="004667ED">
          <w:rPr>
            <w:rStyle w:val="Hyperlink"/>
            <w:noProof/>
          </w:rPr>
          <w:t xml:space="preserve">Table 8: </w:t>
        </w:r>
        <w:r w:rsidR="00A52A00">
          <w:rPr>
            <w:rFonts w:asciiTheme="minorHAnsi" w:hAnsiTheme="minorHAnsi"/>
            <w:noProof/>
            <w:lang w:val="en-AU" w:eastAsia="en-AU"/>
          </w:rPr>
          <w:tab/>
        </w:r>
        <w:r w:rsidR="00A52A00" w:rsidRPr="004667ED">
          <w:rPr>
            <w:rStyle w:val="Hyperlink"/>
            <w:noProof/>
          </w:rPr>
          <w:t>Key to criteria analysis assessment</w:t>
        </w:r>
        <w:r w:rsidR="00A52A00">
          <w:rPr>
            <w:noProof/>
            <w:webHidden/>
          </w:rPr>
          <w:tab/>
        </w:r>
        <w:r w:rsidR="00A52A00">
          <w:rPr>
            <w:noProof/>
            <w:webHidden/>
          </w:rPr>
          <w:fldChar w:fldCharType="begin"/>
        </w:r>
        <w:r w:rsidR="00A52A00">
          <w:rPr>
            <w:noProof/>
            <w:webHidden/>
          </w:rPr>
          <w:instrText xml:space="preserve"> PAGEREF _Toc118953826 \h </w:instrText>
        </w:r>
        <w:r w:rsidR="00A52A00">
          <w:rPr>
            <w:noProof/>
            <w:webHidden/>
          </w:rPr>
        </w:r>
        <w:r w:rsidR="00A52A00">
          <w:rPr>
            <w:noProof/>
            <w:webHidden/>
          </w:rPr>
          <w:fldChar w:fldCharType="separate"/>
        </w:r>
        <w:r w:rsidR="00A52A00">
          <w:rPr>
            <w:noProof/>
            <w:webHidden/>
          </w:rPr>
          <w:t>22</w:t>
        </w:r>
        <w:r w:rsidR="00A52A00">
          <w:rPr>
            <w:noProof/>
            <w:webHidden/>
          </w:rPr>
          <w:fldChar w:fldCharType="end"/>
        </w:r>
      </w:hyperlink>
    </w:p>
    <w:p w14:paraId="16FC684B" w14:textId="77777777" w:rsidR="00A52A00" w:rsidRDefault="008A6D82">
      <w:pPr>
        <w:pStyle w:val="TableofFigures"/>
        <w:tabs>
          <w:tab w:val="right" w:pos="8495"/>
        </w:tabs>
        <w:rPr>
          <w:rFonts w:asciiTheme="minorHAnsi" w:hAnsiTheme="minorHAnsi"/>
          <w:noProof/>
          <w:lang w:val="en-AU" w:eastAsia="en-AU"/>
        </w:rPr>
      </w:pPr>
      <w:hyperlink w:anchor="_Toc118953827" w:history="1">
        <w:r w:rsidR="00A52A00" w:rsidRPr="004667ED">
          <w:rPr>
            <w:rStyle w:val="Hyperlink"/>
            <w:noProof/>
          </w:rPr>
          <w:t xml:space="preserve">Table 9: </w:t>
        </w:r>
        <w:r w:rsidR="00A52A00">
          <w:rPr>
            <w:rFonts w:asciiTheme="minorHAnsi" w:hAnsiTheme="minorHAnsi"/>
            <w:noProof/>
            <w:lang w:val="en-AU" w:eastAsia="en-AU"/>
          </w:rPr>
          <w:tab/>
        </w:r>
        <w:r w:rsidR="00A52A00" w:rsidRPr="004667ED">
          <w:rPr>
            <w:rStyle w:val="Hyperlink"/>
            <w:noProof/>
          </w:rPr>
          <w:t>Proposal to prohibit insider trading for quoted financial products and NZUs</w:t>
        </w:r>
        <w:r w:rsidR="00A52A00">
          <w:rPr>
            <w:noProof/>
            <w:webHidden/>
          </w:rPr>
          <w:tab/>
        </w:r>
        <w:r w:rsidR="00A52A00">
          <w:rPr>
            <w:noProof/>
            <w:webHidden/>
          </w:rPr>
          <w:fldChar w:fldCharType="begin"/>
        </w:r>
        <w:r w:rsidR="00A52A00">
          <w:rPr>
            <w:noProof/>
            <w:webHidden/>
          </w:rPr>
          <w:instrText xml:space="preserve"> PAGEREF _Toc118953827 \h </w:instrText>
        </w:r>
        <w:r w:rsidR="00A52A00">
          <w:rPr>
            <w:noProof/>
            <w:webHidden/>
          </w:rPr>
        </w:r>
        <w:r w:rsidR="00A52A00">
          <w:rPr>
            <w:noProof/>
            <w:webHidden/>
          </w:rPr>
          <w:fldChar w:fldCharType="separate"/>
        </w:r>
        <w:r w:rsidR="00A52A00">
          <w:rPr>
            <w:noProof/>
            <w:webHidden/>
          </w:rPr>
          <w:t>28</w:t>
        </w:r>
        <w:r w:rsidR="00A52A00">
          <w:rPr>
            <w:noProof/>
            <w:webHidden/>
          </w:rPr>
          <w:fldChar w:fldCharType="end"/>
        </w:r>
      </w:hyperlink>
    </w:p>
    <w:p w14:paraId="6C39D45E" w14:textId="77777777" w:rsidR="00A52A00" w:rsidRDefault="008A6D82">
      <w:pPr>
        <w:pStyle w:val="TableofFigures"/>
        <w:tabs>
          <w:tab w:val="right" w:pos="8495"/>
        </w:tabs>
        <w:rPr>
          <w:rFonts w:asciiTheme="minorHAnsi" w:hAnsiTheme="minorHAnsi"/>
          <w:noProof/>
          <w:lang w:val="en-AU" w:eastAsia="en-AU"/>
        </w:rPr>
      </w:pPr>
      <w:hyperlink w:anchor="_Toc118953828" w:history="1">
        <w:r w:rsidR="00A52A00" w:rsidRPr="004667ED">
          <w:rPr>
            <w:rStyle w:val="Hyperlink"/>
            <w:noProof/>
          </w:rPr>
          <w:t xml:space="preserve">Table 10: </w:t>
        </w:r>
        <w:r w:rsidR="00A52A00">
          <w:rPr>
            <w:rFonts w:asciiTheme="minorHAnsi" w:hAnsiTheme="minorHAnsi"/>
            <w:noProof/>
            <w:lang w:val="en-AU" w:eastAsia="en-AU"/>
          </w:rPr>
          <w:tab/>
        </w:r>
        <w:r w:rsidR="00A52A00" w:rsidRPr="004667ED">
          <w:rPr>
            <w:rStyle w:val="Hyperlink"/>
            <w:noProof/>
          </w:rPr>
          <w:t>Effect of proposed changes on financial advice relating to NZUs</w:t>
        </w:r>
        <w:r w:rsidR="00A52A00">
          <w:rPr>
            <w:noProof/>
            <w:webHidden/>
          </w:rPr>
          <w:tab/>
        </w:r>
        <w:r w:rsidR="00A52A00">
          <w:rPr>
            <w:noProof/>
            <w:webHidden/>
          </w:rPr>
          <w:fldChar w:fldCharType="begin"/>
        </w:r>
        <w:r w:rsidR="00A52A00">
          <w:rPr>
            <w:noProof/>
            <w:webHidden/>
          </w:rPr>
          <w:instrText xml:space="preserve"> PAGEREF _Toc118953828 \h </w:instrText>
        </w:r>
        <w:r w:rsidR="00A52A00">
          <w:rPr>
            <w:noProof/>
            <w:webHidden/>
          </w:rPr>
        </w:r>
        <w:r w:rsidR="00A52A00">
          <w:rPr>
            <w:noProof/>
            <w:webHidden/>
          </w:rPr>
          <w:fldChar w:fldCharType="separate"/>
        </w:r>
        <w:r w:rsidR="00A52A00">
          <w:rPr>
            <w:noProof/>
            <w:webHidden/>
          </w:rPr>
          <w:t>42</w:t>
        </w:r>
        <w:r w:rsidR="00A52A00">
          <w:rPr>
            <w:noProof/>
            <w:webHidden/>
          </w:rPr>
          <w:fldChar w:fldCharType="end"/>
        </w:r>
      </w:hyperlink>
    </w:p>
    <w:p w14:paraId="01951329" w14:textId="77777777" w:rsidR="00A52A00" w:rsidRDefault="008A6D82">
      <w:pPr>
        <w:pStyle w:val="TableofFigures"/>
        <w:tabs>
          <w:tab w:val="right" w:pos="8495"/>
        </w:tabs>
        <w:rPr>
          <w:rFonts w:asciiTheme="minorHAnsi" w:hAnsiTheme="minorHAnsi"/>
          <w:noProof/>
          <w:lang w:val="en-AU" w:eastAsia="en-AU"/>
        </w:rPr>
      </w:pPr>
      <w:hyperlink w:anchor="_Toc118953829" w:history="1">
        <w:r w:rsidR="00A52A00" w:rsidRPr="004667ED">
          <w:rPr>
            <w:rStyle w:val="Hyperlink"/>
            <w:noProof/>
          </w:rPr>
          <w:t xml:space="preserve">Table 11: </w:t>
        </w:r>
        <w:r w:rsidR="00A52A00">
          <w:rPr>
            <w:rFonts w:asciiTheme="minorHAnsi" w:hAnsiTheme="minorHAnsi"/>
            <w:noProof/>
            <w:lang w:val="en-AU" w:eastAsia="en-AU"/>
          </w:rPr>
          <w:tab/>
        </w:r>
        <w:r w:rsidR="00A52A00" w:rsidRPr="004667ED">
          <w:rPr>
            <w:rStyle w:val="Hyperlink"/>
            <w:noProof/>
          </w:rPr>
          <w:t>Examples of advice included (or partly included) in the proposed definition of NZU financial advice</w:t>
        </w:r>
        <w:r w:rsidR="00A52A00">
          <w:rPr>
            <w:noProof/>
            <w:webHidden/>
          </w:rPr>
          <w:tab/>
        </w:r>
        <w:r w:rsidR="00A52A00">
          <w:rPr>
            <w:noProof/>
            <w:webHidden/>
          </w:rPr>
          <w:fldChar w:fldCharType="begin"/>
        </w:r>
        <w:r w:rsidR="00A52A00">
          <w:rPr>
            <w:noProof/>
            <w:webHidden/>
          </w:rPr>
          <w:instrText xml:space="preserve"> PAGEREF _Toc118953829 \h </w:instrText>
        </w:r>
        <w:r w:rsidR="00A52A00">
          <w:rPr>
            <w:noProof/>
            <w:webHidden/>
          </w:rPr>
        </w:r>
        <w:r w:rsidR="00A52A00">
          <w:rPr>
            <w:noProof/>
            <w:webHidden/>
          </w:rPr>
          <w:fldChar w:fldCharType="separate"/>
        </w:r>
        <w:r w:rsidR="00A52A00">
          <w:rPr>
            <w:noProof/>
            <w:webHidden/>
          </w:rPr>
          <w:t>47</w:t>
        </w:r>
        <w:r w:rsidR="00A52A00">
          <w:rPr>
            <w:noProof/>
            <w:webHidden/>
          </w:rPr>
          <w:fldChar w:fldCharType="end"/>
        </w:r>
      </w:hyperlink>
    </w:p>
    <w:p w14:paraId="4F0CCCDB" w14:textId="77777777" w:rsidR="00A52A00" w:rsidRDefault="008A6D82">
      <w:pPr>
        <w:pStyle w:val="TableofFigures"/>
        <w:tabs>
          <w:tab w:val="right" w:pos="8495"/>
        </w:tabs>
        <w:rPr>
          <w:rFonts w:asciiTheme="minorHAnsi" w:hAnsiTheme="minorHAnsi"/>
          <w:noProof/>
          <w:lang w:val="en-AU" w:eastAsia="en-AU"/>
        </w:rPr>
      </w:pPr>
      <w:hyperlink w:anchor="_Toc118953830" w:history="1">
        <w:r w:rsidR="00A52A00" w:rsidRPr="004667ED">
          <w:rPr>
            <w:rStyle w:val="Hyperlink"/>
            <w:noProof/>
          </w:rPr>
          <w:t xml:space="preserve">Table 12: </w:t>
        </w:r>
        <w:r w:rsidR="00A52A00">
          <w:rPr>
            <w:rFonts w:asciiTheme="minorHAnsi" w:hAnsiTheme="minorHAnsi"/>
            <w:noProof/>
            <w:lang w:val="en-AU" w:eastAsia="en-AU"/>
          </w:rPr>
          <w:tab/>
        </w:r>
        <w:r w:rsidR="00A52A00" w:rsidRPr="004667ED">
          <w:rPr>
            <w:rStyle w:val="Hyperlink"/>
            <w:noProof/>
          </w:rPr>
          <w:t>Examples of advice excluded from the proposed definition of NZU financial advice</w:t>
        </w:r>
        <w:r w:rsidR="00A52A00">
          <w:rPr>
            <w:noProof/>
            <w:webHidden/>
          </w:rPr>
          <w:tab/>
        </w:r>
        <w:r w:rsidR="00A52A00">
          <w:rPr>
            <w:noProof/>
            <w:webHidden/>
          </w:rPr>
          <w:fldChar w:fldCharType="begin"/>
        </w:r>
        <w:r w:rsidR="00A52A00">
          <w:rPr>
            <w:noProof/>
            <w:webHidden/>
          </w:rPr>
          <w:instrText xml:space="preserve"> PAGEREF _Toc118953830 \h </w:instrText>
        </w:r>
        <w:r w:rsidR="00A52A00">
          <w:rPr>
            <w:noProof/>
            <w:webHidden/>
          </w:rPr>
        </w:r>
        <w:r w:rsidR="00A52A00">
          <w:rPr>
            <w:noProof/>
            <w:webHidden/>
          </w:rPr>
          <w:fldChar w:fldCharType="separate"/>
        </w:r>
        <w:r w:rsidR="00A52A00">
          <w:rPr>
            <w:noProof/>
            <w:webHidden/>
          </w:rPr>
          <w:t>48</w:t>
        </w:r>
        <w:r w:rsidR="00A52A00">
          <w:rPr>
            <w:noProof/>
            <w:webHidden/>
          </w:rPr>
          <w:fldChar w:fldCharType="end"/>
        </w:r>
      </w:hyperlink>
    </w:p>
    <w:p w14:paraId="391BD9E8" w14:textId="77777777" w:rsidR="00A52A00" w:rsidRDefault="008A6D82">
      <w:pPr>
        <w:pStyle w:val="TableofFigures"/>
        <w:tabs>
          <w:tab w:val="right" w:pos="8495"/>
        </w:tabs>
        <w:rPr>
          <w:rFonts w:asciiTheme="minorHAnsi" w:hAnsiTheme="minorHAnsi"/>
          <w:noProof/>
          <w:lang w:val="en-AU" w:eastAsia="en-AU"/>
        </w:rPr>
      </w:pPr>
      <w:hyperlink w:anchor="_Toc118953831" w:history="1">
        <w:r w:rsidR="00A52A00" w:rsidRPr="004667ED">
          <w:rPr>
            <w:rStyle w:val="Hyperlink"/>
            <w:noProof/>
          </w:rPr>
          <w:t xml:space="preserve">Table 13: </w:t>
        </w:r>
        <w:r w:rsidR="00A52A00">
          <w:rPr>
            <w:rFonts w:asciiTheme="minorHAnsi" w:hAnsiTheme="minorHAnsi"/>
            <w:noProof/>
            <w:lang w:val="en-AU" w:eastAsia="en-AU"/>
          </w:rPr>
          <w:tab/>
        </w:r>
        <w:r w:rsidR="00A52A00" w:rsidRPr="004667ED">
          <w:rPr>
            <w:rStyle w:val="Hyperlink"/>
            <w:noProof/>
          </w:rPr>
          <w:t>Registration fees and levies for financial service providers</w:t>
        </w:r>
        <w:r w:rsidR="00A52A00">
          <w:rPr>
            <w:noProof/>
            <w:webHidden/>
          </w:rPr>
          <w:tab/>
        </w:r>
        <w:r w:rsidR="00A52A00">
          <w:rPr>
            <w:noProof/>
            <w:webHidden/>
          </w:rPr>
          <w:fldChar w:fldCharType="begin"/>
        </w:r>
        <w:r w:rsidR="00A52A00">
          <w:rPr>
            <w:noProof/>
            <w:webHidden/>
          </w:rPr>
          <w:instrText xml:space="preserve"> PAGEREF _Toc118953831 \h </w:instrText>
        </w:r>
        <w:r w:rsidR="00A52A00">
          <w:rPr>
            <w:noProof/>
            <w:webHidden/>
          </w:rPr>
        </w:r>
        <w:r w:rsidR="00A52A00">
          <w:rPr>
            <w:noProof/>
            <w:webHidden/>
          </w:rPr>
          <w:fldChar w:fldCharType="separate"/>
        </w:r>
        <w:r w:rsidR="00A52A00">
          <w:rPr>
            <w:noProof/>
            <w:webHidden/>
          </w:rPr>
          <w:t>57</w:t>
        </w:r>
        <w:r w:rsidR="00A52A00">
          <w:rPr>
            <w:noProof/>
            <w:webHidden/>
          </w:rPr>
          <w:fldChar w:fldCharType="end"/>
        </w:r>
      </w:hyperlink>
    </w:p>
    <w:p w14:paraId="7C83713E" w14:textId="77777777" w:rsidR="00A52A00" w:rsidRDefault="008A6D82">
      <w:pPr>
        <w:pStyle w:val="TableofFigures"/>
        <w:tabs>
          <w:tab w:val="right" w:pos="8495"/>
        </w:tabs>
        <w:rPr>
          <w:rFonts w:asciiTheme="minorHAnsi" w:hAnsiTheme="minorHAnsi"/>
          <w:noProof/>
          <w:lang w:val="en-AU" w:eastAsia="en-AU"/>
        </w:rPr>
      </w:pPr>
      <w:hyperlink w:anchor="_Toc118953832" w:history="1">
        <w:r w:rsidR="00A52A00" w:rsidRPr="004667ED">
          <w:rPr>
            <w:rStyle w:val="Hyperlink"/>
            <w:noProof/>
          </w:rPr>
          <w:t xml:space="preserve">Table 14: </w:t>
        </w:r>
        <w:r w:rsidR="00A52A00">
          <w:rPr>
            <w:rFonts w:asciiTheme="minorHAnsi" w:hAnsiTheme="minorHAnsi"/>
            <w:noProof/>
            <w:lang w:val="en-AU" w:eastAsia="en-AU"/>
          </w:rPr>
          <w:tab/>
        </w:r>
        <w:r w:rsidR="00A52A00" w:rsidRPr="004667ED">
          <w:rPr>
            <w:rStyle w:val="Hyperlink"/>
            <w:noProof/>
          </w:rPr>
          <w:t>Annual FMA levies for custodians and client money or property services</w:t>
        </w:r>
        <w:r w:rsidR="00A52A00">
          <w:rPr>
            <w:noProof/>
            <w:webHidden/>
          </w:rPr>
          <w:tab/>
        </w:r>
        <w:r w:rsidR="00A52A00">
          <w:rPr>
            <w:noProof/>
            <w:webHidden/>
          </w:rPr>
          <w:fldChar w:fldCharType="begin"/>
        </w:r>
        <w:r w:rsidR="00A52A00">
          <w:rPr>
            <w:noProof/>
            <w:webHidden/>
          </w:rPr>
          <w:instrText xml:space="preserve"> PAGEREF _Toc118953832 \h </w:instrText>
        </w:r>
        <w:r w:rsidR="00A52A00">
          <w:rPr>
            <w:noProof/>
            <w:webHidden/>
          </w:rPr>
        </w:r>
        <w:r w:rsidR="00A52A00">
          <w:rPr>
            <w:noProof/>
            <w:webHidden/>
          </w:rPr>
          <w:fldChar w:fldCharType="separate"/>
        </w:r>
        <w:r w:rsidR="00A52A00">
          <w:rPr>
            <w:noProof/>
            <w:webHidden/>
          </w:rPr>
          <w:t>57</w:t>
        </w:r>
        <w:r w:rsidR="00A52A00">
          <w:rPr>
            <w:noProof/>
            <w:webHidden/>
          </w:rPr>
          <w:fldChar w:fldCharType="end"/>
        </w:r>
      </w:hyperlink>
    </w:p>
    <w:p w14:paraId="599C612A" w14:textId="77777777" w:rsidR="00A52A00" w:rsidRDefault="008A6D82">
      <w:pPr>
        <w:pStyle w:val="TableofFigures"/>
        <w:tabs>
          <w:tab w:val="right" w:pos="8495"/>
        </w:tabs>
        <w:rPr>
          <w:rFonts w:asciiTheme="minorHAnsi" w:hAnsiTheme="minorHAnsi"/>
          <w:noProof/>
          <w:lang w:val="en-AU" w:eastAsia="en-AU"/>
        </w:rPr>
      </w:pPr>
      <w:hyperlink w:anchor="_Toc118953833" w:history="1">
        <w:r w:rsidR="00A52A00" w:rsidRPr="004667ED">
          <w:rPr>
            <w:rStyle w:val="Hyperlink"/>
            <w:noProof/>
          </w:rPr>
          <w:t xml:space="preserve">Table 15: </w:t>
        </w:r>
        <w:r w:rsidR="00A52A00">
          <w:rPr>
            <w:rFonts w:asciiTheme="minorHAnsi" w:hAnsiTheme="minorHAnsi"/>
            <w:noProof/>
            <w:lang w:val="en-AU" w:eastAsia="en-AU"/>
          </w:rPr>
          <w:tab/>
        </w:r>
        <w:r w:rsidR="00A52A00" w:rsidRPr="004667ED">
          <w:rPr>
            <w:rStyle w:val="Hyperlink"/>
            <w:noProof/>
          </w:rPr>
          <w:t xml:space="preserve"> Activities undertaken by an AML/CFT reporting entity</w:t>
        </w:r>
        <w:r w:rsidR="00A52A00">
          <w:rPr>
            <w:noProof/>
            <w:webHidden/>
          </w:rPr>
          <w:tab/>
        </w:r>
        <w:r w:rsidR="00A52A00">
          <w:rPr>
            <w:noProof/>
            <w:webHidden/>
          </w:rPr>
          <w:fldChar w:fldCharType="begin"/>
        </w:r>
        <w:r w:rsidR="00A52A00">
          <w:rPr>
            <w:noProof/>
            <w:webHidden/>
          </w:rPr>
          <w:instrText xml:space="preserve"> PAGEREF _Toc118953833 \h </w:instrText>
        </w:r>
        <w:r w:rsidR="00A52A00">
          <w:rPr>
            <w:noProof/>
            <w:webHidden/>
          </w:rPr>
        </w:r>
        <w:r w:rsidR="00A52A00">
          <w:rPr>
            <w:noProof/>
            <w:webHidden/>
          </w:rPr>
          <w:fldChar w:fldCharType="separate"/>
        </w:r>
        <w:r w:rsidR="00A52A00">
          <w:rPr>
            <w:noProof/>
            <w:webHidden/>
          </w:rPr>
          <w:t>69</w:t>
        </w:r>
        <w:r w:rsidR="00A52A00">
          <w:rPr>
            <w:noProof/>
            <w:webHidden/>
          </w:rPr>
          <w:fldChar w:fldCharType="end"/>
        </w:r>
      </w:hyperlink>
    </w:p>
    <w:p w14:paraId="5F487C05" w14:textId="77777777" w:rsidR="00A52A00" w:rsidRDefault="008A6D82">
      <w:pPr>
        <w:pStyle w:val="TableofFigures"/>
        <w:tabs>
          <w:tab w:val="right" w:pos="8495"/>
        </w:tabs>
        <w:rPr>
          <w:rFonts w:asciiTheme="minorHAnsi" w:hAnsiTheme="minorHAnsi"/>
          <w:noProof/>
          <w:lang w:val="en-AU" w:eastAsia="en-AU"/>
        </w:rPr>
      </w:pPr>
      <w:hyperlink w:anchor="_Toc118953834" w:history="1">
        <w:r w:rsidR="00A52A00" w:rsidRPr="004667ED">
          <w:rPr>
            <w:rStyle w:val="Hyperlink"/>
            <w:noProof/>
          </w:rPr>
          <w:t xml:space="preserve">Table 16: </w:t>
        </w:r>
        <w:r w:rsidR="00A52A00">
          <w:rPr>
            <w:rFonts w:asciiTheme="minorHAnsi" w:hAnsiTheme="minorHAnsi"/>
            <w:noProof/>
            <w:lang w:val="en-AU" w:eastAsia="en-AU"/>
          </w:rPr>
          <w:tab/>
        </w:r>
        <w:r w:rsidR="00A52A00" w:rsidRPr="004667ED">
          <w:rPr>
            <w:rStyle w:val="Hyperlink"/>
            <w:noProof/>
          </w:rPr>
          <w:t>Impact analysis for insider trading and market manipulation</w:t>
        </w:r>
        <w:r w:rsidR="00A52A00">
          <w:rPr>
            <w:noProof/>
            <w:webHidden/>
          </w:rPr>
          <w:tab/>
        </w:r>
        <w:r w:rsidR="00A52A00">
          <w:rPr>
            <w:noProof/>
            <w:webHidden/>
          </w:rPr>
          <w:fldChar w:fldCharType="begin"/>
        </w:r>
        <w:r w:rsidR="00A52A00">
          <w:rPr>
            <w:noProof/>
            <w:webHidden/>
          </w:rPr>
          <w:instrText xml:space="preserve"> PAGEREF _Toc118953834 \h </w:instrText>
        </w:r>
        <w:r w:rsidR="00A52A00">
          <w:rPr>
            <w:noProof/>
            <w:webHidden/>
          </w:rPr>
        </w:r>
        <w:r w:rsidR="00A52A00">
          <w:rPr>
            <w:noProof/>
            <w:webHidden/>
          </w:rPr>
          <w:fldChar w:fldCharType="separate"/>
        </w:r>
        <w:r w:rsidR="00A52A00">
          <w:rPr>
            <w:noProof/>
            <w:webHidden/>
          </w:rPr>
          <w:t>82</w:t>
        </w:r>
        <w:r w:rsidR="00A52A00">
          <w:rPr>
            <w:noProof/>
            <w:webHidden/>
          </w:rPr>
          <w:fldChar w:fldCharType="end"/>
        </w:r>
      </w:hyperlink>
    </w:p>
    <w:p w14:paraId="7ACABE01" w14:textId="77777777" w:rsidR="00A52A00" w:rsidRDefault="008A6D82">
      <w:pPr>
        <w:pStyle w:val="TableofFigures"/>
        <w:tabs>
          <w:tab w:val="right" w:pos="8495"/>
        </w:tabs>
        <w:rPr>
          <w:rFonts w:asciiTheme="minorHAnsi" w:hAnsiTheme="minorHAnsi"/>
          <w:noProof/>
          <w:lang w:val="en-AU" w:eastAsia="en-AU"/>
        </w:rPr>
      </w:pPr>
      <w:hyperlink w:anchor="_Toc118953835" w:history="1">
        <w:r w:rsidR="00A52A00" w:rsidRPr="004667ED">
          <w:rPr>
            <w:rStyle w:val="Hyperlink"/>
            <w:noProof/>
          </w:rPr>
          <w:t xml:space="preserve">Table 17: </w:t>
        </w:r>
        <w:r w:rsidR="00A52A00">
          <w:rPr>
            <w:rFonts w:asciiTheme="minorHAnsi" w:hAnsiTheme="minorHAnsi"/>
            <w:noProof/>
            <w:lang w:val="en-AU" w:eastAsia="en-AU"/>
          </w:rPr>
          <w:tab/>
        </w:r>
        <w:r w:rsidR="00A52A00" w:rsidRPr="004667ED">
          <w:rPr>
            <w:rStyle w:val="Hyperlink"/>
            <w:noProof/>
          </w:rPr>
          <w:t>Risk analysis for insider trading and market manipulation</w:t>
        </w:r>
        <w:r w:rsidR="00A52A00">
          <w:rPr>
            <w:noProof/>
            <w:webHidden/>
          </w:rPr>
          <w:tab/>
        </w:r>
        <w:r w:rsidR="00A52A00">
          <w:rPr>
            <w:noProof/>
            <w:webHidden/>
          </w:rPr>
          <w:fldChar w:fldCharType="begin"/>
        </w:r>
        <w:r w:rsidR="00A52A00">
          <w:rPr>
            <w:noProof/>
            <w:webHidden/>
          </w:rPr>
          <w:instrText xml:space="preserve"> PAGEREF _Toc118953835 \h </w:instrText>
        </w:r>
        <w:r w:rsidR="00A52A00">
          <w:rPr>
            <w:noProof/>
            <w:webHidden/>
          </w:rPr>
        </w:r>
        <w:r w:rsidR="00A52A00">
          <w:rPr>
            <w:noProof/>
            <w:webHidden/>
          </w:rPr>
          <w:fldChar w:fldCharType="separate"/>
        </w:r>
        <w:r w:rsidR="00A52A00">
          <w:rPr>
            <w:noProof/>
            <w:webHidden/>
          </w:rPr>
          <w:t>84</w:t>
        </w:r>
        <w:r w:rsidR="00A52A00">
          <w:rPr>
            <w:noProof/>
            <w:webHidden/>
          </w:rPr>
          <w:fldChar w:fldCharType="end"/>
        </w:r>
      </w:hyperlink>
    </w:p>
    <w:p w14:paraId="4EE825AC" w14:textId="77777777" w:rsidR="00A52A00" w:rsidRDefault="008A6D82">
      <w:pPr>
        <w:pStyle w:val="TableofFigures"/>
        <w:tabs>
          <w:tab w:val="right" w:pos="8495"/>
        </w:tabs>
        <w:rPr>
          <w:rFonts w:asciiTheme="minorHAnsi" w:hAnsiTheme="minorHAnsi"/>
          <w:noProof/>
          <w:lang w:val="en-AU" w:eastAsia="en-AU"/>
        </w:rPr>
      </w:pPr>
      <w:hyperlink w:anchor="_Toc118953836" w:history="1">
        <w:r w:rsidR="00A52A00" w:rsidRPr="004667ED">
          <w:rPr>
            <w:rStyle w:val="Hyperlink"/>
            <w:noProof/>
          </w:rPr>
          <w:t xml:space="preserve">Table 18: </w:t>
        </w:r>
        <w:r w:rsidR="00A52A00">
          <w:rPr>
            <w:rFonts w:asciiTheme="minorHAnsi" w:hAnsiTheme="minorHAnsi"/>
            <w:noProof/>
            <w:lang w:val="en-AU" w:eastAsia="en-AU"/>
          </w:rPr>
          <w:tab/>
        </w:r>
        <w:r w:rsidR="00A52A00" w:rsidRPr="004667ED">
          <w:rPr>
            <w:rStyle w:val="Hyperlink"/>
            <w:noProof/>
          </w:rPr>
          <w:t>Options analysis for regulating NZU financial advice, transactional and/or custodial services</w:t>
        </w:r>
        <w:r w:rsidR="00A52A00">
          <w:rPr>
            <w:noProof/>
            <w:webHidden/>
          </w:rPr>
          <w:tab/>
        </w:r>
        <w:r w:rsidR="00A52A00">
          <w:rPr>
            <w:noProof/>
            <w:webHidden/>
          </w:rPr>
          <w:fldChar w:fldCharType="begin"/>
        </w:r>
        <w:r w:rsidR="00A52A00">
          <w:rPr>
            <w:noProof/>
            <w:webHidden/>
          </w:rPr>
          <w:instrText xml:space="preserve"> PAGEREF _Toc118953836 \h </w:instrText>
        </w:r>
        <w:r w:rsidR="00A52A00">
          <w:rPr>
            <w:noProof/>
            <w:webHidden/>
          </w:rPr>
        </w:r>
        <w:r w:rsidR="00A52A00">
          <w:rPr>
            <w:noProof/>
            <w:webHidden/>
          </w:rPr>
          <w:fldChar w:fldCharType="separate"/>
        </w:r>
        <w:r w:rsidR="00A52A00">
          <w:rPr>
            <w:noProof/>
            <w:webHidden/>
          </w:rPr>
          <w:t>85</w:t>
        </w:r>
        <w:r w:rsidR="00A52A00">
          <w:rPr>
            <w:noProof/>
            <w:webHidden/>
          </w:rPr>
          <w:fldChar w:fldCharType="end"/>
        </w:r>
      </w:hyperlink>
    </w:p>
    <w:p w14:paraId="3AFA1452" w14:textId="77777777" w:rsidR="00A52A00" w:rsidRDefault="008A6D82">
      <w:pPr>
        <w:pStyle w:val="TableofFigures"/>
        <w:tabs>
          <w:tab w:val="right" w:pos="8495"/>
        </w:tabs>
        <w:rPr>
          <w:rFonts w:asciiTheme="minorHAnsi" w:hAnsiTheme="minorHAnsi"/>
          <w:noProof/>
          <w:lang w:val="en-AU" w:eastAsia="en-AU"/>
        </w:rPr>
      </w:pPr>
      <w:hyperlink w:anchor="_Toc118953837" w:history="1">
        <w:r w:rsidR="00A52A00" w:rsidRPr="004667ED">
          <w:rPr>
            <w:rStyle w:val="Hyperlink"/>
            <w:noProof/>
          </w:rPr>
          <w:t xml:space="preserve">Table 19: </w:t>
        </w:r>
        <w:r w:rsidR="00A52A00">
          <w:rPr>
            <w:rFonts w:asciiTheme="minorHAnsi" w:hAnsiTheme="minorHAnsi"/>
            <w:noProof/>
            <w:lang w:val="en-AU" w:eastAsia="en-AU"/>
          </w:rPr>
          <w:tab/>
        </w:r>
        <w:r w:rsidR="00A52A00" w:rsidRPr="004667ED">
          <w:rPr>
            <w:rStyle w:val="Hyperlink"/>
            <w:noProof/>
          </w:rPr>
          <w:t>Risk analysis for regulating NZU financial advice, transactional and/or custodial services</w:t>
        </w:r>
        <w:r w:rsidR="00A52A00">
          <w:rPr>
            <w:noProof/>
            <w:webHidden/>
          </w:rPr>
          <w:tab/>
        </w:r>
        <w:r w:rsidR="00A52A00">
          <w:rPr>
            <w:noProof/>
            <w:webHidden/>
          </w:rPr>
          <w:fldChar w:fldCharType="begin"/>
        </w:r>
        <w:r w:rsidR="00A52A00">
          <w:rPr>
            <w:noProof/>
            <w:webHidden/>
          </w:rPr>
          <w:instrText xml:space="preserve"> PAGEREF _Toc118953837 \h </w:instrText>
        </w:r>
        <w:r w:rsidR="00A52A00">
          <w:rPr>
            <w:noProof/>
            <w:webHidden/>
          </w:rPr>
        </w:r>
        <w:r w:rsidR="00A52A00">
          <w:rPr>
            <w:noProof/>
            <w:webHidden/>
          </w:rPr>
          <w:fldChar w:fldCharType="separate"/>
        </w:r>
        <w:r w:rsidR="00A52A00">
          <w:rPr>
            <w:noProof/>
            <w:webHidden/>
          </w:rPr>
          <w:t>87</w:t>
        </w:r>
        <w:r w:rsidR="00A52A00">
          <w:rPr>
            <w:noProof/>
            <w:webHidden/>
          </w:rPr>
          <w:fldChar w:fldCharType="end"/>
        </w:r>
      </w:hyperlink>
    </w:p>
    <w:p w14:paraId="26EA69A7" w14:textId="77777777" w:rsidR="00A52A00" w:rsidRDefault="008A6D82">
      <w:pPr>
        <w:pStyle w:val="TableofFigures"/>
        <w:tabs>
          <w:tab w:val="right" w:pos="8495"/>
        </w:tabs>
        <w:rPr>
          <w:rFonts w:asciiTheme="minorHAnsi" w:hAnsiTheme="minorHAnsi"/>
          <w:noProof/>
          <w:lang w:val="en-AU" w:eastAsia="en-AU"/>
        </w:rPr>
      </w:pPr>
      <w:hyperlink w:anchor="_Toc118953838" w:history="1">
        <w:r w:rsidR="00A52A00" w:rsidRPr="004667ED">
          <w:rPr>
            <w:rStyle w:val="Hyperlink"/>
            <w:noProof/>
          </w:rPr>
          <w:t xml:space="preserve">Table 20: </w:t>
        </w:r>
        <w:r w:rsidR="00A52A00">
          <w:rPr>
            <w:rFonts w:asciiTheme="minorHAnsi" w:hAnsiTheme="minorHAnsi"/>
            <w:noProof/>
            <w:lang w:val="en-AU" w:eastAsia="en-AU"/>
          </w:rPr>
          <w:tab/>
        </w:r>
        <w:r w:rsidR="00A52A00" w:rsidRPr="004667ED">
          <w:rPr>
            <w:rStyle w:val="Hyperlink"/>
            <w:noProof/>
          </w:rPr>
          <w:t>Options analysis for improved transaction reporting</w:t>
        </w:r>
        <w:r w:rsidR="00A52A00">
          <w:rPr>
            <w:noProof/>
            <w:webHidden/>
          </w:rPr>
          <w:tab/>
        </w:r>
        <w:r w:rsidR="00A52A00">
          <w:rPr>
            <w:noProof/>
            <w:webHidden/>
          </w:rPr>
          <w:fldChar w:fldCharType="begin"/>
        </w:r>
        <w:r w:rsidR="00A52A00">
          <w:rPr>
            <w:noProof/>
            <w:webHidden/>
          </w:rPr>
          <w:instrText xml:space="preserve"> PAGEREF _Toc118953838 \h </w:instrText>
        </w:r>
        <w:r w:rsidR="00A52A00">
          <w:rPr>
            <w:noProof/>
            <w:webHidden/>
          </w:rPr>
        </w:r>
        <w:r w:rsidR="00A52A00">
          <w:rPr>
            <w:noProof/>
            <w:webHidden/>
          </w:rPr>
          <w:fldChar w:fldCharType="separate"/>
        </w:r>
        <w:r w:rsidR="00A52A00">
          <w:rPr>
            <w:noProof/>
            <w:webHidden/>
          </w:rPr>
          <w:t>88</w:t>
        </w:r>
        <w:r w:rsidR="00A52A00">
          <w:rPr>
            <w:noProof/>
            <w:webHidden/>
          </w:rPr>
          <w:fldChar w:fldCharType="end"/>
        </w:r>
      </w:hyperlink>
    </w:p>
    <w:p w14:paraId="09E3F9AC" w14:textId="77777777" w:rsidR="00A52A00" w:rsidRDefault="008A6D82">
      <w:pPr>
        <w:pStyle w:val="TableofFigures"/>
        <w:tabs>
          <w:tab w:val="right" w:pos="8495"/>
        </w:tabs>
        <w:rPr>
          <w:rFonts w:asciiTheme="minorHAnsi" w:hAnsiTheme="minorHAnsi"/>
          <w:noProof/>
          <w:lang w:val="en-AU" w:eastAsia="en-AU"/>
        </w:rPr>
      </w:pPr>
      <w:hyperlink w:anchor="_Toc118953839" w:history="1">
        <w:r w:rsidR="00A52A00" w:rsidRPr="004667ED">
          <w:rPr>
            <w:rStyle w:val="Hyperlink"/>
            <w:noProof/>
          </w:rPr>
          <w:t xml:space="preserve">Table 21: </w:t>
        </w:r>
        <w:r w:rsidR="00A52A00">
          <w:rPr>
            <w:rFonts w:asciiTheme="minorHAnsi" w:hAnsiTheme="minorHAnsi"/>
            <w:noProof/>
            <w:lang w:val="en-AU" w:eastAsia="en-AU"/>
          </w:rPr>
          <w:tab/>
        </w:r>
        <w:r w:rsidR="00A52A00" w:rsidRPr="004667ED">
          <w:rPr>
            <w:rStyle w:val="Hyperlink"/>
            <w:noProof/>
          </w:rPr>
          <w:t>Risk analysis for improved transaction reporting</w:t>
        </w:r>
        <w:r w:rsidR="00A52A00">
          <w:rPr>
            <w:noProof/>
            <w:webHidden/>
          </w:rPr>
          <w:tab/>
        </w:r>
        <w:r w:rsidR="00A52A00">
          <w:rPr>
            <w:noProof/>
            <w:webHidden/>
          </w:rPr>
          <w:fldChar w:fldCharType="begin"/>
        </w:r>
        <w:r w:rsidR="00A52A00">
          <w:rPr>
            <w:noProof/>
            <w:webHidden/>
          </w:rPr>
          <w:instrText xml:space="preserve"> PAGEREF _Toc118953839 \h </w:instrText>
        </w:r>
        <w:r w:rsidR="00A52A00">
          <w:rPr>
            <w:noProof/>
            <w:webHidden/>
          </w:rPr>
        </w:r>
        <w:r w:rsidR="00A52A00">
          <w:rPr>
            <w:noProof/>
            <w:webHidden/>
          </w:rPr>
          <w:fldChar w:fldCharType="separate"/>
        </w:r>
        <w:r w:rsidR="00A52A00">
          <w:rPr>
            <w:noProof/>
            <w:webHidden/>
          </w:rPr>
          <w:t>89</w:t>
        </w:r>
        <w:r w:rsidR="00A52A00">
          <w:rPr>
            <w:noProof/>
            <w:webHidden/>
          </w:rPr>
          <w:fldChar w:fldCharType="end"/>
        </w:r>
      </w:hyperlink>
    </w:p>
    <w:p w14:paraId="09EDF256" w14:textId="77777777" w:rsidR="00532334" w:rsidRPr="006B77BB" w:rsidRDefault="004943C2" w:rsidP="00D51469">
      <w:pPr>
        <w:pStyle w:val="BodyText"/>
      </w:pPr>
      <w:r w:rsidRPr="006B77BB">
        <w:fldChar w:fldCharType="end"/>
      </w:r>
    </w:p>
    <w:p w14:paraId="08767F39" w14:textId="77777777" w:rsidR="00532334" w:rsidRPr="006B77BB" w:rsidRDefault="00532334" w:rsidP="004B5BDD"/>
    <w:p w14:paraId="44FB671A" w14:textId="77777777" w:rsidR="00796A6F" w:rsidRPr="00554B30" w:rsidRDefault="00796A6F" w:rsidP="00554B30">
      <w:bookmarkStart w:id="0" w:name="_Toc215561202"/>
      <w:r w:rsidRPr="00554B30">
        <w:br w:type="page"/>
      </w:r>
    </w:p>
    <w:p w14:paraId="7BAF2F87" w14:textId="77777777" w:rsidR="00562487" w:rsidRDefault="00562487" w:rsidP="00DC3CFC">
      <w:pPr>
        <w:pStyle w:val="Heading1"/>
        <w:rPr>
          <w:rStyle w:val="Heading1Char"/>
          <w:b/>
          <w:bCs/>
        </w:rPr>
        <w:sectPr w:rsidR="00562487" w:rsidSect="008A7498">
          <w:footerReference w:type="even" r:id="rId20"/>
          <w:footerReference w:type="default" r:id="rId21"/>
          <w:pgSz w:w="11907" w:h="16840" w:code="9"/>
          <w:pgMar w:top="1134" w:right="1701" w:bottom="1134" w:left="1701" w:header="567" w:footer="567" w:gutter="0"/>
          <w:cols w:space="720"/>
          <w:docGrid w:linePitch="299"/>
        </w:sectPr>
      </w:pPr>
      <w:bookmarkStart w:id="1" w:name="_Toc345760336"/>
      <w:bookmarkEnd w:id="0"/>
    </w:p>
    <w:p w14:paraId="0ABF3B24" w14:textId="77777777" w:rsidR="00562487" w:rsidRPr="00747EF6" w:rsidRDefault="00562487" w:rsidP="00562487">
      <w:pPr>
        <w:pStyle w:val="Heading"/>
        <w:rPr>
          <w:rStyle w:val="Heading1Char"/>
          <w:b/>
        </w:rPr>
      </w:pPr>
      <w:bookmarkStart w:id="2" w:name="_Toc118703514"/>
      <w:bookmarkStart w:id="3" w:name="_Toc118953567"/>
      <w:r w:rsidRPr="00747EF6">
        <w:rPr>
          <w:rStyle w:val="Heading1Char"/>
          <w:b/>
        </w:rPr>
        <w:lastRenderedPageBreak/>
        <w:t>Executive summary</w:t>
      </w:r>
      <w:bookmarkEnd w:id="2"/>
      <w:bookmarkEnd w:id="3"/>
    </w:p>
    <w:p w14:paraId="654C9989" w14:textId="6072E8CF" w:rsidR="00562487" w:rsidRPr="00747EF6" w:rsidRDefault="00562487" w:rsidP="00562487">
      <w:pPr>
        <w:pStyle w:val="BodyText"/>
      </w:pPr>
      <w:r w:rsidRPr="00747EF6">
        <w:t xml:space="preserve">A poorly governed New Zealand Emissions Trading Scheme (NZ ETS) could impact our ability to meet our domestic emissions budgets and undermine the robustness of the NZ ETS and its reputation internationally. Through this consultation, we want to better understand the impact of leveraging existing financial market frameworks to address the key risks in </w:t>
      </w:r>
      <w:r w:rsidRPr="00747EF6" w:rsidDel="00273B5B">
        <w:t xml:space="preserve">the </w:t>
      </w:r>
      <w:r w:rsidRPr="00747EF6">
        <w:t>NZ ETS market when trading New Zealand Units</w:t>
      </w:r>
      <w:r>
        <w:t xml:space="preserve"> (NZUs)</w:t>
      </w:r>
      <w:r w:rsidRPr="00747EF6">
        <w:t xml:space="preserve"> </w:t>
      </w:r>
      <w:r>
        <w:t>(</w:t>
      </w:r>
      <w:r w:rsidRPr="00747EF6">
        <w:t xml:space="preserve">referred to </w:t>
      </w:r>
      <w:r w:rsidR="008F6ACE">
        <w:t>here</w:t>
      </w:r>
      <w:r w:rsidR="008F6ACE" w:rsidRPr="00747EF6">
        <w:t xml:space="preserve"> </w:t>
      </w:r>
      <w:r w:rsidRPr="00747EF6">
        <w:t xml:space="preserve">as the </w:t>
      </w:r>
      <w:r>
        <w:t>‘</w:t>
      </w:r>
      <w:r w:rsidRPr="00747EF6">
        <w:t>NZU market</w:t>
      </w:r>
      <w:r>
        <w:t>’).</w:t>
      </w:r>
      <w:bookmarkStart w:id="4" w:name="_Ref118362477"/>
      <w:r w:rsidRPr="00747EF6">
        <w:rPr>
          <w:rStyle w:val="FootnoteReference"/>
        </w:rPr>
        <w:footnoteReference w:id="2"/>
      </w:r>
      <w:bookmarkEnd w:id="4"/>
      <w:r w:rsidRPr="00747EF6">
        <w:t xml:space="preserve"> </w:t>
      </w:r>
    </w:p>
    <w:p w14:paraId="46AB0538" w14:textId="77777777" w:rsidR="00562487" w:rsidRPr="00747EF6" w:rsidRDefault="00562487" w:rsidP="00562487">
      <w:pPr>
        <w:pStyle w:val="Heading3"/>
      </w:pPr>
      <w:r>
        <w:t xml:space="preserve">Aotearoa </w:t>
      </w:r>
      <w:r w:rsidRPr="00747EF6">
        <w:t xml:space="preserve">New Zealand lacks a robust NZU market governance framework </w:t>
      </w:r>
    </w:p>
    <w:p w14:paraId="29F41720" w14:textId="335A477C" w:rsidR="00562487" w:rsidRPr="00747EF6" w:rsidRDefault="00562487" w:rsidP="00562487">
      <w:pPr>
        <w:pStyle w:val="BodyText"/>
      </w:pPr>
      <w:r w:rsidRPr="00747EF6">
        <w:t xml:space="preserve">Setting up a comprehensive NZU market governance framework and appointing a regulator is important to ensure integrity, </w:t>
      </w:r>
      <w:proofErr w:type="gramStart"/>
      <w:r w:rsidRPr="00747EF6">
        <w:t>efficiency</w:t>
      </w:r>
      <w:proofErr w:type="gramEnd"/>
      <w:r w:rsidRPr="00747EF6">
        <w:t xml:space="preserve"> and confidence in the market.</w:t>
      </w:r>
      <w:r>
        <w:t xml:space="preserve"> </w:t>
      </w:r>
    </w:p>
    <w:p w14:paraId="1428020A" w14:textId="77777777" w:rsidR="00562487" w:rsidRPr="00747EF6" w:rsidRDefault="00562487" w:rsidP="00562487">
      <w:pPr>
        <w:pStyle w:val="Heading4"/>
      </w:pPr>
      <w:r w:rsidRPr="00747EF6">
        <w:t>Seven market governance risks</w:t>
      </w:r>
    </w:p>
    <w:p w14:paraId="5DE3042F" w14:textId="77777777" w:rsidR="00562487" w:rsidRPr="00747EF6" w:rsidRDefault="00562487" w:rsidP="00562487">
      <w:pPr>
        <w:pStyle w:val="BodyText"/>
      </w:pPr>
      <w:r w:rsidRPr="00747EF6">
        <w:t xml:space="preserve">The Government has identified seven market governance </w:t>
      </w:r>
      <w:r w:rsidRPr="0041085D">
        <w:t>risks</w:t>
      </w:r>
      <w:r w:rsidRPr="00747EF6">
        <w:t>, set</w:t>
      </w:r>
      <w:r w:rsidRPr="00747EF6" w:rsidDel="00D07D6A">
        <w:t xml:space="preserve"> out in </w:t>
      </w:r>
      <w:r w:rsidRPr="00747EF6">
        <w:t>three themes</w:t>
      </w:r>
      <w:r>
        <w:t>.</w:t>
      </w:r>
    </w:p>
    <w:p w14:paraId="69247502" w14:textId="77777777" w:rsidR="00562487" w:rsidRPr="00747EF6" w:rsidRDefault="00562487" w:rsidP="00562487">
      <w:pPr>
        <w:pStyle w:val="Bullet"/>
        <w:tabs>
          <w:tab w:val="num" w:pos="397"/>
        </w:tabs>
        <w:spacing w:line="280" w:lineRule="exact"/>
      </w:pPr>
      <w:r w:rsidRPr="00747EF6">
        <w:rPr>
          <w:b/>
        </w:rPr>
        <w:t>Theme A:</w:t>
      </w:r>
      <w:r w:rsidRPr="00747EF6">
        <w:t xml:space="preserve"> Governance of </w:t>
      </w:r>
      <w:r>
        <w:t>a</w:t>
      </w:r>
      <w:r w:rsidRPr="00747EF6">
        <w:t>dvice </w:t>
      </w:r>
    </w:p>
    <w:p w14:paraId="36A9CA2F" w14:textId="77777777" w:rsidR="00562487" w:rsidRPr="00747EF6" w:rsidRDefault="00562487" w:rsidP="00562487">
      <w:pPr>
        <w:pStyle w:val="Sub-list"/>
        <w:tabs>
          <w:tab w:val="num" w:pos="397"/>
        </w:tabs>
      </w:pPr>
      <w:r w:rsidRPr="00747EF6">
        <w:rPr>
          <w:b/>
        </w:rPr>
        <w:t>Risk 1:</w:t>
      </w:r>
      <w:r w:rsidRPr="00747EF6">
        <w:t xml:space="preserve"> Inadequate, </w:t>
      </w:r>
      <w:proofErr w:type="gramStart"/>
      <w:r w:rsidRPr="00747EF6">
        <w:t>false</w:t>
      </w:r>
      <w:proofErr w:type="gramEnd"/>
      <w:r w:rsidRPr="00747EF6">
        <w:t xml:space="preserve"> or misleading advice relating to NZUs</w:t>
      </w:r>
    </w:p>
    <w:p w14:paraId="2ABE3B9A" w14:textId="77777777" w:rsidR="00562487" w:rsidRPr="00747EF6" w:rsidRDefault="00562487" w:rsidP="00562487">
      <w:pPr>
        <w:pStyle w:val="Sub-list"/>
        <w:tabs>
          <w:tab w:val="num" w:pos="397"/>
        </w:tabs>
      </w:pPr>
      <w:r w:rsidRPr="00747EF6">
        <w:rPr>
          <w:b/>
        </w:rPr>
        <w:t>Risk 2:</w:t>
      </w:r>
      <w:r w:rsidRPr="00747EF6">
        <w:t xml:space="preserve"> Conflicts of interest involving the New Zealand Emissions Trading </w:t>
      </w:r>
      <w:r>
        <w:t>R</w:t>
      </w:r>
      <w:r w:rsidRPr="00747EF6">
        <w:t>egister </w:t>
      </w:r>
      <w:r>
        <w:t>(NZETR)</w:t>
      </w:r>
    </w:p>
    <w:p w14:paraId="5F014435" w14:textId="77777777" w:rsidR="00562487" w:rsidRPr="00747EF6" w:rsidRDefault="00562487" w:rsidP="00562487">
      <w:pPr>
        <w:pStyle w:val="Bullet"/>
        <w:tabs>
          <w:tab w:val="num" w:pos="397"/>
        </w:tabs>
        <w:spacing w:line="280" w:lineRule="exact"/>
      </w:pPr>
      <w:r w:rsidRPr="00747EF6">
        <w:rPr>
          <w:b/>
        </w:rPr>
        <w:t>Theme B:</w:t>
      </w:r>
      <w:r>
        <w:t xml:space="preserve"> </w:t>
      </w:r>
      <w:r w:rsidRPr="00747EF6">
        <w:t xml:space="preserve">Governance of </w:t>
      </w:r>
      <w:r>
        <w:t>t</w:t>
      </w:r>
      <w:r w:rsidRPr="00747EF6">
        <w:t>rading</w:t>
      </w:r>
    </w:p>
    <w:p w14:paraId="4EA2871C" w14:textId="2975244F" w:rsidR="00562487" w:rsidRPr="00747EF6" w:rsidRDefault="00562487" w:rsidP="00562487">
      <w:pPr>
        <w:pStyle w:val="Sub-list"/>
        <w:tabs>
          <w:tab w:val="num" w:pos="397"/>
        </w:tabs>
      </w:pPr>
      <w:r w:rsidRPr="00747EF6">
        <w:rPr>
          <w:b/>
        </w:rPr>
        <w:t>Risk 3:</w:t>
      </w:r>
      <w:r w:rsidRPr="00747EF6">
        <w:t xml:space="preserve"> Potential lack of transparency, </w:t>
      </w:r>
      <w:proofErr w:type="gramStart"/>
      <w:r w:rsidRPr="00747EF6">
        <w:t>oversight</w:t>
      </w:r>
      <w:proofErr w:type="gramEnd"/>
      <w:r w:rsidRPr="00747EF6">
        <w:t xml:space="preserve"> and monitoring of trades in the secondary NZU market </w:t>
      </w:r>
    </w:p>
    <w:p w14:paraId="4C261F8D" w14:textId="77777777" w:rsidR="00562487" w:rsidRPr="00747EF6" w:rsidRDefault="00562487" w:rsidP="00562487">
      <w:pPr>
        <w:pStyle w:val="Sub-list"/>
        <w:tabs>
          <w:tab w:val="num" w:pos="397"/>
        </w:tabs>
      </w:pPr>
      <w:r w:rsidRPr="00747EF6">
        <w:rPr>
          <w:b/>
        </w:rPr>
        <w:t>Risk 4:</w:t>
      </w:r>
      <w:r w:rsidRPr="00747EF6">
        <w:t xml:space="preserve"> Credit and counterparty risks </w:t>
      </w:r>
    </w:p>
    <w:p w14:paraId="6D955104" w14:textId="77777777" w:rsidR="00562487" w:rsidRPr="00747EF6" w:rsidRDefault="00562487" w:rsidP="00562487">
      <w:pPr>
        <w:pStyle w:val="Bullet"/>
        <w:tabs>
          <w:tab w:val="num" w:pos="397"/>
        </w:tabs>
        <w:spacing w:line="280" w:lineRule="exact"/>
      </w:pPr>
      <w:r w:rsidRPr="00747EF6">
        <w:rPr>
          <w:rFonts w:cs="Calibri"/>
          <w:b/>
        </w:rPr>
        <w:t>Theme C:</w:t>
      </w:r>
      <w:r w:rsidRPr="00747EF6">
        <w:t xml:space="preserve"> Governance of </w:t>
      </w:r>
      <w:r>
        <w:t>m</w:t>
      </w:r>
      <w:r w:rsidRPr="00747EF6">
        <w:t xml:space="preserve">arket </w:t>
      </w:r>
      <w:r>
        <w:t>c</w:t>
      </w:r>
      <w:r w:rsidRPr="00747EF6">
        <w:t>onduct</w:t>
      </w:r>
    </w:p>
    <w:p w14:paraId="1451FCC5" w14:textId="77777777" w:rsidR="00562487" w:rsidRPr="00747EF6" w:rsidRDefault="00562487" w:rsidP="00562487">
      <w:pPr>
        <w:pStyle w:val="Sub-list"/>
        <w:tabs>
          <w:tab w:val="num" w:pos="397"/>
        </w:tabs>
      </w:pPr>
      <w:r w:rsidRPr="00747EF6">
        <w:rPr>
          <w:b/>
        </w:rPr>
        <w:t>Risk 5:</w:t>
      </w:r>
      <w:r w:rsidRPr="00747EF6">
        <w:t xml:space="preserve"> Insider trading and information asymmetry </w:t>
      </w:r>
    </w:p>
    <w:p w14:paraId="285ABDDA" w14:textId="77777777" w:rsidR="00562487" w:rsidRPr="00747EF6" w:rsidRDefault="00562487" w:rsidP="00562487">
      <w:pPr>
        <w:pStyle w:val="Sub-list"/>
        <w:tabs>
          <w:tab w:val="num" w:pos="397"/>
        </w:tabs>
      </w:pPr>
      <w:r w:rsidRPr="00747EF6">
        <w:rPr>
          <w:b/>
        </w:rPr>
        <w:t>Risk 6:</w:t>
      </w:r>
      <w:r w:rsidRPr="00747EF6">
        <w:t xml:space="preserve"> Manipulation of NZU prices </w:t>
      </w:r>
    </w:p>
    <w:p w14:paraId="3C321515" w14:textId="77777777" w:rsidR="00562487" w:rsidRPr="00747EF6" w:rsidRDefault="00562487" w:rsidP="00562487">
      <w:pPr>
        <w:pStyle w:val="Sub-list"/>
        <w:tabs>
          <w:tab w:val="num" w:pos="397"/>
        </w:tabs>
      </w:pPr>
      <w:r w:rsidRPr="00747EF6">
        <w:rPr>
          <w:b/>
        </w:rPr>
        <w:t>Risk 7:</w:t>
      </w:r>
      <w:r w:rsidRPr="00747EF6">
        <w:t xml:space="preserve"> Money laundering and financing of terrorism in the NZU market</w:t>
      </w:r>
    </w:p>
    <w:p w14:paraId="685FAC01" w14:textId="77777777" w:rsidR="00562487" w:rsidRPr="00747EF6" w:rsidRDefault="00562487" w:rsidP="00562487">
      <w:pPr>
        <w:pStyle w:val="Heading4"/>
      </w:pPr>
      <w:r w:rsidRPr="00747EF6">
        <w:lastRenderedPageBreak/>
        <w:t>Prior consultations informed policy options</w:t>
      </w:r>
    </w:p>
    <w:p w14:paraId="3956995A" w14:textId="0DFEB063" w:rsidR="00562487" w:rsidRPr="00747EF6" w:rsidRDefault="00562487" w:rsidP="00562487">
      <w:pPr>
        <w:pStyle w:val="BodyText"/>
      </w:pPr>
      <w:r w:rsidRPr="00747EF6">
        <w:t>In the 2021 market governance consultation, stakeholders identified their preferred policy options to address the risk themes. With stakeholder feedback in mind, the tools chosen to progress the market governance package are listed below for each theme</w:t>
      </w:r>
      <w:r w:rsidR="00514B10">
        <w:t>:</w:t>
      </w:r>
    </w:p>
    <w:p w14:paraId="4A45D641" w14:textId="77777777" w:rsidR="00562487" w:rsidRPr="00747EF6" w:rsidRDefault="00562487" w:rsidP="00562487">
      <w:pPr>
        <w:pStyle w:val="Bullet"/>
        <w:tabs>
          <w:tab w:val="num" w:pos="397"/>
        </w:tabs>
        <w:spacing w:line="280" w:lineRule="exact"/>
      </w:pPr>
      <w:r w:rsidRPr="00747EF6">
        <w:rPr>
          <w:b/>
        </w:rPr>
        <w:t xml:space="preserve">Governance of advice: </w:t>
      </w:r>
      <w:r w:rsidRPr="00747EF6">
        <w:t xml:space="preserve">Code of conduct, </w:t>
      </w:r>
      <w:proofErr w:type="gramStart"/>
      <w:r w:rsidRPr="00747EF6">
        <w:t>licensing</w:t>
      </w:r>
      <w:proofErr w:type="gramEnd"/>
      <w:r w:rsidRPr="00747EF6">
        <w:t xml:space="preserve"> and registration of NZU financial advisers</w:t>
      </w:r>
    </w:p>
    <w:p w14:paraId="74395D2B" w14:textId="77777777" w:rsidR="00562487" w:rsidRPr="00747EF6" w:rsidRDefault="00562487" w:rsidP="00562487">
      <w:pPr>
        <w:pStyle w:val="Bullet"/>
        <w:tabs>
          <w:tab w:val="num" w:pos="397"/>
        </w:tabs>
        <w:spacing w:line="280" w:lineRule="exact"/>
      </w:pPr>
      <w:r w:rsidRPr="00747EF6">
        <w:rPr>
          <w:b/>
        </w:rPr>
        <w:t>Governance of trading:</w:t>
      </w:r>
      <w:r w:rsidRPr="00747EF6">
        <w:t xml:space="preserve"> Optional centralised exchange platform for NZU trades </w:t>
      </w:r>
    </w:p>
    <w:p w14:paraId="57B8277E" w14:textId="77777777" w:rsidR="00562487" w:rsidRPr="00747EF6" w:rsidRDefault="00562487" w:rsidP="00562487">
      <w:pPr>
        <w:pStyle w:val="Bullet"/>
        <w:tabs>
          <w:tab w:val="num" w:pos="397"/>
        </w:tabs>
        <w:spacing w:line="280" w:lineRule="exact"/>
      </w:pPr>
      <w:r w:rsidRPr="00747EF6">
        <w:rPr>
          <w:b/>
        </w:rPr>
        <w:t>Governance of conduct:</w:t>
      </w:r>
      <w:r w:rsidRPr="00747EF6">
        <w:t xml:space="preserve"> Improved transaction reporting </w:t>
      </w:r>
    </w:p>
    <w:p w14:paraId="4ECFE3C4" w14:textId="77777777" w:rsidR="00562487" w:rsidRPr="00747EF6" w:rsidRDefault="00562487" w:rsidP="00562487">
      <w:pPr>
        <w:pStyle w:val="BodyText"/>
        <w:rPr>
          <w:bCs/>
        </w:rPr>
      </w:pPr>
      <w:r w:rsidRPr="00747EF6">
        <w:rPr>
          <w:bCs/>
        </w:rPr>
        <w:t>Stakeholders also favoured a</w:t>
      </w:r>
      <w:r w:rsidRPr="00747EF6">
        <w:t>ppointing a skilled regulator</w:t>
      </w:r>
      <w:r w:rsidRPr="00747EF6">
        <w:rPr>
          <w:bCs/>
        </w:rPr>
        <w:t xml:space="preserve"> with market design and market compliance powers to oversee the NZU market. </w:t>
      </w:r>
    </w:p>
    <w:p w14:paraId="1861ABA0" w14:textId="77777777" w:rsidR="00562487" w:rsidRPr="00747EF6" w:rsidRDefault="00562487" w:rsidP="00562487">
      <w:pPr>
        <w:pStyle w:val="Heading4"/>
      </w:pPr>
      <w:r w:rsidRPr="00747EF6">
        <w:t>We want your feedback</w:t>
      </w:r>
    </w:p>
    <w:p w14:paraId="7601CF4C" w14:textId="77777777" w:rsidR="00562487" w:rsidRPr="00747EF6" w:rsidRDefault="00562487" w:rsidP="00562487">
      <w:pPr>
        <w:pStyle w:val="BodyText"/>
      </w:pPr>
      <w:r w:rsidRPr="00747EF6">
        <w:t xml:space="preserve">We want your feedback </w:t>
      </w:r>
      <w:r w:rsidRPr="00A15709">
        <w:t>on</w:t>
      </w:r>
      <w:r w:rsidRPr="00747EF6">
        <w:t xml:space="preserve"> the impact of the market governance proposal. </w:t>
      </w:r>
    </w:p>
    <w:p w14:paraId="3E7A7CF6" w14:textId="7EC17697" w:rsidR="00562487" w:rsidRPr="00747EF6" w:rsidRDefault="00562487" w:rsidP="00562487">
      <w:pPr>
        <w:pStyle w:val="BodyText"/>
      </w:pPr>
      <w:r w:rsidRPr="00747EF6">
        <w:t xml:space="preserve">This document presents four market governance topics, informed by the themes and tools we have previously consulted on. </w:t>
      </w:r>
      <w:r>
        <w:fldChar w:fldCharType="begin"/>
      </w:r>
      <w:r>
        <w:instrText xml:space="preserve"> REF _Ref118369099 \h </w:instrText>
      </w:r>
      <w:r>
        <w:fldChar w:fldCharType="separate"/>
      </w:r>
      <w:r w:rsidR="00C67DAB" w:rsidRPr="00747EF6">
        <w:t xml:space="preserve">Table </w:t>
      </w:r>
      <w:r w:rsidR="00C67DAB">
        <w:rPr>
          <w:noProof/>
        </w:rPr>
        <w:t>1</w:t>
      </w:r>
      <w:r>
        <w:fldChar w:fldCharType="end"/>
      </w:r>
      <w:r>
        <w:t xml:space="preserve"> outlines e</w:t>
      </w:r>
      <w:r w:rsidRPr="00747EF6">
        <w:t>ach topic below</w:t>
      </w:r>
      <w:r w:rsidR="00BF5BF4">
        <w:t>:</w:t>
      </w:r>
    </w:p>
    <w:p w14:paraId="7C18C800" w14:textId="77777777" w:rsidR="00562487" w:rsidRDefault="00562487" w:rsidP="00562487">
      <w:pPr>
        <w:pStyle w:val="Tableheading"/>
      </w:pPr>
      <w:bookmarkStart w:id="5" w:name="_Ref118369099"/>
      <w:bookmarkStart w:id="6" w:name="_Toc118953819"/>
      <w:r w:rsidRPr="00747EF6">
        <w:t xml:space="preserve">Table </w:t>
      </w:r>
      <w:fldSimple w:instr=" SEQ Table \* ARABIC ">
        <w:r w:rsidR="00C67DAB">
          <w:rPr>
            <w:noProof/>
          </w:rPr>
          <w:t>1</w:t>
        </w:r>
      </w:fldSimple>
      <w:bookmarkEnd w:id="5"/>
      <w:r w:rsidRPr="00747EF6">
        <w:t xml:space="preserve">: </w:t>
      </w:r>
      <w:r>
        <w:tab/>
      </w:r>
      <w:r w:rsidRPr="00747EF6">
        <w:t>Market governance options</w:t>
      </w:r>
      <w:bookmarkStart w:id="7" w:name="table_1"/>
      <w:bookmarkEnd w:id="6"/>
      <w:bookmarkEnd w:id="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7"/>
      </w:tblGrid>
      <w:tr w:rsidR="00313B34" w:rsidRPr="005F3A52" w14:paraId="4C896BA4" w14:textId="77777777" w:rsidTr="004B5D3E">
        <w:tc>
          <w:tcPr>
            <w:tcW w:w="8397" w:type="dxa"/>
            <w:shd w:val="clear" w:color="auto" w:fill="1B556B"/>
          </w:tcPr>
          <w:p w14:paraId="5DBD91A6" w14:textId="77777777" w:rsidR="00313B34" w:rsidRPr="005F3A52" w:rsidRDefault="00313B34" w:rsidP="00A52A00">
            <w:pPr>
              <w:spacing w:line="240" w:lineRule="auto"/>
              <w:rPr>
                <w:b/>
                <w:bCs/>
                <w:color w:val="FFFFFF" w:themeColor="background1"/>
                <w:sz w:val="18"/>
                <w:szCs w:val="18"/>
              </w:rPr>
            </w:pPr>
            <w:r w:rsidRPr="005F3A52">
              <w:rPr>
                <w:b/>
                <w:bCs/>
                <w:color w:val="FFFFFF" w:themeColor="background1"/>
                <w:sz w:val="18"/>
                <w:szCs w:val="18"/>
              </w:rPr>
              <w:t>Topic 1: Regulating the market based on financial legislation</w:t>
            </w:r>
          </w:p>
        </w:tc>
      </w:tr>
      <w:tr w:rsidR="00313B34" w14:paraId="61D3E10B" w14:textId="77777777" w:rsidTr="004B5D3E">
        <w:tc>
          <w:tcPr>
            <w:tcW w:w="8397" w:type="dxa"/>
            <w:shd w:val="clear" w:color="auto" w:fill="D2DDE2"/>
          </w:tcPr>
          <w:p w14:paraId="4EF3405A" w14:textId="5EEF7AA3" w:rsidR="00313B34" w:rsidRDefault="00313B34" w:rsidP="00313B34">
            <w:pPr>
              <w:pStyle w:val="TableBullet"/>
              <w:spacing w:before="60"/>
            </w:pPr>
            <w:r w:rsidRPr="00313B34">
              <w:rPr>
                <w:b/>
                <w:bCs/>
              </w:rPr>
              <w:t>Option one:</w:t>
            </w:r>
            <w:r>
              <w:t xml:space="preserve"> Crimes Act 1961 (status quo). Continue to use the Crimes Act to manage insider</w:t>
            </w:r>
            <w:r w:rsidR="00BF5BF4">
              <w:t>-</w:t>
            </w:r>
            <w:r>
              <w:t>trading risks. No provisions against market manipulation in the NZU market. Market operators would not be licensed.</w:t>
            </w:r>
          </w:p>
          <w:p w14:paraId="64F8AB5D" w14:textId="24409BC1" w:rsidR="00313B34" w:rsidRDefault="00313B34" w:rsidP="00313B34">
            <w:pPr>
              <w:pStyle w:val="TableBullet"/>
              <w:spacing w:before="60"/>
            </w:pPr>
            <w:r w:rsidRPr="00313B34">
              <w:rPr>
                <w:b/>
                <w:bCs/>
              </w:rPr>
              <w:t>Option two:</w:t>
            </w:r>
            <w:r>
              <w:t xml:space="preserve"> Financial Markets Conduct Act 2013 (FMC Act) with suitable modifications. Apply market manipulation prohibitions and offences to the NZU market like those in the FMC Act. Licensing requirements would apply to any facility for the trading of NZUs that </w:t>
            </w:r>
            <w:r w:rsidR="00153EEC">
              <w:t xml:space="preserve">met </w:t>
            </w:r>
            <w:r>
              <w:t>the definition of a financial product market (a licensed NZU exchange).</w:t>
            </w:r>
          </w:p>
          <w:p w14:paraId="32D2F37D" w14:textId="5DA3FB1A" w:rsidR="00313B34" w:rsidRDefault="00313B34" w:rsidP="00313B34">
            <w:pPr>
              <w:pStyle w:val="TableBullet"/>
              <w:spacing w:before="60"/>
            </w:pPr>
            <w:r w:rsidRPr="00313B34">
              <w:rPr>
                <w:b/>
                <w:bCs/>
              </w:rPr>
              <w:t>Option three:</w:t>
            </w:r>
            <w:r>
              <w:t xml:space="preserve"> Crimes Act 1961 and market manipulation prohibitions. Use the Crimes Act to manage insider trading risks. Market manipulation would be addressed using prohibitions </w:t>
            </w:r>
            <w:r w:rsidR="0055452F">
              <w:t>like</w:t>
            </w:r>
            <w:r>
              <w:t xml:space="preserve"> those in the FMC Act. There would be no licensed market operators.</w:t>
            </w:r>
          </w:p>
        </w:tc>
      </w:tr>
      <w:tr w:rsidR="00313B34" w:rsidRPr="005F3A52" w14:paraId="34223421" w14:textId="77777777" w:rsidTr="004B5D3E">
        <w:tc>
          <w:tcPr>
            <w:tcW w:w="8397" w:type="dxa"/>
            <w:shd w:val="clear" w:color="auto" w:fill="1B556B"/>
          </w:tcPr>
          <w:p w14:paraId="186D4CA6" w14:textId="77777777" w:rsidR="00313B34" w:rsidRPr="005F3A52" w:rsidRDefault="00313B34" w:rsidP="00A52A00">
            <w:pPr>
              <w:spacing w:line="240" w:lineRule="auto"/>
              <w:rPr>
                <w:b/>
                <w:bCs/>
                <w:color w:val="FFFFFF" w:themeColor="background1"/>
                <w:sz w:val="18"/>
                <w:szCs w:val="18"/>
              </w:rPr>
            </w:pPr>
            <w:r w:rsidRPr="005F3A52">
              <w:rPr>
                <w:b/>
                <w:bCs/>
                <w:color w:val="FFFFFF" w:themeColor="background1"/>
                <w:sz w:val="18"/>
                <w:szCs w:val="18"/>
              </w:rPr>
              <w:t>Topic 2: Regulating NZU financial advice, transactional and/or custodial services</w:t>
            </w:r>
          </w:p>
        </w:tc>
      </w:tr>
      <w:tr w:rsidR="00313B34" w14:paraId="0EE79462" w14:textId="77777777" w:rsidTr="004B5D3E">
        <w:tc>
          <w:tcPr>
            <w:tcW w:w="8397" w:type="dxa"/>
            <w:shd w:val="clear" w:color="auto" w:fill="D2DDE2"/>
          </w:tcPr>
          <w:p w14:paraId="1F3695D4" w14:textId="77777777" w:rsidR="00313B34" w:rsidRPr="00313B34" w:rsidRDefault="00313B34" w:rsidP="0066202A">
            <w:pPr>
              <w:pStyle w:val="TableBullet"/>
              <w:spacing w:before="60"/>
              <w:rPr>
                <w:b/>
                <w:bCs/>
              </w:rPr>
            </w:pPr>
            <w:r w:rsidRPr="00313B34">
              <w:rPr>
                <w:b/>
                <w:bCs/>
              </w:rPr>
              <w:t xml:space="preserve">Option one: </w:t>
            </w:r>
            <w:r w:rsidRPr="00313B34">
              <w:t xml:space="preserve">Relying on existing legislation (status quo). Advice relating to NZUs is partially covered by four Acts, including the </w:t>
            </w:r>
            <w:proofErr w:type="gramStart"/>
            <w:r w:rsidRPr="00313B34">
              <w:t>Fair Trading</w:t>
            </w:r>
            <w:proofErr w:type="gramEnd"/>
            <w:r w:rsidRPr="00313B34">
              <w:t xml:space="preserve"> Act 1986 (FTA), Forests Act 1949, FMC Act and Financial Service Providers (Registration and Dispute Resolution) Act 2008, which together create a complex framework for regulation advice.</w:t>
            </w:r>
          </w:p>
          <w:p w14:paraId="0C1EB691" w14:textId="4848702C" w:rsidR="00313B34" w:rsidRPr="00313B34" w:rsidRDefault="00313B34" w:rsidP="00313B34">
            <w:pPr>
              <w:pStyle w:val="TableBullet"/>
              <w:rPr>
                <w:b/>
                <w:bCs/>
              </w:rPr>
            </w:pPr>
            <w:r w:rsidRPr="00313B34">
              <w:rPr>
                <w:b/>
                <w:bCs/>
              </w:rPr>
              <w:t xml:space="preserve">Option two: </w:t>
            </w:r>
            <w:r w:rsidRPr="00313B34">
              <w:t xml:space="preserve">Regulating NZU financial advice, transactional and/or custodial services. Require </w:t>
            </w:r>
            <w:r w:rsidRPr="00313B34" w:rsidDel="00EE494D">
              <w:t xml:space="preserve">persons </w:t>
            </w:r>
            <w:r w:rsidRPr="00313B34">
              <w:t>that provide a financial advice service to comply with FMC Act fair</w:t>
            </w:r>
            <w:r w:rsidR="0079312D">
              <w:t>-</w:t>
            </w:r>
            <w:r w:rsidRPr="00313B34">
              <w:t>dealing rules, certain statutory financial advice duties, and additional statutory duties if they provide a service to retail clients. Those who have retail clients would also be required to hold or operate under a licence and belong to a mandatory dispute</w:t>
            </w:r>
            <w:r w:rsidR="002B5B8C">
              <w:t>-</w:t>
            </w:r>
            <w:r w:rsidRPr="00313B34">
              <w:t>resolution scheme. Fees and levies would be payable.</w:t>
            </w:r>
          </w:p>
          <w:p w14:paraId="114E9645" w14:textId="1E042E6A" w:rsidR="00313B34" w:rsidRDefault="00313B34" w:rsidP="00313B34">
            <w:pPr>
              <w:pStyle w:val="TableBullet"/>
            </w:pPr>
            <w:r w:rsidRPr="00313B34">
              <w:rPr>
                <w:b/>
                <w:bCs/>
              </w:rPr>
              <w:t xml:space="preserve">Option three: </w:t>
            </w:r>
            <w:r w:rsidRPr="00313B34">
              <w:t xml:space="preserve">Applying FMC Act wholesale client settings. Implement a code of conduct </w:t>
            </w:r>
            <w:r w:rsidR="00BC12B1">
              <w:t>that</w:t>
            </w:r>
            <w:r w:rsidR="00BC12B1" w:rsidRPr="00313B34">
              <w:t xml:space="preserve"> </w:t>
            </w:r>
            <w:r w:rsidRPr="00313B34">
              <w:t>outlines the expectations of a person providing NZU financial advice. A person providing NZU financial advice would be required to be registered and comply with some statutory duties. No licensing would be required.</w:t>
            </w:r>
          </w:p>
        </w:tc>
      </w:tr>
      <w:tr w:rsidR="00313B34" w:rsidRPr="005F3A52" w14:paraId="1F97BBBD" w14:textId="77777777" w:rsidTr="004B5D3E">
        <w:tc>
          <w:tcPr>
            <w:tcW w:w="8397" w:type="dxa"/>
            <w:shd w:val="clear" w:color="auto" w:fill="1B556B"/>
          </w:tcPr>
          <w:p w14:paraId="653439BC" w14:textId="77777777" w:rsidR="00313B34" w:rsidRPr="005F3A52" w:rsidRDefault="00313B34" w:rsidP="00A52A00">
            <w:pPr>
              <w:spacing w:line="240" w:lineRule="auto"/>
              <w:rPr>
                <w:b/>
                <w:bCs/>
                <w:color w:val="FFFFFF" w:themeColor="background1"/>
                <w:sz w:val="18"/>
                <w:szCs w:val="18"/>
              </w:rPr>
            </w:pPr>
            <w:r w:rsidRPr="005F3A52">
              <w:rPr>
                <w:b/>
                <w:bCs/>
                <w:color w:val="FFFFFF" w:themeColor="background1"/>
                <w:sz w:val="18"/>
                <w:szCs w:val="18"/>
              </w:rPr>
              <w:t>Topic 3: Improved transaction reporting</w:t>
            </w:r>
          </w:p>
        </w:tc>
      </w:tr>
      <w:tr w:rsidR="00313B34" w14:paraId="5A4600B9" w14:textId="77777777" w:rsidTr="004B5D3E">
        <w:tc>
          <w:tcPr>
            <w:tcW w:w="8397" w:type="dxa"/>
            <w:shd w:val="clear" w:color="auto" w:fill="D2DDE2"/>
          </w:tcPr>
          <w:p w14:paraId="1B09FE5B" w14:textId="77777777" w:rsidR="00313B34" w:rsidRPr="004216BD" w:rsidRDefault="00313B34" w:rsidP="0066202A">
            <w:pPr>
              <w:pStyle w:val="TableBullet"/>
              <w:spacing w:before="60"/>
            </w:pPr>
            <w:r w:rsidRPr="00747EF6">
              <w:rPr>
                <w:b/>
              </w:rPr>
              <w:t xml:space="preserve">Option one: Current </w:t>
            </w:r>
            <w:r>
              <w:rPr>
                <w:b/>
              </w:rPr>
              <w:t>r</w:t>
            </w:r>
            <w:r w:rsidRPr="00747EF6">
              <w:rPr>
                <w:b/>
              </w:rPr>
              <w:t>eporting obligations (</w:t>
            </w:r>
            <w:r>
              <w:rPr>
                <w:b/>
              </w:rPr>
              <w:t>s</w:t>
            </w:r>
            <w:r w:rsidRPr="00747EF6">
              <w:rPr>
                <w:b/>
              </w:rPr>
              <w:t xml:space="preserve">tatus quo). </w:t>
            </w:r>
            <w:r w:rsidRPr="00747EF6">
              <w:t>Under the status quo</w:t>
            </w:r>
            <w:r>
              <w:t>,</w:t>
            </w:r>
            <w:r w:rsidRPr="00747EF6">
              <w:t xml:space="preserve"> the NZETR collects the following information about transactions: </w:t>
            </w:r>
          </w:p>
          <w:p w14:paraId="696FA17A" w14:textId="77777777" w:rsidR="00313B34" w:rsidRPr="00D35D4C" w:rsidRDefault="00313B34" w:rsidP="00313B34">
            <w:pPr>
              <w:pStyle w:val="TableDash"/>
            </w:pPr>
            <w:r w:rsidRPr="00747EF6">
              <w:t>the parties involved in the trade</w:t>
            </w:r>
          </w:p>
          <w:p w14:paraId="7A92BCE7" w14:textId="77777777" w:rsidR="00313B34" w:rsidRPr="00D35D4C" w:rsidRDefault="00313B34" w:rsidP="00313B34">
            <w:pPr>
              <w:pStyle w:val="TableDash"/>
            </w:pPr>
            <w:r w:rsidRPr="00747EF6">
              <w:t>the number of units in the trade</w:t>
            </w:r>
          </w:p>
          <w:p w14:paraId="6A65E639" w14:textId="77777777" w:rsidR="00313B34" w:rsidRPr="00D35D4C" w:rsidRDefault="00313B34" w:rsidP="00313B34">
            <w:pPr>
              <w:pStyle w:val="TableDash"/>
            </w:pPr>
            <w:r w:rsidRPr="00747EF6">
              <w:lastRenderedPageBreak/>
              <w:t>the time and date of transaction</w:t>
            </w:r>
          </w:p>
          <w:p w14:paraId="623DFFBB" w14:textId="77777777" w:rsidR="00313B34" w:rsidRPr="00D35D4C" w:rsidRDefault="00313B34" w:rsidP="00313B34">
            <w:pPr>
              <w:pStyle w:val="TableDash"/>
            </w:pPr>
            <w:r w:rsidRPr="00747EF6">
              <w:t>who set up the transaction</w:t>
            </w:r>
          </w:p>
          <w:p w14:paraId="7F889FC4" w14:textId="77777777" w:rsidR="00313B34" w:rsidRPr="00CB1F34" w:rsidRDefault="00313B34" w:rsidP="00313B34">
            <w:pPr>
              <w:pStyle w:val="TableDash"/>
            </w:pPr>
            <w:r w:rsidRPr="00CB1F34">
              <w:t xml:space="preserve">who authorised it </w:t>
            </w:r>
            <w:r>
              <w:t xml:space="preserve">and </w:t>
            </w:r>
            <w:r w:rsidRPr="00CB1F34">
              <w:t xml:space="preserve">how they got their transaction authorisation code. </w:t>
            </w:r>
          </w:p>
          <w:p w14:paraId="3766258E" w14:textId="77777777" w:rsidR="00313B34" w:rsidRPr="00B240A1" w:rsidRDefault="00313B34" w:rsidP="00313B34">
            <w:pPr>
              <w:pStyle w:val="TableBullet"/>
            </w:pPr>
            <w:r w:rsidRPr="00747EF6">
              <w:rPr>
                <w:b/>
              </w:rPr>
              <w:t xml:space="preserve">Option two: Improved transaction reporting. </w:t>
            </w:r>
            <w:r>
              <w:t>Implement n</w:t>
            </w:r>
            <w:r w:rsidRPr="00747EF6">
              <w:t xml:space="preserve">ew reporting requirements for </w:t>
            </w:r>
            <w:r>
              <w:t xml:space="preserve">parties to </w:t>
            </w:r>
            <w:r w:rsidRPr="00747EF6">
              <w:t>NZU trades, including:</w:t>
            </w:r>
          </w:p>
          <w:p w14:paraId="64BB7C18" w14:textId="77777777" w:rsidR="00313B34" w:rsidRPr="00A779C3" w:rsidRDefault="00313B34" w:rsidP="00313B34">
            <w:pPr>
              <w:pStyle w:val="TableDash"/>
            </w:pPr>
            <w:r w:rsidRPr="00747EF6">
              <w:t>the price at which the NZUs were bought or sold, or otherwise the total value of the unit block</w:t>
            </w:r>
          </w:p>
          <w:p w14:paraId="079497D0" w14:textId="77777777" w:rsidR="00313B34" w:rsidRPr="00A779C3" w:rsidRDefault="00313B34" w:rsidP="00313B34">
            <w:pPr>
              <w:pStyle w:val="TableDash"/>
            </w:pPr>
            <w:r w:rsidRPr="00747EF6">
              <w:t xml:space="preserve">whether the trade is with someone else or between </w:t>
            </w:r>
            <w:r>
              <w:t>the transactor’s</w:t>
            </w:r>
            <w:r w:rsidRPr="00747EF6">
              <w:t xml:space="preserve"> own accounts in the NZETR</w:t>
            </w:r>
          </w:p>
          <w:p w14:paraId="6A90BA09" w14:textId="77777777" w:rsidR="00313B34" w:rsidRPr="00747EF6" w:rsidRDefault="00313B34" w:rsidP="00313B34">
            <w:pPr>
              <w:pStyle w:val="TableDash"/>
            </w:pPr>
            <w:r w:rsidRPr="00747EF6">
              <w:t xml:space="preserve">the </w:t>
            </w:r>
            <w:r>
              <w:t xml:space="preserve">transactor’s </w:t>
            </w:r>
            <w:r w:rsidRPr="00747EF6">
              <w:t xml:space="preserve">primary reason for holding an account. </w:t>
            </w:r>
          </w:p>
          <w:p w14:paraId="4D3DE34E" w14:textId="77777777" w:rsidR="00313B34" w:rsidRDefault="00313B34" w:rsidP="00313B34">
            <w:pPr>
              <w:pStyle w:val="TableBullet"/>
            </w:pPr>
            <w:r w:rsidRPr="00747EF6">
              <w:rPr>
                <w:b/>
              </w:rPr>
              <w:t xml:space="preserve">Option three: Full transaction reporting. </w:t>
            </w:r>
            <w:r w:rsidRPr="00747EF6">
              <w:rPr>
                <w:bCs/>
              </w:rPr>
              <w:t xml:space="preserve">Replicate the prescribed wire transaction reporting obligations in the </w:t>
            </w:r>
            <w:hyperlink r:id="rId22" w:history="1">
              <w:r w:rsidRPr="00AF3448">
                <w:rPr>
                  <w:rStyle w:val="Hyperlink"/>
                  <w:bCs/>
                  <w:szCs w:val="18"/>
                </w:rPr>
                <w:t>Anti-Money Laundering and Countering Financing of Terrorism (Prescribed Transactions Reporting) Regulations 2016</w:t>
              </w:r>
            </w:hyperlink>
            <w:r>
              <w:rPr>
                <w:bCs/>
              </w:rPr>
              <w:t xml:space="preserve"> (AML/CFT Regulations).</w:t>
            </w:r>
            <w:r w:rsidRPr="00747EF6">
              <w:rPr>
                <w:bCs/>
              </w:rPr>
              <w:t xml:space="preserve"> This would apply to transaction and customer details.</w:t>
            </w:r>
          </w:p>
        </w:tc>
      </w:tr>
      <w:tr w:rsidR="00313B34" w:rsidRPr="005F3A52" w14:paraId="119636DD" w14:textId="77777777" w:rsidTr="004B5D3E">
        <w:tc>
          <w:tcPr>
            <w:tcW w:w="8397" w:type="dxa"/>
            <w:shd w:val="clear" w:color="auto" w:fill="1B556B"/>
          </w:tcPr>
          <w:p w14:paraId="4A96ADCC" w14:textId="77777777" w:rsidR="00313B34" w:rsidRPr="005F3A52" w:rsidRDefault="00313B34" w:rsidP="00A52A00">
            <w:pPr>
              <w:spacing w:line="240" w:lineRule="auto"/>
              <w:rPr>
                <w:color w:val="FFFFFF" w:themeColor="background1"/>
                <w:sz w:val="18"/>
                <w:szCs w:val="18"/>
              </w:rPr>
            </w:pPr>
            <w:r w:rsidRPr="00A52A00">
              <w:rPr>
                <w:b/>
                <w:bCs/>
                <w:color w:val="FFFFFF" w:themeColor="background1"/>
                <w:sz w:val="18"/>
                <w:szCs w:val="18"/>
              </w:rPr>
              <w:lastRenderedPageBreak/>
              <w:t>Topic 4: Applying the Anti-Money Laundering and Countering Financing of Terrorism Act 2009 (AML/CFT Act) framework</w:t>
            </w:r>
          </w:p>
        </w:tc>
      </w:tr>
      <w:tr w:rsidR="00313B34" w14:paraId="4A4F5339" w14:textId="77777777" w:rsidTr="004B5D3E">
        <w:tc>
          <w:tcPr>
            <w:tcW w:w="8397" w:type="dxa"/>
            <w:shd w:val="clear" w:color="auto" w:fill="D2DDE2"/>
          </w:tcPr>
          <w:p w14:paraId="4AC38843" w14:textId="77777777" w:rsidR="00313B34" w:rsidRDefault="00313B34" w:rsidP="0066202A">
            <w:pPr>
              <w:pStyle w:val="TableBullet"/>
              <w:spacing w:before="60"/>
            </w:pPr>
            <w:r w:rsidRPr="00747EF6">
              <w:rPr>
                <w:b/>
                <w:szCs w:val="18"/>
              </w:rPr>
              <w:t xml:space="preserve">Proposal: (status quo). </w:t>
            </w:r>
            <w:r w:rsidRPr="00747EF6">
              <w:rPr>
                <w:szCs w:val="18"/>
              </w:rPr>
              <w:t xml:space="preserve">No further </w:t>
            </w:r>
            <w:hyperlink r:id="rId23" w:history="1">
              <w:r w:rsidRPr="00717E3D">
                <w:rPr>
                  <w:rStyle w:val="Hyperlink"/>
                  <w:szCs w:val="18"/>
                </w:rPr>
                <w:t>AML/CFT Act</w:t>
              </w:r>
            </w:hyperlink>
            <w:r w:rsidRPr="00747EF6">
              <w:rPr>
                <w:szCs w:val="18"/>
              </w:rPr>
              <w:t xml:space="preserve"> obligations would apply to the NZU market </w:t>
            </w:r>
            <w:r>
              <w:rPr>
                <w:szCs w:val="18"/>
              </w:rPr>
              <w:t>beyond</w:t>
            </w:r>
            <w:r w:rsidRPr="00747EF6">
              <w:rPr>
                <w:szCs w:val="18"/>
              </w:rPr>
              <w:t xml:space="preserve"> what already applies today. </w:t>
            </w:r>
            <w:r>
              <w:rPr>
                <w:szCs w:val="18"/>
              </w:rPr>
              <w:t xml:space="preserve">This </w:t>
            </w:r>
            <w:r>
              <w:rPr>
                <w:bCs/>
                <w:szCs w:val="18"/>
              </w:rPr>
              <w:t>h</w:t>
            </w:r>
            <w:r w:rsidRPr="00747EF6">
              <w:rPr>
                <w:bCs/>
                <w:szCs w:val="18"/>
              </w:rPr>
              <w:t>ighlights how the AML/CFT Act already captures activities of interest within the NZU market to deter money laundering and financing of terrorism</w:t>
            </w:r>
            <w:r w:rsidRPr="00747EF6">
              <w:rPr>
                <w:b/>
                <w:szCs w:val="18"/>
              </w:rPr>
              <w:t>.</w:t>
            </w:r>
          </w:p>
        </w:tc>
      </w:tr>
    </w:tbl>
    <w:p w14:paraId="60388639" w14:textId="77777777" w:rsidR="00313B34" w:rsidRDefault="00313B34" w:rsidP="00313B34">
      <w:pPr>
        <w:pStyle w:val="Heading"/>
        <w:rPr>
          <w:rStyle w:val="Heading1Char"/>
          <w:b/>
        </w:rPr>
        <w:sectPr w:rsidR="00313B34" w:rsidSect="008A7498">
          <w:pgSz w:w="11907" w:h="16840" w:code="9"/>
          <w:pgMar w:top="1134" w:right="1701" w:bottom="1134" w:left="1701" w:header="567" w:footer="567" w:gutter="0"/>
          <w:cols w:space="720"/>
          <w:docGrid w:linePitch="299"/>
        </w:sectPr>
      </w:pPr>
      <w:bookmarkStart w:id="8" w:name="_Toc118703515"/>
    </w:p>
    <w:p w14:paraId="738234B6" w14:textId="77777777" w:rsidR="00313B34" w:rsidRPr="00747EF6" w:rsidRDefault="00313B34" w:rsidP="00313B34">
      <w:pPr>
        <w:pStyle w:val="Heading1"/>
        <w:rPr>
          <w:rStyle w:val="Heading1Char"/>
          <w:b/>
        </w:rPr>
      </w:pPr>
      <w:bookmarkStart w:id="9" w:name="_Toc118953568"/>
      <w:bookmarkEnd w:id="8"/>
      <w:r w:rsidRPr="00747EF6">
        <w:rPr>
          <w:rStyle w:val="Heading1Char"/>
          <w:b/>
        </w:rPr>
        <w:lastRenderedPageBreak/>
        <w:t>About this engagement</w:t>
      </w:r>
      <w:bookmarkEnd w:id="9"/>
      <w:r w:rsidRPr="00747EF6">
        <w:rPr>
          <w:rStyle w:val="Heading1Char"/>
          <w:b/>
        </w:rPr>
        <w:t xml:space="preserve"> </w:t>
      </w:r>
    </w:p>
    <w:p w14:paraId="652D1B8F" w14:textId="77777777" w:rsidR="00313B34" w:rsidRPr="00747EF6" w:rsidRDefault="00313B34" w:rsidP="00313B34">
      <w:pPr>
        <w:pStyle w:val="BodyText"/>
      </w:pPr>
      <w:r w:rsidRPr="00747EF6">
        <w:t>This</w:t>
      </w:r>
      <w:r>
        <w:t xml:space="preserve"> engagement</w:t>
      </w:r>
      <w:r w:rsidRPr="00747EF6">
        <w:t xml:space="preserve"> is a follow-up to the 2018</w:t>
      </w:r>
      <w:bookmarkStart w:id="10" w:name="_Ref118364691"/>
      <w:r w:rsidRPr="00747EF6">
        <w:rPr>
          <w:rStyle w:val="FootnoteReference"/>
        </w:rPr>
        <w:footnoteReference w:id="3"/>
      </w:r>
      <w:bookmarkEnd w:id="10"/>
      <w:r w:rsidRPr="00747EF6">
        <w:t xml:space="preserve"> and 2021</w:t>
      </w:r>
      <w:bookmarkStart w:id="11" w:name="_Ref118364719"/>
      <w:r w:rsidRPr="00747EF6">
        <w:rPr>
          <w:rStyle w:val="FootnoteReference"/>
        </w:rPr>
        <w:footnoteReference w:id="4"/>
      </w:r>
      <w:bookmarkEnd w:id="11"/>
      <w:r w:rsidRPr="00747EF6">
        <w:t xml:space="preserve"> consultations on market risks, </w:t>
      </w:r>
      <w:proofErr w:type="gramStart"/>
      <w:r w:rsidRPr="00747EF6">
        <w:t>options</w:t>
      </w:r>
      <w:proofErr w:type="gramEnd"/>
      <w:r w:rsidRPr="00747EF6">
        <w:t xml:space="preserve"> and governance scenarios.</w:t>
      </w:r>
    </w:p>
    <w:p w14:paraId="0E871717" w14:textId="77777777" w:rsidR="00313B34" w:rsidRPr="00747EF6" w:rsidRDefault="00313B34" w:rsidP="00313B34">
      <w:pPr>
        <w:pStyle w:val="BodyText"/>
      </w:pPr>
      <w:r w:rsidRPr="00747EF6">
        <w:t>The intended audience is those who already interact with the NZU market or who have previously engaged or followed the market governance consultations. The information collected from this engagement will help inform the Cabinet decision</w:t>
      </w:r>
      <w:r>
        <w:t>-</w:t>
      </w:r>
      <w:r w:rsidRPr="00747EF6">
        <w:t xml:space="preserve">making process on the final market governance project. </w:t>
      </w:r>
    </w:p>
    <w:p w14:paraId="6F8D9489" w14:textId="77777777" w:rsidR="00313B34" w:rsidRPr="00747EF6" w:rsidRDefault="00313B34" w:rsidP="00313B34">
      <w:pPr>
        <w:pStyle w:val="BodyText"/>
      </w:pPr>
      <w:r w:rsidRPr="004E630D">
        <w:t>We are considering addressing the identified risks of treating NZUs as a financial product</w:t>
      </w:r>
      <w:r w:rsidRPr="004E630D">
        <w:rPr>
          <w:rStyle w:val="FootnoteReference"/>
        </w:rPr>
        <w:footnoteReference w:id="5"/>
      </w:r>
      <w:r w:rsidRPr="004E630D">
        <w:t xml:space="preserve"> in the NZU market.</w:t>
      </w:r>
      <w:r w:rsidRPr="004E630D">
        <w:rPr>
          <w:rStyle w:val="FootnoteReference"/>
        </w:rPr>
        <w:footnoteReference w:id="6"/>
      </w:r>
      <w:r w:rsidRPr="004E630D">
        <w:t xml:space="preserve"> </w:t>
      </w:r>
      <w:r w:rsidRPr="00112E55">
        <w:t>This means that the discussion</w:t>
      </w:r>
      <w:r w:rsidRPr="00FE539E">
        <w:t xml:space="preserve"> document outlines the key aspects of, and regulatory concepts in</w:t>
      </w:r>
      <w:r>
        <w:t>,</w:t>
      </w:r>
      <w:r w:rsidRPr="00FE539E">
        <w:t xml:space="preserve"> financial markets legislation that are intended to apply to NZUs in a manner broadly equivalent to financial products.</w:t>
      </w:r>
    </w:p>
    <w:p w14:paraId="25883B0A" w14:textId="77777777" w:rsidR="00313B34" w:rsidRPr="00747EF6" w:rsidRDefault="00313B34" w:rsidP="00313B34">
      <w:pPr>
        <w:pStyle w:val="BodyText"/>
      </w:pPr>
      <w:r w:rsidRPr="00747EF6">
        <w:t>We seek your feedback on the impacts of treating NZU</w:t>
      </w:r>
      <w:r>
        <w:t>s</w:t>
      </w:r>
      <w:r w:rsidRPr="00747EF6">
        <w:t xml:space="preserve"> as a financial product, as well as feedback on alternative options. Your feedback is a key part of improving the NZ ETS. We want to hear your views on how these options may affect you and the NZ</w:t>
      </w:r>
      <w:r>
        <w:t xml:space="preserve">U </w:t>
      </w:r>
      <w:r w:rsidRPr="00747EF6">
        <w:t>market.</w:t>
      </w:r>
    </w:p>
    <w:p w14:paraId="764DBE6E" w14:textId="77777777" w:rsidR="00313B34" w:rsidRPr="00747EF6" w:rsidRDefault="00313B34" w:rsidP="00313B34">
      <w:pPr>
        <w:pStyle w:val="Heading2"/>
      </w:pPr>
      <w:bookmarkStart w:id="12" w:name="_Toc118703516"/>
      <w:bookmarkStart w:id="13" w:name="_Toc118953569"/>
      <w:r w:rsidRPr="00747EF6">
        <w:t>Scope of this engagement</w:t>
      </w:r>
      <w:bookmarkEnd w:id="12"/>
      <w:bookmarkEnd w:id="13"/>
    </w:p>
    <w:p w14:paraId="1F8F6CF6" w14:textId="77777777" w:rsidR="00313B34" w:rsidRPr="00747EF6" w:rsidRDefault="00313B34" w:rsidP="00313B34">
      <w:pPr>
        <w:pStyle w:val="Heading3"/>
      </w:pPr>
      <w:r w:rsidRPr="00747EF6">
        <w:t>Limitations and constraints</w:t>
      </w:r>
    </w:p>
    <w:p w14:paraId="5C53DB87" w14:textId="2DAE602D" w:rsidR="00313B34" w:rsidRPr="00747EF6" w:rsidRDefault="00313B34" w:rsidP="00313B34">
      <w:pPr>
        <w:pStyle w:val="BodyText"/>
      </w:pPr>
      <w:r w:rsidRPr="00747EF6">
        <w:t xml:space="preserve">The scope of options in this discussion document has been limited by </w:t>
      </w:r>
      <w:r w:rsidR="00C86054">
        <w:t>earlier</w:t>
      </w:r>
      <w:r w:rsidR="00C86054" w:rsidRPr="00747EF6">
        <w:t xml:space="preserve"> </w:t>
      </w:r>
      <w:r w:rsidRPr="00747EF6">
        <w:t xml:space="preserve">market governance </w:t>
      </w:r>
      <w:r w:rsidRPr="005D67AE">
        <w:t>consultations</w:t>
      </w:r>
      <w:r w:rsidRPr="00747EF6">
        <w:t xml:space="preserve">, stakeholder feedback and Cabinet decisions. </w:t>
      </w:r>
    </w:p>
    <w:p w14:paraId="1819B2CC" w14:textId="10BD26F4" w:rsidR="00313B34" w:rsidRPr="00747EF6" w:rsidRDefault="00313B34" w:rsidP="00313B34">
      <w:pPr>
        <w:pStyle w:val="BodyText"/>
      </w:pPr>
      <w:r w:rsidRPr="00747EF6">
        <w:rPr>
          <w:rFonts w:cstheme="minorHAnsi"/>
        </w:rPr>
        <w:t>Between 2015 and 2021,</w:t>
      </w:r>
      <w:r>
        <w:rPr>
          <w:rFonts w:cstheme="minorHAnsi"/>
        </w:rPr>
        <w:t xml:space="preserve"> the Ministry for the Environment (</w:t>
      </w:r>
      <w:r w:rsidR="004708BB">
        <w:rPr>
          <w:rFonts w:cstheme="minorHAnsi"/>
        </w:rPr>
        <w:t>the Ministry</w:t>
      </w:r>
      <w:r>
        <w:rPr>
          <w:rFonts w:cstheme="minorHAnsi"/>
        </w:rPr>
        <w:t>)</w:t>
      </w:r>
      <w:r w:rsidRPr="00747EF6">
        <w:rPr>
          <w:rFonts w:cstheme="minorHAnsi"/>
        </w:rPr>
        <w:t xml:space="preserve"> conducted multiple consultations on the prevalence of risks in the NZU market, the appropriate policy tools to address these risks, and potential market governance scenarios. </w:t>
      </w:r>
      <w:r>
        <w:rPr>
          <w:rFonts w:cstheme="minorHAnsi"/>
        </w:rPr>
        <w:t xml:space="preserve">Between 2018 and 2022, </w:t>
      </w:r>
      <w:r w:rsidRPr="00747EF6">
        <w:rPr>
          <w:rFonts w:cstheme="minorHAnsi"/>
        </w:rPr>
        <w:t>Cabinet agreed to various improvements to the governance of the NZ ETS and NZU market.</w:t>
      </w:r>
    </w:p>
    <w:p w14:paraId="2CECED0A" w14:textId="77777777" w:rsidR="00313B34" w:rsidRPr="00747EF6" w:rsidRDefault="00313B34" w:rsidP="00313B34">
      <w:pPr>
        <w:pStyle w:val="BodyText"/>
      </w:pPr>
      <w:r w:rsidRPr="00747EF6">
        <w:t xml:space="preserve">A review of the NZ ETS in 2015 found </w:t>
      </w:r>
      <w:r>
        <w:t>room for improvement</w:t>
      </w:r>
      <w:r w:rsidRPr="00747EF6">
        <w:t>. The review identified that the current market governance framework in the NZ ETS is not fit for purpose.</w:t>
      </w:r>
    </w:p>
    <w:p w14:paraId="184E6390" w14:textId="77777777" w:rsidR="00313B34" w:rsidRPr="00747EF6" w:rsidRDefault="00313B34" w:rsidP="00313B34">
      <w:pPr>
        <w:pStyle w:val="BodyText"/>
      </w:pPr>
      <w:r w:rsidRPr="00747EF6">
        <w:t xml:space="preserve">In 2018, the </w:t>
      </w:r>
      <w:r>
        <w:t>G</w:t>
      </w:r>
      <w:r w:rsidRPr="00747EF6">
        <w:t xml:space="preserve">overnment consulted on improving the </w:t>
      </w:r>
      <w:r>
        <w:t>NZU</w:t>
      </w:r>
      <w:r w:rsidRPr="00747EF6">
        <w:t xml:space="preserve"> market and identified seven key risks in relation to market governance.</w:t>
      </w:r>
      <w:r>
        <w:rPr>
          <w:rStyle w:val="FootnoteReference"/>
        </w:rPr>
        <w:footnoteReference w:id="7"/>
      </w:r>
      <w:r w:rsidRPr="00747EF6">
        <w:t xml:space="preserve"> Stakeholder feedback to the consultation </w:t>
      </w:r>
      <w:r>
        <w:t>indicated</w:t>
      </w:r>
      <w:r w:rsidRPr="00747EF6">
        <w:t xml:space="preserve"> that the risks</w:t>
      </w:r>
      <w:r>
        <w:t xml:space="preserve"> in the NZU market</w:t>
      </w:r>
      <w:r w:rsidRPr="00747EF6">
        <w:t xml:space="preserve"> existed and would likely </w:t>
      </w:r>
      <w:r>
        <w:t xml:space="preserve">continue to </w:t>
      </w:r>
      <w:r w:rsidRPr="00747EF6">
        <w:t>exist.</w:t>
      </w:r>
    </w:p>
    <w:p w14:paraId="124E575E" w14:textId="77777777" w:rsidR="00313B34" w:rsidRPr="00747EF6" w:rsidRDefault="00313B34" w:rsidP="00313B34">
      <w:pPr>
        <w:pStyle w:val="BodyText"/>
      </w:pPr>
      <w:r w:rsidRPr="00747EF6">
        <w:lastRenderedPageBreak/>
        <w:t>In 2018, Cabinet agreed in</w:t>
      </w:r>
      <w:r>
        <w:t xml:space="preserve"> </w:t>
      </w:r>
      <w:r w:rsidRPr="00747EF6">
        <w:t>principle to:</w:t>
      </w:r>
    </w:p>
    <w:p w14:paraId="627A72A2" w14:textId="77777777" w:rsidR="00313B34" w:rsidRPr="00747EF6" w:rsidRDefault="00313B34" w:rsidP="00313B34">
      <w:pPr>
        <w:pStyle w:val="Bullet"/>
        <w:tabs>
          <w:tab w:val="num" w:pos="397"/>
        </w:tabs>
        <w:spacing w:line="280" w:lineRule="exact"/>
      </w:pPr>
      <w:r w:rsidRPr="00747EF6">
        <w:t xml:space="preserve">prohibit insider trading and market manipulation in the </w:t>
      </w:r>
      <w:r>
        <w:t>NZU</w:t>
      </w:r>
      <w:r w:rsidRPr="00747EF6">
        <w:t xml:space="preserve"> market and, as much is practical and appropriate, approach these two risks in the same manner as they are treated in the FMC</w:t>
      </w:r>
      <w:r>
        <w:t> </w:t>
      </w:r>
      <w:r w:rsidRPr="00747EF6">
        <w:t>Act</w:t>
      </w:r>
    </w:p>
    <w:p w14:paraId="0E8CA79E" w14:textId="77777777" w:rsidR="00313B34" w:rsidRPr="00747EF6" w:rsidRDefault="00313B34" w:rsidP="00313B34">
      <w:pPr>
        <w:pStyle w:val="Bullet"/>
        <w:tabs>
          <w:tab w:val="num" w:pos="397"/>
        </w:tabs>
        <w:spacing w:line="280" w:lineRule="exact"/>
      </w:pPr>
      <w:r w:rsidRPr="00747EF6">
        <w:t>as much</w:t>
      </w:r>
      <w:r>
        <w:t xml:space="preserve"> as</w:t>
      </w:r>
      <w:r w:rsidRPr="00747EF6">
        <w:t xml:space="preserve"> is practical and appropriate, </w:t>
      </w:r>
      <w:r>
        <w:t>provide</w:t>
      </w:r>
      <w:r w:rsidRPr="00747EF6">
        <w:t xml:space="preserve"> penalties and offences for insider trading and market manipulation in the NZ ETS that mirror the equivalent penalties and offences in the FMC</w:t>
      </w:r>
      <w:r>
        <w:t> </w:t>
      </w:r>
      <w:r w:rsidRPr="00747EF6">
        <w:t>Act.</w:t>
      </w:r>
    </w:p>
    <w:p w14:paraId="4507080E" w14:textId="77777777" w:rsidR="00313B34" w:rsidRPr="00747EF6" w:rsidRDefault="00313B34" w:rsidP="00313B34">
      <w:pPr>
        <w:pStyle w:val="BodyText"/>
      </w:pPr>
      <w:r w:rsidRPr="00747EF6">
        <w:t>In July 2019, Cabinet also decided to establish a market governance work programme to address all seven market governance risks.</w:t>
      </w:r>
    </w:p>
    <w:p w14:paraId="39CCC8A5" w14:textId="438C21A0" w:rsidR="00313B34" w:rsidRPr="00747EF6" w:rsidRDefault="00313B34" w:rsidP="00313B34">
      <w:pPr>
        <w:pStyle w:val="BodyText"/>
      </w:pPr>
      <w:r w:rsidRPr="00747EF6">
        <w:t xml:space="preserve">In July 2021, </w:t>
      </w:r>
      <w:r w:rsidR="009606EA">
        <w:t>the Ministry for the Environment</w:t>
      </w:r>
      <w:r w:rsidR="009606EA" w:rsidRPr="00747EF6">
        <w:t xml:space="preserve"> </w:t>
      </w:r>
      <w:r w:rsidRPr="00747EF6">
        <w:t>consulted on the seven market governance risks.</w:t>
      </w:r>
      <w:r>
        <w:rPr>
          <w:rStyle w:val="FootnoteReference"/>
        </w:rPr>
        <w:footnoteReference w:id="8"/>
      </w:r>
      <w:r w:rsidRPr="00747EF6">
        <w:t xml:space="preserve"> The consultation included a range of proposed regulatory and non-regulatory options, and possible market governance regulatory scenarios. Stakeholder feedback:</w:t>
      </w:r>
    </w:p>
    <w:p w14:paraId="003A2754" w14:textId="77777777" w:rsidR="00313B34" w:rsidRPr="00747EF6" w:rsidRDefault="00313B34" w:rsidP="00313B34">
      <w:pPr>
        <w:pStyle w:val="Bullet"/>
        <w:tabs>
          <w:tab w:val="num" w:pos="397"/>
        </w:tabs>
        <w:spacing w:line="280" w:lineRule="exact"/>
      </w:pPr>
      <w:r w:rsidRPr="00747EF6">
        <w:t>agreed that the NZU market needed market governance amendments to be implemented</w:t>
      </w:r>
    </w:p>
    <w:p w14:paraId="52037CA2" w14:textId="77777777" w:rsidR="00313B34" w:rsidRPr="00747EF6" w:rsidRDefault="00313B34" w:rsidP="00313B34">
      <w:pPr>
        <w:pStyle w:val="Bullet"/>
        <w:tabs>
          <w:tab w:val="num" w:pos="397"/>
        </w:tabs>
        <w:spacing w:line="280" w:lineRule="exact"/>
        <w:rPr>
          <w:szCs w:val="22"/>
        </w:rPr>
      </w:pPr>
      <w:r w:rsidRPr="00747EF6">
        <w:rPr>
          <w:szCs w:val="22"/>
        </w:rPr>
        <w:t xml:space="preserve">supported </w:t>
      </w:r>
      <w:r>
        <w:rPr>
          <w:szCs w:val="22"/>
        </w:rPr>
        <w:t>the use of</w:t>
      </w:r>
      <w:r w:rsidRPr="00747EF6">
        <w:rPr>
          <w:szCs w:val="22"/>
        </w:rPr>
        <w:t xml:space="preserve"> existing frameworks to regulate the NZ ETS</w:t>
      </w:r>
    </w:p>
    <w:p w14:paraId="6AD138C1" w14:textId="77777777" w:rsidR="00313B34" w:rsidRPr="00747EF6" w:rsidRDefault="00313B34" w:rsidP="00313B34">
      <w:pPr>
        <w:pStyle w:val="Bullet"/>
        <w:tabs>
          <w:tab w:val="num" w:pos="397"/>
        </w:tabs>
        <w:spacing w:line="280" w:lineRule="exact"/>
      </w:pPr>
      <w:r w:rsidRPr="00747EF6">
        <w:t xml:space="preserve">supported a code of conduct, </w:t>
      </w:r>
      <w:proofErr w:type="gramStart"/>
      <w:r w:rsidRPr="00747EF6">
        <w:t>licensing</w:t>
      </w:r>
      <w:proofErr w:type="gramEnd"/>
      <w:r w:rsidRPr="00747EF6">
        <w:t xml:space="preserve"> and registration of NZU </w:t>
      </w:r>
      <w:r>
        <w:t xml:space="preserve">market </w:t>
      </w:r>
      <w:r w:rsidRPr="00747EF6">
        <w:t>users</w:t>
      </w:r>
    </w:p>
    <w:p w14:paraId="777B2D89" w14:textId="77777777" w:rsidR="00313B34" w:rsidRPr="00747EF6" w:rsidRDefault="00313B34" w:rsidP="00313B34">
      <w:pPr>
        <w:pStyle w:val="Bullet"/>
        <w:tabs>
          <w:tab w:val="num" w:pos="397"/>
        </w:tabs>
        <w:spacing w:line="280" w:lineRule="exact"/>
      </w:pPr>
      <w:r w:rsidRPr="00747EF6">
        <w:t>supported an optional centralised exchange for greater transparency</w:t>
      </w:r>
    </w:p>
    <w:p w14:paraId="4B8ED07D" w14:textId="71F2DFCC" w:rsidR="00313B34" w:rsidRPr="00747EF6" w:rsidRDefault="00313B34" w:rsidP="00313B34">
      <w:pPr>
        <w:pStyle w:val="Bullet"/>
        <w:tabs>
          <w:tab w:val="num" w:pos="397"/>
        </w:tabs>
        <w:spacing w:line="280" w:lineRule="exact"/>
        <w:rPr>
          <w:szCs w:val="22"/>
        </w:rPr>
      </w:pPr>
      <w:r w:rsidRPr="00747EF6">
        <w:rPr>
          <w:szCs w:val="22"/>
        </w:rPr>
        <w:t xml:space="preserve">supported appointment of an appropriately skilled regulator </w:t>
      </w:r>
      <w:r w:rsidR="00CB1C89" w:rsidRPr="00747EF6">
        <w:rPr>
          <w:szCs w:val="22"/>
        </w:rPr>
        <w:t>to</w:t>
      </w:r>
      <w:r w:rsidRPr="00747EF6">
        <w:rPr>
          <w:szCs w:val="22"/>
        </w:rPr>
        <w:t xml:space="preserve"> improve trust, </w:t>
      </w:r>
      <w:proofErr w:type="gramStart"/>
      <w:r w:rsidRPr="00747EF6">
        <w:rPr>
          <w:szCs w:val="22"/>
        </w:rPr>
        <w:t>efficiency</w:t>
      </w:r>
      <w:proofErr w:type="gramEnd"/>
      <w:r w:rsidRPr="00747EF6">
        <w:rPr>
          <w:szCs w:val="22"/>
        </w:rPr>
        <w:t xml:space="preserve"> and confidence in the NZ ETS. </w:t>
      </w:r>
    </w:p>
    <w:p w14:paraId="40E11EA8" w14:textId="177FE029" w:rsidR="00313B34" w:rsidRPr="00747EF6" w:rsidRDefault="00313B34" w:rsidP="00313B34">
      <w:pPr>
        <w:pStyle w:val="BodyText"/>
      </w:pPr>
      <w:r w:rsidRPr="00747EF6">
        <w:t xml:space="preserve">This 2022 targeted engagement continues the consultation process. </w:t>
      </w:r>
      <w:r w:rsidRPr="00257E8B">
        <w:t>Some stakeholders suggested</w:t>
      </w:r>
      <w:r w:rsidR="0018311F">
        <w:t xml:space="preserve">, in response to </w:t>
      </w:r>
      <w:r w:rsidR="00C86054">
        <w:t>an earlier</w:t>
      </w:r>
      <w:r w:rsidRPr="00257E8B">
        <w:t xml:space="preserve"> </w:t>
      </w:r>
      <w:r w:rsidRPr="00747EF6">
        <w:t>consultation</w:t>
      </w:r>
      <w:r w:rsidR="0018311F">
        <w:t>,</w:t>
      </w:r>
      <w:r w:rsidRPr="00747EF6">
        <w:t xml:space="preserve"> </w:t>
      </w:r>
      <w:r w:rsidRPr="00257E8B">
        <w:t xml:space="preserve">that </w:t>
      </w:r>
      <w:r w:rsidRPr="00747EF6">
        <w:t>we should consider leveraging the existing financial market framework and policy tools. For this reason, we are seeking your feedback on:</w:t>
      </w:r>
    </w:p>
    <w:p w14:paraId="1761E54E" w14:textId="77777777" w:rsidR="00313B34" w:rsidRPr="00747EF6" w:rsidRDefault="00313B34" w:rsidP="00313B34">
      <w:pPr>
        <w:pStyle w:val="Bullet"/>
        <w:tabs>
          <w:tab w:val="num" w:pos="397"/>
        </w:tabs>
        <w:spacing w:line="280" w:lineRule="exact"/>
      </w:pPr>
      <w:r w:rsidRPr="00747EF6">
        <w:t>treating NZUs as a financial product</w:t>
      </w:r>
    </w:p>
    <w:p w14:paraId="21A6A5BF" w14:textId="77777777" w:rsidR="00D061BE" w:rsidRPr="00747EF6" w:rsidRDefault="00D061BE" w:rsidP="00D061BE">
      <w:pPr>
        <w:pStyle w:val="Bullet"/>
        <w:tabs>
          <w:tab w:val="num" w:pos="397"/>
        </w:tabs>
        <w:spacing w:line="280" w:lineRule="exact"/>
      </w:pPr>
      <w:r w:rsidRPr="00747EF6">
        <w:t xml:space="preserve">treating financial advice relating to NZUs as a financial advice service </w:t>
      </w:r>
    </w:p>
    <w:p w14:paraId="11316403" w14:textId="77777777" w:rsidR="00D061BE" w:rsidRPr="00747EF6" w:rsidRDefault="00D061BE" w:rsidP="00D061BE">
      <w:pPr>
        <w:pStyle w:val="Bullet"/>
        <w:tabs>
          <w:tab w:val="num" w:pos="397"/>
        </w:tabs>
        <w:spacing w:line="280" w:lineRule="exact"/>
      </w:pPr>
      <w:r w:rsidRPr="00747EF6">
        <w:t>treating market risks in the NZU market as financial risks</w:t>
      </w:r>
    </w:p>
    <w:p w14:paraId="2ED66F7A" w14:textId="77777777" w:rsidR="00D061BE" w:rsidRPr="00747EF6" w:rsidRDefault="00D061BE" w:rsidP="00D061BE">
      <w:pPr>
        <w:pStyle w:val="Bullet"/>
        <w:tabs>
          <w:tab w:val="num" w:pos="397"/>
        </w:tabs>
        <w:spacing w:line="280" w:lineRule="exact"/>
      </w:pPr>
      <w:r w:rsidRPr="00747EF6">
        <w:t>including the NZU market under existing financial frameworks legislation</w:t>
      </w:r>
    </w:p>
    <w:p w14:paraId="737F717C" w14:textId="77777777" w:rsidR="00D061BE" w:rsidRPr="00747EF6" w:rsidRDefault="00D061BE" w:rsidP="00D061BE">
      <w:pPr>
        <w:pStyle w:val="Bullet"/>
        <w:tabs>
          <w:tab w:val="num" w:pos="397"/>
        </w:tabs>
        <w:spacing w:line="280" w:lineRule="exact"/>
      </w:pPr>
      <w:r w:rsidRPr="00747EF6">
        <w:t xml:space="preserve">appointing the </w:t>
      </w:r>
      <w:r>
        <w:t>Financial Markets Authority (</w:t>
      </w:r>
      <w:r w:rsidRPr="00747EF6">
        <w:t>FMA</w:t>
      </w:r>
      <w:r>
        <w:t>)</w:t>
      </w:r>
      <w:r w:rsidRPr="00747EF6">
        <w:t xml:space="preserve"> to oversee and regulate the NZ</w:t>
      </w:r>
      <w:r>
        <w:t xml:space="preserve">U </w:t>
      </w:r>
      <w:r w:rsidRPr="00747EF6">
        <w:t>market.</w:t>
      </w:r>
    </w:p>
    <w:p w14:paraId="7B319DE6" w14:textId="77777777" w:rsidR="00D061BE" w:rsidRPr="00747EF6" w:rsidRDefault="00D061BE" w:rsidP="00D061BE">
      <w:pPr>
        <w:pStyle w:val="BodyText"/>
      </w:pPr>
      <w:r w:rsidRPr="00747EF6">
        <w:t xml:space="preserve">We also seek your feedback on other matters, such as </w:t>
      </w:r>
      <w:r w:rsidRPr="00747EF6">
        <w:rPr>
          <w:rFonts w:asciiTheme="minorHAnsi" w:hAnsiTheme="minorHAnsi" w:cstheme="minorHAnsi"/>
        </w:rPr>
        <w:t xml:space="preserve">the financial and administrative impacts of leveraging policy tools from the FMC Act and the AML/CFT Act, and what alternative market governance </w:t>
      </w:r>
      <w:r w:rsidRPr="004E323C">
        <w:t>proposals</w:t>
      </w:r>
      <w:r w:rsidRPr="00747EF6">
        <w:rPr>
          <w:rFonts w:asciiTheme="minorHAnsi" w:hAnsiTheme="minorHAnsi" w:cstheme="minorHAnsi"/>
        </w:rPr>
        <w:t xml:space="preserve"> we should consider </w:t>
      </w:r>
      <w:proofErr w:type="gramStart"/>
      <w:r w:rsidRPr="00747EF6">
        <w:rPr>
          <w:rFonts w:asciiTheme="minorHAnsi" w:hAnsiTheme="minorHAnsi" w:cstheme="minorHAnsi"/>
        </w:rPr>
        <w:t xml:space="preserve">to </w:t>
      </w:r>
      <w:r>
        <w:rPr>
          <w:rFonts w:asciiTheme="minorHAnsi" w:hAnsiTheme="minorHAnsi" w:cstheme="minorHAnsi"/>
        </w:rPr>
        <w:t>mitigate</w:t>
      </w:r>
      <w:proofErr w:type="gramEnd"/>
      <w:r w:rsidRPr="00747EF6">
        <w:rPr>
          <w:rFonts w:asciiTheme="minorHAnsi" w:hAnsiTheme="minorHAnsi" w:cstheme="minorHAnsi"/>
        </w:rPr>
        <w:t xml:space="preserve"> the seven</w:t>
      </w:r>
      <w:r>
        <w:rPr>
          <w:rFonts w:asciiTheme="minorHAnsi" w:hAnsiTheme="minorHAnsi" w:cstheme="minorHAnsi"/>
        </w:rPr>
        <w:t xml:space="preserve"> identified</w:t>
      </w:r>
      <w:r w:rsidRPr="00747EF6">
        <w:rPr>
          <w:rFonts w:asciiTheme="minorHAnsi" w:hAnsiTheme="minorHAnsi" w:cstheme="minorHAnsi"/>
        </w:rPr>
        <w:t xml:space="preserve"> risks.</w:t>
      </w:r>
    </w:p>
    <w:p w14:paraId="39838A80" w14:textId="77777777" w:rsidR="00D061BE" w:rsidRDefault="00D061BE" w:rsidP="00D061BE">
      <w:pPr>
        <w:pStyle w:val="BodyText"/>
        <w:sectPr w:rsidR="00D061BE" w:rsidSect="008A7498">
          <w:pgSz w:w="11907" w:h="16840" w:code="9"/>
          <w:pgMar w:top="1134" w:right="1701" w:bottom="1134" w:left="1701" w:header="567" w:footer="567" w:gutter="0"/>
          <w:cols w:space="720"/>
          <w:docGrid w:linePitch="299"/>
        </w:sectPr>
      </w:pPr>
      <w:r w:rsidRPr="00257E8B">
        <w:t xml:space="preserve">While we have in this document expressed a preference for </w:t>
      </w:r>
      <w:proofErr w:type="gramStart"/>
      <w:r w:rsidRPr="00257E8B">
        <w:t>particular options</w:t>
      </w:r>
      <w:proofErr w:type="gramEnd"/>
      <w:r w:rsidRPr="00257E8B">
        <w:t>, we are open to feedback on what may and may not work in practice and how effective the options are likely to be.</w:t>
      </w:r>
    </w:p>
    <w:p w14:paraId="0665136A" w14:textId="77777777" w:rsidR="00D061BE" w:rsidRPr="00747EF6" w:rsidRDefault="00D061BE" w:rsidP="00D061BE">
      <w:pPr>
        <w:pStyle w:val="Heading1"/>
      </w:pPr>
      <w:bookmarkStart w:id="14" w:name="_Toc116391400"/>
      <w:bookmarkStart w:id="15" w:name="_Toc118703517"/>
      <w:bookmarkStart w:id="16" w:name="_Toc118953570"/>
      <w:r w:rsidRPr="00747EF6">
        <w:lastRenderedPageBreak/>
        <w:t>Context</w:t>
      </w:r>
      <w:bookmarkEnd w:id="14"/>
      <w:bookmarkEnd w:id="15"/>
      <w:bookmarkEnd w:id="16"/>
    </w:p>
    <w:p w14:paraId="6EA684D9" w14:textId="77777777" w:rsidR="00D061BE" w:rsidRPr="00747EF6" w:rsidRDefault="00D061BE" w:rsidP="00D061BE">
      <w:pPr>
        <w:pStyle w:val="BodyText"/>
      </w:pPr>
      <w:r w:rsidRPr="00747EF6">
        <w:t xml:space="preserve">The NZ ETS is critical to meeting emissions reduction targets in </w:t>
      </w:r>
      <w:r>
        <w:t xml:space="preserve">Aotearoa </w:t>
      </w:r>
      <w:r w:rsidRPr="00747EF6">
        <w:t xml:space="preserve">New Zealand. The </w:t>
      </w:r>
      <w:r>
        <w:t>G</w:t>
      </w:r>
      <w:r w:rsidRPr="00747EF6">
        <w:t xml:space="preserve">overnment is committed to responding to climate change by transitioning to a climate-resilient economy in a manner that is fair to all New Zealanders. </w:t>
      </w:r>
    </w:p>
    <w:p w14:paraId="054373A5" w14:textId="77777777" w:rsidR="00D061BE" w:rsidRPr="00747EF6" w:rsidRDefault="00D061BE" w:rsidP="00D061BE">
      <w:pPr>
        <w:pStyle w:val="BodyText"/>
      </w:pPr>
      <w:r w:rsidRPr="00747EF6">
        <w:t xml:space="preserve">The </w:t>
      </w:r>
      <w:hyperlink r:id="rId24" w:history="1">
        <w:r w:rsidRPr="00F719FF">
          <w:rPr>
            <w:rStyle w:val="Hyperlink"/>
          </w:rPr>
          <w:t>Climate Change Response Act 2002</w:t>
        </w:r>
      </w:hyperlink>
      <w:r w:rsidRPr="00747EF6">
        <w:t xml:space="preserve"> (CCRA) established the NZ ETS in 2008 as an important tool for meeting our international and domestic emissions targets. The NZ ETS puts a price on greenhouse gas emissions by requiring people and businesses covered by the scheme (NZ ETS participants) to purchase and surrender </w:t>
      </w:r>
      <w:r>
        <w:t>NZUs</w:t>
      </w:r>
      <w:r w:rsidRPr="00747EF6">
        <w:t xml:space="preserve"> to the </w:t>
      </w:r>
      <w:r>
        <w:t>G</w:t>
      </w:r>
      <w:r w:rsidRPr="00747EF6">
        <w:t>overnment for their emissions.</w:t>
      </w:r>
    </w:p>
    <w:p w14:paraId="07B82955" w14:textId="77777777" w:rsidR="00D061BE" w:rsidRPr="00747EF6" w:rsidRDefault="00D061BE" w:rsidP="00D061BE">
      <w:pPr>
        <w:pStyle w:val="BodyText"/>
      </w:pPr>
      <w:r w:rsidRPr="00747EF6">
        <w:t xml:space="preserve">In the NZ ETS, the primary market includes the supply of NZUs from the Government </w:t>
      </w:r>
      <w:r>
        <w:t>to NZ ETS participants</w:t>
      </w:r>
      <w:r w:rsidRPr="00747EF6">
        <w:t xml:space="preserve">. The secondary market is where previously issued NZUs are bought and sold. The Government sets the number of units supplied into the scheme. This number reduces over time, limiting the total amount that people and businesses can emit, in line with </w:t>
      </w:r>
      <w:r>
        <w:t xml:space="preserve">Aotearoa </w:t>
      </w:r>
      <w:r w:rsidRPr="00747EF6">
        <w:t>New Zealand’s emissions reduction targets.</w:t>
      </w:r>
    </w:p>
    <w:p w14:paraId="3F1651AF" w14:textId="1FC75093" w:rsidR="00D061BE" w:rsidRPr="00747EF6" w:rsidRDefault="00D061BE" w:rsidP="00D061BE">
      <w:pPr>
        <w:pStyle w:val="BodyText"/>
      </w:pPr>
      <w:r w:rsidRPr="00747EF6">
        <w:t>A review of the NZ ETS in 2015/16</w:t>
      </w:r>
      <w:r w:rsidRPr="00747EF6">
        <w:rPr>
          <w:rStyle w:val="FootnoteReference"/>
        </w:rPr>
        <w:footnoteReference w:id="9"/>
      </w:r>
      <w:r w:rsidRPr="00747EF6">
        <w:t xml:space="preserve"> found that the framework is incomplete and could be improved. The review resulted in proposals to improve the NZ </w:t>
      </w:r>
      <w:proofErr w:type="gramStart"/>
      <w:r w:rsidRPr="00747EF6">
        <w:t>ETS</w:t>
      </w:r>
      <w:proofErr w:type="gramEnd"/>
      <w:r w:rsidRPr="00747EF6">
        <w:t xml:space="preserve"> so it supports the climate-resilient transition</w:t>
      </w:r>
      <w:r w:rsidR="00761116">
        <w:t xml:space="preserve"> more </w:t>
      </w:r>
      <w:r w:rsidR="00BF152F" w:rsidRPr="00747EF6">
        <w:t>effectively</w:t>
      </w:r>
      <w:r w:rsidRPr="00747EF6">
        <w:t>. The review acknowledged a need for good governance</w:t>
      </w:r>
      <w:r>
        <w:t>,</w:t>
      </w:r>
      <w:r w:rsidRPr="00747EF6">
        <w:t xml:space="preserve"> to ensure consistency and alignment to improve operational efficiencies.</w:t>
      </w:r>
    </w:p>
    <w:p w14:paraId="56487C11" w14:textId="0562A453" w:rsidR="00D061BE" w:rsidRPr="00747EF6" w:rsidRDefault="00D061BE" w:rsidP="00D061BE">
      <w:pPr>
        <w:pStyle w:val="BodyText"/>
      </w:pPr>
      <w:r>
        <w:t>‘</w:t>
      </w:r>
      <w:r w:rsidRPr="00747EF6">
        <w:t>Market governance</w:t>
      </w:r>
      <w:r>
        <w:t>’</w:t>
      </w:r>
      <w:r w:rsidRPr="00747EF6">
        <w:t xml:space="preserve"> refers to the rules and oversight of different types of conduct in the NZ ETS market where NZUs are traded. This includes conduct that overlaps within the primary and secondary market of the NZ ETS. We refer to this as the NZU market, to differentiate the purpose of market governance reform within the wider purpose of the NZ ETS as an emissions reduction scheme.</w:t>
      </w:r>
    </w:p>
    <w:p w14:paraId="35CC7BAE" w14:textId="3C6ADC69" w:rsidR="00D061BE" w:rsidRPr="00747EF6" w:rsidRDefault="00D061BE" w:rsidP="00D061BE">
      <w:pPr>
        <w:pStyle w:val="BodyText"/>
      </w:pPr>
      <w:r w:rsidRPr="00747EF6">
        <w:t xml:space="preserve">The </w:t>
      </w:r>
      <w:r>
        <w:t xml:space="preserve">risks to the NZ ETS scheme due to insufficient market governance have been noted by </w:t>
      </w:r>
      <w:r w:rsidR="003C3DAD">
        <w:t>the Ministry for the Environment</w:t>
      </w:r>
      <w:r w:rsidRPr="00747EF6">
        <w:t>,</w:t>
      </w:r>
      <w:r w:rsidRPr="00747EF6">
        <w:rPr>
          <w:rStyle w:val="FootnoteReference"/>
        </w:rPr>
        <w:footnoteReference w:id="10"/>
      </w:r>
      <w:r>
        <w:t xml:space="preserve"> the </w:t>
      </w:r>
      <w:r w:rsidRPr="00747EF6">
        <w:t>Climate Change Commission,</w:t>
      </w:r>
      <w:r w:rsidRPr="00747EF6">
        <w:rPr>
          <w:rStyle w:val="FootnoteReference"/>
        </w:rPr>
        <w:footnoteReference w:id="11"/>
      </w:r>
      <w:r w:rsidRPr="00747EF6">
        <w:t xml:space="preserve"> </w:t>
      </w:r>
      <w:r>
        <w:t xml:space="preserve">the </w:t>
      </w:r>
      <w:r w:rsidRPr="00747EF6">
        <w:t>Productivity Commission,</w:t>
      </w:r>
      <w:r w:rsidRPr="00747EF6">
        <w:rPr>
          <w:rStyle w:val="FootnoteReference"/>
        </w:rPr>
        <w:footnoteReference w:id="12"/>
      </w:r>
      <w:r w:rsidRPr="00747EF6">
        <w:t xml:space="preserve"> and the Government</w:t>
      </w:r>
      <w:r>
        <w:t>.</w:t>
      </w:r>
      <w:r w:rsidRPr="00747EF6">
        <w:rPr>
          <w:rStyle w:val="FootnoteReference"/>
        </w:rPr>
        <w:footnoteReference w:id="13"/>
      </w:r>
    </w:p>
    <w:p w14:paraId="00B1A472" w14:textId="77777777" w:rsidR="00D061BE" w:rsidRPr="00747EF6" w:rsidRDefault="00D061BE" w:rsidP="00D061BE">
      <w:pPr>
        <w:pStyle w:val="BodyText"/>
      </w:pPr>
      <w:r w:rsidRPr="00747EF6">
        <w:t xml:space="preserve">At present, the NZU market lacks an </w:t>
      </w:r>
      <w:r w:rsidRPr="00747EF6">
        <w:rPr>
          <w:rFonts w:cs="Arial"/>
        </w:rPr>
        <w:t xml:space="preserve">integrated legislative framework to address misconduct. </w:t>
      </w:r>
      <w:r w:rsidRPr="00747EF6">
        <w:t xml:space="preserve">A comprehensive framework facilitates a well-functioning market and protects the integrity of the scheme. A robust framework could also facilitate links with international emissions trading schemes. </w:t>
      </w:r>
    </w:p>
    <w:p w14:paraId="39FE61E9" w14:textId="77777777" w:rsidR="00D061BE" w:rsidRPr="00747EF6" w:rsidRDefault="00D061BE" w:rsidP="00D061BE">
      <w:pPr>
        <w:pStyle w:val="BodyText"/>
      </w:pPr>
      <w:r w:rsidRPr="00747EF6">
        <w:t xml:space="preserve">Improving the NZU market can contribute to </w:t>
      </w:r>
      <w:r>
        <w:t xml:space="preserve">Aotearoa </w:t>
      </w:r>
      <w:r w:rsidRPr="00747EF6">
        <w:t>New Zealand reaching international and domestic emissions reduction targets and make a just and inclusive transition to a low-emission economy.</w:t>
      </w:r>
    </w:p>
    <w:p w14:paraId="6EFEFFD5" w14:textId="77777777" w:rsidR="00D061BE" w:rsidRPr="00747EF6" w:rsidRDefault="00D061BE" w:rsidP="00D061BE">
      <w:pPr>
        <w:pStyle w:val="Heading3"/>
      </w:pPr>
      <w:r w:rsidRPr="00747EF6">
        <w:lastRenderedPageBreak/>
        <w:t xml:space="preserve">The NZ ETS is unique </w:t>
      </w:r>
      <w:r>
        <w:t>among</w:t>
      </w:r>
      <w:r w:rsidRPr="00747EF6">
        <w:t xml:space="preserve"> international emissions trading schemes</w:t>
      </w:r>
    </w:p>
    <w:p w14:paraId="47A99207" w14:textId="39F74971" w:rsidR="00D061BE" w:rsidRPr="00747EF6" w:rsidRDefault="00D061BE" w:rsidP="00D061BE">
      <w:pPr>
        <w:pStyle w:val="BodyText"/>
      </w:pPr>
      <w:r w:rsidRPr="00747EF6">
        <w:t xml:space="preserve">The NZ ETS is </w:t>
      </w:r>
      <w:r>
        <w:t>different to most</w:t>
      </w:r>
      <w:r w:rsidRPr="00747EF6">
        <w:t xml:space="preserve"> international emissions trading schemes in that it has a forestry sector</w:t>
      </w:r>
      <w:r w:rsidR="00757D9C">
        <w:t xml:space="preserve"> that</w:t>
      </w:r>
      <w:r w:rsidRPr="00747EF6">
        <w:t xml:space="preserve"> generates </w:t>
      </w:r>
      <w:r>
        <w:t>NZUs</w:t>
      </w:r>
      <w:r w:rsidR="00EC2CE9">
        <w:t>, which</w:t>
      </w:r>
      <w:r w:rsidRPr="00747EF6" w:rsidDel="00EC002B">
        <w:t xml:space="preserve"> </w:t>
      </w:r>
      <w:r w:rsidRPr="00747EF6">
        <w:t>can be made available to other NZU market users.</w:t>
      </w:r>
    </w:p>
    <w:p w14:paraId="4F53F5ED" w14:textId="77777777" w:rsidR="00D061BE" w:rsidRPr="00747EF6" w:rsidRDefault="00D061BE" w:rsidP="00D061BE">
      <w:pPr>
        <w:pStyle w:val="BodyText"/>
      </w:pPr>
      <w:r w:rsidRPr="00747EF6">
        <w:t>However, there is a</w:t>
      </w:r>
      <w:r>
        <w:t xml:space="preserve"> higher</w:t>
      </w:r>
      <w:r w:rsidRPr="00747EF6">
        <w:t xml:space="preserve"> level of regulation apparent in other international emissions trading schemes</w:t>
      </w:r>
      <w:r>
        <w:t>, when compared to</w:t>
      </w:r>
      <w:r w:rsidRPr="00747EF6">
        <w:t xml:space="preserve"> the NZ ETS and the NZU market.</w:t>
      </w:r>
      <w:r w:rsidRPr="00747EF6">
        <w:rPr>
          <w:rStyle w:val="FootnoteReference"/>
        </w:rPr>
        <w:t xml:space="preserve"> </w:t>
      </w:r>
    </w:p>
    <w:p w14:paraId="630E67B4" w14:textId="77777777" w:rsidR="00D061BE" w:rsidRPr="00747EF6" w:rsidRDefault="00D061BE" w:rsidP="00D061BE">
      <w:pPr>
        <w:pStyle w:val="BodyText"/>
      </w:pPr>
      <w:r>
        <w:t>International e</w:t>
      </w:r>
      <w:r w:rsidRPr="00747EF6">
        <w:t>missions trading schemes use a range of approaches and tools to regulate and monitor trading and conduct in their schemes. In the NZU market, conduct between participants lack</w:t>
      </w:r>
      <w:r>
        <w:t>s</w:t>
      </w:r>
      <w:r w:rsidRPr="00747EF6">
        <w:t xml:space="preserve"> this level of regulation.</w:t>
      </w:r>
    </w:p>
    <w:p w14:paraId="3AAD3FBB" w14:textId="77777777" w:rsidR="00D061BE" w:rsidRDefault="00D061BE" w:rsidP="00D061BE">
      <w:pPr>
        <w:pStyle w:val="BodyText"/>
      </w:pPr>
      <w:r w:rsidRPr="00747EF6">
        <w:t>Despite these differences, comparative review can provide important lessons for market governance in the</w:t>
      </w:r>
      <w:r w:rsidRPr="00747EF6" w:rsidDel="00883356">
        <w:t xml:space="preserve"> </w:t>
      </w:r>
      <w:r w:rsidRPr="00747EF6">
        <w:t xml:space="preserve">NZU market. Many international emissions trading schemes include emissions allowances as a financial instrument under their own definitions, with regulation by their respective financial market authorities. </w:t>
      </w:r>
      <w:r>
        <w:fldChar w:fldCharType="begin"/>
      </w:r>
      <w:r>
        <w:instrText xml:space="preserve"> REF _Ref118369128 \h </w:instrText>
      </w:r>
      <w:r>
        <w:fldChar w:fldCharType="separate"/>
      </w:r>
      <w:r w:rsidR="00C67DAB">
        <w:t xml:space="preserve">Table </w:t>
      </w:r>
      <w:r w:rsidR="00C67DAB">
        <w:rPr>
          <w:noProof/>
        </w:rPr>
        <w:t>2</w:t>
      </w:r>
      <w:r>
        <w:fldChar w:fldCharType="end"/>
      </w:r>
      <w:r>
        <w:t xml:space="preserve"> </w:t>
      </w:r>
      <w:r w:rsidRPr="00747EF6">
        <w:t>summarises the various approaches to market risks taken by international emissions trading schemes.</w:t>
      </w:r>
    </w:p>
    <w:p w14:paraId="2372AC85" w14:textId="77777777" w:rsidR="00D061BE" w:rsidRDefault="00D061BE" w:rsidP="00D061BE">
      <w:pPr>
        <w:pStyle w:val="BodyText"/>
        <w:sectPr w:rsidR="00D061BE" w:rsidSect="008A7498">
          <w:pgSz w:w="11907" w:h="16840" w:code="9"/>
          <w:pgMar w:top="1134" w:right="1701" w:bottom="1134" w:left="1701" w:header="567" w:footer="567" w:gutter="0"/>
          <w:cols w:space="720"/>
          <w:docGrid w:linePitch="299"/>
        </w:sectPr>
      </w:pPr>
    </w:p>
    <w:p w14:paraId="01513E04" w14:textId="77777777" w:rsidR="00D061BE" w:rsidRDefault="00D061BE" w:rsidP="00D061BE">
      <w:pPr>
        <w:pStyle w:val="Tableheading"/>
      </w:pPr>
      <w:bookmarkStart w:id="17" w:name="_Ref118369128"/>
      <w:bookmarkStart w:id="18" w:name="_Toc118953820"/>
      <w:r>
        <w:lastRenderedPageBreak/>
        <w:t xml:space="preserve">Table </w:t>
      </w:r>
      <w:fldSimple w:instr=" SEQ Table \* ARABIC ">
        <w:r w:rsidR="00C67DAB">
          <w:rPr>
            <w:noProof/>
          </w:rPr>
          <w:t>2</w:t>
        </w:r>
      </w:fldSimple>
      <w:bookmarkEnd w:id="17"/>
      <w:r>
        <w:t xml:space="preserve">: </w:t>
      </w:r>
      <w:r>
        <w:tab/>
      </w:r>
      <w:r w:rsidRPr="006A6E32">
        <w:t>Treatment of market risks in international carbon markets</w:t>
      </w:r>
      <w:bookmarkEnd w:id="18"/>
    </w:p>
    <w:tbl>
      <w:tblPr>
        <w:tblStyle w:val="MinistryfortheEnvironment"/>
        <w:tblW w:w="13926" w:type="dxa"/>
        <w:tblInd w:w="108" w:type="dxa"/>
        <w:tblLayout w:type="fixed"/>
        <w:tblLook w:val="04A0" w:firstRow="1" w:lastRow="0" w:firstColumn="1" w:lastColumn="0" w:noHBand="0" w:noVBand="1"/>
      </w:tblPr>
      <w:tblGrid>
        <w:gridCol w:w="1735"/>
        <w:gridCol w:w="1242"/>
        <w:gridCol w:w="1559"/>
        <w:gridCol w:w="1843"/>
        <w:gridCol w:w="2268"/>
        <w:gridCol w:w="1631"/>
        <w:gridCol w:w="2055"/>
        <w:gridCol w:w="1593"/>
      </w:tblGrid>
      <w:tr w:rsidR="00D061BE" w:rsidRPr="00747EF6" w14:paraId="5AD6809E" w14:textId="77777777" w:rsidTr="00713281">
        <w:trPr>
          <w:cnfStyle w:val="100000000000" w:firstRow="1" w:lastRow="0" w:firstColumn="0" w:lastColumn="0" w:oddVBand="0" w:evenVBand="0" w:oddHBand="0" w:evenHBand="0" w:firstRowFirstColumn="0" w:firstRowLastColumn="0" w:lastRowFirstColumn="0" w:lastRowLastColumn="0"/>
          <w:trHeight w:val="340"/>
        </w:trPr>
        <w:tc>
          <w:tcPr>
            <w:tcW w:w="1735" w:type="dxa"/>
            <w:tcBorders>
              <w:bottom w:val="single" w:sz="4" w:space="0" w:color="1B556B"/>
            </w:tcBorders>
          </w:tcPr>
          <w:p w14:paraId="24C4CECF" w14:textId="77777777" w:rsidR="00D061BE" w:rsidRPr="00747EF6" w:rsidRDefault="00D061BE" w:rsidP="0066202A">
            <w:pPr>
              <w:spacing w:before="60" w:after="60" w:line="240" w:lineRule="auto"/>
              <w:jc w:val="left"/>
              <w:rPr>
                <w:rFonts w:asciiTheme="minorHAnsi" w:hAnsiTheme="minorHAnsi" w:cstheme="minorHAnsi"/>
                <w:sz w:val="18"/>
                <w:szCs w:val="18"/>
              </w:rPr>
            </w:pPr>
          </w:p>
        </w:tc>
        <w:tc>
          <w:tcPr>
            <w:tcW w:w="1242" w:type="dxa"/>
            <w:tcBorders>
              <w:bottom w:val="single" w:sz="4" w:space="0" w:color="1B556B"/>
            </w:tcBorders>
          </w:tcPr>
          <w:p w14:paraId="2D3EAD40" w14:textId="77777777" w:rsidR="00D061BE" w:rsidRPr="00747EF6" w:rsidRDefault="00D061BE" w:rsidP="0066202A">
            <w:pPr>
              <w:spacing w:before="60" w:after="60" w:line="240" w:lineRule="auto"/>
              <w:jc w:val="left"/>
              <w:rPr>
                <w:rFonts w:asciiTheme="minorHAnsi" w:hAnsiTheme="minorHAnsi" w:cstheme="minorHAnsi"/>
                <w:sz w:val="18"/>
                <w:szCs w:val="18"/>
              </w:rPr>
            </w:pPr>
            <w:r>
              <w:rPr>
                <w:rFonts w:asciiTheme="minorHAnsi" w:hAnsiTheme="minorHAnsi" w:cstheme="minorHAnsi"/>
                <w:sz w:val="18"/>
                <w:szCs w:val="18"/>
              </w:rPr>
              <w:t>European Union</w:t>
            </w:r>
          </w:p>
        </w:tc>
        <w:tc>
          <w:tcPr>
            <w:tcW w:w="1559" w:type="dxa"/>
            <w:tcBorders>
              <w:bottom w:val="single" w:sz="4" w:space="0" w:color="1B556B"/>
            </w:tcBorders>
          </w:tcPr>
          <w:p w14:paraId="58892B41"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California</w:t>
            </w:r>
          </w:p>
        </w:tc>
        <w:tc>
          <w:tcPr>
            <w:tcW w:w="1843" w:type="dxa"/>
            <w:tcBorders>
              <w:bottom w:val="single" w:sz="4" w:space="0" w:color="1B556B"/>
            </w:tcBorders>
          </w:tcPr>
          <w:p w14:paraId="214D4B3F"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Quebec</w:t>
            </w:r>
          </w:p>
        </w:tc>
        <w:tc>
          <w:tcPr>
            <w:tcW w:w="2268" w:type="dxa"/>
            <w:tcBorders>
              <w:bottom w:val="single" w:sz="4" w:space="0" w:color="1B556B"/>
            </w:tcBorders>
          </w:tcPr>
          <w:p w14:paraId="2D4C7DF7" w14:textId="77777777" w:rsidR="00D061BE" w:rsidRPr="00747EF6" w:rsidRDefault="00D061BE" w:rsidP="0066202A">
            <w:pPr>
              <w:spacing w:before="60" w:after="60" w:line="240" w:lineRule="auto"/>
              <w:jc w:val="left"/>
              <w:rPr>
                <w:rFonts w:asciiTheme="minorHAnsi" w:hAnsiTheme="minorHAnsi" w:cstheme="minorHAnsi"/>
                <w:sz w:val="18"/>
                <w:szCs w:val="18"/>
              </w:rPr>
            </w:pPr>
            <w:r>
              <w:rPr>
                <w:rFonts w:asciiTheme="minorHAnsi" w:hAnsiTheme="minorHAnsi" w:cstheme="minorHAnsi"/>
                <w:sz w:val="18"/>
                <w:szCs w:val="18"/>
              </w:rPr>
              <w:t>United Kingdom</w:t>
            </w:r>
          </w:p>
        </w:tc>
        <w:tc>
          <w:tcPr>
            <w:tcW w:w="1631" w:type="dxa"/>
            <w:tcBorders>
              <w:bottom w:val="single" w:sz="4" w:space="0" w:color="1B556B"/>
            </w:tcBorders>
          </w:tcPr>
          <w:p w14:paraId="6A892A8B"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Australia</w:t>
            </w:r>
          </w:p>
        </w:tc>
        <w:tc>
          <w:tcPr>
            <w:tcW w:w="2055" w:type="dxa"/>
            <w:tcBorders>
              <w:bottom w:val="single" w:sz="4" w:space="0" w:color="1B556B"/>
            </w:tcBorders>
          </w:tcPr>
          <w:p w14:paraId="2B321115"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Switzerland</w:t>
            </w:r>
          </w:p>
        </w:tc>
        <w:tc>
          <w:tcPr>
            <w:tcW w:w="1593" w:type="dxa"/>
            <w:tcBorders>
              <w:bottom w:val="single" w:sz="4" w:space="0" w:color="1B556B"/>
            </w:tcBorders>
          </w:tcPr>
          <w:p w14:paraId="3AC60C66" w14:textId="77777777" w:rsidR="00D061BE" w:rsidRPr="00747EF6" w:rsidRDefault="00D061BE" w:rsidP="0066202A">
            <w:pPr>
              <w:spacing w:before="60" w:after="60" w:line="240" w:lineRule="auto"/>
              <w:jc w:val="left"/>
              <w:rPr>
                <w:rFonts w:asciiTheme="minorHAnsi" w:hAnsiTheme="minorHAnsi" w:cstheme="minorHAnsi"/>
                <w:sz w:val="18"/>
                <w:szCs w:val="18"/>
              </w:rPr>
            </w:pPr>
            <w:r>
              <w:rPr>
                <w:rFonts w:asciiTheme="minorHAnsi" w:hAnsiTheme="minorHAnsi" w:cstheme="minorHAnsi"/>
                <w:sz w:val="18"/>
                <w:szCs w:val="18"/>
              </w:rPr>
              <w:t xml:space="preserve">Aotearoa </w:t>
            </w:r>
            <w:r w:rsidRPr="00747EF6">
              <w:rPr>
                <w:rFonts w:asciiTheme="minorHAnsi" w:hAnsiTheme="minorHAnsi" w:cstheme="minorHAnsi"/>
                <w:sz w:val="18"/>
                <w:szCs w:val="18"/>
              </w:rPr>
              <w:t>New Zealand</w:t>
            </w:r>
          </w:p>
        </w:tc>
      </w:tr>
      <w:tr w:rsidR="00D061BE" w:rsidRPr="00747EF6" w14:paraId="50468C46" w14:textId="77777777" w:rsidTr="00713281">
        <w:trPr>
          <w:cnfStyle w:val="000000100000" w:firstRow="0" w:lastRow="0" w:firstColumn="0" w:lastColumn="0" w:oddVBand="0" w:evenVBand="0" w:oddHBand="1" w:evenHBand="0" w:firstRowFirstColumn="0" w:firstRowLastColumn="0" w:lastRowFirstColumn="0" w:lastRowLastColumn="0"/>
          <w:trHeight w:val="974"/>
        </w:trPr>
        <w:tc>
          <w:tcPr>
            <w:tcW w:w="1735" w:type="dxa"/>
            <w:tcBorders>
              <w:top w:val="single" w:sz="4" w:space="0" w:color="1B556B"/>
              <w:bottom w:val="single" w:sz="4" w:space="0" w:color="1B556B"/>
              <w:right w:val="single" w:sz="4" w:space="0" w:color="1B556B"/>
            </w:tcBorders>
          </w:tcPr>
          <w:p w14:paraId="721105E3" w14:textId="77777777" w:rsidR="00D061BE" w:rsidRPr="00747EF6" w:rsidRDefault="00D061BE" w:rsidP="0066202A">
            <w:pPr>
              <w:spacing w:before="60" w:after="60" w:line="240" w:lineRule="auto"/>
              <w:jc w:val="left"/>
              <w:rPr>
                <w:rFonts w:asciiTheme="minorHAnsi" w:hAnsiTheme="minorHAnsi" w:cstheme="minorHAnsi"/>
                <w:b/>
                <w:sz w:val="18"/>
                <w:szCs w:val="18"/>
              </w:rPr>
            </w:pPr>
            <w:r w:rsidRPr="00747EF6">
              <w:rPr>
                <w:rFonts w:asciiTheme="minorHAnsi" w:hAnsiTheme="minorHAnsi" w:cstheme="minorHAnsi"/>
                <w:b/>
                <w:sz w:val="18"/>
                <w:szCs w:val="18"/>
              </w:rPr>
              <w:t xml:space="preserve">Governance of </w:t>
            </w:r>
            <w:r>
              <w:rPr>
                <w:rFonts w:asciiTheme="minorHAnsi" w:hAnsiTheme="minorHAnsi" w:cstheme="minorHAnsi"/>
                <w:b/>
                <w:sz w:val="18"/>
                <w:szCs w:val="18"/>
              </w:rPr>
              <w:t>a</w:t>
            </w:r>
            <w:r w:rsidRPr="00747EF6">
              <w:rPr>
                <w:rFonts w:asciiTheme="minorHAnsi" w:hAnsiTheme="minorHAnsi" w:cstheme="minorHAnsi"/>
                <w:b/>
                <w:sz w:val="18"/>
                <w:szCs w:val="18"/>
              </w:rPr>
              <w:t>dvice</w:t>
            </w:r>
          </w:p>
        </w:tc>
        <w:tc>
          <w:tcPr>
            <w:tcW w:w="1242" w:type="dxa"/>
            <w:tcBorders>
              <w:top w:val="single" w:sz="4" w:space="0" w:color="1B556B"/>
              <w:left w:val="single" w:sz="4" w:space="0" w:color="1B556B"/>
              <w:bottom w:val="single" w:sz="4" w:space="0" w:color="1B556B"/>
              <w:right w:val="single" w:sz="4" w:space="0" w:color="1B556B"/>
            </w:tcBorders>
          </w:tcPr>
          <w:p w14:paraId="121BC32A"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 xml:space="preserve">Code of </w:t>
            </w:r>
            <w:r>
              <w:rPr>
                <w:rFonts w:asciiTheme="minorHAnsi" w:hAnsiTheme="minorHAnsi" w:cstheme="minorHAnsi"/>
                <w:sz w:val="18"/>
                <w:szCs w:val="18"/>
              </w:rPr>
              <w:t>c</w:t>
            </w:r>
            <w:r w:rsidRPr="00747EF6">
              <w:rPr>
                <w:rFonts w:asciiTheme="minorHAnsi" w:hAnsiTheme="minorHAnsi" w:cstheme="minorHAnsi"/>
                <w:sz w:val="18"/>
                <w:szCs w:val="18"/>
              </w:rPr>
              <w:t>onduct</w:t>
            </w:r>
          </w:p>
        </w:tc>
        <w:tc>
          <w:tcPr>
            <w:tcW w:w="1559" w:type="dxa"/>
            <w:tcBorders>
              <w:top w:val="single" w:sz="4" w:space="0" w:color="1B556B"/>
              <w:left w:val="single" w:sz="4" w:space="0" w:color="1B556B"/>
              <w:bottom w:val="single" w:sz="4" w:space="0" w:color="1B556B"/>
              <w:right w:val="single" w:sz="4" w:space="0" w:color="1B556B"/>
            </w:tcBorders>
          </w:tcPr>
          <w:p w14:paraId="4E1AD2BC"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Unknown</w:t>
            </w:r>
            <w:r w:rsidRPr="00747EF6" w:rsidDel="002A041F">
              <w:rPr>
                <w:rFonts w:asciiTheme="minorHAnsi" w:hAnsiTheme="minorHAnsi" w:cstheme="minorHAnsi"/>
                <w:sz w:val="18"/>
                <w:szCs w:val="18"/>
              </w:rPr>
              <w:t xml:space="preserve"> </w:t>
            </w:r>
          </w:p>
        </w:tc>
        <w:tc>
          <w:tcPr>
            <w:tcW w:w="1843" w:type="dxa"/>
            <w:tcBorders>
              <w:top w:val="single" w:sz="4" w:space="0" w:color="1B556B"/>
              <w:left w:val="single" w:sz="4" w:space="0" w:color="1B556B"/>
              <w:bottom w:val="single" w:sz="4" w:space="0" w:color="1B556B"/>
              <w:right w:val="single" w:sz="4" w:space="0" w:color="1B556B"/>
            </w:tcBorders>
          </w:tcPr>
          <w:p w14:paraId="76136424"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Can suspend trades based on poor advice</w:t>
            </w:r>
          </w:p>
        </w:tc>
        <w:tc>
          <w:tcPr>
            <w:tcW w:w="2268" w:type="dxa"/>
            <w:tcBorders>
              <w:top w:val="single" w:sz="4" w:space="0" w:color="1B556B"/>
              <w:left w:val="single" w:sz="4" w:space="0" w:color="1B556B"/>
              <w:bottom w:val="single" w:sz="4" w:space="0" w:color="1B556B"/>
              <w:right w:val="single" w:sz="4" w:space="0" w:color="1B556B"/>
            </w:tcBorders>
          </w:tcPr>
          <w:p w14:paraId="60F59DDB"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Unknown</w:t>
            </w:r>
          </w:p>
        </w:tc>
        <w:tc>
          <w:tcPr>
            <w:tcW w:w="1631" w:type="dxa"/>
            <w:tcBorders>
              <w:top w:val="single" w:sz="4" w:space="0" w:color="1B556B"/>
              <w:left w:val="single" w:sz="4" w:space="0" w:color="1B556B"/>
              <w:bottom w:val="single" w:sz="4" w:space="0" w:color="1B556B"/>
              <w:right w:val="single" w:sz="4" w:space="0" w:color="1B556B"/>
            </w:tcBorders>
          </w:tcPr>
          <w:p w14:paraId="49B5C03C"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Australian Financial Services licen</w:t>
            </w:r>
            <w:r>
              <w:rPr>
                <w:rFonts w:asciiTheme="minorHAnsi" w:hAnsiTheme="minorHAnsi" w:cstheme="minorHAnsi"/>
                <w:sz w:val="18"/>
                <w:szCs w:val="18"/>
              </w:rPr>
              <w:t>c</w:t>
            </w:r>
            <w:r w:rsidRPr="00747EF6">
              <w:rPr>
                <w:rFonts w:asciiTheme="minorHAnsi" w:hAnsiTheme="minorHAnsi" w:cstheme="minorHAnsi"/>
                <w:sz w:val="18"/>
                <w:szCs w:val="18"/>
              </w:rPr>
              <w:t>es for carbon units</w:t>
            </w:r>
          </w:p>
        </w:tc>
        <w:tc>
          <w:tcPr>
            <w:tcW w:w="2055" w:type="dxa"/>
            <w:tcBorders>
              <w:top w:val="single" w:sz="4" w:space="0" w:color="1B556B"/>
              <w:left w:val="single" w:sz="4" w:space="0" w:color="1B556B"/>
              <w:bottom w:val="single" w:sz="4" w:space="0" w:color="1B556B"/>
              <w:right w:val="single" w:sz="4" w:space="0" w:color="1B556B"/>
            </w:tcBorders>
          </w:tcPr>
          <w:p w14:paraId="5C9CAA4B" w14:textId="5EC953BC" w:rsidR="00D061BE" w:rsidRPr="00747EF6" w:rsidRDefault="002C4E16" w:rsidP="0066202A">
            <w:pPr>
              <w:spacing w:before="60" w:after="60" w:line="240" w:lineRule="auto"/>
              <w:jc w:val="left"/>
              <w:rPr>
                <w:rFonts w:asciiTheme="minorHAnsi" w:hAnsiTheme="minorHAnsi" w:cstheme="minorHAnsi"/>
                <w:sz w:val="18"/>
                <w:szCs w:val="18"/>
              </w:rPr>
            </w:pPr>
            <w:r w:rsidRPr="002C4E16">
              <w:rPr>
                <w:rFonts w:asciiTheme="minorHAnsi" w:hAnsiTheme="minorHAnsi" w:cstheme="minorHAnsi"/>
                <w:sz w:val="18"/>
                <w:szCs w:val="18"/>
              </w:rPr>
              <w:t>Swiss securities regulation does not apply to OTC emission allowances trading on secondary markets</w:t>
            </w:r>
          </w:p>
        </w:tc>
        <w:tc>
          <w:tcPr>
            <w:tcW w:w="1593" w:type="dxa"/>
            <w:tcBorders>
              <w:top w:val="single" w:sz="4" w:space="0" w:color="1B556B"/>
              <w:left w:val="single" w:sz="4" w:space="0" w:color="1B556B"/>
              <w:bottom w:val="single" w:sz="4" w:space="0" w:color="1B556B"/>
            </w:tcBorders>
          </w:tcPr>
          <w:p w14:paraId="013DD9B0"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Fair Trading Act</w:t>
            </w:r>
            <w:r>
              <w:rPr>
                <w:rFonts w:asciiTheme="minorHAnsi" w:hAnsiTheme="minorHAnsi" w:cstheme="minorHAnsi"/>
                <w:sz w:val="18"/>
                <w:szCs w:val="18"/>
              </w:rPr>
              <w:t> </w:t>
            </w:r>
            <w:r w:rsidRPr="00747EF6">
              <w:rPr>
                <w:rFonts w:asciiTheme="minorHAnsi" w:hAnsiTheme="minorHAnsi" w:cstheme="minorHAnsi"/>
                <w:sz w:val="18"/>
                <w:szCs w:val="18"/>
              </w:rPr>
              <w:t>1986</w:t>
            </w:r>
          </w:p>
          <w:p w14:paraId="3CD4F1A1"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Crimes Act 1961</w:t>
            </w:r>
          </w:p>
        </w:tc>
      </w:tr>
      <w:tr w:rsidR="00D061BE" w:rsidRPr="00747EF6" w14:paraId="5B1A9A0B" w14:textId="77777777" w:rsidTr="00713281">
        <w:trPr>
          <w:cnfStyle w:val="000000010000" w:firstRow="0" w:lastRow="0" w:firstColumn="0" w:lastColumn="0" w:oddVBand="0" w:evenVBand="0" w:oddHBand="0" w:evenHBand="1" w:firstRowFirstColumn="0" w:firstRowLastColumn="0" w:lastRowFirstColumn="0" w:lastRowLastColumn="0"/>
          <w:trHeight w:val="340"/>
        </w:trPr>
        <w:tc>
          <w:tcPr>
            <w:tcW w:w="1735" w:type="dxa"/>
            <w:tcBorders>
              <w:top w:val="single" w:sz="4" w:space="0" w:color="1B556B"/>
              <w:bottom w:val="single" w:sz="4" w:space="0" w:color="1B556B"/>
              <w:right w:val="single" w:sz="4" w:space="0" w:color="1B556B"/>
            </w:tcBorders>
          </w:tcPr>
          <w:p w14:paraId="3D80361E" w14:textId="77777777" w:rsidR="00D061BE" w:rsidRPr="00747EF6" w:rsidRDefault="00D061BE" w:rsidP="0066202A">
            <w:pPr>
              <w:spacing w:before="60" w:after="60" w:line="240" w:lineRule="auto"/>
              <w:jc w:val="left"/>
              <w:rPr>
                <w:rFonts w:asciiTheme="minorHAnsi" w:hAnsiTheme="minorHAnsi" w:cstheme="minorHAnsi"/>
                <w:b/>
                <w:sz w:val="18"/>
                <w:szCs w:val="18"/>
              </w:rPr>
            </w:pPr>
            <w:r w:rsidRPr="00747EF6">
              <w:rPr>
                <w:rFonts w:asciiTheme="minorHAnsi" w:hAnsiTheme="minorHAnsi" w:cstheme="minorHAnsi"/>
                <w:b/>
                <w:sz w:val="18"/>
                <w:szCs w:val="18"/>
              </w:rPr>
              <w:t xml:space="preserve">Governance of </w:t>
            </w:r>
            <w:r>
              <w:rPr>
                <w:rFonts w:asciiTheme="minorHAnsi" w:hAnsiTheme="minorHAnsi" w:cstheme="minorHAnsi"/>
                <w:b/>
                <w:sz w:val="18"/>
                <w:szCs w:val="18"/>
              </w:rPr>
              <w:t>t</w:t>
            </w:r>
            <w:r w:rsidRPr="00747EF6">
              <w:rPr>
                <w:rFonts w:asciiTheme="minorHAnsi" w:hAnsiTheme="minorHAnsi" w:cstheme="minorHAnsi"/>
                <w:b/>
                <w:sz w:val="18"/>
                <w:szCs w:val="18"/>
              </w:rPr>
              <w:t>rading</w:t>
            </w:r>
          </w:p>
        </w:tc>
        <w:tc>
          <w:tcPr>
            <w:tcW w:w="1242" w:type="dxa"/>
            <w:tcBorders>
              <w:top w:val="single" w:sz="4" w:space="0" w:color="1B556B"/>
              <w:left w:val="single" w:sz="4" w:space="0" w:color="1B556B"/>
              <w:bottom w:val="single" w:sz="4" w:space="0" w:color="1B556B"/>
              <w:right w:val="single" w:sz="4" w:space="0" w:color="1B556B"/>
            </w:tcBorders>
          </w:tcPr>
          <w:p w14:paraId="7AA8EAD2"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Licensed platforms, disclosure of ‘know-your-consumer’ (KYC) information</w:t>
            </w:r>
          </w:p>
        </w:tc>
        <w:tc>
          <w:tcPr>
            <w:tcW w:w="1559" w:type="dxa"/>
            <w:tcBorders>
              <w:top w:val="single" w:sz="4" w:space="0" w:color="1B556B"/>
              <w:left w:val="single" w:sz="4" w:space="0" w:color="1B556B"/>
              <w:bottom w:val="single" w:sz="4" w:space="0" w:color="1B556B"/>
              <w:right w:val="single" w:sz="4" w:space="0" w:color="1B556B"/>
            </w:tcBorders>
          </w:tcPr>
          <w:p w14:paraId="3D4576E5"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Centralised allowance</w:t>
            </w:r>
            <w:r>
              <w:rPr>
                <w:rFonts w:asciiTheme="minorHAnsi" w:hAnsiTheme="minorHAnsi" w:cstheme="minorHAnsi"/>
                <w:sz w:val="18"/>
                <w:szCs w:val="18"/>
              </w:rPr>
              <w:t>-</w:t>
            </w:r>
            <w:r w:rsidRPr="00747EF6">
              <w:rPr>
                <w:rFonts w:asciiTheme="minorHAnsi" w:hAnsiTheme="minorHAnsi" w:cstheme="minorHAnsi"/>
                <w:sz w:val="18"/>
                <w:szCs w:val="18"/>
              </w:rPr>
              <w:t>tracking system</w:t>
            </w:r>
          </w:p>
        </w:tc>
        <w:tc>
          <w:tcPr>
            <w:tcW w:w="1843" w:type="dxa"/>
            <w:tcBorders>
              <w:top w:val="single" w:sz="4" w:space="0" w:color="1B556B"/>
              <w:left w:val="single" w:sz="4" w:space="0" w:color="1B556B"/>
              <w:bottom w:val="single" w:sz="4" w:space="0" w:color="1B556B"/>
              <w:right w:val="single" w:sz="4" w:space="0" w:color="1B556B"/>
            </w:tcBorders>
          </w:tcPr>
          <w:p w14:paraId="2CEF0BBB"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Ministry</w:t>
            </w:r>
            <w:r>
              <w:rPr>
                <w:rFonts w:asciiTheme="minorHAnsi" w:hAnsiTheme="minorHAnsi" w:cstheme="minorHAnsi"/>
                <w:sz w:val="18"/>
                <w:szCs w:val="18"/>
              </w:rPr>
              <w:t>-</w:t>
            </w:r>
            <w:r w:rsidRPr="00747EF6">
              <w:rPr>
                <w:rFonts w:asciiTheme="minorHAnsi" w:hAnsiTheme="minorHAnsi" w:cstheme="minorHAnsi"/>
                <w:sz w:val="18"/>
                <w:szCs w:val="18"/>
              </w:rPr>
              <w:t>approved registration of market participants, disclosure of KYC information</w:t>
            </w:r>
          </w:p>
        </w:tc>
        <w:tc>
          <w:tcPr>
            <w:tcW w:w="2268" w:type="dxa"/>
            <w:tcBorders>
              <w:top w:val="single" w:sz="4" w:space="0" w:color="1B556B"/>
              <w:left w:val="single" w:sz="4" w:space="0" w:color="1B556B"/>
              <w:bottom w:val="single" w:sz="4" w:space="0" w:color="1B556B"/>
              <w:right w:val="single" w:sz="4" w:space="0" w:color="1B556B"/>
            </w:tcBorders>
          </w:tcPr>
          <w:p w14:paraId="69A1C4EC"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Managed through the UK Emissions Trading Registry (records on allowances held, movement of allowances for UK). Also serves as the UK Kyoto Protocol Registry</w:t>
            </w:r>
          </w:p>
        </w:tc>
        <w:tc>
          <w:tcPr>
            <w:tcW w:w="1631" w:type="dxa"/>
            <w:tcBorders>
              <w:top w:val="single" w:sz="4" w:space="0" w:color="1B556B"/>
              <w:left w:val="single" w:sz="4" w:space="0" w:color="1B556B"/>
              <w:bottom w:val="single" w:sz="4" w:space="0" w:color="1B556B"/>
              <w:right w:val="single" w:sz="4" w:space="0" w:color="1B556B"/>
            </w:tcBorders>
          </w:tcPr>
          <w:p w14:paraId="7E0C7037" w14:textId="0AF44C5D"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 xml:space="preserve">Requires Australian market </w:t>
            </w:r>
            <w:r w:rsidR="007179CC">
              <w:rPr>
                <w:rFonts w:asciiTheme="minorHAnsi" w:hAnsiTheme="minorHAnsi" w:cstheme="minorHAnsi"/>
                <w:sz w:val="18"/>
                <w:szCs w:val="18"/>
              </w:rPr>
              <w:t>licence</w:t>
            </w:r>
          </w:p>
        </w:tc>
        <w:tc>
          <w:tcPr>
            <w:tcW w:w="2055" w:type="dxa"/>
            <w:tcBorders>
              <w:top w:val="single" w:sz="4" w:space="0" w:color="1B556B"/>
              <w:left w:val="single" w:sz="4" w:space="0" w:color="1B556B"/>
              <w:bottom w:val="single" w:sz="4" w:space="0" w:color="1B556B"/>
              <w:right w:val="single" w:sz="4" w:space="0" w:color="1B556B"/>
            </w:tcBorders>
          </w:tcPr>
          <w:p w14:paraId="3E39F00E"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Managed through the National Emissions Trading Registry</w:t>
            </w:r>
          </w:p>
        </w:tc>
        <w:tc>
          <w:tcPr>
            <w:tcW w:w="1593" w:type="dxa"/>
            <w:tcBorders>
              <w:top w:val="single" w:sz="4" w:space="0" w:color="1B556B"/>
              <w:left w:val="single" w:sz="4" w:space="0" w:color="1B556B"/>
              <w:bottom w:val="single" w:sz="4" w:space="0" w:color="1B556B"/>
            </w:tcBorders>
          </w:tcPr>
          <w:p w14:paraId="4FBB2F83"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 xml:space="preserve">KYC obligations via AML/CFT </w:t>
            </w:r>
            <w:r>
              <w:rPr>
                <w:rFonts w:asciiTheme="minorHAnsi" w:hAnsiTheme="minorHAnsi" w:cstheme="minorHAnsi"/>
                <w:sz w:val="18"/>
                <w:szCs w:val="18"/>
              </w:rPr>
              <w:t xml:space="preserve">Act </w:t>
            </w:r>
            <w:r w:rsidRPr="00747EF6">
              <w:rPr>
                <w:rFonts w:asciiTheme="minorHAnsi" w:hAnsiTheme="minorHAnsi" w:cstheme="minorHAnsi"/>
                <w:sz w:val="18"/>
                <w:szCs w:val="18"/>
              </w:rPr>
              <w:t>2009</w:t>
            </w:r>
          </w:p>
        </w:tc>
      </w:tr>
      <w:tr w:rsidR="00D061BE" w:rsidRPr="00747EF6" w14:paraId="13F5FE14" w14:textId="77777777" w:rsidTr="00713281">
        <w:trPr>
          <w:cnfStyle w:val="000000100000" w:firstRow="0" w:lastRow="0" w:firstColumn="0" w:lastColumn="0" w:oddVBand="0" w:evenVBand="0" w:oddHBand="1" w:evenHBand="0" w:firstRowFirstColumn="0" w:firstRowLastColumn="0" w:lastRowFirstColumn="0" w:lastRowLastColumn="0"/>
          <w:trHeight w:val="340"/>
        </w:trPr>
        <w:tc>
          <w:tcPr>
            <w:tcW w:w="1735" w:type="dxa"/>
            <w:tcBorders>
              <w:top w:val="single" w:sz="4" w:space="0" w:color="1B556B"/>
              <w:bottom w:val="single" w:sz="4" w:space="0" w:color="1B556B"/>
              <w:right w:val="single" w:sz="4" w:space="0" w:color="1B556B"/>
            </w:tcBorders>
          </w:tcPr>
          <w:p w14:paraId="26946F97" w14:textId="77777777" w:rsidR="00D061BE" w:rsidRPr="00747EF6" w:rsidRDefault="00D061BE" w:rsidP="0066202A">
            <w:pPr>
              <w:spacing w:before="60" w:after="60" w:line="240" w:lineRule="auto"/>
              <w:jc w:val="left"/>
              <w:rPr>
                <w:rFonts w:asciiTheme="minorHAnsi" w:hAnsiTheme="minorHAnsi" w:cstheme="minorHAnsi"/>
                <w:b/>
                <w:sz w:val="18"/>
                <w:szCs w:val="18"/>
              </w:rPr>
            </w:pPr>
            <w:r w:rsidRPr="00747EF6">
              <w:rPr>
                <w:rFonts w:asciiTheme="minorHAnsi" w:hAnsiTheme="minorHAnsi" w:cstheme="minorHAnsi"/>
                <w:b/>
                <w:sz w:val="18"/>
                <w:szCs w:val="18"/>
              </w:rPr>
              <w:t xml:space="preserve">Governance of </w:t>
            </w:r>
            <w:r>
              <w:rPr>
                <w:rFonts w:asciiTheme="minorHAnsi" w:hAnsiTheme="minorHAnsi" w:cstheme="minorHAnsi"/>
                <w:b/>
                <w:sz w:val="18"/>
                <w:szCs w:val="18"/>
              </w:rPr>
              <w:t>c</w:t>
            </w:r>
            <w:r w:rsidRPr="00747EF6">
              <w:rPr>
                <w:rFonts w:asciiTheme="minorHAnsi" w:hAnsiTheme="minorHAnsi" w:cstheme="minorHAnsi"/>
                <w:b/>
                <w:sz w:val="18"/>
                <w:szCs w:val="18"/>
              </w:rPr>
              <w:t>onduct</w:t>
            </w:r>
          </w:p>
        </w:tc>
        <w:tc>
          <w:tcPr>
            <w:tcW w:w="1242" w:type="dxa"/>
            <w:tcBorders>
              <w:top w:val="single" w:sz="4" w:space="0" w:color="1B556B"/>
              <w:left w:val="single" w:sz="4" w:space="0" w:color="1B556B"/>
              <w:bottom w:val="single" w:sz="4" w:space="0" w:color="1B556B"/>
              <w:right w:val="single" w:sz="4" w:space="0" w:color="1B556B"/>
            </w:tcBorders>
          </w:tcPr>
          <w:p w14:paraId="2789B44C"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Market abuse regulation</w:t>
            </w:r>
          </w:p>
        </w:tc>
        <w:tc>
          <w:tcPr>
            <w:tcW w:w="1559" w:type="dxa"/>
            <w:tcBorders>
              <w:top w:val="single" w:sz="4" w:space="0" w:color="1B556B"/>
              <w:left w:val="single" w:sz="4" w:space="0" w:color="1B556B"/>
              <w:bottom w:val="single" w:sz="4" w:space="0" w:color="1B556B"/>
              <w:right w:val="single" w:sz="4" w:space="0" w:color="1B556B"/>
            </w:tcBorders>
          </w:tcPr>
          <w:p w14:paraId="68D6832D"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Market abuse regulation, purchase and holding limits</w:t>
            </w:r>
          </w:p>
        </w:tc>
        <w:tc>
          <w:tcPr>
            <w:tcW w:w="1843" w:type="dxa"/>
            <w:tcBorders>
              <w:top w:val="single" w:sz="4" w:space="0" w:color="1B556B"/>
              <w:left w:val="single" w:sz="4" w:space="0" w:color="1B556B"/>
              <w:bottom w:val="single" w:sz="4" w:space="0" w:color="1B556B"/>
              <w:right w:val="single" w:sz="4" w:space="0" w:color="1B556B"/>
            </w:tcBorders>
          </w:tcPr>
          <w:p w14:paraId="08733EB3"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Market abuse regulation, purchase and holding limits</w:t>
            </w:r>
          </w:p>
        </w:tc>
        <w:tc>
          <w:tcPr>
            <w:tcW w:w="2268" w:type="dxa"/>
            <w:tcBorders>
              <w:top w:val="single" w:sz="4" w:space="0" w:color="1B556B"/>
              <w:left w:val="single" w:sz="4" w:space="0" w:color="1B556B"/>
              <w:bottom w:val="single" w:sz="4" w:space="0" w:color="1B556B"/>
              <w:right w:val="single" w:sz="4" w:space="0" w:color="1B556B"/>
            </w:tcBorders>
          </w:tcPr>
          <w:p w14:paraId="48391B57"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 xml:space="preserve">Market abuse regulation, </w:t>
            </w:r>
            <w:proofErr w:type="gramStart"/>
            <w:r w:rsidRPr="00747EF6">
              <w:rPr>
                <w:rFonts w:asciiTheme="minorHAnsi" w:hAnsiTheme="minorHAnsi" w:cstheme="minorHAnsi"/>
                <w:sz w:val="18"/>
                <w:szCs w:val="18"/>
              </w:rPr>
              <w:t>position</w:t>
            </w:r>
            <w:proofErr w:type="gramEnd"/>
            <w:r w:rsidRPr="00747EF6">
              <w:rPr>
                <w:rFonts w:asciiTheme="minorHAnsi" w:hAnsiTheme="minorHAnsi" w:cstheme="minorHAnsi"/>
                <w:sz w:val="18"/>
                <w:szCs w:val="18"/>
              </w:rPr>
              <w:t xml:space="preserve"> and purchase limits</w:t>
            </w:r>
          </w:p>
        </w:tc>
        <w:tc>
          <w:tcPr>
            <w:tcW w:w="1631" w:type="dxa"/>
            <w:tcBorders>
              <w:top w:val="single" w:sz="4" w:space="0" w:color="1B556B"/>
              <w:left w:val="single" w:sz="4" w:space="0" w:color="1B556B"/>
              <w:bottom w:val="single" w:sz="4" w:space="0" w:color="1B556B"/>
              <w:right w:val="single" w:sz="4" w:space="0" w:color="1B556B"/>
            </w:tcBorders>
          </w:tcPr>
          <w:p w14:paraId="51DAA8EE"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Market integrity regulation for market operators and participants</w:t>
            </w:r>
          </w:p>
        </w:tc>
        <w:tc>
          <w:tcPr>
            <w:tcW w:w="2055" w:type="dxa"/>
            <w:tcBorders>
              <w:top w:val="single" w:sz="4" w:space="0" w:color="1B556B"/>
              <w:left w:val="single" w:sz="4" w:space="0" w:color="1B556B"/>
              <w:bottom w:val="single" w:sz="4" w:space="0" w:color="1B556B"/>
              <w:right w:val="single" w:sz="4" w:space="0" w:color="1B556B"/>
            </w:tcBorders>
          </w:tcPr>
          <w:p w14:paraId="4C8F8183"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Federal Act on Financial Market Infrastructures and Market Conduct in Securities and Derivatives Trading</w:t>
            </w:r>
          </w:p>
        </w:tc>
        <w:tc>
          <w:tcPr>
            <w:tcW w:w="1593" w:type="dxa"/>
            <w:tcBorders>
              <w:top w:val="single" w:sz="4" w:space="0" w:color="1B556B"/>
              <w:left w:val="single" w:sz="4" w:space="0" w:color="1B556B"/>
              <w:bottom w:val="single" w:sz="4" w:space="0" w:color="1B556B"/>
            </w:tcBorders>
          </w:tcPr>
          <w:p w14:paraId="38684A45"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Crimes Act 1961</w:t>
            </w:r>
          </w:p>
        </w:tc>
      </w:tr>
      <w:tr w:rsidR="00D061BE" w:rsidRPr="00747EF6" w14:paraId="3DC743CB" w14:textId="77777777" w:rsidTr="00713281">
        <w:trPr>
          <w:cnfStyle w:val="000000010000" w:firstRow="0" w:lastRow="0" w:firstColumn="0" w:lastColumn="0" w:oddVBand="0" w:evenVBand="0" w:oddHBand="0" w:evenHBand="1" w:firstRowFirstColumn="0" w:firstRowLastColumn="0" w:lastRowFirstColumn="0" w:lastRowLastColumn="0"/>
          <w:trHeight w:val="340"/>
        </w:trPr>
        <w:tc>
          <w:tcPr>
            <w:tcW w:w="1735" w:type="dxa"/>
            <w:tcBorders>
              <w:top w:val="single" w:sz="4" w:space="0" w:color="1B556B"/>
              <w:bottom w:val="single" w:sz="4" w:space="0" w:color="1B556B"/>
              <w:right w:val="single" w:sz="4" w:space="0" w:color="1B556B"/>
            </w:tcBorders>
          </w:tcPr>
          <w:p w14:paraId="5F2103E7" w14:textId="77777777" w:rsidR="00D061BE" w:rsidRPr="00747EF6" w:rsidRDefault="00D061BE" w:rsidP="0066202A">
            <w:pPr>
              <w:spacing w:before="60" w:after="60" w:line="240" w:lineRule="auto"/>
              <w:jc w:val="left"/>
              <w:rPr>
                <w:rFonts w:asciiTheme="minorHAnsi" w:hAnsiTheme="minorHAnsi" w:cstheme="minorHAnsi"/>
                <w:b/>
                <w:sz w:val="18"/>
                <w:szCs w:val="18"/>
              </w:rPr>
            </w:pPr>
            <w:r w:rsidRPr="00747EF6">
              <w:rPr>
                <w:rFonts w:asciiTheme="minorHAnsi" w:hAnsiTheme="minorHAnsi" w:cstheme="minorHAnsi"/>
                <w:b/>
                <w:sz w:val="18"/>
                <w:szCs w:val="18"/>
              </w:rPr>
              <w:t xml:space="preserve">Appointing a </w:t>
            </w:r>
            <w:r>
              <w:rPr>
                <w:rFonts w:asciiTheme="minorHAnsi" w:hAnsiTheme="minorHAnsi" w:cstheme="minorHAnsi"/>
                <w:b/>
                <w:sz w:val="18"/>
                <w:szCs w:val="18"/>
              </w:rPr>
              <w:t>r</w:t>
            </w:r>
            <w:r w:rsidRPr="00747EF6">
              <w:rPr>
                <w:rFonts w:asciiTheme="minorHAnsi" w:hAnsiTheme="minorHAnsi" w:cstheme="minorHAnsi"/>
                <w:b/>
                <w:sz w:val="18"/>
                <w:szCs w:val="18"/>
              </w:rPr>
              <w:t>egulator</w:t>
            </w:r>
          </w:p>
        </w:tc>
        <w:tc>
          <w:tcPr>
            <w:tcW w:w="1242" w:type="dxa"/>
            <w:tcBorders>
              <w:top w:val="single" w:sz="4" w:space="0" w:color="1B556B"/>
              <w:left w:val="single" w:sz="4" w:space="0" w:color="1B556B"/>
              <w:bottom w:val="single" w:sz="4" w:space="0" w:color="1B556B"/>
              <w:right w:val="single" w:sz="4" w:space="0" w:color="1B556B"/>
            </w:tcBorders>
          </w:tcPr>
          <w:p w14:paraId="109FAF6E"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European Securit</w:t>
            </w:r>
            <w:r>
              <w:rPr>
                <w:rFonts w:asciiTheme="minorHAnsi" w:hAnsiTheme="minorHAnsi" w:cstheme="minorHAnsi"/>
                <w:sz w:val="18"/>
                <w:szCs w:val="18"/>
              </w:rPr>
              <w:t>ies</w:t>
            </w:r>
            <w:r w:rsidRPr="00747EF6">
              <w:rPr>
                <w:rFonts w:asciiTheme="minorHAnsi" w:hAnsiTheme="minorHAnsi" w:cstheme="minorHAnsi"/>
                <w:sz w:val="18"/>
                <w:szCs w:val="18"/>
              </w:rPr>
              <w:t xml:space="preserve"> and Markets Authority</w:t>
            </w:r>
          </w:p>
        </w:tc>
        <w:tc>
          <w:tcPr>
            <w:tcW w:w="1559" w:type="dxa"/>
            <w:tcBorders>
              <w:top w:val="single" w:sz="4" w:space="0" w:color="1B556B"/>
              <w:left w:val="single" w:sz="4" w:space="0" w:color="1B556B"/>
              <w:bottom w:val="single" w:sz="4" w:space="0" w:color="1B556B"/>
              <w:right w:val="single" w:sz="4" w:space="0" w:color="1B556B"/>
            </w:tcBorders>
          </w:tcPr>
          <w:p w14:paraId="5919C1C3"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California Air Resources Board</w:t>
            </w:r>
          </w:p>
        </w:tc>
        <w:tc>
          <w:tcPr>
            <w:tcW w:w="1843" w:type="dxa"/>
            <w:tcBorders>
              <w:top w:val="single" w:sz="4" w:space="0" w:color="1B556B"/>
              <w:left w:val="single" w:sz="4" w:space="0" w:color="1B556B"/>
              <w:bottom w:val="single" w:sz="4" w:space="0" w:color="1B556B"/>
              <w:right w:val="single" w:sz="4" w:space="0" w:color="1B556B"/>
            </w:tcBorders>
          </w:tcPr>
          <w:p w14:paraId="4C2B3586"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 xml:space="preserve">Ministry </w:t>
            </w:r>
            <w:r>
              <w:rPr>
                <w:rFonts w:asciiTheme="minorHAnsi" w:hAnsiTheme="minorHAnsi" w:cstheme="minorHAnsi"/>
                <w:sz w:val="18"/>
                <w:szCs w:val="18"/>
              </w:rPr>
              <w:t>of the Environment and the Fight Against Climate Change</w:t>
            </w:r>
            <w:r w:rsidRPr="00747EF6">
              <w:rPr>
                <w:rFonts w:asciiTheme="minorHAnsi" w:hAnsiTheme="minorHAnsi" w:cstheme="minorHAnsi"/>
                <w:sz w:val="18"/>
                <w:szCs w:val="18"/>
              </w:rPr>
              <w:t xml:space="preserve"> works with </w:t>
            </w:r>
            <w:r>
              <w:rPr>
                <w:rFonts w:asciiTheme="minorHAnsi" w:hAnsiTheme="minorHAnsi" w:cstheme="minorHAnsi"/>
                <w:sz w:val="18"/>
                <w:szCs w:val="18"/>
              </w:rPr>
              <w:t>f</w:t>
            </w:r>
            <w:r w:rsidRPr="00747EF6">
              <w:rPr>
                <w:rFonts w:asciiTheme="minorHAnsi" w:hAnsiTheme="minorHAnsi" w:cstheme="minorHAnsi"/>
                <w:sz w:val="18"/>
                <w:szCs w:val="18"/>
              </w:rPr>
              <w:t xml:space="preserve">inancial </w:t>
            </w:r>
            <w:r>
              <w:rPr>
                <w:rFonts w:asciiTheme="minorHAnsi" w:hAnsiTheme="minorHAnsi" w:cstheme="minorHAnsi"/>
                <w:sz w:val="18"/>
                <w:szCs w:val="18"/>
              </w:rPr>
              <w:t>m</w:t>
            </w:r>
            <w:r w:rsidRPr="00747EF6">
              <w:rPr>
                <w:rFonts w:asciiTheme="minorHAnsi" w:hAnsiTheme="minorHAnsi" w:cstheme="minorHAnsi"/>
                <w:sz w:val="18"/>
                <w:szCs w:val="18"/>
              </w:rPr>
              <w:t>arket regulatory agency</w:t>
            </w:r>
          </w:p>
        </w:tc>
        <w:tc>
          <w:tcPr>
            <w:tcW w:w="2268" w:type="dxa"/>
            <w:tcBorders>
              <w:top w:val="single" w:sz="4" w:space="0" w:color="1B556B"/>
              <w:left w:val="single" w:sz="4" w:space="0" w:color="1B556B"/>
              <w:bottom w:val="single" w:sz="4" w:space="0" w:color="1B556B"/>
              <w:right w:val="single" w:sz="4" w:space="0" w:color="1B556B"/>
            </w:tcBorders>
          </w:tcPr>
          <w:p w14:paraId="30B12DCC"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Financial Conduct Authority (with regulators ensuring compliance)</w:t>
            </w:r>
          </w:p>
        </w:tc>
        <w:tc>
          <w:tcPr>
            <w:tcW w:w="1631" w:type="dxa"/>
            <w:tcBorders>
              <w:top w:val="single" w:sz="4" w:space="0" w:color="1B556B"/>
              <w:left w:val="single" w:sz="4" w:space="0" w:color="1B556B"/>
              <w:bottom w:val="single" w:sz="4" w:space="0" w:color="1B556B"/>
              <w:right w:val="single" w:sz="4" w:space="0" w:color="1B556B"/>
            </w:tcBorders>
          </w:tcPr>
          <w:p w14:paraId="1836B5F7"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Australian Securities and Investments Commission</w:t>
            </w:r>
          </w:p>
        </w:tc>
        <w:tc>
          <w:tcPr>
            <w:tcW w:w="2055" w:type="dxa"/>
            <w:tcBorders>
              <w:top w:val="single" w:sz="4" w:space="0" w:color="1B556B"/>
              <w:left w:val="single" w:sz="4" w:space="0" w:color="1B556B"/>
              <w:bottom w:val="single" w:sz="4" w:space="0" w:color="1B556B"/>
              <w:right w:val="single" w:sz="4" w:space="0" w:color="1B556B"/>
            </w:tcBorders>
          </w:tcPr>
          <w:p w14:paraId="05EF89D1"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 xml:space="preserve">Swiss Financial Market Supervisory Authority </w:t>
            </w:r>
          </w:p>
        </w:tc>
        <w:tc>
          <w:tcPr>
            <w:tcW w:w="1593" w:type="dxa"/>
            <w:tcBorders>
              <w:top w:val="single" w:sz="4" w:space="0" w:color="1B556B"/>
              <w:left w:val="single" w:sz="4" w:space="0" w:color="1B556B"/>
              <w:bottom w:val="single" w:sz="4" w:space="0" w:color="1B556B"/>
            </w:tcBorders>
          </w:tcPr>
          <w:p w14:paraId="5186DC89"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Department of Internal Affairs and FMA for parts of the NZU market</w:t>
            </w:r>
          </w:p>
        </w:tc>
      </w:tr>
      <w:tr w:rsidR="00D061BE" w:rsidRPr="00747EF6" w14:paraId="11DEEF07" w14:textId="77777777" w:rsidTr="00713281">
        <w:trPr>
          <w:cnfStyle w:val="000000100000" w:firstRow="0" w:lastRow="0" w:firstColumn="0" w:lastColumn="0" w:oddVBand="0" w:evenVBand="0" w:oddHBand="1" w:evenHBand="0" w:firstRowFirstColumn="0" w:firstRowLastColumn="0" w:lastRowFirstColumn="0" w:lastRowLastColumn="0"/>
          <w:trHeight w:val="340"/>
        </w:trPr>
        <w:tc>
          <w:tcPr>
            <w:tcW w:w="1735" w:type="dxa"/>
            <w:tcBorders>
              <w:top w:val="single" w:sz="4" w:space="0" w:color="1B556B"/>
              <w:bottom w:val="single" w:sz="4" w:space="0" w:color="1B556B"/>
              <w:right w:val="single" w:sz="4" w:space="0" w:color="1B556B"/>
            </w:tcBorders>
          </w:tcPr>
          <w:p w14:paraId="20809C4A" w14:textId="77777777" w:rsidR="00D061BE" w:rsidRPr="00747EF6" w:rsidRDefault="00D061BE" w:rsidP="0066202A">
            <w:pPr>
              <w:spacing w:before="60" w:after="60" w:line="240" w:lineRule="auto"/>
              <w:jc w:val="left"/>
              <w:rPr>
                <w:rFonts w:asciiTheme="minorHAnsi" w:hAnsiTheme="minorHAnsi" w:cstheme="minorHAnsi"/>
                <w:b/>
                <w:sz w:val="18"/>
                <w:szCs w:val="18"/>
              </w:rPr>
            </w:pPr>
            <w:r w:rsidRPr="00747EF6">
              <w:rPr>
                <w:rFonts w:asciiTheme="minorHAnsi" w:hAnsiTheme="minorHAnsi" w:cstheme="minorHAnsi"/>
                <w:b/>
                <w:sz w:val="18"/>
                <w:szCs w:val="18"/>
              </w:rPr>
              <w:t xml:space="preserve">Treatment of </w:t>
            </w:r>
            <w:r>
              <w:rPr>
                <w:rFonts w:asciiTheme="minorHAnsi" w:hAnsiTheme="minorHAnsi" w:cstheme="minorHAnsi"/>
                <w:b/>
                <w:sz w:val="18"/>
                <w:szCs w:val="18"/>
              </w:rPr>
              <w:t>units</w:t>
            </w:r>
            <w:r w:rsidRPr="00747EF6">
              <w:rPr>
                <w:rFonts w:asciiTheme="minorHAnsi" w:hAnsiTheme="minorHAnsi" w:cstheme="minorHAnsi"/>
                <w:b/>
                <w:sz w:val="18"/>
                <w:szCs w:val="18"/>
              </w:rPr>
              <w:t xml:space="preserve"> and </w:t>
            </w:r>
            <w:r>
              <w:rPr>
                <w:rFonts w:asciiTheme="minorHAnsi" w:hAnsiTheme="minorHAnsi" w:cstheme="minorHAnsi"/>
                <w:b/>
                <w:sz w:val="18"/>
                <w:szCs w:val="18"/>
              </w:rPr>
              <w:t>m</w:t>
            </w:r>
            <w:r w:rsidRPr="00747EF6">
              <w:rPr>
                <w:rFonts w:asciiTheme="minorHAnsi" w:hAnsiTheme="minorHAnsi" w:cstheme="minorHAnsi"/>
                <w:b/>
                <w:sz w:val="18"/>
                <w:szCs w:val="18"/>
              </w:rPr>
              <w:t xml:space="preserve">arket </w:t>
            </w:r>
            <w:r>
              <w:rPr>
                <w:rFonts w:asciiTheme="minorHAnsi" w:hAnsiTheme="minorHAnsi" w:cstheme="minorHAnsi"/>
                <w:b/>
                <w:sz w:val="18"/>
                <w:szCs w:val="18"/>
              </w:rPr>
              <w:t>r</w:t>
            </w:r>
            <w:r w:rsidRPr="00747EF6">
              <w:rPr>
                <w:rFonts w:asciiTheme="minorHAnsi" w:hAnsiTheme="minorHAnsi" w:cstheme="minorHAnsi"/>
                <w:b/>
                <w:sz w:val="18"/>
                <w:szCs w:val="18"/>
              </w:rPr>
              <w:t>isks</w:t>
            </w:r>
          </w:p>
        </w:tc>
        <w:tc>
          <w:tcPr>
            <w:tcW w:w="1242" w:type="dxa"/>
            <w:tcBorders>
              <w:top w:val="single" w:sz="4" w:space="0" w:color="1B556B"/>
              <w:left w:val="single" w:sz="4" w:space="0" w:color="1B556B"/>
              <w:bottom w:val="single" w:sz="4" w:space="0" w:color="1B556B"/>
              <w:right w:val="single" w:sz="4" w:space="0" w:color="1B556B"/>
            </w:tcBorders>
          </w:tcPr>
          <w:p w14:paraId="00F878AF"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Financial instrument</w:t>
            </w:r>
          </w:p>
        </w:tc>
        <w:tc>
          <w:tcPr>
            <w:tcW w:w="1559" w:type="dxa"/>
            <w:tcBorders>
              <w:top w:val="single" w:sz="4" w:space="0" w:color="1B556B"/>
              <w:left w:val="single" w:sz="4" w:space="0" w:color="1B556B"/>
              <w:bottom w:val="single" w:sz="4" w:space="0" w:color="1B556B"/>
              <w:right w:val="single" w:sz="4" w:space="0" w:color="1B556B"/>
            </w:tcBorders>
          </w:tcPr>
          <w:p w14:paraId="573A9515"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Non-financial</w:t>
            </w:r>
            <w:bookmarkStart w:id="19" w:name="_Ref118888366"/>
            <w:r w:rsidRPr="00747EF6">
              <w:rPr>
                <w:rStyle w:val="FootnoteReference"/>
                <w:rFonts w:asciiTheme="minorHAnsi" w:hAnsiTheme="minorHAnsi" w:cstheme="minorHAnsi"/>
                <w:sz w:val="18"/>
                <w:szCs w:val="18"/>
              </w:rPr>
              <w:footnoteReference w:id="14"/>
            </w:r>
            <w:bookmarkEnd w:id="19"/>
          </w:p>
        </w:tc>
        <w:tc>
          <w:tcPr>
            <w:tcW w:w="1843" w:type="dxa"/>
            <w:tcBorders>
              <w:top w:val="single" w:sz="4" w:space="0" w:color="1B556B"/>
              <w:left w:val="single" w:sz="4" w:space="0" w:color="1B556B"/>
              <w:bottom w:val="single" w:sz="4" w:space="0" w:color="1B556B"/>
              <w:right w:val="single" w:sz="4" w:space="0" w:color="1B556B"/>
            </w:tcBorders>
          </w:tcPr>
          <w:p w14:paraId="7D7639B7"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Non-financial</w:t>
            </w:r>
            <w:r w:rsidRPr="00D061BE">
              <w:rPr>
                <w:rFonts w:asciiTheme="minorHAnsi" w:hAnsiTheme="minorHAnsi" w:cstheme="minorHAnsi"/>
                <w:sz w:val="18"/>
                <w:szCs w:val="18"/>
                <w:vertAlign w:val="superscript"/>
              </w:rPr>
              <w:fldChar w:fldCharType="begin"/>
            </w:r>
            <w:r w:rsidRPr="00D061BE">
              <w:rPr>
                <w:rFonts w:asciiTheme="minorHAnsi" w:hAnsiTheme="minorHAnsi" w:cstheme="minorHAnsi"/>
                <w:sz w:val="18"/>
                <w:szCs w:val="18"/>
                <w:vertAlign w:val="superscript"/>
              </w:rPr>
              <w:instrText xml:space="preserve"> NOTEREF _Ref118888366 \h </w:instrText>
            </w:r>
            <w:r>
              <w:rPr>
                <w:rFonts w:asciiTheme="minorHAnsi" w:hAnsiTheme="minorHAnsi" w:cstheme="minorHAnsi"/>
                <w:sz w:val="18"/>
                <w:szCs w:val="18"/>
                <w:vertAlign w:val="superscript"/>
              </w:rPr>
              <w:instrText xml:space="preserve"> \* MERGEFORMAT </w:instrText>
            </w:r>
            <w:r w:rsidRPr="00D061BE">
              <w:rPr>
                <w:rFonts w:asciiTheme="minorHAnsi" w:hAnsiTheme="minorHAnsi" w:cstheme="minorHAnsi"/>
                <w:sz w:val="18"/>
                <w:szCs w:val="18"/>
                <w:vertAlign w:val="superscript"/>
              </w:rPr>
            </w:r>
            <w:r w:rsidRPr="00D061BE">
              <w:rPr>
                <w:rFonts w:asciiTheme="minorHAnsi" w:hAnsiTheme="minorHAnsi" w:cstheme="minorHAnsi"/>
                <w:sz w:val="18"/>
                <w:szCs w:val="18"/>
                <w:vertAlign w:val="superscript"/>
              </w:rPr>
              <w:fldChar w:fldCharType="separate"/>
            </w:r>
            <w:r w:rsidR="00C67DAB">
              <w:rPr>
                <w:rFonts w:asciiTheme="minorHAnsi" w:hAnsiTheme="minorHAnsi" w:cstheme="minorHAnsi"/>
                <w:sz w:val="18"/>
                <w:szCs w:val="18"/>
                <w:vertAlign w:val="superscript"/>
              </w:rPr>
              <w:t>13</w:t>
            </w:r>
            <w:r w:rsidRPr="00D061BE">
              <w:rPr>
                <w:rFonts w:asciiTheme="minorHAnsi" w:hAnsiTheme="minorHAnsi" w:cstheme="minorHAnsi"/>
                <w:sz w:val="18"/>
                <w:szCs w:val="18"/>
                <w:vertAlign w:val="superscript"/>
              </w:rPr>
              <w:fldChar w:fldCharType="end"/>
            </w:r>
          </w:p>
        </w:tc>
        <w:tc>
          <w:tcPr>
            <w:tcW w:w="2268" w:type="dxa"/>
            <w:tcBorders>
              <w:top w:val="single" w:sz="4" w:space="0" w:color="1B556B"/>
              <w:left w:val="single" w:sz="4" w:space="0" w:color="1B556B"/>
              <w:bottom w:val="single" w:sz="4" w:space="0" w:color="1B556B"/>
              <w:right w:val="single" w:sz="4" w:space="0" w:color="1B556B"/>
            </w:tcBorders>
          </w:tcPr>
          <w:p w14:paraId="3B912D26"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 xml:space="preserve">Financial </w:t>
            </w:r>
            <w:r>
              <w:rPr>
                <w:rFonts w:asciiTheme="minorHAnsi" w:hAnsiTheme="minorHAnsi" w:cstheme="minorHAnsi"/>
                <w:sz w:val="18"/>
                <w:szCs w:val="18"/>
              </w:rPr>
              <w:t>i</w:t>
            </w:r>
            <w:r w:rsidRPr="00747EF6">
              <w:rPr>
                <w:rFonts w:asciiTheme="minorHAnsi" w:hAnsiTheme="minorHAnsi" w:cstheme="minorHAnsi"/>
                <w:sz w:val="18"/>
                <w:szCs w:val="18"/>
              </w:rPr>
              <w:t>nstrument</w:t>
            </w:r>
          </w:p>
        </w:tc>
        <w:tc>
          <w:tcPr>
            <w:tcW w:w="1631" w:type="dxa"/>
            <w:tcBorders>
              <w:top w:val="single" w:sz="4" w:space="0" w:color="1B556B"/>
              <w:left w:val="single" w:sz="4" w:space="0" w:color="1B556B"/>
              <w:bottom w:val="single" w:sz="4" w:space="0" w:color="1B556B"/>
              <w:right w:val="single" w:sz="4" w:space="0" w:color="1B556B"/>
            </w:tcBorders>
          </w:tcPr>
          <w:p w14:paraId="4B7DD475"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 xml:space="preserve">Financial </w:t>
            </w:r>
            <w:r>
              <w:rPr>
                <w:rFonts w:asciiTheme="minorHAnsi" w:hAnsiTheme="minorHAnsi" w:cstheme="minorHAnsi"/>
                <w:sz w:val="18"/>
                <w:szCs w:val="18"/>
              </w:rPr>
              <w:t>p</w:t>
            </w:r>
            <w:r w:rsidRPr="00747EF6">
              <w:rPr>
                <w:rFonts w:asciiTheme="minorHAnsi" w:hAnsiTheme="minorHAnsi" w:cstheme="minorHAnsi"/>
                <w:sz w:val="18"/>
                <w:szCs w:val="18"/>
              </w:rPr>
              <w:t>roduct</w:t>
            </w:r>
          </w:p>
        </w:tc>
        <w:tc>
          <w:tcPr>
            <w:tcW w:w="2055" w:type="dxa"/>
            <w:tcBorders>
              <w:top w:val="single" w:sz="4" w:space="0" w:color="1B556B"/>
              <w:left w:val="single" w:sz="4" w:space="0" w:color="1B556B"/>
              <w:bottom w:val="single" w:sz="4" w:space="0" w:color="1B556B"/>
              <w:right w:val="single" w:sz="4" w:space="0" w:color="1B556B"/>
            </w:tcBorders>
          </w:tcPr>
          <w:p w14:paraId="354C7B8C"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Non-financial</w:t>
            </w:r>
          </w:p>
        </w:tc>
        <w:tc>
          <w:tcPr>
            <w:tcW w:w="1593" w:type="dxa"/>
            <w:tcBorders>
              <w:top w:val="single" w:sz="4" w:space="0" w:color="1B556B"/>
              <w:left w:val="single" w:sz="4" w:space="0" w:color="1B556B"/>
              <w:bottom w:val="single" w:sz="4" w:space="0" w:color="1B556B"/>
            </w:tcBorders>
          </w:tcPr>
          <w:p w14:paraId="522C8B0A" w14:textId="77777777" w:rsidR="00D061BE" w:rsidRPr="00747EF6" w:rsidRDefault="00D061BE" w:rsidP="0066202A">
            <w:pPr>
              <w:spacing w:before="60" w:after="60" w:line="240" w:lineRule="auto"/>
              <w:jc w:val="left"/>
              <w:rPr>
                <w:rFonts w:asciiTheme="minorHAnsi" w:hAnsiTheme="minorHAnsi" w:cstheme="minorHAnsi"/>
                <w:sz w:val="18"/>
                <w:szCs w:val="18"/>
              </w:rPr>
            </w:pPr>
            <w:r w:rsidRPr="00747EF6">
              <w:rPr>
                <w:rFonts w:asciiTheme="minorHAnsi" w:hAnsiTheme="minorHAnsi" w:cstheme="minorHAnsi"/>
                <w:sz w:val="18"/>
                <w:szCs w:val="18"/>
              </w:rPr>
              <w:t>Non-financial</w:t>
            </w:r>
            <w:r>
              <w:rPr>
                <w:rFonts w:asciiTheme="minorHAnsi" w:hAnsiTheme="minorHAnsi" w:cstheme="minorHAnsi"/>
                <w:sz w:val="18"/>
                <w:szCs w:val="18"/>
              </w:rPr>
              <w:t xml:space="preserve"> </w:t>
            </w:r>
          </w:p>
        </w:tc>
      </w:tr>
    </w:tbl>
    <w:p w14:paraId="3084A4B4" w14:textId="77777777" w:rsidR="00D061BE" w:rsidRPr="00562487" w:rsidRDefault="00D061BE" w:rsidP="00D061BE">
      <w:pPr>
        <w:pStyle w:val="BodyText"/>
        <w:sectPr w:rsidR="00D061BE" w:rsidRPr="00562487" w:rsidSect="00D061BE">
          <w:footerReference w:type="even" r:id="rId25"/>
          <w:pgSz w:w="16840" w:h="11907" w:orient="landscape" w:code="9"/>
          <w:pgMar w:top="1276" w:right="1134" w:bottom="1701" w:left="1134" w:header="567" w:footer="567" w:gutter="0"/>
          <w:cols w:space="720"/>
          <w:docGrid w:linePitch="299"/>
        </w:sectPr>
      </w:pPr>
    </w:p>
    <w:p w14:paraId="6BAF59F7" w14:textId="77777777" w:rsidR="00D200FC" w:rsidRPr="00747EF6" w:rsidRDefault="00D200FC" w:rsidP="00D200FC">
      <w:pPr>
        <w:pStyle w:val="Heading2"/>
      </w:pPr>
      <w:bookmarkStart w:id="20" w:name="_Toc116391401"/>
      <w:bookmarkStart w:id="21" w:name="_Toc118703518"/>
      <w:bookmarkStart w:id="22" w:name="_Toc118953571"/>
      <w:r w:rsidRPr="00747EF6">
        <w:lastRenderedPageBreak/>
        <w:t>What has happened so far</w:t>
      </w:r>
      <w:bookmarkEnd w:id="20"/>
      <w:bookmarkEnd w:id="21"/>
      <w:bookmarkEnd w:id="22"/>
    </w:p>
    <w:p w14:paraId="411B4AFF" w14:textId="77777777" w:rsidR="00D200FC" w:rsidRPr="00747EF6" w:rsidRDefault="00D200FC" w:rsidP="00D200FC">
      <w:pPr>
        <w:pStyle w:val="Heading3"/>
      </w:pPr>
      <w:bookmarkStart w:id="23" w:name="_2018_consultation_sought"/>
      <w:bookmarkEnd w:id="23"/>
      <w:r w:rsidRPr="00747EF6">
        <w:t>2018 consultation sought to better understand the impacts and prioritisation of the seven risks for stakeholders</w:t>
      </w:r>
    </w:p>
    <w:p w14:paraId="4F18F2A0" w14:textId="290D7DAA" w:rsidR="00D200FC" w:rsidRPr="00747EF6" w:rsidRDefault="00D200FC" w:rsidP="00D200FC">
      <w:pPr>
        <w:pStyle w:val="BodyText"/>
        <w:rPr>
          <w:rStyle w:val="CommentReference"/>
        </w:rPr>
      </w:pPr>
      <w:r w:rsidRPr="00747EF6">
        <w:t xml:space="preserve">In 2018, the </w:t>
      </w:r>
      <w:r>
        <w:t>G</w:t>
      </w:r>
      <w:r w:rsidRPr="00747EF6">
        <w:t>overnment identified and consulted on seven market governance risks</w:t>
      </w:r>
      <w:r w:rsidRPr="00747EF6">
        <w:rPr>
          <w:rStyle w:val="FootnoteReference"/>
        </w:rPr>
        <w:footnoteReference w:id="15"/>
      </w:r>
      <w:r w:rsidRPr="00747EF6">
        <w:t xml:space="preserve"> relating to bad advice, transparency issues with trading, and misconduct in the NZU market. </w:t>
      </w:r>
      <w:r>
        <w:fldChar w:fldCharType="begin"/>
      </w:r>
      <w:r>
        <w:instrText xml:space="preserve"> REF _Ref118369140 \h </w:instrText>
      </w:r>
      <w:r>
        <w:fldChar w:fldCharType="separate"/>
      </w:r>
      <w:r w:rsidR="00C67DAB">
        <w:t xml:space="preserve">Table </w:t>
      </w:r>
      <w:r w:rsidR="00C67DAB">
        <w:rPr>
          <w:noProof/>
        </w:rPr>
        <w:t>3</w:t>
      </w:r>
      <w:r>
        <w:fldChar w:fldCharType="end"/>
      </w:r>
      <w:r w:rsidRPr="00747EF6">
        <w:t xml:space="preserve"> </w:t>
      </w:r>
      <w:r>
        <w:t>outlines</w:t>
      </w:r>
      <w:r w:rsidRPr="00747EF6">
        <w:t xml:space="preserve"> the seven identified market governance risks and their corresponding themes.</w:t>
      </w:r>
    </w:p>
    <w:p w14:paraId="0B20C3BD" w14:textId="77777777" w:rsidR="00D200FC" w:rsidRDefault="00D200FC" w:rsidP="00D200FC">
      <w:pPr>
        <w:pStyle w:val="Tableheading"/>
      </w:pPr>
      <w:bookmarkStart w:id="24" w:name="_Ref118369140"/>
      <w:bookmarkStart w:id="25" w:name="_Toc118953821"/>
      <w:r>
        <w:t xml:space="preserve">Table </w:t>
      </w:r>
      <w:fldSimple w:instr=" SEQ Table \* ARABIC ">
        <w:r w:rsidR="00C67DAB">
          <w:rPr>
            <w:noProof/>
          </w:rPr>
          <w:t>3</w:t>
        </w:r>
      </w:fldSimple>
      <w:bookmarkEnd w:id="24"/>
      <w:r>
        <w:t xml:space="preserve">: </w:t>
      </w:r>
      <w:r>
        <w:tab/>
        <w:t>Market governance risks and themes</w:t>
      </w:r>
      <w:bookmarkEnd w:id="25"/>
    </w:p>
    <w:tbl>
      <w:tblPr>
        <w:tblStyle w:val="TableGrid"/>
        <w:tblW w:w="0" w:type="auto"/>
        <w:tblInd w:w="108"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639"/>
        <w:gridCol w:w="5758"/>
      </w:tblGrid>
      <w:tr w:rsidR="00E10411" w14:paraId="46C3090A" w14:textId="77777777" w:rsidTr="00E10411">
        <w:tc>
          <w:tcPr>
            <w:tcW w:w="2694" w:type="dxa"/>
            <w:shd w:val="clear" w:color="auto" w:fill="1B556B"/>
          </w:tcPr>
          <w:p w14:paraId="0301D473" w14:textId="77777777" w:rsidR="00E10411" w:rsidRPr="00E10411" w:rsidRDefault="00E10411" w:rsidP="00E10411">
            <w:pPr>
              <w:pStyle w:val="TableText"/>
              <w:rPr>
                <w:b/>
                <w:bCs/>
                <w:color w:val="FFFFFF" w:themeColor="background1"/>
              </w:rPr>
            </w:pPr>
            <w:r w:rsidRPr="00E10411">
              <w:rPr>
                <w:b/>
                <w:bCs/>
                <w:color w:val="FFFFFF" w:themeColor="background1"/>
              </w:rPr>
              <w:t>Theme</w:t>
            </w:r>
          </w:p>
        </w:tc>
        <w:tc>
          <w:tcPr>
            <w:tcW w:w="5919" w:type="dxa"/>
            <w:shd w:val="clear" w:color="auto" w:fill="1B556B"/>
          </w:tcPr>
          <w:p w14:paraId="783FE863" w14:textId="77777777" w:rsidR="00E10411" w:rsidRPr="00E10411" w:rsidRDefault="00E10411" w:rsidP="00E10411">
            <w:pPr>
              <w:pStyle w:val="TableText"/>
              <w:rPr>
                <w:b/>
                <w:bCs/>
                <w:color w:val="FFFFFF" w:themeColor="background1"/>
              </w:rPr>
            </w:pPr>
            <w:r w:rsidRPr="00E10411">
              <w:rPr>
                <w:b/>
                <w:bCs/>
                <w:color w:val="FFFFFF" w:themeColor="background1"/>
              </w:rPr>
              <w:t>Risk</w:t>
            </w:r>
          </w:p>
        </w:tc>
      </w:tr>
      <w:tr w:rsidR="00E10411" w14:paraId="70FA2CFE" w14:textId="77777777" w:rsidTr="00E10411">
        <w:tc>
          <w:tcPr>
            <w:tcW w:w="2694" w:type="dxa"/>
            <w:vMerge w:val="restart"/>
          </w:tcPr>
          <w:p w14:paraId="433EA4C4" w14:textId="77777777" w:rsidR="00E10411" w:rsidRPr="00BE762A" w:rsidRDefault="00E10411" w:rsidP="00E10411">
            <w:pPr>
              <w:pStyle w:val="TableText"/>
              <w:rPr>
                <w:rFonts w:ascii="Segoe UI" w:hAnsi="Segoe UI" w:cs="Segoe UI"/>
              </w:rPr>
            </w:pPr>
            <w:r w:rsidRPr="00BE762A">
              <w:t xml:space="preserve">Theme A: </w:t>
            </w:r>
          </w:p>
          <w:p w14:paraId="5543CEC4" w14:textId="77777777" w:rsidR="00E10411" w:rsidRDefault="00E10411" w:rsidP="00E10411">
            <w:pPr>
              <w:pStyle w:val="TableText"/>
            </w:pPr>
            <w:r w:rsidRPr="00BE762A">
              <w:t xml:space="preserve">Governance of </w:t>
            </w:r>
            <w:r>
              <w:t>a</w:t>
            </w:r>
            <w:r w:rsidRPr="00BE762A">
              <w:t>dvice </w:t>
            </w:r>
          </w:p>
        </w:tc>
        <w:tc>
          <w:tcPr>
            <w:tcW w:w="5919" w:type="dxa"/>
          </w:tcPr>
          <w:p w14:paraId="25600DB2" w14:textId="77777777" w:rsidR="00E10411" w:rsidRDefault="00E10411" w:rsidP="00E10411">
            <w:pPr>
              <w:pStyle w:val="TableText"/>
            </w:pPr>
            <w:r w:rsidRPr="008C1961">
              <w:t xml:space="preserve">Risk 1: Inadequate, </w:t>
            </w:r>
            <w:proofErr w:type="gramStart"/>
            <w:r w:rsidRPr="008C1961">
              <w:t>false</w:t>
            </w:r>
            <w:proofErr w:type="gramEnd"/>
            <w:r w:rsidRPr="008C1961">
              <w:t xml:space="preserve"> or misleading advice relating to NZUs</w:t>
            </w:r>
          </w:p>
        </w:tc>
      </w:tr>
      <w:tr w:rsidR="00E10411" w14:paraId="4161BEE8" w14:textId="77777777" w:rsidTr="00E10411">
        <w:tc>
          <w:tcPr>
            <w:tcW w:w="2694" w:type="dxa"/>
            <w:vMerge/>
          </w:tcPr>
          <w:p w14:paraId="489D097A" w14:textId="77777777" w:rsidR="00E10411" w:rsidRDefault="00E10411" w:rsidP="00E10411">
            <w:pPr>
              <w:pStyle w:val="TableText"/>
            </w:pPr>
          </w:p>
        </w:tc>
        <w:tc>
          <w:tcPr>
            <w:tcW w:w="5919" w:type="dxa"/>
          </w:tcPr>
          <w:p w14:paraId="4B817B3D" w14:textId="77777777" w:rsidR="00E10411" w:rsidRDefault="00E10411" w:rsidP="00E10411">
            <w:pPr>
              <w:pStyle w:val="TableText"/>
            </w:pPr>
            <w:r w:rsidRPr="008C1961">
              <w:t xml:space="preserve">Risk 2: Conflicts of interest involving the </w:t>
            </w:r>
            <w:r>
              <w:t>NZETR</w:t>
            </w:r>
            <w:r w:rsidRPr="008C1961">
              <w:t> </w:t>
            </w:r>
          </w:p>
        </w:tc>
      </w:tr>
      <w:tr w:rsidR="00E10411" w14:paraId="1DD69CE4" w14:textId="77777777" w:rsidTr="00E10411">
        <w:tc>
          <w:tcPr>
            <w:tcW w:w="2694" w:type="dxa"/>
            <w:vMerge w:val="restart"/>
          </w:tcPr>
          <w:p w14:paraId="5DE5ABC3" w14:textId="77777777" w:rsidR="00E10411" w:rsidRPr="008248C4" w:rsidRDefault="00E10411" w:rsidP="00E10411">
            <w:pPr>
              <w:pStyle w:val="TableText"/>
              <w:rPr>
                <w:rFonts w:ascii="Segoe UI" w:hAnsi="Segoe UI" w:cs="Segoe UI"/>
              </w:rPr>
            </w:pPr>
            <w:r w:rsidRPr="008248C4">
              <w:t xml:space="preserve">Theme B: </w:t>
            </w:r>
          </w:p>
          <w:p w14:paraId="4EFB3DBE" w14:textId="77777777" w:rsidR="00E10411" w:rsidRDefault="00E10411" w:rsidP="00E10411">
            <w:pPr>
              <w:pStyle w:val="TableText"/>
            </w:pPr>
            <w:r w:rsidRPr="008248C4">
              <w:t xml:space="preserve">Governance of </w:t>
            </w:r>
            <w:r>
              <w:t>t</w:t>
            </w:r>
            <w:r w:rsidRPr="008248C4">
              <w:t>rading </w:t>
            </w:r>
          </w:p>
        </w:tc>
        <w:tc>
          <w:tcPr>
            <w:tcW w:w="5919" w:type="dxa"/>
          </w:tcPr>
          <w:p w14:paraId="177C7D10" w14:textId="592250F1" w:rsidR="00E10411" w:rsidRDefault="00E10411" w:rsidP="00E10411">
            <w:pPr>
              <w:pStyle w:val="TableText"/>
            </w:pPr>
            <w:r w:rsidRPr="008C1961">
              <w:t xml:space="preserve">Risk 3: Potential lack of transparency, </w:t>
            </w:r>
            <w:proofErr w:type="gramStart"/>
            <w:r w:rsidRPr="008C1961">
              <w:t>oversight</w:t>
            </w:r>
            <w:proofErr w:type="gramEnd"/>
            <w:r w:rsidRPr="008C1961">
              <w:t xml:space="preserve"> and monitoring of trades in the secondary NZU market </w:t>
            </w:r>
          </w:p>
        </w:tc>
      </w:tr>
      <w:tr w:rsidR="00E10411" w14:paraId="6EF8CF06" w14:textId="77777777" w:rsidTr="00E10411">
        <w:tc>
          <w:tcPr>
            <w:tcW w:w="2694" w:type="dxa"/>
            <w:vMerge/>
          </w:tcPr>
          <w:p w14:paraId="4D4D94A5" w14:textId="77777777" w:rsidR="00E10411" w:rsidRDefault="00E10411" w:rsidP="00E10411">
            <w:pPr>
              <w:pStyle w:val="TableText"/>
            </w:pPr>
          </w:p>
        </w:tc>
        <w:tc>
          <w:tcPr>
            <w:tcW w:w="5919" w:type="dxa"/>
          </w:tcPr>
          <w:p w14:paraId="344C5229" w14:textId="77777777" w:rsidR="00E10411" w:rsidRDefault="00E10411" w:rsidP="00E10411">
            <w:pPr>
              <w:pStyle w:val="TableText"/>
            </w:pPr>
            <w:r w:rsidRPr="008C1961">
              <w:t>Risk 4: Credit and counterparty risks </w:t>
            </w:r>
          </w:p>
        </w:tc>
      </w:tr>
      <w:tr w:rsidR="00E10411" w14:paraId="710752F5" w14:textId="77777777" w:rsidTr="00E10411">
        <w:tc>
          <w:tcPr>
            <w:tcW w:w="2694" w:type="dxa"/>
            <w:vMerge w:val="restart"/>
          </w:tcPr>
          <w:p w14:paraId="5A2B1B1B" w14:textId="77777777" w:rsidR="00E10411" w:rsidRPr="00423BBD" w:rsidRDefault="00E10411" w:rsidP="00E10411">
            <w:pPr>
              <w:pStyle w:val="TableText"/>
              <w:rPr>
                <w:rFonts w:ascii="Segoe UI" w:hAnsi="Segoe UI" w:cs="Segoe UI"/>
              </w:rPr>
            </w:pPr>
            <w:r w:rsidRPr="00423BBD">
              <w:t xml:space="preserve">Theme C: </w:t>
            </w:r>
          </w:p>
          <w:p w14:paraId="42BBB373" w14:textId="77777777" w:rsidR="00E10411" w:rsidRDefault="00E10411" w:rsidP="00E10411">
            <w:pPr>
              <w:pStyle w:val="TableText"/>
            </w:pPr>
            <w:r w:rsidRPr="00423BBD">
              <w:t xml:space="preserve">Governance of </w:t>
            </w:r>
            <w:r>
              <w:t>m</w:t>
            </w:r>
            <w:r w:rsidRPr="00423BBD">
              <w:t xml:space="preserve">arket </w:t>
            </w:r>
            <w:r>
              <w:t>c</w:t>
            </w:r>
            <w:r w:rsidRPr="00423BBD">
              <w:t>onduct </w:t>
            </w:r>
          </w:p>
        </w:tc>
        <w:tc>
          <w:tcPr>
            <w:tcW w:w="5919" w:type="dxa"/>
          </w:tcPr>
          <w:p w14:paraId="35E0180C" w14:textId="77777777" w:rsidR="00E10411" w:rsidRDefault="00E10411" w:rsidP="00E10411">
            <w:pPr>
              <w:pStyle w:val="TableText"/>
            </w:pPr>
            <w:r w:rsidRPr="008C1961">
              <w:t>Risk 5: Insider trading and information asymmetry </w:t>
            </w:r>
          </w:p>
        </w:tc>
      </w:tr>
      <w:tr w:rsidR="00E10411" w14:paraId="663BEC2E" w14:textId="77777777" w:rsidTr="00E10411">
        <w:tc>
          <w:tcPr>
            <w:tcW w:w="2694" w:type="dxa"/>
            <w:vMerge/>
          </w:tcPr>
          <w:p w14:paraId="41066F99" w14:textId="77777777" w:rsidR="00E10411" w:rsidRDefault="00E10411" w:rsidP="00E10411">
            <w:pPr>
              <w:pStyle w:val="TableText"/>
            </w:pPr>
          </w:p>
        </w:tc>
        <w:tc>
          <w:tcPr>
            <w:tcW w:w="5919" w:type="dxa"/>
          </w:tcPr>
          <w:p w14:paraId="2EF41E52" w14:textId="77777777" w:rsidR="00E10411" w:rsidRDefault="00E10411" w:rsidP="00E10411">
            <w:pPr>
              <w:pStyle w:val="TableText"/>
            </w:pPr>
            <w:r w:rsidRPr="008C1961">
              <w:t>Risk 6: Manipulation of NZU prices </w:t>
            </w:r>
          </w:p>
        </w:tc>
      </w:tr>
      <w:tr w:rsidR="00E10411" w14:paraId="286B140F" w14:textId="77777777" w:rsidTr="00E10411">
        <w:tc>
          <w:tcPr>
            <w:tcW w:w="2694" w:type="dxa"/>
            <w:vMerge/>
          </w:tcPr>
          <w:p w14:paraId="23E089FD" w14:textId="77777777" w:rsidR="00E10411" w:rsidRDefault="00E10411" w:rsidP="00E10411">
            <w:pPr>
              <w:pStyle w:val="TableText"/>
            </w:pPr>
          </w:p>
        </w:tc>
        <w:tc>
          <w:tcPr>
            <w:tcW w:w="5919" w:type="dxa"/>
          </w:tcPr>
          <w:p w14:paraId="781A6A40" w14:textId="77777777" w:rsidR="00E10411" w:rsidRDefault="00E10411" w:rsidP="00E10411">
            <w:pPr>
              <w:pStyle w:val="TableText"/>
            </w:pPr>
            <w:r w:rsidRPr="008C1961">
              <w:t>Risk 7: Money laundering and financing of terrorism in the NZU market</w:t>
            </w:r>
          </w:p>
        </w:tc>
      </w:tr>
    </w:tbl>
    <w:p w14:paraId="2EED5233" w14:textId="77777777" w:rsidR="00D200FC" w:rsidRPr="00747EF6" w:rsidRDefault="00D200FC" w:rsidP="00D200FC">
      <w:pPr>
        <w:pStyle w:val="BodyText"/>
      </w:pPr>
      <w:r w:rsidRPr="00747EF6">
        <w:t>In general, submitters were more concerned about future misconduct than current behaviour.</w:t>
      </w:r>
    </w:p>
    <w:p w14:paraId="617744B1" w14:textId="7B855B60" w:rsidR="00D200FC" w:rsidRPr="00747EF6" w:rsidRDefault="00D200FC" w:rsidP="00D200FC">
      <w:pPr>
        <w:pStyle w:val="BodyText"/>
        <w:rPr>
          <w:rFonts w:ascii="Arial" w:hAnsi="Arial" w:cs="Arial"/>
          <w:b/>
          <w:sz w:val="20"/>
          <w:szCs w:val="20"/>
        </w:rPr>
      </w:pPr>
      <w:r w:rsidRPr="00747EF6">
        <w:t>One submitter noted</w:t>
      </w:r>
      <w:r>
        <w:t>,</w:t>
      </w:r>
      <w:r w:rsidRPr="00747EF6">
        <w:t xml:space="preserve"> “</w:t>
      </w:r>
      <w:r>
        <w:t>A</w:t>
      </w:r>
      <w:r w:rsidRPr="00747EF6">
        <w:t>s the market becomes more mature and the volume and value of trading increases, it will become important for units to take on some of the features that ordinary financial products have</w:t>
      </w:r>
      <w:r w:rsidR="0035263F">
        <w:t>,</w:t>
      </w:r>
      <w:r w:rsidRPr="00747EF6">
        <w:t xml:space="preserve"> as well as a more sophisticated compliance monitoring and enforcement regime”</w:t>
      </w:r>
      <w:r>
        <w:t>.</w:t>
      </w:r>
    </w:p>
    <w:p w14:paraId="37933628" w14:textId="77777777" w:rsidR="00D200FC" w:rsidRDefault="00D200FC" w:rsidP="00D200FC">
      <w:pPr>
        <w:pStyle w:val="BodyText"/>
      </w:pPr>
      <w:bookmarkStart w:id="26" w:name="table_2"/>
      <w:bookmarkEnd w:id="26"/>
      <w:r w:rsidRPr="00747EF6">
        <w:t xml:space="preserve">Some commented that initiatives to address risks and improve governance could have unintended consequences for </w:t>
      </w:r>
      <w:r w:rsidRPr="00FE6ADE">
        <w:t>engagement</w:t>
      </w:r>
      <w:r w:rsidRPr="00747EF6">
        <w:t xml:space="preserve"> in the NZU market, or lead to higher compliance costs</w:t>
      </w:r>
      <w:r>
        <w:t>,</w:t>
      </w:r>
      <w:r w:rsidRPr="00B10724">
        <w:rPr>
          <w:rStyle w:val="FootnoteReference"/>
        </w:rPr>
        <w:footnoteReference w:id="16"/>
      </w:r>
      <w:r w:rsidRPr="00747EF6">
        <w:t xml:space="preserve"> especially for smaller participants. They therefore recommended carefully considering any change, ensuring any proposed regulation is proportionate to the risks and not too onerous.</w:t>
      </w:r>
    </w:p>
    <w:p w14:paraId="2591800A" w14:textId="77777777" w:rsidR="00D200FC" w:rsidRPr="00747EF6" w:rsidRDefault="00D200FC" w:rsidP="00E10411">
      <w:pPr>
        <w:pStyle w:val="Heading3"/>
      </w:pPr>
      <w:r w:rsidRPr="00747EF6">
        <w:t>2018 Cabinet in</w:t>
      </w:r>
      <w:r>
        <w:t>-</w:t>
      </w:r>
      <w:proofErr w:type="gramStart"/>
      <w:r w:rsidRPr="00747EF6">
        <w:t>principle</w:t>
      </w:r>
      <w:proofErr w:type="gramEnd"/>
      <w:r w:rsidRPr="00747EF6">
        <w:t xml:space="preserve"> decisions</w:t>
      </w:r>
    </w:p>
    <w:p w14:paraId="59E9BB80" w14:textId="77777777" w:rsidR="00D200FC" w:rsidRPr="00747EF6" w:rsidRDefault="00D200FC" w:rsidP="00D200FC">
      <w:pPr>
        <w:pStyle w:val="BodyText"/>
      </w:pPr>
      <w:r w:rsidRPr="00747EF6">
        <w:t>In 2018, alongside the decisions to introduce auctioning in 2020</w:t>
      </w:r>
      <w:r>
        <w:t xml:space="preserve"> and subject to the wider market governance decisions, </w:t>
      </w:r>
      <w:r w:rsidRPr="00747EF6">
        <w:t>Cabinet agreed in principle to address the risks of insider trading and market manipulation as a priority</w:t>
      </w:r>
      <w:r>
        <w:t xml:space="preserve">, </w:t>
      </w:r>
      <w:r w:rsidRPr="00747EF6">
        <w:t>because of the increased likelihood of misconduct</w:t>
      </w:r>
      <w:r>
        <w:t>.</w:t>
      </w:r>
      <w:bookmarkStart w:id="27" w:name="_Ref118371434"/>
      <w:r w:rsidRPr="00747EF6">
        <w:rPr>
          <w:rStyle w:val="FootnoteReference"/>
        </w:rPr>
        <w:footnoteReference w:id="17"/>
      </w:r>
      <w:bookmarkEnd w:id="27"/>
      <w:r w:rsidRPr="00747EF6">
        <w:t xml:space="preserve"> </w:t>
      </w:r>
    </w:p>
    <w:p w14:paraId="76CAFC5B" w14:textId="77777777" w:rsidR="00E10411" w:rsidRPr="00747EF6" w:rsidRDefault="00E10411" w:rsidP="00E10411">
      <w:pPr>
        <w:pStyle w:val="BodyText"/>
      </w:pPr>
      <w:r w:rsidRPr="00747EF6">
        <w:lastRenderedPageBreak/>
        <w:t xml:space="preserve">Cabinet agreed in principle that insider trading and market manipulation should, as much as practicable and appropriate, be treated in the same manner as in the FMC Act and have offences and penalties that mirror </w:t>
      </w:r>
      <w:r>
        <w:t>those in that</w:t>
      </w:r>
      <w:r w:rsidRPr="00747EF6">
        <w:t xml:space="preserve"> Act.</w:t>
      </w:r>
    </w:p>
    <w:p w14:paraId="64402D9C" w14:textId="1488207E" w:rsidR="00E10411" w:rsidRPr="00747EF6" w:rsidRDefault="00E10411" w:rsidP="00E10411">
      <w:pPr>
        <w:pStyle w:val="BodyText"/>
        <w:rPr>
          <w:lang w:eastAsia="en-GB"/>
        </w:rPr>
      </w:pPr>
      <w:r w:rsidRPr="00747EF6">
        <w:t xml:space="preserve">Cabinet </w:t>
      </w:r>
      <w:r w:rsidRPr="00747EF6">
        <w:rPr>
          <w:lang w:eastAsia="en-GB"/>
        </w:rPr>
        <w:t xml:space="preserve">noted that </w:t>
      </w:r>
      <w:r w:rsidR="00FB65E4">
        <w:rPr>
          <w:lang w:eastAsia="en-GB"/>
        </w:rPr>
        <w:t>Ministry for the Environment</w:t>
      </w:r>
      <w:r w:rsidR="00FB65E4" w:rsidRPr="00747EF6">
        <w:rPr>
          <w:lang w:eastAsia="en-GB"/>
        </w:rPr>
        <w:t xml:space="preserve"> </w:t>
      </w:r>
      <w:r w:rsidRPr="00747EF6">
        <w:rPr>
          <w:lang w:eastAsia="en-GB"/>
        </w:rPr>
        <w:t>officials will do further work to determine the most appropriate regulator to enforce this conduct, including careful consideration of which regulator could be adequately resourced to deal with this conduct</w:t>
      </w:r>
      <w:r>
        <w:rPr>
          <w:lang w:eastAsia="en-GB"/>
        </w:rPr>
        <w:t>.</w:t>
      </w:r>
      <w:r>
        <w:rPr>
          <w:rStyle w:val="FootnoteReference"/>
        </w:rPr>
        <w:footnoteReference w:id="18"/>
      </w:r>
    </w:p>
    <w:p w14:paraId="0D22B1EF" w14:textId="77777777" w:rsidR="00E10411" w:rsidRPr="00747EF6" w:rsidRDefault="00E10411" w:rsidP="00E10411">
      <w:pPr>
        <w:pStyle w:val="Heading3"/>
      </w:pPr>
      <w:r w:rsidRPr="00747EF6">
        <w:t xml:space="preserve">2021 consultation informed policy options </w:t>
      </w:r>
    </w:p>
    <w:p w14:paraId="0710E5C2" w14:textId="45534DAD" w:rsidR="00E10411" w:rsidRPr="00747EF6" w:rsidRDefault="00E10411" w:rsidP="00E10411">
      <w:pPr>
        <w:pStyle w:val="BodyText"/>
      </w:pPr>
      <w:r w:rsidRPr="00747EF6">
        <w:t xml:space="preserve">In July 2021, </w:t>
      </w:r>
      <w:r w:rsidR="007772CC">
        <w:t xml:space="preserve">the Ministry for the </w:t>
      </w:r>
      <w:r w:rsidR="00906C60">
        <w:t>Environment</w:t>
      </w:r>
      <w:r w:rsidR="007772CC" w:rsidRPr="00747EF6">
        <w:t xml:space="preserve"> </w:t>
      </w:r>
      <w:r w:rsidRPr="00747EF6">
        <w:t>consulted on options to address the seven identified market governance risks.</w:t>
      </w:r>
      <w:r w:rsidRPr="00747EF6">
        <w:rPr>
          <w:rStyle w:val="FootnoteReference"/>
        </w:rPr>
        <w:footnoteReference w:id="19"/>
      </w:r>
      <w:r w:rsidRPr="00747EF6">
        <w:t xml:space="preserve"> The full range of options considered is provided in </w:t>
      </w:r>
      <w:hyperlink w:anchor="_Appendix_A:_Summary" w:history="1">
        <w:r>
          <w:rPr>
            <w:rStyle w:val="Hyperlink"/>
          </w:rPr>
          <w:t>A</w:t>
        </w:r>
        <w:r w:rsidRPr="00310549">
          <w:rPr>
            <w:rStyle w:val="Hyperlink"/>
          </w:rPr>
          <w:t>ppendix A</w:t>
        </w:r>
      </w:hyperlink>
      <w:r w:rsidRPr="00747EF6">
        <w:t>.</w:t>
      </w:r>
    </w:p>
    <w:p w14:paraId="2E4B0557" w14:textId="27D7BFC3" w:rsidR="00E10411" w:rsidRPr="00747EF6" w:rsidRDefault="00E10411" w:rsidP="00E10411">
      <w:pPr>
        <w:pStyle w:val="BodyText"/>
      </w:pPr>
      <w:r w:rsidRPr="00747EF6">
        <w:t>The consultation adopted a first-principles approach. The first</w:t>
      </w:r>
      <w:r>
        <w:t>-</w:t>
      </w:r>
      <w:r w:rsidRPr="00747EF6">
        <w:t xml:space="preserve">principles approach allowed </w:t>
      </w:r>
      <w:r w:rsidR="004C4F3A">
        <w:t>the Ministry</w:t>
      </w:r>
      <w:r w:rsidR="004C4F3A" w:rsidRPr="00747EF6">
        <w:t xml:space="preserve"> </w:t>
      </w:r>
      <w:r w:rsidRPr="00747EF6">
        <w:t>to establish the prevalence of market governance risks</w:t>
      </w:r>
      <w:r>
        <w:t xml:space="preserve"> and</w:t>
      </w:r>
      <w:r w:rsidRPr="00747EF6">
        <w:t xml:space="preserve"> consider the most appropriate regulatory and non-regulatory tools to address these risks, without being </w:t>
      </w:r>
      <w:r>
        <w:t>restricted to</w:t>
      </w:r>
      <w:r w:rsidRPr="00747EF6">
        <w:t xml:space="preserve"> the types of tools that already existed in the market, </w:t>
      </w:r>
      <w:r>
        <w:t xml:space="preserve">the </w:t>
      </w:r>
      <w:proofErr w:type="gramStart"/>
      <w:r w:rsidRPr="00747EF6">
        <w:t>legislation</w:t>
      </w:r>
      <w:proofErr w:type="gramEnd"/>
      <w:r w:rsidRPr="00747EF6">
        <w:t xml:space="preserve"> or </w:t>
      </w:r>
      <w:r>
        <w:t xml:space="preserve">any </w:t>
      </w:r>
      <w:r w:rsidRPr="00747EF6">
        <w:t xml:space="preserve">prior policy assumptions. </w:t>
      </w:r>
    </w:p>
    <w:p w14:paraId="0F18A77C" w14:textId="1AE4747C" w:rsidR="00E10411" w:rsidRPr="00747EF6" w:rsidRDefault="00E10411" w:rsidP="00E10411">
      <w:pPr>
        <w:pStyle w:val="BodyText"/>
      </w:pPr>
      <w:r w:rsidRPr="00747EF6">
        <w:t xml:space="preserve">In the consultation document, </w:t>
      </w:r>
      <w:r w:rsidR="00106F9D">
        <w:t>the Ministry</w:t>
      </w:r>
      <w:r w:rsidRPr="00747EF6">
        <w:t>:</w:t>
      </w:r>
    </w:p>
    <w:p w14:paraId="3FDE0176" w14:textId="2C014BE4" w:rsidR="00E10411" w:rsidRPr="00747EF6" w:rsidRDefault="00E10411" w:rsidP="00E10411">
      <w:pPr>
        <w:pStyle w:val="Bullet"/>
        <w:tabs>
          <w:tab w:val="num" w:pos="397"/>
        </w:tabs>
        <w:spacing w:line="280" w:lineRule="exact"/>
      </w:pPr>
      <w:r w:rsidRPr="00747EF6">
        <w:t>investigated the prevalence of the market governance risk</w:t>
      </w:r>
      <w:r>
        <w:t>s</w:t>
      </w:r>
      <w:r w:rsidRPr="00747EF6">
        <w:t xml:space="preserve"> and </w:t>
      </w:r>
      <w:r>
        <w:t>whether</w:t>
      </w:r>
      <w:r w:rsidRPr="00747EF6">
        <w:t xml:space="preserve"> they still exist</w:t>
      </w:r>
      <w:r w:rsidR="00F23D89">
        <w:t>ed</w:t>
      </w:r>
      <w:r w:rsidRPr="00747EF6">
        <w:t xml:space="preserve"> under the status quo</w:t>
      </w:r>
    </w:p>
    <w:p w14:paraId="42EAD54C" w14:textId="6C81CA3D" w:rsidR="00E10411" w:rsidRPr="00747EF6" w:rsidRDefault="00E10411" w:rsidP="00E10411">
      <w:pPr>
        <w:pStyle w:val="Bullet"/>
        <w:tabs>
          <w:tab w:val="num" w:pos="397"/>
        </w:tabs>
        <w:spacing w:line="280" w:lineRule="exact"/>
      </w:pPr>
      <w:r w:rsidRPr="00747EF6">
        <w:t xml:space="preserve">presented a range of regulatory and non-regulatory options </w:t>
      </w:r>
      <w:r w:rsidR="00F46CA8">
        <w:t>that</w:t>
      </w:r>
      <w:r w:rsidR="00F46CA8" w:rsidRPr="00747EF6">
        <w:t xml:space="preserve"> </w:t>
      </w:r>
      <w:r w:rsidRPr="00747EF6">
        <w:t>would address the market governance risks</w:t>
      </w:r>
      <w:r>
        <w:t xml:space="preserve"> (t</w:t>
      </w:r>
      <w:r w:rsidRPr="00747EF6">
        <w:t>hese options were not mutually exclusive</w:t>
      </w:r>
      <w:r>
        <w:t>)</w:t>
      </w:r>
    </w:p>
    <w:p w14:paraId="46059EC0" w14:textId="4A3874C1" w:rsidR="00E10411" w:rsidRPr="00747EF6" w:rsidRDefault="00E10411" w:rsidP="00E10411">
      <w:pPr>
        <w:pStyle w:val="Bullet"/>
        <w:tabs>
          <w:tab w:val="num" w:pos="397"/>
        </w:tabs>
        <w:spacing w:line="280" w:lineRule="exact"/>
      </w:pPr>
      <w:r w:rsidRPr="00747EF6">
        <w:t>presented different combinations of options (market governance scenarios) which could apply in the NZU market</w:t>
      </w:r>
      <w:r>
        <w:t xml:space="preserve"> (including </w:t>
      </w:r>
      <w:r w:rsidRPr="00747EF6">
        <w:t>low-regulatory, balanced, and high</w:t>
      </w:r>
      <w:r w:rsidR="00911BF3">
        <w:t>-</w:t>
      </w:r>
      <w:r w:rsidRPr="00747EF6">
        <w:t>risk-mitigation scenarios</w:t>
      </w:r>
      <w:r>
        <w:t>,</w:t>
      </w:r>
      <w:r w:rsidRPr="00747EF6">
        <w:t xml:space="preserve"> to show </w:t>
      </w:r>
      <w:r>
        <w:t>a range of possible intervention levels)</w:t>
      </w:r>
    </w:p>
    <w:p w14:paraId="60A7F2EE" w14:textId="77777777" w:rsidR="00E10411" w:rsidRPr="00747EF6" w:rsidRDefault="00E10411" w:rsidP="00E10411">
      <w:pPr>
        <w:pStyle w:val="Bullet"/>
        <w:tabs>
          <w:tab w:val="num" w:pos="397"/>
        </w:tabs>
        <w:spacing w:line="280" w:lineRule="exact"/>
      </w:pPr>
      <w:r w:rsidRPr="00747EF6">
        <w:t xml:space="preserve">did not consult on the appropriate legislation to implement the changes, or </w:t>
      </w:r>
      <w:r>
        <w:t xml:space="preserve">on </w:t>
      </w:r>
      <w:r w:rsidRPr="00747EF6">
        <w:t>whether NZUs should be regulated as financial products</w:t>
      </w:r>
      <w:r>
        <w:t xml:space="preserve"> (</w:t>
      </w:r>
      <w:r w:rsidRPr="00747EF6">
        <w:t>either under an existing or new framework</w:t>
      </w:r>
      <w:r>
        <w:t>)</w:t>
      </w:r>
      <w:r w:rsidRPr="00747EF6">
        <w:t>.</w:t>
      </w:r>
    </w:p>
    <w:p w14:paraId="261F83BB" w14:textId="77777777" w:rsidR="00E10411" w:rsidRPr="00747EF6" w:rsidRDefault="00E10411" w:rsidP="00E10411">
      <w:pPr>
        <w:pStyle w:val="BodyText"/>
      </w:pPr>
      <w:r w:rsidRPr="00747EF6">
        <w:t>The approach allowed stakeholders to express their opinion on their preferred direction</w:t>
      </w:r>
      <w:r>
        <w:t xml:space="preserve"> and</w:t>
      </w:r>
      <w:r w:rsidRPr="00747EF6">
        <w:t xml:space="preserve"> the types of tools that would be useful for addressing market governance risks</w:t>
      </w:r>
      <w:r>
        <w:t>,</w:t>
      </w:r>
      <w:r w:rsidRPr="00747EF6">
        <w:t xml:space="preserve"> and </w:t>
      </w:r>
      <w:r>
        <w:t xml:space="preserve">it </w:t>
      </w:r>
      <w:r w:rsidRPr="00747EF6">
        <w:t xml:space="preserve">helped the </w:t>
      </w:r>
      <w:r>
        <w:t>G</w:t>
      </w:r>
      <w:r w:rsidRPr="00747EF6">
        <w:t xml:space="preserve">overnment gather a range of perspectives before making policy decisions. </w:t>
      </w:r>
    </w:p>
    <w:p w14:paraId="220D6CA9" w14:textId="77777777" w:rsidR="00E10411" w:rsidRPr="00747EF6" w:rsidRDefault="00E10411" w:rsidP="00E10411">
      <w:pPr>
        <w:pStyle w:val="BodyText"/>
      </w:pPr>
      <w:r w:rsidRPr="00747EF6">
        <w:t xml:space="preserve">Stakeholder feedback from the 2021 consultation confirmed </w:t>
      </w:r>
      <w:r>
        <w:t xml:space="preserve">the existence of </w:t>
      </w:r>
      <w:r w:rsidRPr="00747EF6">
        <w:t xml:space="preserve">the </w:t>
      </w:r>
      <w:r>
        <w:t xml:space="preserve">seven </w:t>
      </w:r>
      <w:r w:rsidRPr="00747EF6">
        <w:t xml:space="preserve">identified </w:t>
      </w:r>
      <w:r>
        <w:t xml:space="preserve">market governance </w:t>
      </w:r>
      <w:r w:rsidRPr="00747EF6">
        <w:t xml:space="preserve">risks </w:t>
      </w:r>
      <w:r>
        <w:t xml:space="preserve">to the NZU market, under the status quo, and </w:t>
      </w:r>
      <w:r w:rsidRPr="00747EF6">
        <w:t xml:space="preserve">informed our consideration of several options to address </w:t>
      </w:r>
      <w:r>
        <w:t>those risks</w:t>
      </w:r>
      <w:r w:rsidRPr="00747EF6">
        <w:t>. The market governance options</w:t>
      </w:r>
      <w:r>
        <w:t xml:space="preserve"> below, for addressing misconduct, </w:t>
      </w:r>
      <w:r w:rsidRPr="00747EF6">
        <w:t xml:space="preserve">are modified versions of what was consulted on but are actively being considered based on stakeholder preference. </w:t>
      </w:r>
    </w:p>
    <w:p w14:paraId="780E4D0F" w14:textId="77777777" w:rsidR="00E10411" w:rsidRDefault="00E10411" w:rsidP="00E10411">
      <w:pPr>
        <w:pStyle w:val="BodyText"/>
      </w:pPr>
      <w:r w:rsidRPr="00747EF6">
        <w:t>The following were identified as the appropriate type</w:t>
      </w:r>
      <w:r>
        <w:t>s</w:t>
      </w:r>
      <w:r w:rsidRPr="00747EF6">
        <w:t xml:space="preserve"> of tools to address the market governance risks, grouped by their risk themes (advice, trading, conduct):</w:t>
      </w:r>
    </w:p>
    <w:p w14:paraId="57AF2518" w14:textId="77777777" w:rsidR="00E10411" w:rsidRPr="00747EF6" w:rsidRDefault="00E10411" w:rsidP="00E10411">
      <w:pPr>
        <w:pStyle w:val="BodyText"/>
      </w:pPr>
    </w:p>
    <w:p w14:paraId="752EF23E" w14:textId="1B176298" w:rsidR="00E10411" w:rsidRPr="00747EF6" w:rsidRDefault="00E10411" w:rsidP="00E10411">
      <w:pPr>
        <w:pStyle w:val="Bullet"/>
        <w:tabs>
          <w:tab w:val="num" w:pos="397"/>
        </w:tabs>
        <w:spacing w:line="280" w:lineRule="exact"/>
      </w:pPr>
      <w:r w:rsidRPr="00747EF6">
        <w:rPr>
          <w:b/>
        </w:rPr>
        <w:lastRenderedPageBreak/>
        <w:t xml:space="preserve">Governance of advice: </w:t>
      </w:r>
      <w:r>
        <w:t>ed</w:t>
      </w:r>
      <w:r w:rsidRPr="00747EF6">
        <w:t xml:space="preserve">ucation campaign, code of conduct, </w:t>
      </w:r>
      <w:proofErr w:type="gramStart"/>
      <w:r w:rsidRPr="00747EF6">
        <w:t>licensing</w:t>
      </w:r>
      <w:proofErr w:type="gramEnd"/>
      <w:r w:rsidRPr="00747EF6">
        <w:t xml:space="preserve"> and registration of NZU advisers</w:t>
      </w:r>
    </w:p>
    <w:p w14:paraId="25101D46" w14:textId="77777777" w:rsidR="00E10411" w:rsidRPr="00747EF6" w:rsidRDefault="00E10411" w:rsidP="00E10411">
      <w:pPr>
        <w:pStyle w:val="Bullet"/>
        <w:tabs>
          <w:tab w:val="num" w:pos="397"/>
        </w:tabs>
        <w:spacing w:line="280" w:lineRule="exact"/>
      </w:pPr>
      <w:r w:rsidRPr="00747EF6">
        <w:rPr>
          <w:b/>
        </w:rPr>
        <w:t>Governance of trading:</w:t>
      </w:r>
      <w:r w:rsidRPr="00747EF6">
        <w:t xml:space="preserve"> </w:t>
      </w:r>
      <w:r>
        <w:t>o</w:t>
      </w:r>
      <w:r w:rsidRPr="00747EF6">
        <w:t>ptional centralised exchange platform for NZU trades (modified from the mandatory centralised exchange proposed in 2021)</w:t>
      </w:r>
    </w:p>
    <w:p w14:paraId="763FDDDE" w14:textId="6D13DEAB" w:rsidR="00E10411" w:rsidRPr="00747EF6" w:rsidRDefault="00E10411" w:rsidP="00E10411">
      <w:pPr>
        <w:pStyle w:val="Bullet"/>
        <w:tabs>
          <w:tab w:val="num" w:pos="397"/>
        </w:tabs>
        <w:spacing w:line="280" w:lineRule="exact"/>
      </w:pPr>
      <w:r w:rsidRPr="00747EF6">
        <w:rPr>
          <w:b/>
        </w:rPr>
        <w:t>Governance of conduct:</w:t>
      </w:r>
      <w:r w:rsidRPr="00747EF6">
        <w:t xml:space="preserve"> Improved transaction reporting (modified from full transaction reporting proposed in 2021)</w:t>
      </w:r>
      <w:r w:rsidR="00547327">
        <w:t>.</w:t>
      </w:r>
    </w:p>
    <w:p w14:paraId="0B2F8CE1" w14:textId="72E3EDD9" w:rsidR="00E10411" w:rsidRDefault="00E10411" w:rsidP="00E10411">
      <w:pPr>
        <w:pStyle w:val="BodyText"/>
        <w:rPr>
          <w:bCs/>
        </w:rPr>
        <w:sectPr w:rsidR="00E10411" w:rsidSect="008A7498">
          <w:footerReference w:type="even" r:id="rId26"/>
          <w:pgSz w:w="11907" w:h="16840" w:code="9"/>
          <w:pgMar w:top="1134" w:right="1701" w:bottom="1134" w:left="1701" w:header="567" w:footer="567" w:gutter="0"/>
          <w:cols w:space="720"/>
          <w:docGrid w:linePitch="299"/>
        </w:sectPr>
      </w:pPr>
      <w:r w:rsidRPr="00747EF6">
        <w:rPr>
          <w:bCs/>
        </w:rPr>
        <w:t xml:space="preserve">The 2021 consultation also </w:t>
      </w:r>
      <w:r w:rsidR="003B2B37">
        <w:rPr>
          <w:bCs/>
        </w:rPr>
        <w:t xml:space="preserve">showed </w:t>
      </w:r>
      <w:r w:rsidRPr="00747EF6">
        <w:rPr>
          <w:bCs/>
        </w:rPr>
        <w:t>stakeholders favouring the appointment of a skilled regulator</w:t>
      </w:r>
      <w:r>
        <w:rPr>
          <w:bCs/>
        </w:rPr>
        <w:t>,</w:t>
      </w:r>
      <w:r w:rsidRPr="00747EF6">
        <w:rPr>
          <w:bCs/>
        </w:rPr>
        <w:t xml:space="preserve"> with </w:t>
      </w:r>
      <w:r w:rsidRPr="00747EF6">
        <w:t>market design and market compliance powers</w:t>
      </w:r>
      <w:r>
        <w:t>,</w:t>
      </w:r>
      <w:r w:rsidRPr="00747EF6">
        <w:rPr>
          <w:bCs/>
        </w:rPr>
        <w:t xml:space="preserve"> to oversee the NZU market.</w:t>
      </w:r>
    </w:p>
    <w:p w14:paraId="3A3C57B3" w14:textId="77777777" w:rsidR="00E10411" w:rsidRPr="00747EF6" w:rsidRDefault="00E10411" w:rsidP="00E10411">
      <w:pPr>
        <w:pStyle w:val="Heading1"/>
      </w:pPr>
      <w:bookmarkStart w:id="28" w:name="_Toc116391402"/>
      <w:bookmarkStart w:id="29" w:name="_Toc118703519"/>
      <w:bookmarkStart w:id="30" w:name="_Toc118953572"/>
      <w:r w:rsidRPr="00747EF6">
        <w:lastRenderedPageBreak/>
        <w:t>Market governance framework</w:t>
      </w:r>
      <w:bookmarkEnd w:id="28"/>
      <w:bookmarkEnd w:id="29"/>
      <w:bookmarkEnd w:id="30"/>
    </w:p>
    <w:p w14:paraId="37FD3E34" w14:textId="77777777" w:rsidR="00E10411" w:rsidRPr="00E10411" w:rsidRDefault="00E10411" w:rsidP="00E10411">
      <w:pPr>
        <w:pStyle w:val="Heading2"/>
      </w:pPr>
      <w:bookmarkStart w:id="31" w:name="_Toc118703520"/>
      <w:bookmarkStart w:id="32" w:name="_Toc118953573"/>
      <w:r w:rsidRPr="00E10411">
        <w:t>Objectives</w:t>
      </w:r>
      <w:bookmarkEnd w:id="31"/>
      <w:bookmarkEnd w:id="32"/>
    </w:p>
    <w:p w14:paraId="09481202" w14:textId="77777777" w:rsidR="00E10411" w:rsidRPr="00747EF6" w:rsidRDefault="00E10411" w:rsidP="00E10411">
      <w:pPr>
        <w:pStyle w:val="Heading3"/>
      </w:pPr>
      <w:r w:rsidRPr="00747EF6">
        <w:t>Overall market governance objectives</w:t>
      </w:r>
    </w:p>
    <w:p w14:paraId="2CE78449" w14:textId="2D288097" w:rsidR="00E10411" w:rsidRPr="00747EF6" w:rsidRDefault="00E10411" w:rsidP="00E10411">
      <w:pPr>
        <w:pStyle w:val="BodyText"/>
      </w:pPr>
      <w:r w:rsidRPr="00747EF6">
        <w:t xml:space="preserve">The </w:t>
      </w:r>
      <w:r w:rsidR="0048673A">
        <w:t>G</w:t>
      </w:r>
      <w:r w:rsidRPr="00747EF6">
        <w:t xml:space="preserve">overnment has identified market governance risks relating to poor advice, transparency, and misconduct in the NZU market. Currently there is a lack of cohesive legislation to address these risks. </w:t>
      </w:r>
    </w:p>
    <w:p w14:paraId="48CAA8C7" w14:textId="77777777" w:rsidR="00E10411" w:rsidRPr="00747EF6" w:rsidRDefault="00E10411" w:rsidP="00E10411">
      <w:pPr>
        <w:pStyle w:val="BodyText"/>
      </w:pPr>
      <w:r w:rsidRPr="00747EF6">
        <w:t xml:space="preserve">A poorly governed NZU market could have implications for meeting domestic emissions budgets. Through this consultation, we want to better understand the impact of leveraging existing financial market frameworks to address key risks in </w:t>
      </w:r>
      <w:r w:rsidRPr="00747EF6" w:rsidDel="00273B5B">
        <w:t xml:space="preserve">the </w:t>
      </w:r>
      <w:r w:rsidRPr="00747EF6">
        <w:t xml:space="preserve">NZU market. </w:t>
      </w:r>
    </w:p>
    <w:p w14:paraId="21B9C657" w14:textId="77777777" w:rsidR="00E10411" w:rsidRPr="00747EF6" w:rsidRDefault="00E10411" w:rsidP="00E10411">
      <w:pPr>
        <w:pStyle w:val="BodyText"/>
      </w:pPr>
      <w:r w:rsidRPr="00747EF6">
        <w:t>As the NZU market matures, the value of NZUs continues to rise. Additional NZU market users are joining the scheme and there is potential to open the NZU market to international participants.</w:t>
      </w:r>
    </w:p>
    <w:p w14:paraId="6EFACE98" w14:textId="48F4DC1A" w:rsidR="00E10411" w:rsidRPr="00747EF6" w:rsidRDefault="00E10411" w:rsidP="00E10411">
      <w:pPr>
        <w:pStyle w:val="BodyText"/>
      </w:pPr>
      <w:r w:rsidRPr="00747EF6">
        <w:t xml:space="preserve">The overall policy objective of market governance is to address the seven identified market governance risks </w:t>
      </w:r>
      <w:proofErr w:type="gramStart"/>
      <w:r w:rsidRPr="00747EF6">
        <w:t>in order to</w:t>
      </w:r>
      <w:proofErr w:type="gramEnd"/>
      <w:r w:rsidRPr="00747EF6">
        <w:t>:</w:t>
      </w:r>
    </w:p>
    <w:p w14:paraId="26D49901" w14:textId="7165350C" w:rsidR="00E10411" w:rsidRPr="00747EF6" w:rsidRDefault="00E10411" w:rsidP="00E10411">
      <w:pPr>
        <w:pStyle w:val="Bullet"/>
        <w:tabs>
          <w:tab w:val="num" w:pos="397"/>
        </w:tabs>
        <w:spacing w:line="280" w:lineRule="exact"/>
      </w:pPr>
      <w:r w:rsidRPr="00747EF6">
        <w:t xml:space="preserve">increase </w:t>
      </w:r>
      <w:r w:rsidR="00F81D94">
        <w:t xml:space="preserve">the </w:t>
      </w:r>
      <w:r w:rsidRPr="00747EF6">
        <w:t>integrity and efficiency of the NZU market</w:t>
      </w:r>
    </w:p>
    <w:p w14:paraId="44FE7189" w14:textId="77777777" w:rsidR="00E10411" w:rsidRPr="00747EF6" w:rsidRDefault="00E10411" w:rsidP="00E10411">
      <w:pPr>
        <w:pStyle w:val="Bullet"/>
        <w:tabs>
          <w:tab w:val="num" w:pos="397"/>
        </w:tabs>
        <w:spacing w:line="280" w:lineRule="exact"/>
      </w:pPr>
      <w:r w:rsidRPr="00747EF6">
        <w:t>promote confidence in NZU market trading, and</w:t>
      </w:r>
    </w:p>
    <w:p w14:paraId="70567B1E" w14:textId="77777777" w:rsidR="00E10411" w:rsidRPr="00747EF6" w:rsidRDefault="00E10411" w:rsidP="00E10411">
      <w:pPr>
        <w:pStyle w:val="Bullet"/>
        <w:tabs>
          <w:tab w:val="num" w:pos="397"/>
        </w:tabs>
        <w:spacing w:line="280" w:lineRule="exact"/>
      </w:pPr>
      <w:r w:rsidRPr="00747EF6">
        <w:t>reduce the risk of misconduct for NZU trades.</w:t>
      </w:r>
    </w:p>
    <w:p w14:paraId="40BE32BF" w14:textId="77777777" w:rsidR="00E10411" w:rsidRPr="00747EF6" w:rsidRDefault="00E10411" w:rsidP="00E10411">
      <w:pPr>
        <w:pStyle w:val="Heading3"/>
      </w:pPr>
      <w:r w:rsidRPr="00747EF6">
        <w:t>Topic objectives</w:t>
      </w:r>
      <w:r>
        <w:t xml:space="preserve"> and risks addressed</w:t>
      </w:r>
    </w:p>
    <w:p w14:paraId="5BADA52C" w14:textId="05D9E3EC" w:rsidR="00E10411" w:rsidRDefault="00E10411" w:rsidP="00E10411">
      <w:pPr>
        <w:pStyle w:val="BodyText"/>
      </w:pPr>
      <w:r w:rsidRPr="00747EF6">
        <w:t xml:space="preserve">There are four topics included in this engagement </w:t>
      </w:r>
      <w:r w:rsidR="00F3670D">
        <w:t>that</w:t>
      </w:r>
      <w:r w:rsidR="00F3670D" w:rsidRPr="00747EF6">
        <w:t xml:space="preserve"> </w:t>
      </w:r>
      <w:r w:rsidRPr="00747EF6">
        <w:t xml:space="preserve">are derived from previous stakeholder feedback. </w:t>
      </w:r>
      <w:r>
        <w:fldChar w:fldCharType="begin"/>
      </w:r>
      <w:r>
        <w:instrText xml:space="preserve"> REF _Ref118380408 \h </w:instrText>
      </w:r>
      <w:r>
        <w:fldChar w:fldCharType="separate"/>
      </w:r>
      <w:r w:rsidR="00C67DAB">
        <w:t xml:space="preserve">Table </w:t>
      </w:r>
      <w:r w:rsidR="00C67DAB">
        <w:rPr>
          <w:noProof/>
        </w:rPr>
        <w:t>4</w:t>
      </w:r>
      <w:r>
        <w:fldChar w:fldCharType="end"/>
      </w:r>
      <w:r w:rsidRPr="00747EF6">
        <w:t xml:space="preserve"> </w:t>
      </w:r>
      <w:r>
        <w:t xml:space="preserve">outlines those </w:t>
      </w:r>
      <w:r w:rsidRPr="00747EF6">
        <w:t>topics and their objectives.</w:t>
      </w:r>
      <w:r>
        <w:t xml:space="preserve"> </w:t>
      </w:r>
      <w:r w:rsidR="005B0F5C">
        <w:fldChar w:fldCharType="begin"/>
      </w:r>
      <w:r w:rsidR="005B0F5C">
        <w:instrText xml:space="preserve"> REF _Ref118380676 \h </w:instrText>
      </w:r>
      <w:r w:rsidR="005B0F5C">
        <w:fldChar w:fldCharType="separate"/>
      </w:r>
      <w:r w:rsidR="00C67DAB">
        <w:t xml:space="preserve">Table </w:t>
      </w:r>
      <w:r w:rsidR="00C67DAB">
        <w:rPr>
          <w:noProof/>
        </w:rPr>
        <w:t>5</w:t>
      </w:r>
      <w:r w:rsidR="005B0F5C">
        <w:fldChar w:fldCharType="end"/>
      </w:r>
      <w:r w:rsidR="005B0F5C">
        <w:t xml:space="preserve"> </w:t>
      </w:r>
      <w:r w:rsidRPr="00747EF6">
        <w:t>sets out the risks covered by each topic chapter.</w:t>
      </w:r>
    </w:p>
    <w:p w14:paraId="2FA67662" w14:textId="77777777" w:rsidR="00E10411" w:rsidRDefault="00E10411" w:rsidP="00E10411">
      <w:pPr>
        <w:pStyle w:val="Tableheading"/>
      </w:pPr>
      <w:bookmarkStart w:id="33" w:name="_Ref118380408"/>
      <w:bookmarkStart w:id="34" w:name="_Ref118438704"/>
      <w:bookmarkStart w:id="35" w:name="_Toc118953822"/>
      <w:r>
        <w:t xml:space="preserve">Table </w:t>
      </w:r>
      <w:fldSimple w:instr=" SEQ Table \* ARABIC ">
        <w:r w:rsidR="00C67DAB">
          <w:rPr>
            <w:noProof/>
          </w:rPr>
          <w:t>4</w:t>
        </w:r>
      </w:fldSimple>
      <w:bookmarkEnd w:id="33"/>
      <w:r>
        <w:t xml:space="preserve">: </w:t>
      </w:r>
      <w:r>
        <w:tab/>
      </w:r>
      <w:r w:rsidRPr="00922851">
        <w:t xml:space="preserve">Summary of </w:t>
      </w:r>
      <w:bookmarkStart w:id="36" w:name="table_4"/>
      <w:bookmarkEnd w:id="36"/>
      <w:r w:rsidRPr="00922851">
        <w:t>market governance topic objective</w:t>
      </w:r>
      <w:r>
        <w:t>s</w:t>
      </w:r>
      <w:bookmarkEnd w:id="34"/>
      <w:bookmarkEnd w:id="35"/>
    </w:p>
    <w:tbl>
      <w:tblPr>
        <w:tblStyle w:val="TableGrid"/>
        <w:tblW w:w="0" w:type="auto"/>
        <w:tblInd w:w="108"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667"/>
        <w:gridCol w:w="5730"/>
      </w:tblGrid>
      <w:tr w:rsidR="00E10411" w14:paraId="7658C6A4" w14:textId="77777777" w:rsidTr="005F3A52">
        <w:tc>
          <w:tcPr>
            <w:tcW w:w="2694" w:type="dxa"/>
            <w:shd w:val="clear" w:color="auto" w:fill="1B556B"/>
          </w:tcPr>
          <w:p w14:paraId="20184893" w14:textId="77777777" w:rsidR="00E10411" w:rsidRPr="00E10411" w:rsidRDefault="00E10411" w:rsidP="00A517B5">
            <w:pPr>
              <w:pStyle w:val="TableText"/>
              <w:rPr>
                <w:b/>
                <w:bCs/>
                <w:color w:val="FFFFFF" w:themeColor="background1"/>
              </w:rPr>
            </w:pPr>
            <w:r w:rsidRPr="00E10411">
              <w:rPr>
                <w:b/>
                <w:bCs/>
                <w:color w:val="FFFFFF" w:themeColor="background1"/>
              </w:rPr>
              <w:t>Theme</w:t>
            </w:r>
          </w:p>
        </w:tc>
        <w:tc>
          <w:tcPr>
            <w:tcW w:w="5811" w:type="dxa"/>
            <w:shd w:val="clear" w:color="auto" w:fill="1B556B"/>
          </w:tcPr>
          <w:p w14:paraId="5EA4E101" w14:textId="77777777" w:rsidR="00E10411" w:rsidRPr="00E10411" w:rsidRDefault="00E10411" w:rsidP="00A517B5">
            <w:pPr>
              <w:pStyle w:val="TableText"/>
              <w:rPr>
                <w:b/>
                <w:bCs/>
                <w:color w:val="FFFFFF" w:themeColor="background1"/>
              </w:rPr>
            </w:pPr>
            <w:r w:rsidRPr="00E10411">
              <w:rPr>
                <w:b/>
                <w:bCs/>
                <w:color w:val="FFFFFF" w:themeColor="background1"/>
              </w:rPr>
              <w:t>Risk</w:t>
            </w:r>
          </w:p>
        </w:tc>
      </w:tr>
      <w:tr w:rsidR="005F3A52" w14:paraId="5690B2A5" w14:textId="77777777" w:rsidTr="005F3A52">
        <w:trPr>
          <w:trHeight w:val="730"/>
        </w:trPr>
        <w:tc>
          <w:tcPr>
            <w:tcW w:w="2694" w:type="dxa"/>
          </w:tcPr>
          <w:p w14:paraId="46C97544" w14:textId="77777777" w:rsidR="005F3A52" w:rsidRPr="005F3A52" w:rsidRDefault="005F3A52" w:rsidP="005F3A52">
            <w:pPr>
              <w:pStyle w:val="TableText"/>
            </w:pPr>
            <w:r w:rsidRPr="005F3A52">
              <w:t xml:space="preserve">Topic 1: </w:t>
            </w:r>
          </w:p>
          <w:p w14:paraId="39A49CED" w14:textId="77777777" w:rsidR="005F3A52" w:rsidRPr="005F3A52" w:rsidRDefault="005F3A52" w:rsidP="005F3A52">
            <w:pPr>
              <w:pStyle w:val="TableText"/>
            </w:pPr>
            <w:r w:rsidRPr="005F3A52">
              <w:t>Regulating the NZU market based on financial legislation</w:t>
            </w:r>
          </w:p>
        </w:tc>
        <w:tc>
          <w:tcPr>
            <w:tcW w:w="5811" w:type="dxa"/>
          </w:tcPr>
          <w:p w14:paraId="7B250729" w14:textId="130977A7" w:rsidR="005F3A52" w:rsidRDefault="005F3A52" w:rsidP="005F3A52">
            <w:pPr>
              <w:pStyle w:val="TableText"/>
            </w:pPr>
            <w:r w:rsidRPr="00E10411">
              <w:t>To ensure the NZU market trades with integrity, functions efficiently, promotes confidence and addresses the risks of misconduct. To ensure all NZU market users have the same material information relating to NZUs. </w:t>
            </w:r>
          </w:p>
        </w:tc>
      </w:tr>
      <w:tr w:rsidR="005F3A52" w14:paraId="4F970CDB" w14:textId="77777777" w:rsidTr="005F3A52">
        <w:trPr>
          <w:trHeight w:val="970"/>
        </w:trPr>
        <w:tc>
          <w:tcPr>
            <w:tcW w:w="2694" w:type="dxa"/>
          </w:tcPr>
          <w:p w14:paraId="08223C6F" w14:textId="77777777" w:rsidR="005F3A52" w:rsidRPr="005F3A52" w:rsidRDefault="005F3A52" w:rsidP="005F3A52">
            <w:pPr>
              <w:pStyle w:val="TableText"/>
            </w:pPr>
            <w:r w:rsidRPr="005F3A52">
              <w:t xml:space="preserve">Topic 2: </w:t>
            </w:r>
          </w:p>
          <w:p w14:paraId="247535A8" w14:textId="77777777" w:rsidR="005F3A52" w:rsidRPr="005F3A52" w:rsidRDefault="005F3A52" w:rsidP="005F3A52">
            <w:pPr>
              <w:pStyle w:val="TableText"/>
            </w:pPr>
            <w:r w:rsidRPr="005F3A52">
              <w:t>Regulating NZU financial advice, transactional and/or custodial services</w:t>
            </w:r>
          </w:p>
        </w:tc>
        <w:tc>
          <w:tcPr>
            <w:tcW w:w="5811" w:type="dxa"/>
          </w:tcPr>
          <w:p w14:paraId="3F9844E0" w14:textId="4D60F36F" w:rsidR="005F3A52" w:rsidRDefault="005F3A52" w:rsidP="005F3A52">
            <w:pPr>
              <w:pStyle w:val="TableText"/>
            </w:pPr>
            <w:r w:rsidRPr="00E10411">
              <w:t>To ensure all persons who interact</w:t>
            </w:r>
            <w:r w:rsidR="00630E99">
              <w:t>s</w:t>
            </w:r>
            <w:r w:rsidRPr="00E10411">
              <w:t xml:space="preserve"> with the markets where NZUs are traded </w:t>
            </w:r>
            <w:r w:rsidR="00630E99">
              <w:t>has</w:t>
            </w:r>
            <w:r w:rsidRPr="00E10411">
              <w:t xml:space="preserve"> access to quality advice about buying and selling NZUs. To ensure services relating to NZUs are provided with appropriate levels of care, </w:t>
            </w:r>
            <w:proofErr w:type="gramStart"/>
            <w:r w:rsidRPr="00E10411">
              <w:t>diligence</w:t>
            </w:r>
            <w:proofErr w:type="gramEnd"/>
            <w:r w:rsidRPr="00E10411">
              <w:t xml:space="preserve"> and skill.</w:t>
            </w:r>
          </w:p>
        </w:tc>
      </w:tr>
      <w:tr w:rsidR="005F3A52" w14:paraId="3AB5CE32" w14:textId="77777777" w:rsidTr="005F3A52">
        <w:trPr>
          <w:trHeight w:val="725"/>
        </w:trPr>
        <w:tc>
          <w:tcPr>
            <w:tcW w:w="2694" w:type="dxa"/>
          </w:tcPr>
          <w:p w14:paraId="70D51256" w14:textId="77777777" w:rsidR="005F3A52" w:rsidRPr="005F3A52" w:rsidRDefault="005F3A52" w:rsidP="005F3A52">
            <w:pPr>
              <w:pStyle w:val="TableText"/>
            </w:pPr>
            <w:r w:rsidRPr="005F3A52">
              <w:t xml:space="preserve">Topic 3: </w:t>
            </w:r>
          </w:p>
          <w:p w14:paraId="392D52D8" w14:textId="77777777" w:rsidR="005F3A52" w:rsidRPr="005F3A52" w:rsidRDefault="005F3A52" w:rsidP="005F3A52">
            <w:pPr>
              <w:pStyle w:val="TableText"/>
            </w:pPr>
            <w:r w:rsidRPr="005F3A52">
              <w:t xml:space="preserve">Improved transaction reporting </w:t>
            </w:r>
          </w:p>
        </w:tc>
        <w:tc>
          <w:tcPr>
            <w:tcW w:w="5811" w:type="dxa"/>
          </w:tcPr>
          <w:p w14:paraId="1AD00E00" w14:textId="77777777" w:rsidR="005F3A52" w:rsidRDefault="005F3A52" w:rsidP="005F3A52">
            <w:pPr>
              <w:pStyle w:val="TableText"/>
            </w:pPr>
            <w:r w:rsidRPr="00E10411">
              <w:t>To increase transparency in the NZU market and address information asymmetry currently seen in the market.</w:t>
            </w:r>
          </w:p>
        </w:tc>
      </w:tr>
      <w:tr w:rsidR="005F3A52" w14:paraId="30A2E19F" w14:textId="77777777" w:rsidTr="005F3A52">
        <w:trPr>
          <w:trHeight w:val="693"/>
        </w:trPr>
        <w:tc>
          <w:tcPr>
            <w:tcW w:w="2694" w:type="dxa"/>
          </w:tcPr>
          <w:p w14:paraId="6BB436D8" w14:textId="77777777" w:rsidR="005F3A52" w:rsidRPr="005F3A52" w:rsidRDefault="005F3A52" w:rsidP="005F3A52">
            <w:pPr>
              <w:pStyle w:val="TableText"/>
            </w:pPr>
            <w:r w:rsidRPr="005F3A52">
              <w:t xml:space="preserve">Topic 4: </w:t>
            </w:r>
          </w:p>
          <w:p w14:paraId="7BA8DEC5" w14:textId="77777777" w:rsidR="005F3A52" w:rsidRPr="005F3A52" w:rsidRDefault="005F3A52" w:rsidP="005F3A52">
            <w:pPr>
              <w:pStyle w:val="TableText"/>
            </w:pPr>
            <w:r w:rsidRPr="005F3A52">
              <w:t>AML/CFT Act framework</w:t>
            </w:r>
          </w:p>
        </w:tc>
        <w:tc>
          <w:tcPr>
            <w:tcW w:w="5811" w:type="dxa"/>
          </w:tcPr>
          <w:p w14:paraId="187737C3" w14:textId="77777777" w:rsidR="005F3A52" w:rsidRDefault="005F3A52" w:rsidP="005F3A52">
            <w:pPr>
              <w:pStyle w:val="TableText"/>
            </w:pPr>
            <w:r w:rsidRPr="00E10411">
              <w:t>To better communicate how the AML/CFT Act captures activities of interest within the NZU market to deter money laundering and financing of terrorism.</w:t>
            </w:r>
          </w:p>
        </w:tc>
      </w:tr>
    </w:tbl>
    <w:p w14:paraId="73B669EC" w14:textId="77777777" w:rsidR="00E10411" w:rsidRDefault="00E10411" w:rsidP="00E10411">
      <w:pPr>
        <w:pStyle w:val="Tableheading"/>
      </w:pPr>
      <w:bookmarkStart w:id="37" w:name="_Ref118380676"/>
      <w:bookmarkStart w:id="38" w:name="_Toc118953823"/>
      <w:r>
        <w:lastRenderedPageBreak/>
        <w:t xml:space="preserve">Table </w:t>
      </w:r>
      <w:fldSimple w:instr=" SEQ Table \* ARABIC ">
        <w:r w:rsidR="00C67DAB">
          <w:rPr>
            <w:noProof/>
          </w:rPr>
          <w:t>5</w:t>
        </w:r>
      </w:fldSimple>
      <w:bookmarkEnd w:id="37"/>
      <w:r>
        <w:t xml:space="preserve">: </w:t>
      </w:r>
      <w:r>
        <w:tab/>
        <w:t>How each topic addresses market governance risks</w:t>
      </w:r>
      <w:bookmarkEnd w:id="38"/>
    </w:p>
    <w:tbl>
      <w:tblPr>
        <w:tblStyle w:val="TableGrid"/>
        <w:tblW w:w="0" w:type="auto"/>
        <w:tblInd w:w="108"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410"/>
        <w:gridCol w:w="1598"/>
        <w:gridCol w:w="1799"/>
        <w:gridCol w:w="1351"/>
        <w:gridCol w:w="1239"/>
      </w:tblGrid>
      <w:tr w:rsidR="00E10411" w:rsidRPr="002167CF" w14:paraId="0436B0D7" w14:textId="77777777" w:rsidTr="005B0F5C">
        <w:tc>
          <w:tcPr>
            <w:tcW w:w="2410" w:type="dxa"/>
            <w:shd w:val="clear" w:color="auto" w:fill="1C556C"/>
          </w:tcPr>
          <w:p w14:paraId="380A88C8" w14:textId="77777777" w:rsidR="00E10411" w:rsidRPr="004945A9" w:rsidRDefault="00E10411" w:rsidP="00A517B5">
            <w:pPr>
              <w:pStyle w:val="TableText"/>
              <w:rPr>
                <w:b/>
                <w:bCs/>
                <w:color w:val="FFFFFF" w:themeColor="background1"/>
              </w:rPr>
            </w:pPr>
          </w:p>
        </w:tc>
        <w:tc>
          <w:tcPr>
            <w:tcW w:w="0" w:type="auto"/>
            <w:shd w:val="clear" w:color="auto" w:fill="1C556C"/>
          </w:tcPr>
          <w:p w14:paraId="072E38DA" w14:textId="77777777" w:rsidR="00E10411" w:rsidRPr="00562843" w:rsidRDefault="00E10411" w:rsidP="00A517B5">
            <w:pPr>
              <w:pStyle w:val="TableText"/>
              <w:rPr>
                <w:b/>
                <w:bCs/>
                <w:color w:val="FFFFFF" w:themeColor="background1"/>
              </w:rPr>
            </w:pPr>
            <w:r w:rsidRPr="004945A9">
              <w:rPr>
                <w:b/>
                <w:bCs/>
                <w:color w:val="FFFFFF" w:themeColor="background1"/>
              </w:rPr>
              <w:t>Topic 1</w:t>
            </w:r>
            <w:r>
              <w:rPr>
                <w:b/>
                <w:bCs/>
                <w:color w:val="FFFFFF" w:themeColor="background1"/>
              </w:rPr>
              <w:t>:</w:t>
            </w:r>
          </w:p>
          <w:p w14:paraId="1347AEA8" w14:textId="77777777" w:rsidR="00E10411" w:rsidRPr="00562843" w:rsidRDefault="00E10411" w:rsidP="00A517B5">
            <w:pPr>
              <w:pStyle w:val="TableText"/>
              <w:rPr>
                <w:b/>
                <w:bCs/>
                <w:color w:val="FFFFFF" w:themeColor="background1"/>
              </w:rPr>
            </w:pPr>
            <w:r w:rsidRPr="00562843">
              <w:rPr>
                <w:b/>
                <w:bCs/>
                <w:color w:val="FFFFFF" w:themeColor="background1"/>
              </w:rPr>
              <w:t>Regulating the market based on financial legislation</w:t>
            </w:r>
          </w:p>
        </w:tc>
        <w:tc>
          <w:tcPr>
            <w:tcW w:w="0" w:type="auto"/>
            <w:shd w:val="clear" w:color="auto" w:fill="1C556C"/>
          </w:tcPr>
          <w:p w14:paraId="400423FF" w14:textId="77777777" w:rsidR="00E10411" w:rsidRPr="00F54BB2" w:rsidRDefault="00E10411" w:rsidP="00A517B5">
            <w:pPr>
              <w:pStyle w:val="TableText"/>
              <w:rPr>
                <w:b/>
                <w:bCs/>
                <w:color w:val="FFFFFF" w:themeColor="background1"/>
              </w:rPr>
            </w:pPr>
            <w:r w:rsidRPr="00562843">
              <w:rPr>
                <w:b/>
                <w:bCs/>
                <w:color w:val="FFFFFF" w:themeColor="background1"/>
              </w:rPr>
              <w:t>Topic 2</w:t>
            </w:r>
            <w:r>
              <w:rPr>
                <w:b/>
                <w:bCs/>
                <w:color w:val="FFFFFF" w:themeColor="background1"/>
              </w:rPr>
              <w:t>:</w:t>
            </w:r>
          </w:p>
          <w:p w14:paraId="79E5B39E" w14:textId="77777777" w:rsidR="00E10411" w:rsidRPr="00EA6898" w:rsidRDefault="00E10411" w:rsidP="00A517B5">
            <w:pPr>
              <w:pStyle w:val="TableText"/>
              <w:rPr>
                <w:b/>
                <w:bCs/>
                <w:color w:val="FFFFFF" w:themeColor="background1"/>
              </w:rPr>
            </w:pPr>
            <w:r w:rsidRPr="00F54BB2">
              <w:rPr>
                <w:b/>
                <w:bCs/>
                <w:color w:val="FFFFFF" w:themeColor="background1"/>
              </w:rPr>
              <w:t xml:space="preserve">Regulating NZU </w:t>
            </w:r>
            <w:r w:rsidR="0066202A">
              <w:rPr>
                <w:b/>
                <w:bCs/>
                <w:color w:val="FFFFFF" w:themeColor="background1"/>
              </w:rPr>
              <w:br/>
            </w:r>
            <w:r w:rsidRPr="00F54BB2">
              <w:rPr>
                <w:b/>
                <w:bCs/>
                <w:color w:val="FFFFFF" w:themeColor="background1"/>
              </w:rPr>
              <w:t>financial advice, transaction</w:t>
            </w:r>
            <w:r>
              <w:rPr>
                <w:b/>
                <w:bCs/>
                <w:color w:val="FFFFFF" w:themeColor="background1"/>
              </w:rPr>
              <w:t>al</w:t>
            </w:r>
            <w:r w:rsidRPr="00F54BB2">
              <w:rPr>
                <w:b/>
                <w:bCs/>
                <w:color w:val="FFFFFF" w:themeColor="background1"/>
              </w:rPr>
              <w:t xml:space="preserve"> and/or custodial services</w:t>
            </w:r>
          </w:p>
        </w:tc>
        <w:tc>
          <w:tcPr>
            <w:tcW w:w="0" w:type="auto"/>
            <w:shd w:val="clear" w:color="auto" w:fill="1C556C"/>
          </w:tcPr>
          <w:p w14:paraId="7C28A743" w14:textId="77777777" w:rsidR="00E10411" w:rsidRPr="005B1F79" w:rsidRDefault="00E10411" w:rsidP="00A517B5">
            <w:pPr>
              <w:pStyle w:val="TableText"/>
              <w:rPr>
                <w:b/>
                <w:bCs/>
                <w:color w:val="FFFFFF" w:themeColor="background1"/>
              </w:rPr>
            </w:pPr>
            <w:r w:rsidRPr="005B1F79">
              <w:rPr>
                <w:b/>
                <w:bCs/>
                <w:color w:val="FFFFFF" w:themeColor="background1"/>
              </w:rPr>
              <w:t>Topic 3</w:t>
            </w:r>
            <w:r>
              <w:rPr>
                <w:b/>
                <w:bCs/>
                <w:color w:val="FFFFFF" w:themeColor="background1"/>
              </w:rPr>
              <w:t>:</w:t>
            </w:r>
          </w:p>
          <w:p w14:paraId="3EA5A0B6" w14:textId="77777777" w:rsidR="00E10411" w:rsidRPr="005B1F79" w:rsidRDefault="00E10411" w:rsidP="00A517B5">
            <w:pPr>
              <w:pStyle w:val="TableText"/>
              <w:rPr>
                <w:b/>
                <w:bCs/>
                <w:color w:val="FFFFFF" w:themeColor="background1"/>
              </w:rPr>
            </w:pPr>
            <w:r w:rsidRPr="005B1F79">
              <w:rPr>
                <w:b/>
                <w:bCs/>
                <w:color w:val="FFFFFF" w:themeColor="background1"/>
              </w:rPr>
              <w:t xml:space="preserve">Improved transaction reporting </w:t>
            </w:r>
          </w:p>
        </w:tc>
        <w:tc>
          <w:tcPr>
            <w:tcW w:w="0" w:type="auto"/>
            <w:shd w:val="clear" w:color="auto" w:fill="1C556C"/>
          </w:tcPr>
          <w:p w14:paraId="73134B31" w14:textId="77777777" w:rsidR="00E10411" w:rsidRPr="005B1F79" w:rsidRDefault="00E10411" w:rsidP="00A517B5">
            <w:pPr>
              <w:pStyle w:val="TableText"/>
              <w:rPr>
                <w:b/>
                <w:bCs/>
                <w:color w:val="FFFFFF" w:themeColor="background1"/>
              </w:rPr>
            </w:pPr>
            <w:r w:rsidRPr="005B1F79">
              <w:rPr>
                <w:b/>
                <w:bCs/>
                <w:color w:val="FFFFFF" w:themeColor="background1"/>
              </w:rPr>
              <w:t>Topic 4</w:t>
            </w:r>
            <w:r>
              <w:rPr>
                <w:b/>
                <w:bCs/>
                <w:color w:val="FFFFFF" w:themeColor="background1"/>
              </w:rPr>
              <w:t>:</w:t>
            </w:r>
          </w:p>
          <w:p w14:paraId="46389847" w14:textId="77777777" w:rsidR="00E10411" w:rsidRPr="007F49C5" w:rsidRDefault="00E10411" w:rsidP="00A517B5">
            <w:pPr>
              <w:pStyle w:val="TableText"/>
              <w:rPr>
                <w:b/>
                <w:bCs/>
                <w:color w:val="FFFFFF" w:themeColor="background1"/>
              </w:rPr>
            </w:pPr>
            <w:r w:rsidRPr="005B1F79">
              <w:rPr>
                <w:b/>
                <w:bCs/>
                <w:color w:val="FFFFFF" w:themeColor="background1"/>
              </w:rPr>
              <w:t xml:space="preserve">AML/CFT </w:t>
            </w:r>
            <w:r>
              <w:rPr>
                <w:b/>
                <w:bCs/>
                <w:color w:val="FFFFFF" w:themeColor="background1"/>
              </w:rPr>
              <w:t xml:space="preserve">Act </w:t>
            </w:r>
            <w:r w:rsidRPr="007F49C5">
              <w:rPr>
                <w:b/>
                <w:bCs/>
                <w:color w:val="FFFFFF" w:themeColor="background1"/>
              </w:rPr>
              <w:t>framework</w:t>
            </w:r>
          </w:p>
        </w:tc>
      </w:tr>
      <w:tr w:rsidR="00E10411" w:rsidRPr="00747EF6" w14:paraId="38B85B2E" w14:textId="77777777" w:rsidTr="005B0F5C">
        <w:tc>
          <w:tcPr>
            <w:tcW w:w="2410" w:type="dxa"/>
          </w:tcPr>
          <w:p w14:paraId="412AE1CD" w14:textId="77777777" w:rsidR="00E10411" w:rsidRPr="007F49C5" w:rsidRDefault="00E10411" w:rsidP="0066202A">
            <w:pPr>
              <w:pStyle w:val="TableText"/>
            </w:pPr>
            <w:r w:rsidRPr="007F49C5">
              <w:rPr>
                <w:b/>
                <w:bCs/>
              </w:rPr>
              <w:t xml:space="preserve">Risk 1: </w:t>
            </w:r>
            <w:r w:rsidR="0066202A">
              <w:rPr>
                <w:b/>
                <w:bCs/>
              </w:rPr>
              <w:br/>
            </w:r>
            <w:r w:rsidRPr="007F49C5">
              <w:t xml:space="preserve">Inadequate, </w:t>
            </w:r>
            <w:proofErr w:type="gramStart"/>
            <w:r w:rsidRPr="007F49C5">
              <w:t>false</w:t>
            </w:r>
            <w:proofErr w:type="gramEnd"/>
            <w:r w:rsidRPr="007F49C5">
              <w:t xml:space="preserve"> or misleading advice relating to NZUs</w:t>
            </w:r>
          </w:p>
        </w:tc>
        <w:tc>
          <w:tcPr>
            <w:tcW w:w="0" w:type="auto"/>
            <w:vAlign w:val="center"/>
          </w:tcPr>
          <w:p w14:paraId="25254A12" w14:textId="77777777" w:rsidR="00E10411" w:rsidRPr="005F3A52" w:rsidRDefault="00E10411" w:rsidP="00A517B5">
            <w:pPr>
              <w:pStyle w:val="TableText"/>
              <w:jc w:val="center"/>
              <w:rPr>
                <w:rFonts w:ascii="Arial" w:hAnsi="Arial" w:cs="Arial"/>
                <w:sz w:val="22"/>
                <w:szCs w:val="24"/>
              </w:rPr>
            </w:pPr>
          </w:p>
        </w:tc>
        <w:tc>
          <w:tcPr>
            <w:tcW w:w="0" w:type="auto"/>
            <w:vAlign w:val="center"/>
          </w:tcPr>
          <w:p w14:paraId="22974ACA" w14:textId="77777777" w:rsidR="00E10411" w:rsidRPr="005F3A52" w:rsidRDefault="00E10411" w:rsidP="00A517B5">
            <w:pPr>
              <w:pStyle w:val="TableText"/>
              <w:jc w:val="center"/>
              <w:rPr>
                <w:rFonts w:ascii="Arial" w:hAnsi="Arial" w:cs="Arial"/>
                <w:sz w:val="22"/>
                <w:szCs w:val="24"/>
              </w:rPr>
            </w:pPr>
            <w:r w:rsidRPr="005F3A52">
              <w:rPr>
                <w:rFonts w:ascii="Segoe UI Symbol" w:hAnsi="Segoe UI Symbol" w:cs="Segoe UI Symbol"/>
                <w:sz w:val="22"/>
                <w:szCs w:val="24"/>
              </w:rPr>
              <w:t>✓</w:t>
            </w:r>
          </w:p>
        </w:tc>
        <w:tc>
          <w:tcPr>
            <w:tcW w:w="0" w:type="auto"/>
            <w:vAlign w:val="center"/>
          </w:tcPr>
          <w:p w14:paraId="211CEE58" w14:textId="77777777" w:rsidR="00E10411" w:rsidRPr="005F3A52" w:rsidRDefault="00E10411" w:rsidP="00A517B5">
            <w:pPr>
              <w:pStyle w:val="TableText"/>
              <w:jc w:val="center"/>
              <w:rPr>
                <w:rFonts w:ascii="Arial" w:hAnsi="Arial" w:cs="Arial"/>
                <w:sz w:val="22"/>
                <w:szCs w:val="24"/>
              </w:rPr>
            </w:pPr>
          </w:p>
        </w:tc>
        <w:tc>
          <w:tcPr>
            <w:tcW w:w="0" w:type="auto"/>
            <w:vAlign w:val="center"/>
          </w:tcPr>
          <w:p w14:paraId="6DF059F7" w14:textId="77777777" w:rsidR="00E10411" w:rsidRPr="005F3A52" w:rsidRDefault="00E10411" w:rsidP="00A517B5">
            <w:pPr>
              <w:pStyle w:val="TableText"/>
              <w:jc w:val="center"/>
              <w:rPr>
                <w:rFonts w:ascii="Arial" w:hAnsi="Arial" w:cs="Arial"/>
                <w:sz w:val="22"/>
                <w:szCs w:val="24"/>
              </w:rPr>
            </w:pPr>
          </w:p>
        </w:tc>
      </w:tr>
      <w:tr w:rsidR="00E10411" w:rsidRPr="00747EF6" w14:paraId="5B15AF20" w14:textId="77777777" w:rsidTr="005B0F5C">
        <w:tc>
          <w:tcPr>
            <w:tcW w:w="2410" w:type="dxa"/>
          </w:tcPr>
          <w:p w14:paraId="138ED6B2" w14:textId="77777777" w:rsidR="00E10411" w:rsidRPr="000830E5" w:rsidRDefault="00E10411" w:rsidP="0066202A">
            <w:pPr>
              <w:pStyle w:val="TableText"/>
            </w:pPr>
            <w:r w:rsidRPr="007F49C5">
              <w:rPr>
                <w:b/>
                <w:bCs/>
              </w:rPr>
              <w:t xml:space="preserve">Risk 2: </w:t>
            </w:r>
            <w:r w:rsidR="0066202A">
              <w:rPr>
                <w:b/>
                <w:bCs/>
              </w:rPr>
              <w:br/>
            </w:r>
            <w:r w:rsidRPr="007F49C5">
              <w:t xml:space="preserve">Conflicts of interest involving the </w:t>
            </w:r>
            <w:r>
              <w:t>NZETR</w:t>
            </w:r>
          </w:p>
        </w:tc>
        <w:tc>
          <w:tcPr>
            <w:tcW w:w="0" w:type="auto"/>
            <w:vAlign w:val="center"/>
          </w:tcPr>
          <w:p w14:paraId="69CF1C1D" w14:textId="77777777" w:rsidR="00E10411" w:rsidRPr="005F3A52" w:rsidRDefault="00E10411" w:rsidP="00A517B5">
            <w:pPr>
              <w:pStyle w:val="TableText"/>
              <w:jc w:val="center"/>
              <w:rPr>
                <w:rFonts w:ascii="Arial" w:hAnsi="Arial" w:cs="Arial"/>
                <w:sz w:val="22"/>
                <w:szCs w:val="24"/>
              </w:rPr>
            </w:pPr>
          </w:p>
        </w:tc>
        <w:tc>
          <w:tcPr>
            <w:tcW w:w="0" w:type="auto"/>
            <w:vAlign w:val="center"/>
          </w:tcPr>
          <w:p w14:paraId="4976803E" w14:textId="77777777" w:rsidR="00E10411" w:rsidRPr="005F3A52" w:rsidRDefault="00E10411" w:rsidP="00A517B5">
            <w:pPr>
              <w:pStyle w:val="TableText"/>
              <w:jc w:val="center"/>
              <w:rPr>
                <w:rFonts w:ascii="Arial" w:hAnsi="Arial" w:cs="Arial"/>
                <w:sz w:val="22"/>
                <w:szCs w:val="24"/>
              </w:rPr>
            </w:pPr>
            <w:r w:rsidRPr="005F3A52">
              <w:rPr>
                <w:rFonts w:ascii="Segoe UI Symbol" w:hAnsi="Segoe UI Symbol" w:cs="Segoe UI Symbol"/>
                <w:sz w:val="22"/>
                <w:szCs w:val="24"/>
              </w:rPr>
              <w:t>✓</w:t>
            </w:r>
          </w:p>
        </w:tc>
        <w:tc>
          <w:tcPr>
            <w:tcW w:w="0" w:type="auto"/>
            <w:vAlign w:val="center"/>
          </w:tcPr>
          <w:p w14:paraId="6222A017" w14:textId="77777777" w:rsidR="00E10411" w:rsidRPr="005F3A52" w:rsidRDefault="00E10411" w:rsidP="00A517B5">
            <w:pPr>
              <w:pStyle w:val="TableText"/>
              <w:jc w:val="center"/>
              <w:rPr>
                <w:rFonts w:ascii="Arial" w:hAnsi="Arial" w:cs="Arial"/>
                <w:sz w:val="22"/>
                <w:szCs w:val="24"/>
              </w:rPr>
            </w:pPr>
          </w:p>
        </w:tc>
        <w:tc>
          <w:tcPr>
            <w:tcW w:w="0" w:type="auto"/>
            <w:vAlign w:val="center"/>
          </w:tcPr>
          <w:p w14:paraId="65647CD4" w14:textId="77777777" w:rsidR="00E10411" w:rsidRPr="005F3A52" w:rsidRDefault="00E10411" w:rsidP="00A517B5">
            <w:pPr>
              <w:pStyle w:val="TableText"/>
              <w:jc w:val="center"/>
              <w:rPr>
                <w:rFonts w:ascii="Arial" w:hAnsi="Arial" w:cs="Arial"/>
                <w:sz w:val="22"/>
                <w:szCs w:val="24"/>
              </w:rPr>
            </w:pPr>
          </w:p>
        </w:tc>
      </w:tr>
      <w:tr w:rsidR="00E10411" w:rsidRPr="00747EF6" w14:paraId="5B287083" w14:textId="77777777" w:rsidTr="005B0F5C">
        <w:tc>
          <w:tcPr>
            <w:tcW w:w="2410" w:type="dxa"/>
          </w:tcPr>
          <w:p w14:paraId="69EC3DDB" w14:textId="77777777" w:rsidR="00E10411" w:rsidRPr="000830E5" w:rsidRDefault="00E10411" w:rsidP="0066202A">
            <w:pPr>
              <w:pStyle w:val="TableText"/>
            </w:pPr>
            <w:r w:rsidRPr="000830E5">
              <w:rPr>
                <w:b/>
                <w:bCs/>
              </w:rPr>
              <w:t xml:space="preserve">Risk 3: </w:t>
            </w:r>
            <w:r w:rsidR="0066202A">
              <w:rPr>
                <w:b/>
                <w:bCs/>
              </w:rPr>
              <w:br/>
            </w:r>
            <w:r w:rsidRPr="000830E5">
              <w:t>Potential lack of transparency, oversight, and monitoring of trades in the secondary NZU market</w:t>
            </w:r>
          </w:p>
        </w:tc>
        <w:tc>
          <w:tcPr>
            <w:tcW w:w="0" w:type="auto"/>
            <w:vAlign w:val="center"/>
          </w:tcPr>
          <w:p w14:paraId="270DF598" w14:textId="77777777" w:rsidR="00E10411" w:rsidRPr="005F3A52" w:rsidRDefault="00E10411" w:rsidP="00A517B5">
            <w:pPr>
              <w:pStyle w:val="TableText"/>
              <w:jc w:val="center"/>
              <w:rPr>
                <w:rFonts w:ascii="Arial" w:hAnsi="Arial" w:cs="Arial"/>
                <w:sz w:val="22"/>
                <w:szCs w:val="24"/>
              </w:rPr>
            </w:pPr>
            <w:r w:rsidRPr="005F3A52">
              <w:rPr>
                <w:rFonts w:ascii="Segoe UI Symbol" w:hAnsi="Segoe UI Symbol" w:cs="Segoe UI Symbol"/>
                <w:sz w:val="22"/>
                <w:szCs w:val="24"/>
              </w:rPr>
              <w:t>✓</w:t>
            </w:r>
          </w:p>
        </w:tc>
        <w:tc>
          <w:tcPr>
            <w:tcW w:w="0" w:type="auto"/>
            <w:vAlign w:val="center"/>
          </w:tcPr>
          <w:p w14:paraId="5D93856F" w14:textId="77777777" w:rsidR="00E10411" w:rsidRPr="005F3A52" w:rsidRDefault="00E10411" w:rsidP="00A517B5">
            <w:pPr>
              <w:pStyle w:val="TableText"/>
              <w:jc w:val="center"/>
              <w:rPr>
                <w:rFonts w:ascii="Arial" w:hAnsi="Arial" w:cs="Arial"/>
                <w:sz w:val="22"/>
                <w:szCs w:val="24"/>
              </w:rPr>
            </w:pPr>
          </w:p>
        </w:tc>
        <w:tc>
          <w:tcPr>
            <w:tcW w:w="0" w:type="auto"/>
            <w:vAlign w:val="center"/>
          </w:tcPr>
          <w:p w14:paraId="7F72DC85" w14:textId="77777777" w:rsidR="00E10411" w:rsidRPr="005F3A52" w:rsidRDefault="00E10411" w:rsidP="00A517B5">
            <w:pPr>
              <w:pStyle w:val="TableText"/>
              <w:jc w:val="center"/>
              <w:rPr>
                <w:rFonts w:ascii="Arial" w:hAnsi="Arial" w:cs="Arial"/>
                <w:sz w:val="22"/>
                <w:szCs w:val="24"/>
              </w:rPr>
            </w:pPr>
            <w:r w:rsidRPr="005F3A52">
              <w:rPr>
                <w:rFonts w:ascii="Segoe UI Symbol" w:hAnsi="Segoe UI Symbol" w:cs="Segoe UI Symbol"/>
                <w:sz w:val="22"/>
                <w:szCs w:val="24"/>
              </w:rPr>
              <w:t>✓</w:t>
            </w:r>
          </w:p>
        </w:tc>
        <w:tc>
          <w:tcPr>
            <w:tcW w:w="0" w:type="auto"/>
            <w:vAlign w:val="center"/>
          </w:tcPr>
          <w:p w14:paraId="7482DB6A" w14:textId="77777777" w:rsidR="00E10411" w:rsidRPr="005F3A52" w:rsidRDefault="00E10411" w:rsidP="00A517B5">
            <w:pPr>
              <w:pStyle w:val="TableText"/>
              <w:jc w:val="center"/>
              <w:rPr>
                <w:rFonts w:ascii="Arial" w:hAnsi="Arial" w:cs="Arial"/>
                <w:sz w:val="22"/>
                <w:szCs w:val="24"/>
              </w:rPr>
            </w:pPr>
          </w:p>
        </w:tc>
      </w:tr>
      <w:tr w:rsidR="00E10411" w:rsidRPr="00747EF6" w14:paraId="21D24375" w14:textId="77777777" w:rsidTr="005B0F5C">
        <w:tc>
          <w:tcPr>
            <w:tcW w:w="2410" w:type="dxa"/>
          </w:tcPr>
          <w:p w14:paraId="397126EF" w14:textId="77777777" w:rsidR="00E10411" w:rsidRPr="000830E5" w:rsidRDefault="00E10411" w:rsidP="0066202A">
            <w:pPr>
              <w:pStyle w:val="TableText"/>
            </w:pPr>
            <w:r w:rsidRPr="000830E5">
              <w:rPr>
                <w:b/>
                <w:bCs/>
              </w:rPr>
              <w:t xml:space="preserve">Risk 4: </w:t>
            </w:r>
            <w:r w:rsidR="0066202A">
              <w:rPr>
                <w:b/>
                <w:bCs/>
              </w:rPr>
              <w:br/>
            </w:r>
            <w:r w:rsidRPr="000830E5">
              <w:t xml:space="preserve">Credit and counterparty risks </w:t>
            </w:r>
          </w:p>
        </w:tc>
        <w:tc>
          <w:tcPr>
            <w:tcW w:w="0" w:type="auto"/>
            <w:vAlign w:val="center"/>
          </w:tcPr>
          <w:p w14:paraId="44EF7464" w14:textId="77777777" w:rsidR="00E10411" w:rsidRPr="005F3A52" w:rsidRDefault="00E10411" w:rsidP="00A517B5">
            <w:pPr>
              <w:pStyle w:val="TableText"/>
              <w:jc w:val="center"/>
              <w:rPr>
                <w:rFonts w:ascii="Arial" w:hAnsi="Arial" w:cs="Arial"/>
                <w:sz w:val="22"/>
                <w:szCs w:val="24"/>
              </w:rPr>
            </w:pPr>
            <w:r w:rsidRPr="005F3A52">
              <w:rPr>
                <w:rFonts w:ascii="Segoe UI Symbol" w:hAnsi="Segoe UI Symbol" w:cs="Segoe UI Symbol"/>
                <w:sz w:val="22"/>
                <w:szCs w:val="24"/>
              </w:rPr>
              <w:t>✓</w:t>
            </w:r>
          </w:p>
        </w:tc>
        <w:tc>
          <w:tcPr>
            <w:tcW w:w="0" w:type="auto"/>
            <w:vAlign w:val="center"/>
          </w:tcPr>
          <w:p w14:paraId="31510ACD" w14:textId="77777777" w:rsidR="00E10411" w:rsidRPr="005F3A52" w:rsidRDefault="00E10411" w:rsidP="00A517B5">
            <w:pPr>
              <w:pStyle w:val="TableText"/>
              <w:jc w:val="center"/>
              <w:rPr>
                <w:rFonts w:ascii="Arial" w:hAnsi="Arial" w:cs="Arial"/>
                <w:sz w:val="22"/>
                <w:szCs w:val="24"/>
              </w:rPr>
            </w:pPr>
          </w:p>
        </w:tc>
        <w:tc>
          <w:tcPr>
            <w:tcW w:w="0" w:type="auto"/>
            <w:vAlign w:val="center"/>
          </w:tcPr>
          <w:p w14:paraId="0D183896" w14:textId="77777777" w:rsidR="00E10411" w:rsidRPr="005F3A52" w:rsidRDefault="00E10411" w:rsidP="00A517B5">
            <w:pPr>
              <w:pStyle w:val="TableText"/>
              <w:jc w:val="center"/>
              <w:rPr>
                <w:rFonts w:ascii="Arial" w:hAnsi="Arial" w:cs="Arial"/>
                <w:sz w:val="22"/>
                <w:szCs w:val="24"/>
              </w:rPr>
            </w:pPr>
          </w:p>
        </w:tc>
        <w:tc>
          <w:tcPr>
            <w:tcW w:w="0" w:type="auto"/>
            <w:vAlign w:val="center"/>
          </w:tcPr>
          <w:p w14:paraId="753F8B5C" w14:textId="77777777" w:rsidR="00E10411" w:rsidRPr="005F3A52" w:rsidRDefault="00E10411" w:rsidP="00A517B5">
            <w:pPr>
              <w:pStyle w:val="TableText"/>
              <w:jc w:val="center"/>
              <w:rPr>
                <w:rFonts w:ascii="Arial" w:hAnsi="Arial" w:cs="Arial"/>
                <w:sz w:val="22"/>
                <w:szCs w:val="24"/>
              </w:rPr>
            </w:pPr>
          </w:p>
        </w:tc>
      </w:tr>
      <w:tr w:rsidR="00E10411" w:rsidRPr="00747EF6" w14:paraId="73B2DB19" w14:textId="77777777" w:rsidTr="005B0F5C">
        <w:tc>
          <w:tcPr>
            <w:tcW w:w="2410" w:type="dxa"/>
          </w:tcPr>
          <w:p w14:paraId="1A729CDF" w14:textId="77777777" w:rsidR="00E10411" w:rsidRPr="000830E5" w:rsidRDefault="00E10411" w:rsidP="0066202A">
            <w:pPr>
              <w:pStyle w:val="TableText"/>
            </w:pPr>
            <w:r w:rsidRPr="000830E5">
              <w:rPr>
                <w:b/>
                <w:bCs/>
              </w:rPr>
              <w:t xml:space="preserve">Risk 5: </w:t>
            </w:r>
            <w:r w:rsidR="0066202A">
              <w:rPr>
                <w:b/>
                <w:bCs/>
              </w:rPr>
              <w:br/>
            </w:r>
            <w:r w:rsidRPr="000830E5">
              <w:t>Insider trading and information asymmetry</w:t>
            </w:r>
          </w:p>
        </w:tc>
        <w:tc>
          <w:tcPr>
            <w:tcW w:w="0" w:type="auto"/>
            <w:vAlign w:val="center"/>
          </w:tcPr>
          <w:p w14:paraId="39F8E7C9" w14:textId="77777777" w:rsidR="00E10411" w:rsidRPr="005F3A52" w:rsidRDefault="00E10411" w:rsidP="00A517B5">
            <w:pPr>
              <w:pStyle w:val="TableText"/>
              <w:jc w:val="center"/>
              <w:rPr>
                <w:rFonts w:ascii="Arial" w:hAnsi="Arial" w:cs="Arial"/>
                <w:sz w:val="22"/>
                <w:szCs w:val="24"/>
              </w:rPr>
            </w:pPr>
            <w:r w:rsidRPr="005F3A52">
              <w:rPr>
                <w:rFonts w:ascii="Segoe UI Symbol" w:hAnsi="Segoe UI Symbol" w:cs="Segoe UI Symbol"/>
                <w:sz w:val="22"/>
                <w:szCs w:val="24"/>
              </w:rPr>
              <w:t>✓</w:t>
            </w:r>
          </w:p>
        </w:tc>
        <w:tc>
          <w:tcPr>
            <w:tcW w:w="0" w:type="auto"/>
            <w:vAlign w:val="center"/>
          </w:tcPr>
          <w:p w14:paraId="1CE0DC85" w14:textId="77777777" w:rsidR="00E10411" w:rsidRPr="005F3A52" w:rsidRDefault="00E10411" w:rsidP="00A517B5">
            <w:pPr>
              <w:pStyle w:val="TableText"/>
              <w:jc w:val="center"/>
              <w:rPr>
                <w:rFonts w:ascii="Arial" w:hAnsi="Arial" w:cs="Arial"/>
                <w:sz w:val="22"/>
                <w:szCs w:val="24"/>
              </w:rPr>
            </w:pPr>
          </w:p>
        </w:tc>
        <w:tc>
          <w:tcPr>
            <w:tcW w:w="0" w:type="auto"/>
            <w:vAlign w:val="center"/>
          </w:tcPr>
          <w:p w14:paraId="79788D44" w14:textId="77777777" w:rsidR="00E10411" w:rsidRPr="005F3A52" w:rsidRDefault="00E10411" w:rsidP="00A517B5">
            <w:pPr>
              <w:pStyle w:val="TableText"/>
              <w:jc w:val="center"/>
              <w:rPr>
                <w:rFonts w:ascii="Arial" w:hAnsi="Arial" w:cs="Arial"/>
                <w:sz w:val="22"/>
                <w:szCs w:val="24"/>
              </w:rPr>
            </w:pPr>
          </w:p>
        </w:tc>
        <w:tc>
          <w:tcPr>
            <w:tcW w:w="0" w:type="auto"/>
            <w:vAlign w:val="center"/>
          </w:tcPr>
          <w:p w14:paraId="20D05753" w14:textId="77777777" w:rsidR="00E10411" w:rsidRPr="005F3A52" w:rsidRDefault="00E10411" w:rsidP="00A517B5">
            <w:pPr>
              <w:pStyle w:val="TableText"/>
              <w:jc w:val="center"/>
              <w:rPr>
                <w:rFonts w:ascii="Arial" w:hAnsi="Arial" w:cs="Arial"/>
                <w:sz w:val="22"/>
                <w:szCs w:val="24"/>
              </w:rPr>
            </w:pPr>
          </w:p>
        </w:tc>
      </w:tr>
      <w:tr w:rsidR="00E10411" w:rsidRPr="00747EF6" w14:paraId="48DE5F66" w14:textId="77777777" w:rsidTr="005B0F5C">
        <w:tc>
          <w:tcPr>
            <w:tcW w:w="2410" w:type="dxa"/>
          </w:tcPr>
          <w:p w14:paraId="2F8C4705" w14:textId="77777777" w:rsidR="00E10411" w:rsidRPr="000830E5" w:rsidRDefault="00E10411" w:rsidP="0066202A">
            <w:pPr>
              <w:pStyle w:val="TableText"/>
            </w:pPr>
            <w:r w:rsidRPr="000830E5">
              <w:rPr>
                <w:b/>
                <w:bCs/>
              </w:rPr>
              <w:t xml:space="preserve">Risk 6: </w:t>
            </w:r>
            <w:r w:rsidR="0066202A">
              <w:rPr>
                <w:b/>
                <w:bCs/>
              </w:rPr>
              <w:br/>
            </w:r>
            <w:r w:rsidRPr="000830E5">
              <w:t>Manipulation of NZU prices</w:t>
            </w:r>
          </w:p>
        </w:tc>
        <w:tc>
          <w:tcPr>
            <w:tcW w:w="0" w:type="auto"/>
            <w:vAlign w:val="center"/>
          </w:tcPr>
          <w:p w14:paraId="338D44E3" w14:textId="77777777" w:rsidR="00E10411" w:rsidRPr="005F3A52" w:rsidRDefault="00E10411" w:rsidP="00A517B5">
            <w:pPr>
              <w:pStyle w:val="TableText"/>
              <w:jc w:val="center"/>
              <w:rPr>
                <w:rFonts w:ascii="Arial" w:hAnsi="Arial" w:cs="Arial"/>
                <w:sz w:val="22"/>
                <w:szCs w:val="24"/>
              </w:rPr>
            </w:pPr>
            <w:r w:rsidRPr="005F3A52">
              <w:rPr>
                <w:rFonts w:ascii="Segoe UI Symbol" w:hAnsi="Segoe UI Symbol" w:cs="Segoe UI Symbol"/>
                <w:sz w:val="22"/>
                <w:szCs w:val="24"/>
              </w:rPr>
              <w:t>✓</w:t>
            </w:r>
          </w:p>
        </w:tc>
        <w:tc>
          <w:tcPr>
            <w:tcW w:w="0" w:type="auto"/>
            <w:vAlign w:val="center"/>
          </w:tcPr>
          <w:p w14:paraId="4D988989" w14:textId="77777777" w:rsidR="00E10411" w:rsidRPr="005F3A52" w:rsidRDefault="00E10411" w:rsidP="00A517B5">
            <w:pPr>
              <w:pStyle w:val="TableText"/>
              <w:jc w:val="center"/>
              <w:rPr>
                <w:rFonts w:ascii="Arial" w:hAnsi="Arial" w:cs="Arial"/>
                <w:sz w:val="22"/>
                <w:szCs w:val="24"/>
              </w:rPr>
            </w:pPr>
          </w:p>
        </w:tc>
        <w:tc>
          <w:tcPr>
            <w:tcW w:w="0" w:type="auto"/>
            <w:vAlign w:val="center"/>
          </w:tcPr>
          <w:p w14:paraId="6FE13B23" w14:textId="77777777" w:rsidR="00E10411" w:rsidRPr="005F3A52" w:rsidRDefault="00E10411" w:rsidP="00A517B5">
            <w:pPr>
              <w:pStyle w:val="TableText"/>
              <w:jc w:val="center"/>
              <w:rPr>
                <w:rFonts w:ascii="Arial" w:hAnsi="Arial" w:cs="Arial"/>
                <w:sz w:val="22"/>
                <w:szCs w:val="24"/>
              </w:rPr>
            </w:pPr>
          </w:p>
        </w:tc>
        <w:tc>
          <w:tcPr>
            <w:tcW w:w="0" w:type="auto"/>
            <w:vAlign w:val="center"/>
          </w:tcPr>
          <w:p w14:paraId="2EA69CE9" w14:textId="77777777" w:rsidR="00E10411" w:rsidRPr="005F3A52" w:rsidRDefault="00E10411" w:rsidP="00A517B5">
            <w:pPr>
              <w:pStyle w:val="TableText"/>
              <w:jc w:val="center"/>
              <w:rPr>
                <w:rFonts w:ascii="Arial" w:hAnsi="Arial" w:cs="Arial"/>
                <w:sz w:val="22"/>
                <w:szCs w:val="24"/>
              </w:rPr>
            </w:pPr>
          </w:p>
        </w:tc>
      </w:tr>
      <w:tr w:rsidR="00E10411" w:rsidRPr="00747EF6" w14:paraId="26E1A124" w14:textId="77777777" w:rsidTr="005B0F5C">
        <w:tc>
          <w:tcPr>
            <w:tcW w:w="2410" w:type="dxa"/>
          </w:tcPr>
          <w:p w14:paraId="15FEB435" w14:textId="77777777" w:rsidR="00E10411" w:rsidRPr="000830E5" w:rsidRDefault="00E10411" w:rsidP="0066202A">
            <w:pPr>
              <w:pStyle w:val="TableText"/>
            </w:pPr>
            <w:r w:rsidRPr="000830E5">
              <w:rPr>
                <w:b/>
                <w:bCs/>
              </w:rPr>
              <w:t xml:space="preserve">Risk 7: </w:t>
            </w:r>
            <w:r w:rsidR="0066202A">
              <w:rPr>
                <w:b/>
                <w:bCs/>
              </w:rPr>
              <w:br/>
            </w:r>
            <w:r w:rsidRPr="000830E5">
              <w:t>Money laundering and financing of terrorism in the NZU market</w:t>
            </w:r>
          </w:p>
        </w:tc>
        <w:tc>
          <w:tcPr>
            <w:tcW w:w="0" w:type="auto"/>
            <w:vAlign w:val="center"/>
          </w:tcPr>
          <w:p w14:paraId="67541B29" w14:textId="77777777" w:rsidR="00E10411" w:rsidRPr="005F3A52" w:rsidRDefault="00E10411" w:rsidP="00A517B5">
            <w:pPr>
              <w:pStyle w:val="TableText"/>
              <w:jc w:val="center"/>
              <w:rPr>
                <w:rFonts w:ascii="Arial" w:hAnsi="Arial" w:cs="Arial"/>
                <w:sz w:val="22"/>
                <w:szCs w:val="24"/>
              </w:rPr>
            </w:pPr>
          </w:p>
        </w:tc>
        <w:tc>
          <w:tcPr>
            <w:tcW w:w="0" w:type="auto"/>
            <w:vAlign w:val="center"/>
          </w:tcPr>
          <w:p w14:paraId="20A2DFCB" w14:textId="77777777" w:rsidR="00E10411" w:rsidRPr="005F3A52" w:rsidRDefault="00E10411" w:rsidP="00A517B5">
            <w:pPr>
              <w:pStyle w:val="TableText"/>
              <w:jc w:val="center"/>
              <w:rPr>
                <w:rFonts w:ascii="Arial" w:hAnsi="Arial" w:cs="Arial"/>
                <w:sz w:val="22"/>
                <w:szCs w:val="24"/>
              </w:rPr>
            </w:pPr>
          </w:p>
        </w:tc>
        <w:tc>
          <w:tcPr>
            <w:tcW w:w="0" w:type="auto"/>
            <w:vAlign w:val="center"/>
          </w:tcPr>
          <w:p w14:paraId="237037CE" w14:textId="77777777" w:rsidR="00E10411" w:rsidRPr="005F3A52" w:rsidRDefault="00E10411" w:rsidP="00A517B5">
            <w:pPr>
              <w:pStyle w:val="TableText"/>
              <w:jc w:val="center"/>
              <w:rPr>
                <w:rFonts w:ascii="Arial" w:hAnsi="Arial" w:cs="Arial"/>
                <w:sz w:val="22"/>
                <w:szCs w:val="24"/>
              </w:rPr>
            </w:pPr>
          </w:p>
        </w:tc>
        <w:tc>
          <w:tcPr>
            <w:tcW w:w="0" w:type="auto"/>
            <w:vAlign w:val="center"/>
          </w:tcPr>
          <w:p w14:paraId="23199123" w14:textId="77777777" w:rsidR="00E10411" w:rsidRPr="005F3A52" w:rsidRDefault="00E10411" w:rsidP="00A517B5">
            <w:pPr>
              <w:pStyle w:val="TableText"/>
              <w:jc w:val="center"/>
              <w:rPr>
                <w:rFonts w:ascii="Arial" w:hAnsi="Arial" w:cs="Arial"/>
                <w:sz w:val="22"/>
                <w:szCs w:val="24"/>
              </w:rPr>
            </w:pPr>
            <w:r w:rsidRPr="005F3A52">
              <w:rPr>
                <w:rFonts w:ascii="Segoe UI Symbol" w:hAnsi="Segoe UI Symbol" w:cs="Segoe UI Symbol"/>
                <w:sz w:val="22"/>
                <w:szCs w:val="24"/>
              </w:rPr>
              <w:t>✓</w:t>
            </w:r>
          </w:p>
        </w:tc>
      </w:tr>
    </w:tbl>
    <w:p w14:paraId="38EFA91C" w14:textId="77777777" w:rsidR="005F3A52" w:rsidRPr="00747EF6" w:rsidRDefault="005F3A52" w:rsidP="005F3A52">
      <w:pPr>
        <w:pStyle w:val="Heading3"/>
      </w:pPr>
      <w:r w:rsidRPr="00747EF6">
        <w:t>Topics are not mutually exclusive</w:t>
      </w:r>
    </w:p>
    <w:p w14:paraId="5D377881" w14:textId="77777777" w:rsidR="005F3A52" w:rsidRPr="00747EF6" w:rsidRDefault="005F3A52" w:rsidP="005F3A52">
      <w:pPr>
        <w:pStyle w:val="BodyText"/>
      </w:pPr>
      <w:r w:rsidRPr="00747EF6">
        <w:t xml:space="preserve">Proposals given </w:t>
      </w:r>
      <w:r>
        <w:t>in</w:t>
      </w:r>
      <w:r w:rsidRPr="00747EF6">
        <w:t xml:space="preserve"> topics 1</w:t>
      </w:r>
      <w:r>
        <w:t>–</w:t>
      </w:r>
      <w:r w:rsidRPr="00747EF6">
        <w:t>4 work together to achieve the overall policy objective. Some topics perform different functions</w:t>
      </w:r>
      <w:r>
        <w:t xml:space="preserve"> –</w:t>
      </w:r>
      <w:r w:rsidRPr="00747EF6">
        <w:t xml:space="preserve"> for example, regulating NZU financial advice performs a different function to the </w:t>
      </w:r>
      <w:r>
        <w:t>AML/CFT Act framework</w:t>
      </w:r>
      <w:r w:rsidRPr="00747EF6">
        <w:t>.</w:t>
      </w:r>
    </w:p>
    <w:p w14:paraId="3416C4D5" w14:textId="77777777" w:rsidR="005F3A52" w:rsidRPr="00747EF6" w:rsidRDefault="005F3A52" w:rsidP="005F3A52">
      <w:pPr>
        <w:pStyle w:val="BodyText"/>
      </w:pPr>
      <w:r w:rsidRPr="00747EF6">
        <w:t>Other topics, however, reinforce each other. For example, the optional centralised exchange is reinforced by improved transaction reporting because</w:t>
      </w:r>
      <w:r>
        <w:t>,</w:t>
      </w:r>
      <w:r w:rsidRPr="00747EF6">
        <w:t xml:space="preserve"> together, they provide a full picture of trading activity. </w:t>
      </w:r>
    </w:p>
    <w:p w14:paraId="6889DC4B" w14:textId="77777777" w:rsidR="005F3A52" w:rsidRPr="00747EF6" w:rsidRDefault="005F3A52" w:rsidP="005F3A52">
      <w:pPr>
        <w:pStyle w:val="BodyText"/>
      </w:pPr>
      <w:r w:rsidRPr="00747EF6">
        <w:t xml:space="preserve">There are different options given under each topic (and a preferred option put forward) for stakeholders to consider. </w:t>
      </w:r>
    </w:p>
    <w:p w14:paraId="0BD51CF0" w14:textId="77777777" w:rsidR="005F3A52" w:rsidRPr="00747EF6" w:rsidRDefault="005F3A52" w:rsidP="005F3A52">
      <w:pPr>
        <w:pStyle w:val="Heading2"/>
      </w:pPr>
      <w:bookmarkStart w:id="39" w:name="_Toc118703521"/>
      <w:bookmarkStart w:id="40" w:name="_Toc118953574"/>
      <w:r w:rsidRPr="00747EF6">
        <w:t>The status quo: no unified framework or regulator</w:t>
      </w:r>
      <w:bookmarkEnd w:id="39"/>
      <w:bookmarkEnd w:id="40"/>
    </w:p>
    <w:p w14:paraId="09C3E80D" w14:textId="77777777" w:rsidR="005F3A52" w:rsidRPr="00747EF6" w:rsidRDefault="005F3A52" w:rsidP="005F3A52">
      <w:pPr>
        <w:pStyle w:val="BodyText"/>
      </w:pPr>
      <w:r w:rsidRPr="00747EF6">
        <w:t xml:space="preserve">Currently, there is no integrated legislative framework for market governance in the NZU market, creating risks to market function, </w:t>
      </w:r>
      <w:proofErr w:type="gramStart"/>
      <w:r w:rsidRPr="00747EF6">
        <w:t>integrity</w:t>
      </w:r>
      <w:proofErr w:type="gramEnd"/>
      <w:r w:rsidRPr="00747EF6">
        <w:t xml:space="preserve"> and confidence. </w:t>
      </w:r>
    </w:p>
    <w:p w14:paraId="3BA9EB6D" w14:textId="77777777" w:rsidR="005F3A52" w:rsidRPr="00747EF6" w:rsidRDefault="005F3A52" w:rsidP="005F3A52">
      <w:pPr>
        <w:pStyle w:val="BodyText"/>
      </w:pPr>
      <w:r>
        <w:lastRenderedPageBreak/>
        <w:t>The status quo is that many</w:t>
      </w:r>
      <w:r w:rsidRPr="00747EF6">
        <w:t xml:space="preserve"> different </w:t>
      </w:r>
      <w:r>
        <w:t xml:space="preserve">pieces of </w:t>
      </w:r>
      <w:r w:rsidRPr="00747EF6">
        <w:t xml:space="preserve">legislation and </w:t>
      </w:r>
      <w:r>
        <w:t xml:space="preserve">different </w:t>
      </w:r>
      <w:r w:rsidRPr="00747EF6">
        <w:t>regulatory systems</w:t>
      </w:r>
      <w:r>
        <w:t xml:space="preserve"> </w:t>
      </w:r>
      <w:r w:rsidRPr="00747EF6">
        <w:t xml:space="preserve">provide overarching coverage for aspects of the risks identified in the NZU market, but none </w:t>
      </w:r>
      <w:r>
        <w:t>is</w:t>
      </w:r>
      <w:r w:rsidRPr="00747EF6">
        <w:t xml:space="preserve"> tailored to provide full coverage.</w:t>
      </w:r>
    </w:p>
    <w:p w14:paraId="00B990FD" w14:textId="79D0503C" w:rsidR="005F3A52" w:rsidRPr="00747EF6" w:rsidRDefault="005F3A52" w:rsidP="005F3A52">
      <w:pPr>
        <w:pStyle w:val="BodyText"/>
      </w:pPr>
      <w:r w:rsidRPr="00747EF6">
        <w:t xml:space="preserve">Set out </w:t>
      </w:r>
      <w:r>
        <w:t xml:space="preserve">in </w:t>
      </w:r>
      <w:r w:rsidRPr="00747EF6">
        <w:t>topics 1</w:t>
      </w:r>
      <w:r>
        <w:t>–</w:t>
      </w:r>
      <w:r w:rsidRPr="00747EF6">
        <w:t xml:space="preserve">4 of this document </w:t>
      </w:r>
      <w:r w:rsidR="005F4806">
        <w:t>is</w:t>
      </w:r>
      <w:r w:rsidRPr="00747EF6">
        <w:t xml:space="preserve"> a series of proposals and alternative options for a range of statutory tools and obligations </w:t>
      </w:r>
      <w:r w:rsidR="00F71277">
        <w:t>that</w:t>
      </w:r>
      <w:r w:rsidR="00F71277" w:rsidRPr="00747EF6">
        <w:t xml:space="preserve"> </w:t>
      </w:r>
      <w:r w:rsidRPr="00747EF6">
        <w:t xml:space="preserve">can be used to build the market governance framework. </w:t>
      </w:r>
    </w:p>
    <w:p w14:paraId="69FBEBF6" w14:textId="47A2F4AC" w:rsidR="005F3A52" w:rsidRPr="00747EF6" w:rsidRDefault="00860E58" w:rsidP="005F3A52">
      <w:pPr>
        <w:pStyle w:val="BodyText"/>
      </w:pPr>
      <w:r>
        <w:t>Table 6</w:t>
      </w:r>
      <w:r w:rsidR="005F3A52" w:rsidRPr="00747EF6">
        <w:t xml:space="preserve"> below provides</w:t>
      </w:r>
      <w:r w:rsidR="005F3A52" w:rsidRPr="00747EF6" w:rsidDel="0052498F">
        <w:t xml:space="preserve"> </w:t>
      </w:r>
      <w:r w:rsidR="005F3A52" w:rsidRPr="00747EF6">
        <w:t xml:space="preserve">a detailed description of each topic’s status quo which, put together for the entire NZU market governance framework, provides a patchwork </w:t>
      </w:r>
      <w:r w:rsidR="005F3A52">
        <w:t>for</w:t>
      </w:r>
      <w:r w:rsidR="005F3A52" w:rsidRPr="00747EF6">
        <w:t xml:space="preserve"> coverage of the risks identified in 2018.</w:t>
      </w:r>
    </w:p>
    <w:p w14:paraId="00982319" w14:textId="77777777" w:rsidR="005F3A52" w:rsidRDefault="005F3A52" w:rsidP="005F3A52">
      <w:pPr>
        <w:pStyle w:val="Tableheading"/>
      </w:pPr>
      <w:bookmarkStart w:id="41" w:name="_Toc118953824"/>
      <w:r>
        <w:t xml:space="preserve">Table </w:t>
      </w:r>
      <w:fldSimple w:instr=" SEQ Table \* ARABIC ">
        <w:r w:rsidR="00C67DAB">
          <w:rPr>
            <w:noProof/>
          </w:rPr>
          <w:t>6</w:t>
        </w:r>
      </w:fldSimple>
      <w:r>
        <w:t xml:space="preserve">: </w:t>
      </w:r>
      <w:r>
        <w:tab/>
      </w:r>
      <w:r w:rsidRPr="00FF4876">
        <w:t>Status quo legislation under each proposal topic</w:t>
      </w:r>
      <w:bookmarkEnd w:id="4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7"/>
      </w:tblGrid>
      <w:tr w:rsidR="005F3A52" w:rsidRPr="005F3A52" w14:paraId="49350EE5" w14:textId="77777777" w:rsidTr="005F3A52">
        <w:tc>
          <w:tcPr>
            <w:tcW w:w="8613" w:type="dxa"/>
            <w:shd w:val="clear" w:color="auto" w:fill="1B556B"/>
            <w:vAlign w:val="center"/>
          </w:tcPr>
          <w:p w14:paraId="67873625" w14:textId="77777777" w:rsidR="005F3A52" w:rsidRPr="005F3A52" w:rsidRDefault="005F3A52" w:rsidP="00A52A00">
            <w:pPr>
              <w:spacing w:before="80" w:after="80" w:line="240" w:lineRule="auto"/>
              <w:jc w:val="left"/>
              <w:rPr>
                <w:b/>
                <w:bCs/>
                <w:color w:val="FFFFFF" w:themeColor="background1"/>
                <w:sz w:val="18"/>
                <w:szCs w:val="18"/>
              </w:rPr>
            </w:pPr>
            <w:r w:rsidRPr="005F3A52">
              <w:rPr>
                <w:b/>
                <w:bCs/>
                <w:color w:val="FFFFFF" w:themeColor="background1"/>
                <w:sz w:val="18"/>
                <w:szCs w:val="18"/>
              </w:rPr>
              <w:t>Topic 1: Regulating the market based on financial legislation</w:t>
            </w:r>
          </w:p>
        </w:tc>
      </w:tr>
      <w:tr w:rsidR="005F3A52" w14:paraId="2A6864B5" w14:textId="77777777" w:rsidTr="00A517B5">
        <w:tc>
          <w:tcPr>
            <w:tcW w:w="8613" w:type="dxa"/>
            <w:shd w:val="clear" w:color="auto" w:fill="D2DDE2"/>
          </w:tcPr>
          <w:p w14:paraId="13894A40" w14:textId="77777777" w:rsidR="005F3A52" w:rsidRPr="00ED70E9" w:rsidRDefault="005F3A52" w:rsidP="005F3A52">
            <w:pPr>
              <w:pStyle w:val="TableBullet"/>
              <w:spacing w:before="60"/>
              <w:rPr>
                <w:b/>
                <w:bCs/>
              </w:rPr>
            </w:pPr>
            <w:r w:rsidRPr="00ED70E9">
              <w:rPr>
                <w:b/>
                <w:bCs/>
              </w:rPr>
              <w:t>Crimes Act 1961</w:t>
            </w:r>
            <w:r>
              <w:rPr>
                <w:b/>
                <w:bCs/>
              </w:rPr>
              <w:t>:</w:t>
            </w:r>
            <w:r w:rsidRPr="00ED70E9">
              <w:rPr>
                <w:b/>
                <w:bCs/>
              </w:rPr>
              <w:t xml:space="preserve"> </w:t>
            </w:r>
            <w:r w:rsidRPr="00ED70E9">
              <w:t>Includes punishments and offences for crimes.</w:t>
            </w:r>
          </w:p>
          <w:p w14:paraId="14F231AD" w14:textId="77777777" w:rsidR="005F3A52" w:rsidRDefault="005F3A52" w:rsidP="005F3A52">
            <w:pPr>
              <w:pStyle w:val="TableText"/>
            </w:pPr>
            <w:r w:rsidRPr="00ED70E9">
              <w:rPr>
                <w:b/>
              </w:rPr>
              <w:t xml:space="preserve">The status quo: Crimes Act only. </w:t>
            </w:r>
            <w:r>
              <w:t>T</w:t>
            </w:r>
            <w:r w:rsidRPr="00ED70E9">
              <w:t xml:space="preserve">he Crimes Act </w:t>
            </w:r>
            <w:r>
              <w:t xml:space="preserve">is used </w:t>
            </w:r>
            <w:r w:rsidRPr="00ED70E9">
              <w:t>to manage insider trading risks. No provisions against market manipulation in the NZU market. Market operators would not be licensed.</w:t>
            </w:r>
          </w:p>
        </w:tc>
      </w:tr>
      <w:tr w:rsidR="005F3A52" w:rsidRPr="005F3A52" w14:paraId="60D4189D" w14:textId="77777777" w:rsidTr="00A517B5">
        <w:tc>
          <w:tcPr>
            <w:tcW w:w="8613" w:type="dxa"/>
            <w:shd w:val="clear" w:color="auto" w:fill="1B556B"/>
          </w:tcPr>
          <w:p w14:paraId="01EC49B3" w14:textId="77777777" w:rsidR="005F3A52" w:rsidRPr="005F3A52" w:rsidRDefault="005F3A52" w:rsidP="00A52A00">
            <w:pPr>
              <w:spacing w:before="80" w:after="80" w:line="240" w:lineRule="auto"/>
              <w:rPr>
                <w:b/>
                <w:bCs/>
                <w:color w:val="FFFFFF" w:themeColor="background1"/>
                <w:sz w:val="18"/>
                <w:szCs w:val="18"/>
              </w:rPr>
            </w:pPr>
            <w:r w:rsidRPr="005F3A52">
              <w:rPr>
                <w:b/>
                <w:bCs/>
                <w:color w:val="FFFFFF" w:themeColor="background1"/>
                <w:sz w:val="18"/>
                <w:szCs w:val="18"/>
              </w:rPr>
              <w:t>Topic 2: Regulating NZU financial advice, transactional and/or custodial services</w:t>
            </w:r>
          </w:p>
        </w:tc>
      </w:tr>
      <w:tr w:rsidR="005F3A52" w14:paraId="0D16D007" w14:textId="77777777" w:rsidTr="00A517B5">
        <w:tc>
          <w:tcPr>
            <w:tcW w:w="8613" w:type="dxa"/>
            <w:shd w:val="clear" w:color="auto" w:fill="D2DDE2"/>
          </w:tcPr>
          <w:p w14:paraId="43C12EE8" w14:textId="77777777" w:rsidR="005F3A52" w:rsidRPr="00ED70E9" w:rsidRDefault="005F3A52" w:rsidP="0066202A">
            <w:pPr>
              <w:pStyle w:val="TableBullet"/>
              <w:spacing w:before="60"/>
            </w:pPr>
            <w:r w:rsidRPr="005F3A52">
              <w:rPr>
                <w:b/>
                <w:bCs/>
              </w:rPr>
              <w:t>Forests (Regulation of Log Traders and Forestry Advisers)</w:t>
            </w:r>
            <w:r w:rsidRPr="00ED70E9">
              <w:t xml:space="preserve"> Amendment Act 2020</w:t>
            </w:r>
            <w:r>
              <w:t xml:space="preserve">: </w:t>
            </w:r>
            <w:r w:rsidRPr="00ED70E9">
              <w:t xml:space="preserve">Establishes a registration system for log traders and forestry advisers. </w:t>
            </w:r>
          </w:p>
          <w:p w14:paraId="65314C07" w14:textId="0442BA28" w:rsidR="005F3A52" w:rsidRPr="00ED70E9" w:rsidRDefault="005F3A52" w:rsidP="005F3A52">
            <w:pPr>
              <w:pStyle w:val="TableBullet"/>
            </w:pPr>
            <w:r w:rsidRPr="00ED70E9">
              <w:rPr>
                <w:b/>
              </w:rPr>
              <w:t>Fair Trading Act 1986</w:t>
            </w:r>
            <w:r w:rsidR="006509E0">
              <w:rPr>
                <w:b/>
              </w:rPr>
              <w:t xml:space="preserve"> (FTA)</w:t>
            </w:r>
            <w:r>
              <w:rPr>
                <w:b/>
              </w:rPr>
              <w:t xml:space="preserve">: </w:t>
            </w:r>
            <w:proofErr w:type="gramStart"/>
            <w:r w:rsidRPr="00ED70E9">
              <w:t>Generally</w:t>
            </w:r>
            <w:proofErr w:type="gramEnd"/>
            <w:r w:rsidRPr="00ED70E9">
              <w:t xml:space="preserve"> prohibits false and misleading conduct by those in trade. </w:t>
            </w:r>
          </w:p>
          <w:p w14:paraId="2F3E88E7" w14:textId="77777777" w:rsidR="005F3A52" w:rsidRDefault="005F3A52" w:rsidP="005F3A52">
            <w:pPr>
              <w:pStyle w:val="TableText"/>
            </w:pPr>
            <w:r w:rsidRPr="00ED70E9">
              <w:rPr>
                <w:b/>
              </w:rPr>
              <w:t>The status quo: advice relating to NZUs is partially covered by four Acts.</w:t>
            </w:r>
            <w:r w:rsidRPr="00ED70E9">
              <w:t xml:space="preserve"> The FTA, Forests Act 1949 and the FMC Act and Financial Service Providers (Registration and Dispute Resolution) Act 2008 together create </w:t>
            </w:r>
            <w:r>
              <w:t xml:space="preserve">a </w:t>
            </w:r>
            <w:r w:rsidRPr="00ED70E9">
              <w:t>complex framework for regulating advice.</w:t>
            </w:r>
          </w:p>
        </w:tc>
      </w:tr>
      <w:tr w:rsidR="005F3A52" w:rsidRPr="005F3A52" w14:paraId="45F79928" w14:textId="77777777" w:rsidTr="00A517B5">
        <w:tc>
          <w:tcPr>
            <w:tcW w:w="8613" w:type="dxa"/>
            <w:shd w:val="clear" w:color="auto" w:fill="1B556B"/>
          </w:tcPr>
          <w:p w14:paraId="3F37424F" w14:textId="77777777" w:rsidR="005F3A52" w:rsidRPr="005F3A52" w:rsidRDefault="005F3A52" w:rsidP="00A52A00">
            <w:pPr>
              <w:spacing w:before="80" w:after="80" w:line="240" w:lineRule="auto"/>
              <w:rPr>
                <w:b/>
                <w:bCs/>
                <w:color w:val="FFFFFF" w:themeColor="background1"/>
                <w:sz w:val="18"/>
                <w:szCs w:val="18"/>
              </w:rPr>
            </w:pPr>
            <w:r w:rsidRPr="005F3A52">
              <w:rPr>
                <w:b/>
                <w:bCs/>
                <w:color w:val="FFFFFF" w:themeColor="background1"/>
                <w:sz w:val="18"/>
                <w:szCs w:val="18"/>
              </w:rPr>
              <w:t>Topic 3: Improved transaction reporting</w:t>
            </w:r>
          </w:p>
        </w:tc>
      </w:tr>
      <w:tr w:rsidR="005F3A52" w14:paraId="527B341E" w14:textId="77777777" w:rsidTr="00A517B5">
        <w:tc>
          <w:tcPr>
            <w:tcW w:w="8613" w:type="dxa"/>
            <w:shd w:val="clear" w:color="auto" w:fill="D2DDE2"/>
          </w:tcPr>
          <w:p w14:paraId="46BB5FCF" w14:textId="77777777" w:rsidR="0066202A" w:rsidRPr="000446CD" w:rsidRDefault="0066202A" w:rsidP="0066202A">
            <w:pPr>
              <w:pStyle w:val="TableBullet"/>
              <w:spacing w:before="60"/>
              <w:rPr>
                <w:b/>
              </w:rPr>
            </w:pPr>
            <w:r>
              <w:rPr>
                <w:b/>
              </w:rPr>
              <w:t>Climate Change Response Act 2002:</w:t>
            </w:r>
            <w:r w:rsidRPr="000446CD">
              <w:rPr>
                <w:b/>
              </w:rPr>
              <w:t xml:space="preserve"> </w:t>
            </w:r>
            <w:r w:rsidRPr="000446CD">
              <w:t>Mandates annual emissions reporting to the NZETR.</w:t>
            </w:r>
          </w:p>
          <w:p w14:paraId="1D575E98" w14:textId="77777777" w:rsidR="0066202A" w:rsidRDefault="0066202A" w:rsidP="0066202A">
            <w:pPr>
              <w:pStyle w:val="TableText"/>
            </w:pPr>
            <w:r w:rsidRPr="000446CD">
              <w:rPr>
                <w:b/>
              </w:rPr>
              <w:t xml:space="preserve">The status quo: the NZETR collects the same information for transactions. </w:t>
            </w:r>
            <w:r w:rsidRPr="000446CD">
              <w:t>Under the status quo</w:t>
            </w:r>
            <w:r>
              <w:t>,</w:t>
            </w:r>
            <w:r w:rsidRPr="000446CD">
              <w:t xml:space="preserve"> the NZETR collects the following information about transactions: </w:t>
            </w:r>
          </w:p>
          <w:p w14:paraId="3BD4B141" w14:textId="77777777" w:rsidR="0066202A" w:rsidRPr="000446CD" w:rsidRDefault="0066202A" w:rsidP="0066202A">
            <w:pPr>
              <w:pStyle w:val="TableDash"/>
            </w:pPr>
            <w:r w:rsidRPr="000446CD">
              <w:t>the parties involved in the trade</w:t>
            </w:r>
          </w:p>
          <w:p w14:paraId="69A0E1C1" w14:textId="77777777" w:rsidR="0066202A" w:rsidRPr="000446CD" w:rsidRDefault="0066202A" w:rsidP="0066202A">
            <w:pPr>
              <w:pStyle w:val="TableDash"/>
            </w:pPr>
            <w:r w:rsidRPr="000446CD">
              <w:t>the number of units in the trade</w:t>
            </w:r>
          </w:p>
          <w:p w14:paraId="5C018C78" w14:textId="77777777" w:rsidR="0066202A" w:rsidRPr="000446CD" w:rsidRDefault="0066202A" w:rsidP="0066202A">
            <w:pPr>
              <w:pStyle w:val="TableDash"/>
            </w:pPr>
            <w:r w:rsidRPr="000446CD">
              <w:t>the time and date of transaction</w:t>
            </w:r>
          </w:p>
          <w:p w14:paraId="4276ABE3" w14:textId="77777777" w:rsidR="0066202A" w:rsidRPr="000446CD" w:rsidRDefault="0066202A" w:rsidP="0066202A">
            <w:pPr>
              <w:pStyle w:val="TableDash"/>
            </w:pPr>
            <w:r w:rsidRPr="000446CD">
              <w:t>who set up the transaction</w:t>
            </w:r>
          </w:p>
          <w:p w14:paraId="5DAD0A91" w14:textId="77777777" w:rsidR="005F3A52" w:rsidRDefault="0066202A" w:rsidP="0066202A">
            <w:pPr>
              <w:pStyle w:val="TableDash"/>
            </w:pPr>
            <w:r w:rsidRPr="000446CD">
              <w:t xml:space="preserve">who authorised </w:t>
            </w:r>
            <w:r>
              <w:t>it</w:t>
            </w:r>
            <w:r w:rsidRPr="000446CD">
              <w:t xml:space="preserve"> and how they got their transaction authorisation code.</w:t>
            </w:r>
          </w:p>
        </w:tc>
      </w:tr>
      <w:tr w:rsidR="005F3A52" w:rsidRPr="00A52A00" w14:paraId="07809204" w14:textId="77777777" w:rsidTr="00A517B5">
        <w:tc>
          <w:tcPr>
            <w:tcW w:w="8613" w:type="dxa"/>
            <w:shd w:val="clear" w:color="auto" w:fill="1B556B"/>
          </w:tcPr>
          <w:p w14:paraId="5B8B3BC3" w14:textId="77777777" w:rsidR="005F3A52" w:rsidRPr="00A52A00" w:rsidRDefault="005F3A52" w:rsidP="00A52A00">
            <w:pPr>
              <w:spacing w:before="80" w:after="80" w:line="240" w:lineRule="auto"/>
              <w:jc w:val="left"/>
              <w:rPr>
                <w:b/>
                <w:bCs/>
                <w:color w:val="FFFFFF" w:themeColor="background1"/>
                <w:sz w:val="18"/>
                <w:szCs w:val="18"/>
              </w:rPr>
            </w:pPr>
            <w:r w:rsidRPr="00A52A00">
              <w:rPr>
                <w:b/>
                <w:bCs/>
                <w:color w:val="FFFFFF" w:themeColor="background1"/>
                <w:sz w:val="18"/>
                <w:szCs w:val="18"/>
              </w:rPr>
              <w:t>Topic 4: Applying the Anti-Money Laundering and Countering Financing of Terrorism Act 2009 (AML/CFT Act) framework</w:t>
            </w:r>
          </w:p>
        </w:tc>
      </w:tr>
      <w:tr w:rsidR="005F3A52" w14:paraId="3A660034" w14:textId="77777777" w:rsidTr="00A517B5">
        <w:tc>
          <w:tcPr>
            <w:tcW w:w="8613" w:type="dxa"/>
            <w:shd w:val="clear" w:color="auto" w:fill="D2DDE2"/>
          </w:tcPr>
          <w:p w14:paraId="6A6E65B0" w14:textId="77777777" w:rsidR="0066202A" w:rsidRPr="000446CD" w:rsidRDefault="0066202A" w:rsidP="0066202A">
            <w:pPr>
              <w:pStyle w:val="TableBullet"/>
              <w:spacing w:before="60"/>
            </w:pPr>
            <w:r w:rsidRPr="000446CD">
              <w:rPr>
                <w:b/>
                <w:bCs/>
              </w:rPr>
              <w:t>Anti-Money Laundering and Countering Financing of Terrorism Act 2009</w:t>
            </w:r>
            <w:r w:rsidRPr="00900FA2">
              <w:rPr>
                <w:b/>
                <w:bCs/>
              </w:rPr>
              <w:t>:</w:t>
            </w:r>
            <w:r w:rsidRPr="000446CD">
              <w:rPr>
                <w:b/>
                <w:bCs/>
              </w:rPr>
              <w:t xml:space="preserve"> </w:t>
            </w:r>
            <w:proofErr w:type="gramStart"/>
            <w:r w:rsidRPr="000446CD">
              <w:t>Generally</w:t>
            </w:r>
            <w:proofErr w:type="gramEnd"/>
            <w:r w:rsidRPr="000446CD">
              <w:t xml:space="preserve"> requires businesses to take measures to guard against money laundering and terrorism financing. </w:t>
            </w:r>
          </w:p>
          <w:p w14:paraId="284000A8" w14:textId="77777777" w:rsidR="005F3A52" w:rsidRDefault="0066202A" w:rsidP="0066202A">
            <w:pPr>
              <w:pStyle w:val="TableText"/>
            </w:pPr>
            <w:r w:rsidRPr="000446CD">
              <w:rPr>
                <w:b/>
              </w:rPr>
              <w:t xml:space="preserve">The status quo: </w:t>
            </w:r>
            <w:r w:rsidRPr="000446CD">
              <w:t xml:space="preserve">No further AML/CFT framework obligations would apply to the NZU market </w:t>
            </w:r>
            <w:r w:rsidRPr="00900FA2">
              <w:t>beyond</w:t>
            </w:r>
            <w:r w:rsidRPr="000446CD">
              <w:t xml:space="preserve"> what already applies today. </w:t>
            </w:r>
            <w:r w:rsidRPr="00900FA2">
              <w:t>This highlights</w:t>
            </w:r>
            <w:r w:rsidRPr="000446CD">
              <w:t xml:space="preserve"> how the AML/CFT Act already captures activities of interest within the NZU market to deter money laundering and financing of terrorism</w:t>
            </w:r>
            <w:r w:rsidRPr="000446CD">
              <w:rPr>
                <w:b/>
              </w:rPr>
              <w:t>.</w:t>
            </w:r>
          </w:p>
        </w:tc>
      </w:tr>
    </w:tbl>
    <w:p w14:paraId="76229631" w14:textId="77777777" w:rsidR="00E10411" w:rsidRDefault="00E10411" w:rsidP="00E10411">
      <w:pPr>
        <w:pStyle w:val="BodyText"/>
      </w:pPr>
    </w:p>
    <w:p w14:paraId="27E8C4B2" w14:textId="77777777" w:rsidR="005F3A52" w:rsidRPr="0066202A" w:rsidRDefault="005F3A52" w:rsidP="0066202A">
      <w:pPr>
        <w:pStyle w:val="Heading2"/>
      </w:pPr>
      <w:bookmarkStart w:id="42" w:name="_Toc116391404"/>
      <w:bookmarkStart w:id="43" w:name="_Toc118703522"/>
      <w:bookmarkStart w:id="44" w:name="_Toc118953575"/>
      <w:r w:rsidRPr="0066202A">
        <w:lastRenderedPageBreak/>
        <w:t>Leverage existing financial market frameworks</w:t>
      </w:r>
      <w:bookmarkEnd w:id="42"/>
      <w:bookmarkEnd w:id="43"/>
      <w:bookmarkEnd w:id="44"/>
    </w:p>
    <w:p w14:paraId="27CEB3E9" w14:textId="4F3B9BB3" w:rsidR="005F3A52" w:rsidRPr="00747EF6" w:rsidRDefault="001D7CB9" w:rsidP="005F3A52">
      <w:pPr>
        <w:pStyle w:val="BodyText"/>
      </w:pPr>
      <w:r>
        <w:t>The Ministry for the Environment</w:t>
      </w:r>
      <w:r w:rsidRPr="00747EF6">
        <w:t xml:space="preserve"> </w:t>
      </w:r>
      <w:r w:rsidR="005F3A52" w:rsidRPr="00747EF6">
        <w:t>considers that there are common risks between</w:t>
      </w:r>
      <w:r w:rsidR="005F3A52" w:rsidRPr="00747EF6" w:rsidDel="00F0124A">
        <w:t xml:space="preserve"> </w:t>
      </w:r>
      <w:r w:rsidR="005F3A52" w:rsidRPr="00747EF6">
        <w:t>the NZU market and financial product markets,</w:t>
      </w:r>
      <w:r w:rsidR="005F3A52" w:rsidRPr="00747EF6" w:rsidDel="001F3AA2">
        <w:t xml:space="preserve"> regulated by the FMC Act</w:t>
      </w:r>
      <w:r w:rsidR="005F3A52" w:rsidRPr="00747EF6">
        <w:t>. These risks include poor advice from professional advisers, insider trading and market manipulation. </w:t>
      </w:r>
    </w:p>
    <w:p w14:paraId="3FD8C3EB" w14:textId="3A04B22E" w:rsidR="005F3A52" w:rsidRPr="00747EF6" w:rsidRDefault="00687F36" w:rsidP="005F3A52">
      <w:pPr>
        <w:pStyle w:val="BodyText"/>
      </w:pPr>
      <w:r>
        <w:t xml:space="preserve">It </w:t>
      </w:r>
      <w:r w:rsidRPr="00747EF6">
        <w:t xml:space="preserve">could be beneficial </w:t>
      </w:r>
      <w:r>
        <w:t>to include</w:t>
      </w:r>
      <w:r w:rsidRPr="00747EF6">
        <w:t xml:space="preserve"> </w:t>
      </w:r>
      <w:r w:rsidR="005F3A52" w:rsidRPr="00747EF6">
        <w:t xml:space="preserve">the NZU market under existing financial market frameworks </w:t>
      </w:r>
      <w:r>
        <w:t>to minimise</w:t>
      </w:r>
      <w:r w:rsidR="005F3A52" w:rsidRPr="00747EF6">
        <w:t xml:space="preserve"> market governance risks in the NZU market. This is because the approach could</w:t>
      </w:r>
      <w:r w:rsidR="005F3A52" w:rsidRPr="00747EF6" w:rsidDel="001825FC">
        <w:t xml:space="preserve"> </w:t>
      </w:r>
      <w:r w:rsidR="005F3A52" w:rsidRPr="00747EF6">
        <w:t xml:space="preserve">leverage well-established legislative tools and trusted financial market regulators. </w:t>
      </w:r>
      <w:r w:rsidR="005F3A52">
        <w:t>Using</w:t>
      </w:r>
      <w:r w:rsidR="005F3A52" w:rsidRPr="00747EF6">
        <w:t xml:space="preserve"> a financial market framework approach to govern the NZU market could align the NZ ETS to international emission</w:t>
      </w:r>
      <w:r w:rsidR="005F3A52">
        <w:t>s</w:t>
      </w:r>
      <w:r w:rsidR="005F3A52" w:rsidRPr="00747EF6">
        <w:t xml:space="preserve"> trading scheme standards and to our own domestic financial markets. This alignment could ensure NZU market integrity, </w:t>
      </w:r>
      <w:proofErr w:type="gramStart"/>
      <w:r w:rsidR="005F3A52" w:rsidRPr="00747EF6">
        <w:t>efficiency</w:t>
      </w:r>
      <w:proofErr w:type="gramEnd"/>
      <w:r w:rsidR="005F3A52" w:rsidRPr="00747EF6">
        <w:t xml:space="preserve"> and confidence.</w:t>
      </w:r>
    </w:p>
    <w:p w14:paraId="79E0D2C7" w14:textId="77777777" w:rsidR="005F3A52" w:rsidRPr="00747EF6" w:rsidRDefault="005F3A52" w:rsidP="005F3A52">
      <w:pPr>
        <w:pStyle w:val="BodyText"/>
      </w:pPr>
      <w:r w:rsidRPr="00747EF6">
        <w:t>The Government seeks to better understand the impact of leveraging existing financial market frameworks to address the seven identified risks.</w:t>
      </w:r>
      <w:r>
        <w:t xml:space="preserve"> </w:t>
      </w:r>
      <w:r w:rsidRPr="00747EF6">
        <w:t>The Government acknowledges that there are key differences between NZUs and other more traditional financial products. For example, many parties are required to trade in NZUs because of their surrender obligations</w:t>
      </w:r>
      <w:r>
        <w:t xml:space="preserve"> –</w:t>
      </w:r>
      <w:r w:rsidRPr="00747EF6">
        <w:t xml:space="preserve"> a feature that does not exist in other financial markets</w:t>
      </w:r>
      <w:r>
        <w:t>,</w:t>
      </w:r>
      <w:r w:rsidRPr="00747EF6">
        <w:t xml:space="preserve"> where trading is voluntary. All NZUs represent the same units (volume) of emissions</w:t>
      </w:r>
      <w:r>
        <w:t>,</w:t>
      </w:r>
      <w:r w:rsidRPr="00747EF6">
        <w:t xml:space="preserve"> whereas there are a large range of different financial products.</w:t>
      </w:r>
    </w:p>
    <w:p w14:paraId="41031647" w14:textId="61346BFF" w:rsidR="005F3A52" w:rsidRPr="00747EF6" w:rsidRDefault="005F3A52" w:rsidP="005F3A52">
      <w:pPr>
        <w:pStyle w:val="BodyText"/>
      </w:pPr>
      <w:r w:rsidRPr="00747EF6">
        <w:t xml:space="preserve">An important aspect of this engagement will be understanding impacts on NZU market users and other affected parties that could eventuate </w:t>
      </w:r>
      <w:r w:rsidR="00D51F25">
        <w:t>because</w:t>
      </w:r>
      <w:r w:rsidRPr="00747EF6">
        <w:t xml:space="preserve"> of these kinds of differences, the modifications that would be required to financial markets frameworks due to those differences, and how the application of these proposals would affect participants in the NZU market.</w:t>
      </w:r>
    </w:p>
    <w:p w14:paraId="2E7A708B" w14:textId="77777777" w:rsidR="005F3A52" w:rsidRPr="00747EF6" w:rsidRDefault="005F3A52" w:rsidP="005F3A52">
      <w:pPr>
        <w:pStyle w:val="Heading2"/>
      </w:pPr>
      <w:bookmarkStart w:id="45" w:name="_Toc116391405"/>
      <w:bookmarkStart w:id="46" w:name="_Toc118703523"/>
      <w:bookmarkStart w:id="47" w:name="_Toc118953576"/>
      <w:r w:rsidRPr="00747EF6">
        <w:t xml:space="preserve">Appoint the </w:t>
      </w:r>
      <w:r>
        <w:t>FMA</w:t>
      </w:r>
      <w:r w:rsidRPr="00747EF6">
        <w:t xml:space="preserve"> as a regulator</w:t>
      </w:r>
      <w:bookmarkEnd w:id="45"/>
      <w:bookmarkEnd w:id="46"/>
      <w:bookmarkEnd w:id="47"/>
      <w:r w:rsidRPr="00747EF6">
        <w:t xml:space="preserve"> </w:t>
      </w:r>
    </w:p>
    <w:p w14:paraId="2A3C5AAA" w14:textId="77777777" w:rsidR="005F3A52" w:rsidRPr="00747EF6" w:rsidRDefault="005F3A52" w:rsidP="005F3A52">
      <w:pPr>
        <w:pStyle w:val="BodyText"/>
      </w:pPr>
      <w:r w:rsidRPr="00747EF6">
        <w:t>Aligning the NZU market to financial market frameworks would require a regulator to oversee the market. A fit</w:t>
      </w:r>
      <w:r>
        <w:t>-</w:t>
      </w:r>
      <w:r w:rsidRPr="00747EF6">
        <w:t>for</w:t>
      </w:r>
      <w:r>
        <w:t>-</w:t>
      </w:r>
      <w:r w:rsidRPr="00747EF6">
        <w:t xml:space="preserve">purpose policy framework that </w:t>
      </w:r>
      <w:r w:rsidRPr="008F5883">
        <w:t>treats</w:t>
      </w:r>
      <w:r w:rsidRPr="00747EF6">
        <w:t xml:space="preserve"> NZUs as a financial product would leverage the financial market tools and institutional structures of the FMA as the regulator of financial markets to oversee the identified market governance risks, where appropriate, in the NZU market. </w:t>
      </w:r>
    </w:p>
    <w:p w14:paraId="686F0140" w14:textId="77777777" w:rsidR="0066202A" w:rsidRDefault="0066202A" w:rsidP="005F3A52">
      <w:pPr>
        <w:pStyle w:val="Heading1"/>
        <w:sectPr w:rsidR="0066202A" w:rsidSect="008A7498">
          <w:pgSz w:w="11907" w:h="16840" w:code="9"/>
          <w:pgMar w:top="1134" w:right="1701" w:bottom="1134" w:left="1701" w:header="567" w:footer="567" w:gutter="0"/>
          <w:cols w:space="720"/>
          <w:docGrid w:linePitch="299"/>
        </w:sectPr>
      </w:pPr>
      <w:bookmarkStart w:id="48" w:name="_Toc118703524"/>
      <w:bookmarkStart w:id="49" w:name="_Toc116391407"/>
    </w:p>
    <w:p w14:paraId="058FD7C2" w14:textId="77777777" w:rsidR="005F3A52" w:rsidRPr="00747EF6" w:rsidRDefault="005F3A52" w:rsidP="005F3A52">
      <w:pPr>
        <w:pStyle w:val="Heading1"/>
      </w:pPr>
      <w:bookmarkStart w:id="50" w:name="_Toc118953577"/>
      <w:r w:rsidRPr="00747EF6">
        <w:lastRenderedPageBreak/>
        <w:t>Purpose of engagement</w:t>
      </w:r>
      <w:bookmarkEnd w:id="48"/>
      <w:bookmarkEnd w:id="50"/>
    </w:p>
    <w:p w14:paraId="7A54E957" w14:textId="77777777" w:rsidR="005F3A52" w:rsidRPr="00747EF6" w:rsidRDefault="005F3A52" w:rsidP="00D10DE4">
      <w:pPr>
        <w:pStyle w:val="Heading2"/>
        <w:spacing w:before="240"/>
      </w:pPr>
      <w:bookmarkStart w:id="51" w:name="_Toc118953578"/>
      <w:r w:rsidRPr="00747EF6">
        <w:t>Understand the impacts of treating NZUs as a financial product</w:t>
      </w:r>
      <w:bookmarkEnd w:id="49"/>
      <w:bookmarkEnd w:id="51"/>
    </w:p>
    <w:p w14:paraId="2688B3D4" w14:textId="77777777" w:rsidR="005F3A52" w:rsidRPr="00747EF6" w:rsidRDefault="005F3A52" w:rsidP="005F3A52">
      <w:pPr>
        <w:pStyle w:val="BodyText"/>
      </w:pPr>
      <w:r w:rsidRPr="00747EF6">
        <w:t>The purpose of this engagement is to understand the impacts of leveraging existing financial markets frameworks to address the seven identified risks. The feedback from this engagement will help with considering any modifications that may be required to tailor financial markets frameworks to NZUs and whether alternative options may better achieve overall policy objectives.</w:t>
      </w:r>
    </w:p>
    <w:p w14:paraId="6567A45B" w14:textId="77777777" w:rsidR="005F3A52" w:rsidRPr="00747EF6" w:rsidRDefault="005F3A52" w:rsidP="00D10DE4">
      <w:pPr>
        <w:pStyle w:val="Heading2"/>
        <w:spacing w:before="240"/>
      </w:pPr>
      <w:bookmarkStart w:id="52" w:name="_Toc116391408"/>
      <w:bookmarkStart w:id="53" w:name="_Toc118953579"/>
      <w:r w:rsidRPr="00747EF6">
        <w:t>Criteria used to compare options to the status quo</w:t>
      </w:r>
      <w:bookmarkEnd w:id="52"/>
      <w:bookmarkEnd w:id="53"/>
    </w:p>
    <w:p w14:paraId="541916D1" w14:textId="77777777" w:rsidR="005F3A52" w:rsidRPr="00747EF6" w:rsidRDefault="005F3A52" w:rsidP="005F3A52">
      <w:pPr>
        <w:pStyle w:val="BodyText"/>
      </w:pPr>
      <w:r w:rsidRPr="00747EF6">
        <w:t>The criteria used to evaluate the options are the same operational criteria used in the broader NZ</w:t>
      </w:r>
      <w:r>
        <w:t> </w:t>
      </w:r>
      <w:r w:rsidRPr="00747EF6">
        <w:t xml:space="preserve">ETS improvements package in 2018 and 2019, </w:t>
      </w:r>
      <w:r>
        <w:t>from</w:t>
      </w:r>
      <w:r w:rsidRPr="00747EF6">
        <w:t xml:space="preserve"> which the market governance project was initiated. </w:t>
      </w:r>
    </w:p>
    <w:p w14:paraId="618D2F02" w14:textId="77777777" w:rsidR="005F3A52" w:rsidRDefault="005F3A52" w:rsidP="005F3A52">
      <w:pPr>
        <w:pStyle w:val="BodyText"/>
      </w:pPr>
      <w:r>
        <w:fldChar w:fldCharType="begin"/>
      </w:r>
      <w:r>
        <w:instrText xml:space="preserve"> REF _Ref118382970 \h </w:instrText>
      </w:r>
      <w:r>
        <w:fldChar w:fldCharType="separate"/>
      </w:r>
      <w:r w:rsidR="00C67DAB">
        <w:t xml:space="preserve">Table </w:t>
      </w:r>
      <w:r w:rsidR="00C67DAB">
        <w:rPr>
          <w:noProof/>
        </w:rPr>
        <w:t>7</w:t>
      </w:r>
      <w:r>
        <w:fldChar w:fldCharType="end"/>
      </w:r>
      <w:r>
        <w:t xml:space="preserve"> outlines the five impact criteria. We consider the criteria to remain</w:t>
      </w:r>
      <w:r w:rsidRPr="00747EF6">
        <w:t xml:space="preserve"> applicable</w:t>
      </w:r>
      <w:r>
        <w:t>,</w:t>
      </w:r>
      <w:r w:rsidRPr="00747EF6">
        <w:t xml:space="preserve"> given </w:t>
      </w:r>
      <w:r>
        <w:t xml:space="preserve">that </w:t>
      </w:r>
      <w:r w:rsidRPr="00747EF6">
        <w:t xml:space="preserve">the overarching intention of the NZ ETS reform is to ensure that the scheme operates to achieve </w:t>
      </w:r>
      <w:r>
        <w:t xml:space="preserve">Aotearoa </w:t>
      </w:r>
      <w:r w:rsidRPr="00747EF6">
        <w:t>New Zealand’s broader emissions reduction targets.</w:t>
      </w:r>
    </w:p>
    <w:p w14:paraId="00514CD4" w14:textId="77777777" w:rsidR="0066202A" w:rsidRDefault="0066202A" w:rsidP="0066202A">
      <w:pPr>
        <w:pStyle w:val="Tableheading"/>
      </w:pPr>
      <w:bookmarkStart w:id="54" w:name="_Ref118382970"/>
      <w:bookmarkStart w:id="55" w:name="_Toc118953825"/>
      <w:r>
        <w:t xml:space="preserve">Table </w:t>
      </w:r>
      <w:fldSimple w:instr=" SEQ Table \* ARABIC ">
        <w:r w:rsidR="00C67DAB">
          <w:rPr>
            <w:noProof/>
          </w:rPr>
          <w:t>7</w:t>
        </w:r>
      </w:fldSimple>
      <w:bookmarkEnd w:id="54"/>
      <w:r>
        <w:t xml:space="preserve">: </w:t>
      </w:r>
      <w:r>
        <w:tab/>
        <w:t>Five impact criteria</w:t>
      </w:r>
      <w:bookmarkEnd w:id="55"/>
    </w:p>
    <w:tbl>
      <w:tblPr>
        <w:tblStyle w:val="TableGrid"/>
        <w:tblW w:w="4938" w:type="pct"/>
        <w:tblInd w:w="108"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529"/>
        <w:gridCol w:w="6871"/>
      </w:tblGrid>
      <w:tr w:rsidR="0066202A" w:rsidRPr="0066202A" w14:paraId="5ADC35EE" w14:textId="77777777" w:rsidTr="0066202A">
        <w:tc>
          <w:tcPr>
            <w:tcW w:w="910" w:type="pct"/>
            <w:shd w:val="clear" w:color="auto" w:fill="1C556C"/>
          </w:tcPr>
          <w:p w14:paraId="49FD001C" w14:textId="77777777" w:rsidR="0066202A" w:rsidRPr="0066202A" w:rsidRDefault="0066202A" w:rsidP="0066202A">
            <w:pPr>
              <w:pStyle w:val="TableText"/>
              <w:rPr>
                <w:b/>
                <w:bCs/>
                <w:color w:val="FFFFFF" w:themeColor="background1"/>
              </w:rPr>
            </w:pPr>
            <w:r w:rsidRPr="0066202A">
              <w:rPr>
                <w:b/>
                <w:bCs/>
                <w:color w:val="FFFFFF" w:themeColor="background1"/>
              </w:rPr>
              <w:t>Criteria</w:t>
            </w:r>
          </w:p>
        </w:tc>
        <w:tc>
          <w:tcPr>
            <w:tcW w:w="4090" w:type="pct"/>
            <w:shd w:val="clear" w:color="auto" w:fill="1C556C"/>
          </w:tcPr>
          <w:p w14:paraId="09FA1AA1" w14:textId="77777777" w:rsidR="0066202A" w:rsidRPr="0066202A" w:rsidRDefault="0066202A" w:rsidP="0066202A">
            <w:pPr>
              <w:pStyle w:val="TableText"/>
              <w:rPr>
                <w:b/>
                <w:bCs/>
                <w:color w:val="FFFFFF" w:themeColor="background1"/>
              </w:rPr>
            </w:pPr>
            <w:r w:rsidRPr="0066202A">
              <w:rPr>
                <w:b/>
                <w:bCs/>
                <w:color w:val="FFFFFF" w:themeColor="background1"/>
              </w:rPr>
              <w:t>Description</w:t>
            </w:r>
          </w:p>
        </w:tc>
      </w:tr>
      <w:tr w:rsidR="0066202A" w:rsidRPr="0066202A" w14:paraId="2FED8609" w14:textId="77777777" w:rsidTr="0066202A">
        <w:tc>
          <w:tcPr>
            <w:tcW w:w="910" w:type="pct"/>
          </w:tcPr>
          <w:p w14:paraId="4D0DC214" w14:textId="77777777" w:rsidR="0066202A" w:rsidRPr="0066202A" w:rsidRDefault="0066202A" w:rsidP="0066202A">
            <w:pPr>
              <w:pStyle w:val="TableText"/>
            </w:pPr>
            <w:r w:rsidRPr="0066202A">
              <w:t>Integrity</w:t>
            </w:r>
          </w:p>
        </w:tc>
        <w:tc>
          <w:tcPr>
            <w:tcW w:w="4090" w:type="pct"/>
          </w:tcPr>
          <w:p w14:paraId="23DB5235" w14:textId="74D45F34" w:rsidR="0066202A" w:rsidRPr="0066202A" w:rsidRDefault="0066202A" w:rsidP="0066202A">
            <w:pPr>
              <w:pStyle w:val="TableText"/>
            </w:pPr>
            <w:r w:rsidRPr="0066202A">
              <w:t xml:space="preserve">Ensuring that the NZU market </w:t>
            </w:r>
            <w:proofErr w:type="gramStart"/>
            <w:r w:rsidRPr="0066202A">
              <w:t>operates with integrity at all times</w:t>
            </w:r>
            <w:proofErr w:type="gramEnd"/>
            <w:r w:rsidRPr="0066202A">
              <w:t>, and through all trading markets (primary auctioning market and the secondary trading market).</w:t>
            </w:r>
          </w:p>
        </w:tc>
      </w:tr>
      <w:tr w:rsidR="0066202A" w:rsidRPr="0066202A" w14:paraId="4E28EC50" w14:textId="77777777" w:rsidTr="0066202A">
        <w:tc>
          <w:tcPr>
            <w:tcW w:w="910" w:type="pct"/>
          </w:tcPr>
          <w:p w14:paraId="463BC563" w14:textId="77777777" w:rsidR="0066202A" w:rsidRPr="0066202A" w:rsidRDefault="0066202A" w:rsidP="0066202A">
            <w:pPr>
              <w:pStyle w:val="TableText"/>
            </w:pPr>
            <w:r w:rsidRPr="0066202A">
              <w:t>Minimal complexity and administrative cost</w:t>
            </w:r>
          </w:p>
        </w:tc>
        <w:tc>
          <w:tcPr>
            <w:tcW w:w="4090" w:type="pct"/>
          </w:tcPr>
          <w:p w14:paraId="7E1030B1" w14:textId="77777777" w:rsidR="0066202A" w:rsidRPr="0066202A" w:rsidRDefault="0066202A" w:rsidP="0066202A">
            <w:pPr>
              <w:pStyle w:val="TableText"/>
            </w:pPr>
            <w:r w:rsidRPr="0066202A">
              <w:t xml:space="preserve">Wherever practicable, the costs to administer the market and for NZU market users to participate in the market are minimised. All rules, regulations and legislation are as simple and clear as possible. </w:t>
            </w:r>
            <w:proofErr w:type="gramStart"/>
            <w:r w:rsidRPr="0066202A">
              <w:t>In particular, how</w:t>
            </w:r>
            <w:proofErr w:type="gramEnd"/>
            <w:r w:rsidRPr="0066202A">
              <w:t xml:space="preserve"> the NZU market is governed has clear regard for the impacts on market participation and engagement of key intermediaries, NZU traders and other parties.</w:t>
            </w:r>
          </w:p>
        </w:tc>
      </w:tr>
      <w:tr w:rsidR="0066202A" w:rsidRPr="0066202A" w14:paraId="439DA26F" w14:textId="77777777" w:rsidTr="0066202A">
        <w:tc>
          <w:tcPr>
            <w:tcW w:w="910" w:type="pct"/>
          </w:tcPr>
          <w:p w14:paraId="12FE9634" w14:textId="77777777" w:rsidR="0066202A" w:rsidRPr="0066202A" w:rsidRDefault="0066202A" w:rsidP="0066202A">
            <w:pPr>
              <w:pStyle w:val="TableText"/>
            </w:pPr>
            <w:r w:rsidRPr="0066202A">
              <w:t>Consistency and proportionality</w:t>
            </w:r>
          </w:p>
        </w:tc>
        <w:tc>
          <w:tcPr>
            <w:tcW w:w="4090" w:type="pct"/>
          </w:tcPr>
          <w:p w14:paraId="4BD4F3E6" w14:textId="77777777" w:rsidR="0066202A" w:rsidRPr="0066202A" w:rsidRDefault="0066202A" w:rsidP="0066202A">
            <w:pPr>
              <w:pStyle w:val="TableText"/>
            </w:pPr>
            <w:r w:rsidRPr="0066202A">
              <w:t>Wherever possible, the same solutions are used to apply to both the primary auctioning market and secondary trading market. In addition, the solutions are consistent with similar solutions used in other similar contexts, and they are proportional to the risk.</w:t>
            </w:r>
          </w:p>
        </w:tc>
      </w:tr>
      <w:tr w:rsidR="0066202A" w:rsidRPr="0066202A" w14:paraId="588118BE" w14:textId="77777777" w:rsidTr="0066202A">
        <w:tc>
          <w:tcPr>
            <w:tcW w:w="910" w:type="pct"/>
          </w:tcPr>
          <w:p w14:paraId="116D5B09" w14:textId="77777777" w:rsidR="0066202A" w:rsidRPr="0066202A" w:rsidRDefault="0066202A" w:rsidP="0066202A">
            <w:pPr>
              <w:pStyle w:val="TableText"/>
            </w:pPr>
            <w:r w:rsidRPr="0066202A">
              <w:t>Clarity and transparency</w:t>
            </w:r>
          </w:p>
        </w:tc>
        <w:tc>
          <w:tcPr>
            <w:tcW w:w="4090" w:type="pct"/>
          </w:tcPr>
          <w:p w14:paraId="2B4A3286" w14:textId="77777777" w:rsidR="0066202A" w:rsidRPr="0066202A" w:rsidRDefault="0066202A" w:rsidP="0066202A">
            <w:pPr>
              <w:pStyle w:val="TableText"/>
            </w:pPr>
            <w:r w:rsidRPr="0066202A">
              <w:t>Ensuring that all relevant market information is clearly presented, at the right time and in a clear format. The risk of collusion due to excessive transparency is also considered. All rules, regulations and legislation are clearly explained so that NZU market users understand their obligations and what type of conduct is expected of them.</w:t>
            </w:r>
          </w:p>
        </w:tc>
      </w:tr>
      <w:tr w:rsidR="0066202A" w:rsidRPr="0066202A" w14:paraId="675E8ECE" w14:textId="77777777" w:rsidTr="0066202A">
        <w:tc>
          <w:tcPr>
            <w:tcW w:w="910" w:type="pct"/>
          </w:tcPr>
          <w:p w14:paraId="6B9F1799" w14:textId="77777777" w:rsidR="0066202A" w:rsidRPr="0066202A" w:rsidRDefault="0066202A" w:rsidP="0066202A">
            <w:pPr>
              <w:pStyle w:val="TableText"/>
            </w:pPr>
            <w:r w:rsidRPr="0066202A">
              <w:t>Market efficiency</w:t>
            </w:r>
          </w:p>
        </w:tc>
        <w:tc>
          <w:tcPr>
            <w:tcW w:w="4090" w:type="pct"/>
          </w:tcPr>
          <w:p w14:paraId="51593BF9" w14:textId="331FF4F2" w:rsidR="0066202A" w:rsidRPr="0066202A" w:rsidRDefault="0066202A" w:rsidP="0066202A">
            <w:pPr>
              <w:pStyle w:val="TableText"/>
            </w:pPr>
            <w:r w:rsidRPr="0066202A">
              <w:t xml:space="preserve">The NZU market is efficient when it achieves allocative efficiency and delivers efficient price discovery. Allocative efficiency is the market’s capacity to channel resources, in this case, NZUs – to their highest value uses. That is, emissions are reduced by those best placed to abate, at the best time. Efficient price discovery means that for NZUs to flow to their highest value uses, the carbon price needs to reflect all available information. </w:t>
            </w:r>
            <w:r w:rsidR="006D418F">
              <w:t>Providing</w:t>
            </w:r>
            <w:r w:rsidRPr="0066202A">
              <w:t xml:space="preserve"> relevant market information and predictable policy will help NZU market users to identify and understand the overall supply and demand conditions for NZUs, facilitating efficient price discovery. This will produce a reliable price signal that informs investment decisions, while minimising the cost impact of the carbon price. To ensure this price is maintained, there need to be adequate rules and oversight in place to guard against the risks of manipulation of the price, insider trading and anti-competitive conduct.</w:t>
            </w:r>
          </w:p>
        </w:tc>
      </w:tr>
    </w:tbl>
    <w:p w14:paraId="31995C63" w14:textId="77777777" w:rsidR="0066202A" w:rsidRPr="00747EF6" w:rsidRDefault="0066202A" w:rsidP="0066202A">
      <w:pPr>
        <w:pStyle w:val="Numberedparagraph"/>
        <w:numPr>
          <w:ilvl w:val="0"/>
          <w:numId w:val="0"/>
        </w:numPr>
        <w:spacing w:after="180"/>
        <w:rPr>
          <w:rFonts w:asciiTheme="minorHAnsi" w:hAnsiTheme="minorHAnsi"/>
        </w:rPr>
      </w:pPr>
    </w:p>
    <w:p w14:paraId="637A1CDA" w14:textId="6C04C38D" w:rsidR="0066202A" w:rsidRPr="00747EF6" w:rsidRDefault="0066202A" w:rsidP="0066202A">
      <w:pPr>
        <w:pStyle w:val="BodyText"/>
      </w:pPr>
      <w:r w:rsidRPr="00747EF6">
        <w:t xml:space="preserve">Options are assessed for how well they perform for each criterion, against the status quo. </w:t>
      </w:r>
      <w:r>
        <w:fldChar w:fldCharType="begin"/>
      </w:r>
      <w:r>
        <w:instrText xml:space="preserve"> REF _Ref118383241 \h </w:instrText>
      </w:r>
      <w:r>
        <w:fldChar w:fldCharType="separate"/>
      </w:r>
      <w:r w:rsidR="00C67DAB">
        <w:t xml:space="preserve">Table </w:t>
      </w:r>
      <w:r w:rsidR="00C67DAB">
        <w:rPr>
          <w:noProof/>
        </w:rPr>
        <w:t>8</w:t>
      </w:r>
      <w:r>
        <w:fldChar w:fldCharType="end"/>
      </w:r>
      <w:r>
        <w:t xml:space="preserve"> provides a key of symbols represent</w:t>
      </w:r>
      <w:r w:rsidR="008222CF">
        <w:t>ing</w:t>
      </w:r>
      <w:r>
        <w:t xml:space="preserve"> the </w:t>
      </w:r>
      <w:r w:rsidRPr="00747EF6">
        <w:t>results of the assessment</w:t>
      </w:r>
      <w:r>
        <w:t>.</w:t>
      </w:r>
      <w:r w:rsidRPr="00747EF6">
        <w:t xml:space="preserve"> </w:t>
      </w:r>
    </w:p>
    <w:p w14:paraId="5EB1BDB2" w14:textId="77777777" w:rsidR="0066202A" w:rsidRDefault="0066202A" w:rsidP="0066202A">
      <w:pPr>
        <w:pStyle w:val="Tableheading"/>
      </w:pPr>
      <w:bookmarkStart w:id="56" w:name="_Ref118383241"/>
      <w:bookmarkStart w:id="57" w:name="_Toc118953826"/>
      <w:r>
        <w:t xml:space="preserve">Table </w:t>
      </w:r>
      <w:fldSimple w:instr=" SEQ Table \* ARABIC ">
        <w:r w:rsidR="00C67DAB">
          <w:rPr>
            <w:noProof/>
          </w:rPr>
          <w:t>8</w:t>
        </w:r>
      </w:fldSimple>
      <w:bookmarkEnd w:id="56"/>
      <w:r>
        <w:t xml:space="preserve">: </w:t>
      </w:r>
      <w:r>
        <w:tab/>
        <w:t>Key to criteria analysis assessment</w:t>
      </w:r>
      <w:bookmarkEnd w:id="57"/>
    </w:p>
    <w:tbl>
      <w:tblPr>
        <w:tblStyle w:val="TableGrid"/>
        <w:tblW w:w="0" w:type="auto"/>
        <w:jc w:val="center"/>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CellMar>
          <w:top w:w="57" w:type="dxa"/>
          <w:left w:w="57" w:type="dxa"/>
          <w:bottom w:w="57" w:type="dxa"/>
          <w:right w:w="57" w:type="dxa"/>
        </w:tblCellMar>
        <w:tblLook w:val="04A0" w:firstRow="1" w:lastRow="0" w:firstColumn="1" w:lastColumn="0" w:noHBand="0" w:noVBand="1"/>
      </w:tblPr>
      <w:tblGrid>
        <w:gridCol w:w="1005"/>
        <w:gridCol w:w="7500"/>
      </w:tblGrid>
      <w:tr w:rsidR="00D10DE4" w:rsidRPr="00D10DE4" w14:paraId="05C0AB0C" w14:textId="77777777" w:rsidTr="00F9658A">
        <w:trPr>
          <w:trHeight w:hRule="exact" w:val="340"/>
          <w:jc w:val="center"/>
        </w:trPr>
        <w:tc>
          <w:tcPr>
            <w:tcW w:w="1006" w:type="dxa"/>
            <w:shd w:val="clear" w:color="auto" w:fill="1C556C"/>
            <w:tcMar>
              <w:top w:w="57" w:type="dxa"/>
              <w:left w:w="57" w:type="dxa"/>
              <w:right w:w="57" w:type="dxa"/>
            </w:tcMar>
          </w:tcPr>
          <w:p w14:paraId="63C74215" w14:textId="77777777" w:rsidR="00D10DE4" w:rsidRPr="00D10DE4" w:rsidRDefault="00D10DE4" w:rsidP="00F9658A">
            <w:pPr>
              <w:pStyle w:val="TableText"/>
              <w:spacing w:before="40" w:after="40" w:line="240" w:lineRule="auto"/>
              <w:rPr>
                <w:b/>
                <w:bCs/>
                <w:color w:val="FFFFFF" w:themeColor="background1"/>
              </w:rPr>
            </w:pPr>
            <w:r w:rsidRPr="00D10DE4">
              <w:rPr>
                <w:b/>
                <w:bCs/>
                <w:color w:val="FFFFFF" w:themeColor="background1"/>
              </w:rPr>
              <w:t>Symbol</w:t>
            </w:r>
          </w:p>
        </w:tc>
        <w:tc>
          <w:tcPr>
            <w:tcW w:w="7513" w:type="dxa"/>
            <w:shd w:val="clear" w:color="auto" w:fill="1C556C"/>
            <w:tcMar>
              <w:top w:w="57" w:type="dxa"/>
              <w:left w:w="57" w:type="dxa"/>
              <w:right w:w="57" w:type="dxa"/>
            </w:tcMar>
          </w:tcPr>
          <w:p w14:paraId="6E3F1976" w14:textId="77777777" w:rsidR="00D10DE4" w:rsidRPr="00D10DE4" w:rsidRDefault="00D10DE4" w:rsidP="00F9658A">
            <w:pPr>
              <w:pStyle w:val="TableText"/>
              <w:spacing w:before="40" w:after="40" w:line="240" w:lineRule="auto"/>
              <w:rPr>
                <w:b/>
                <w:bCs/>
                <w:color w:val="FFFFFF" w:themeColor="background1"/>
              </w:rPr>
            </w:pPr>
            <w:r w:rsidRPr="00D10DE4">
              <w:rPr>
                <w:b/>
                <w:bCs/>
                <w:color w:val="FFFFFF" w:themeColor="background1"/>
              </w:rPr>
              <w:t>Meaning</w:t>
            </w:r>
          </w:p>
        </w:tc>
      </w:tr>
      <w:tr w:rsidR="00D10DE4" w:rsidRPr="00747EF6" w14:paraId="1FAAE61F" w14:textId="77777777" w:rsidTr="00932190">
        <w:trPr>
          <w:trHeight w:hRule="exact" w:val="340"/>
          <w:jc w:val="center"/>
        </w:trPr>
        <w:tc>
          <w:tcPr>
            <w:tcW w:w="1006" w:type="dxa"/>
            <w:shd w:val="clear" w:color="auto" w:fill="FFFFFF" w:themeFill="background1"/>
            <w:tcMar>
              <w:top w:w="57" w:type="dxa"/>
              <w:left w:w="57" w:type="dxa"/>
              <w:right w:w="57" w:type="dxa"/>
            </w:tcMar>
            <w:vAlign w:val="center"/>
          </w:tcPr>
          <w:p w14:paraId="4B6EA37B" w14:textId="77777777" w:rsidR="00D10DE4" w:rsidRPr="005A0E86" w:rsidRDefault="00D10DE4" w:rsidP="00F9658A">
            <w:pPr>
              <w:pStyle w:val="TableText0"/>
              <w:spacing w:before="40" w:after="40" w:line="240" w:lineRule="auto"/>
              <w:jc w:val="center"/>
              <w:rPr>
                <w:rFonts w:ascii="Segoe UI" w:hAnsi="Segoe UI" w:cs="Segoe UI"/>
                <w:b/>
                <w:bCs/>
                <w:color w:val="00B050"/>
                <w:lang w:val="en-NZ" w:eastAsia="en-GB"/>
              </w:rPr>
            </w:pPr>
            <w:r w:rsidRPr="005A0E86">
              <w:rPr>
                <w:rStyle w:val="cf01"/>
                <w:rFonts w:eastAsia="Cambria Math"/>
                <w:b/>
                <w:bCs/>
                <w:color w:val="00B050"/>
                <w:sz w:val="20"/>
                <w:szCs w:val="20"/>
                <w:lang w:val="en-NZ"/>
              </w:rPr>
              <w:t>++</w:t>
            </w:r>
          </w:p>
        </w:tc>
        <w:tc>
          <w:tcPr>
            <w:tcW w:w="7513" w:type="dxa"/>
            <w:tcMar>
              <w:top w:w="57" w:type="dxa"/>
              <w:left w:w="57" w:type="dxa"/>
              <w:right w:w="57" w:type="dxa"/>
            </w:tcMar>
          </w:tcPr>
          <w:p w14:paraId="6E828165" w14:textId="77777777" w:rsidR="00D10DE4" w:rsidRPr="00747EF6" w:rsidRDefault="00D10DE4" w:rsidP="00F9658A">
            <w:pPr>
              <w:pStyle w:val="TableText"/>
              <w:spacing w:before="40" w:after="40" w:line="240" w:lineRule="auto"/>
            </w:pPr>
            <w:r w:rsidRPr="00747EF6">
              <w:rPr>
                <w:rStyle w:val="cf11"/>
              </w:rPr>
              <w:t>much better than doing nothing/the status quo/counterfactual</w:t>
            </w:r>
          </w:p>
        </w:tc>
      </w:tr>
      <w:tr w:rsidR="00D10DE4" w:rsidRPr="00747EF6" w14:paraId="31E8C75D" w14:textId="77777777" w:rsidTr="00932190">
        <w:trPr>
          <w:trHeight w:hRule="exact" w:val="340"/>
          <w:jc w:val="center"/>
        </w:trPr>
        <w:tc>
          <w:tcPr>
            <w:tcW w:w="1006" w:type="dxa"/>
            <w:shd w:val="clear" w:color="auto" w:fill="FFFFFF" w:themeFill="background1"/>
            <w:tcMar>
              <w:top w:w="57" w:type="dxa"/>
              <w:left w:w="57" w:type="dxa"/>
              <w:right w:w="57" w:type="dxa"/>
            </w:tcMar>
            <w:vAlign w:val="center"/>
          </w:tcPr>
          <w:p w14:paraId="7A4AF26C" w14:textId="77777777" w:rsidR="00D10DE4" w:rsidRPr="005A0E86" w:rsidRDefault="00D10DE4" w:rsidP="00F9658A">
            <w:pPr>
              <w:pStyle w:val="TableText0"/>
              <w:spacing w:before="40" w:after="40" w:line="240" w:lineRule="auto"/>
              <w:jc w:val="center"/>
              <w:rPr>
                <w:b/>
                <w:bCs/>
                <w:color w:val="00B050"/>
                <w:lang w:val="en-NZ"/>
              </w:rPr>
            </w:pPr>
            <w:r w:rsidRPr="005A0E86">
              <w:rPr>
                <w:rStyle w:val="cf01"/>
                <w:rFonts w:eastAsia="Cambria Math"/>
                <w:b/>
                <w:bCs/>
                <w:color w:val="00B050"/>
                <w:sz w:val="20"/>
                <w:szCs w:val="20"/>
                <w:lang w:val="en-NZ"/>
              </w:rPr>
              <w:t>+</w:t>
            </w:r>
          </w:p>
        </w:tc>
        <w:tc>
          <w:tcPr>
            <w:tcW w:w="7513" w:type="dxa"/>
            <w:tcMar>
              <w:top w:w="57" w:type="dxa"/>
              <w:left w:w="57" w:type="dxa"/>
              <w:right w:w="57" w:type="dxa"/>
            </w:tcMar>
          </w:tcPr>
          <w:p w14:paraId="28431E29" w14:textId="77777777" w:rsidR="00D10DE4" w:rsidRPr="00747EF6" w:rsidRDefault="00D10DE4" w:rsidP="00F9658A">
            <w:pPr>
              <w:pStyle w:val="TableText"/>
              <w:spacing w:before="40" w:after="40" w:line="240" w:lineRule="auto"/>
            </w:pPr>
            <w:r w:rsidRPr="00747EF6">
              <w:rPr>
                <w:rStyle w:val="cf11"/>
              </w:rPr>
              <w:t>better than doing nothing/the status quo/counterfactual</w:t>
            </w:r>
          </w:p>
        </w:tc>
      </w:tr>
      <w:tr w:rsidR="00D10DE4" w:rsidRPr="00747EF6" w14:paraId="0C85C3CB" w14:textId="77777777" w:rsidTr="00932190">
        <w:trPr>
          <w:trHeight w:hRule="exact" w:val="340"/>
          <w:jc w:val="center"/>
        </w:trPr>
        <w:tc>
          <w:tcPr>
            <w:tcW w:w="1006" w:type="dxa"/>
            <w:shd w:val="clear" w:color="auto" w:fill="FFFFFF" w:themeFill="background1"/>
            <w:tcMar>
              <w:top w:w="57" w:type="dxa"/>
              <w:left w:w="57" w:type="dxa"/>
              <w:right w:w="57" w:type="dxa"/>
            </w:tcMar>
            <w:vAlign w:val="center"/>
          </w:tcPr>
          <w:p w14:paraId="4A3504AA" w14:textId="77777777" w:rsidR="00D10DE4" w:rsidRPr="005A0E86" w:rsidRDefault="00D10DE4" w:rsidP="00F9658A">
            <w:pPr>
              <w:pStyle w:val="Numberedparagraph"/>
              <w:numPr>
                <w:ilvl w:val="0"/>
                <w:numId w:val="0"/>
              </w:numPr>
              <w:spacing w:before="40" w:after="40" w:line="240" w:lineRule="auto"/>
              <w:jc w:val="center"/>
              <w:rPr>
                <w:b/>
                <w:bCs/>
              </w:rPr>
            </w:pPr>
            <w:r w:rsidRPr="005A0E86">
              <w:rPr>
                <w:rStyle w:val="cf11"/>
                <w:b/>
                <w:bCs/>
                <w:sz w:val="20"/>
                <w:szCs w:val="20"/>
              </w:rPr>
              <w:t>0</w:t>
            </w:r>
          </w:p>
        </w:tc>
        <w:tc>
          <w:tcPr>
            <w:tcW w:w="7513" w:type="dxa"/>
            <w:tcMar>
              <w:top w:w="57" w:type="dxa"/>
              <w:left w:w="57" w:type="dxa"/>
              <w:right w:w="57" w:type="dxa"/>
            </w:tcMar>
          </w:tcPr>
          <w:p w14:paraId="6F00CB57" w14:textId="77777777" w:rsidR="00D10DE4" w:rsidRPr="00747EF6" w:rsidRDefault="00D10DE4" w:rsidP="00F9658A">
            <w:pPr>
              <w:pStyle w:val="TableText"/>
              <w:spacing w:before="40" w:after="40" w:line="240" w:lineRule="auto"/>
            </w:pPr>
            <w:r w:rsidRPr="00747EF6">
              <w:rPr>
                <w:rStyle w:val="cf11"/>
              </w:rPr>
              <w:t>about the same as doing nothing/the status quo/counterfactual</w:t>
            </w:r>
          </w:p>
        </w:tc>
      </w:tr>
      <w:tr w:rsidR="00D10DE4" w:rsidRPr="00747EF6" w14:paraId="734FE20F" w14:textId="77777777" w:rsidTr="00932190">
        <w:trPr>
          <w:trHeight w:hRule="exact" w:val="340"/>
          <w:jc w:val="center"/>
        </w:trPr>
        <w:tc>
          <w:tcPr>
            <w:tcW w:w="1006" w:type="dxa"/>
            <w:shd w:val="clear" w:color="auto" w:fill="FFFFFF" w:themeFill="background1"/>
            <w:tcMar>
              <w:top w:w="57" w:type="dxa"/>
              <w:left w:w="57" w:type="dxa"/>
              <w:right w:w="57" w:type="dxa"/>
            </w:tcMar>
            <w:vAlign w:val="center"/>
          </w:tcPr>
          <w:p w14:paraId="02B4E78A" w14:textId="77777777" w:rsidR="00D10DE4" w:rsidRPr="005A0E86" w:rsidRDefault="00D10DE4" w:rsidP="00F9658A">
            <w:pPr>
              <w:pStyle w:val="TableText0"/>
              <w:spacing w:before="40" w:after="40" w:line="240" w:lineRule="auto"/>
              <w:jc w:val="center"/>
              <w:rPr>
                <w:bCs/>
                <w:lang w:val="en-NZ"/>
              </w:rPr>
            </w:pPr>
            <w:r w:rsidRPr="005A0E86">
              <w:rPr>
                <w:rStyle w:val="cf31"/>
                <w:sz w:val="20"/>
                <w:szCs w:val="20"/>
                <w:lang w:val="en-NZ"/>
              </w:rPr>
              <w:t>-</w:t>
            </w:r>
          </w:p>
        </w:tc>
        <w:tc>
          <w:tcPr>
            <w:tcW w:w="7513" w:type="dxa"/>
            <w:tcMar>
              <w:top w:w="57" w:type="dxa"/>
              <w:left w:w="57" w:type="dxa"/>
              <w:right w:w="57" w:type="dxa"/>
            </w:tcMar>
          </w:tcPr>
          <w:p w14:paraId="712353B9" w14:textId="77777777" w:rsidR="00D10DE4" w:rsidRPr="00747EF6" w:rsidRDefault="00D10DE4" w:rsidP="00F9658A">
            <w:pPr>
              <w:pStyle w:val="TableText"/>
              <w:spacing w:before="40" w:after="40" w:line="240" w:lineRule="auto"/>
            </w:pPr>
            <w:r w:rsidRPr="00747EF6">
              <w:rPr>
                <w:rStyle w:val="cf11"/>
              </w:rPr>
              <w:t>worse than doing nothing/the status quo/counterfactual</w:t>
            </w:r>
          </w:p>
        </w:tc>
      </w:tr>
      <w:tr w:rsidR="00D10DE4" w:rsidRPr="00747EF6" w14:paraId="679C666A" w14:textId="77777777" w:rsidTr="00932190">
        <w:trPr>
          <w:trHeight w:hRule="exact" w:val="340"/>
          <w:jc w:val="center"/>
        </w:trPr>
        <w:tc>
          <w:tcPr>
            <w:tcW w:w="1006" w:type="dxa"/>
            <w:shd w:val="clear" w:color="auto" w:fill="FFFFFF" w:themeFill="background1"/>
            <w:tcMar>
              <w:top w:w="57" w:type="dxa"/>
              <w:left w:w="57" w:type="dxa"/>
              <w:right w:w="57" w:type="dxa"/>
            </w:tcMar>
            <w:vAlign w:val="center"/>
          </w:tcPr>
          <w:p w14:paraId="5AA041F9" w14:textId="77777777" w:rsidR="00D10DE4" w:rsidRPr="005A0E86" w:rsidRDefault="00D10DE4" w:rsidP="00F9658A">
            <w:pPr>
              <w:pStyle w:val="TableText0"/>
              <w:spacing w:before="40" w:after="40" w:line="240" w:lineRule="auto"/>
              <w:jc w:val="center"/>
              <w:rPr>
                <w:bCs/>
                <w:lang w:val="en-NZ"/>
              </w:rPr>
            </w:pPr>
            <w:r w:rsidRPr="005A0E86">
              <w:rPr>
                <w:rStyle w:val="cf31"/>
                <w:sz w:val="20"/>
                <w:szCs w:val="20"/>
                <w:lang w:val="en-NZ"/>
              </w:rPr>
              <w:t>- -</w:t>
            </w:r>
          </w:p>
        </w:tc>
        <w:tc>
          <w:tcPr>
            <w:tcW w:w="7513" w:type="dxa"/>
            <w:tcMar>
              <w:top w:w="57" w:type="dxa"/>
              <w:left w:w="57" w:type="dxa"/>
              <w:right w:w="57" w:type="dxa"/>
            </w:tcMar>
          </w:tcPr>
          <w:p w14:paraId="510FD648" w14:textId="77777777" w:rsidR="00D10DE4" w:rsidRPr="00747EF6" w:rsidRDefault="00D10DE4" w:rsidP="00F9658A">
            <w:pPr>
              <w:pStyle w:val="TableText"/>
              <w:spacing w:before="40" w:after="40" w:line="240" w:lineRule="auto"/>
            </w:pPr>
            <w:r w:rsidRPr="00747EF6">
              <w:rPr>
                <w:rStyle w:val="cf11"/>
              </w:rPr>
              <w:t>much worse than doing nothing/the status quo/counterfactual</w:t>
            </w:r>
          </w:p>
        </w:tc>
      </w:tr>
    </w:tbl>
    <w:p w14:paraId="7611DDAD" w14:textId="77777777" w:rsidR="00D10DE4" w:rsidRPr="00747EF6" w:rsidRDefault="00D10DE4" w:rsidP="00D10DE4">
      <w:pPr>
        <w:pStyle w:val="BodyText"/>
        <w:spacing w:before="240"/>
        <w:ind w:right="-284"/>
      </w:pPr>
      <w:r w:rsidRPr="00747EF6">
        <w:t>Initially, all criteria are equally ranked. If two or more options received the same score, the following rankings were applied</w:t>
      </w:r>
      <w:r>
        <w:t>, in order of importance.</w:t>
      </w:r>
    </w:p>
    <w:p w14:paraId="267228A4" w14:textId="77777777" w:rsidR="00D10DE4" w:rsidRPr="00747EF6" w:rsidRDefault="00D10DE4" w:rsidP="00BE2C32">
      <w:pPr>
        <w:pStyle w:val="Numberedparagraph"/>
        <w:numPr>
          <w:ilvl w:val="0"/>
          <w:numId w:val="17"/>
        </w:numPr>
        <w:spacing w:after="180"/>
        <w:ind w:right="-284"/>
        <w:rPr>
          <w:rFonts w:asciiTheme="minorHAnsi" w:hAnsiTheme="minorHAnsi"/>
        </w:rPr>
      </w:pPr>
      <w:r w:rsidRPr="00747EF6">
        <w:rPr>
          <w:rFonts w:asciiTheme="minorHAnsi" w:hAnsiTheme="minorHAnsi"/>
          <w:b/>
          <w:bCs/>
        </w:rPr>
        <w:t>Integrity</w:t>
      </w:r>
      <w:r>
        <w:rPr>
          <w:rFonts w:asciiTheme="minorHAnsi" w:hAnsiTheme="minorHAnsi"/>
          <w:b/>
          <w:bCs/>
        </w:rPr>
        <w:t>.</w:t>
      </w:r>
      <w:r w:rsidRPr="00747EF6">
        <w:rPr>
          <w:rFonts w:asciiTheme="minorHAnsi" w:hAnsiTheme="minorHAnsi"/>
          <w:b/>
          <w:bCs/>
        </w:rPr>
        <w:t xml:space="preserve"> </w:t>
      </w:r>
      <w:r>
        <w:rPr>
          <w:rFonts w:asciiTheme="minorHAnsi" w:hAnsiTheme="minorHAnsi"/>
        </w:rPr>
        <w:t>T</w:t>
      </w:r>
      <w:r w:rsidRPr="00747EF6">
        <w:rPr>
          <w:rFonts w:asciiTheme="minorHAnsi" w:hAnsiTheme="minorHAnsi"/>
        </w:rPr>
        <w:t>he most important of the five criteria, the integrity of the NZU market helps achieve the purposes of the market governance framework.</w:t>
      </w:r>
    </w:p>
    <w:p w14:paraId="048DD98C" w14:textId="77777777" w:rsidR="00D10DE4" w:rsidRPr="00747EF6" w:rsidRDefault="00D10DE4" w:rsidP="00BE2C32">
      <w:pPr>
        <w:pStyle w:val="Numberedparagraph"/>
        <w:numPr>
          <w:ilvl w:val="0"/>
          <w:numId w:val="17"/>
        </w:numPr>
        <w:spacing w:after="180"/>
        <w:ind w:right="-284"/>
        <w:rPr>
          <w:rFonts w:asciiTheme="minorHAnsi" w:hAnsiTheme="minorHAnsi"/>
        </w:rPr>
      </w:pPr>
      <w:r w:rsidRPr="00747EF6">
        <w:rPr>
          <w:rFonts w:asciiTheme="minorHAnsi" w:hAnsiTheme="minorHAnsi"/>
          <w:b/>
        </w:rPr>
        <w:t>Minimal complexity and administrative cost</w:t>
      </w:r>
      <w:r>
        <w:rPr>
          <w:rFonts w:asciiTheme="minorHAnsi" w:hAnsiTheme="minorHAnsi"/>
          <w:b/>
        </w:rPr>
        <w:t>.</w:t>
      </w:r>
      <w:r w:rsidRPr="00747EF6">
        <w:rPr>
          <w:rFonts w:asciiTheme="minorHAnsi" w:hAnsiTheme="minorHAnsi"/>
        </w:rPr>
        <w:t xml:space="preserve"> </w:t>
      </w:r>
      <w:r>
        <w:rPr>
          <w:rFonts w:asciiTheme="minorHAnsi" w:hAnsiTheme="minorHAnsi"/>
        </w:rPr>
        <w:t>This</w:t>
      </w:r>
      <w:r w:rsidRPr="00747EF6">
        <w:rPr>
          <w:rFonts w:asciiTheme="minorHAnsi" w:hAnsiTheme="minorHAnsi"/>
        </w:rPr>
        <w:t xml:space="preserve"> enables regulations to operate sustainably and without burdensome requirements for NZU market users and regulators.</w:t>
      </w:r>
    </w:p>
    <w:p w14:paraId="50DF8BA7" w14:textId="77777777" w:rsidR="00D10DE4" w:rsidRPr="00747EF6" w:rsidRDefault="00D10DE4" w:rsidP="00BE2C32">
      <w:pPr>
        <w:pStyle w:val="Numberedparagraph"/>
        <w:numPr>
          <w:ilvl w:val="0"/>
          <w:numId w:val="17"/>
        </w:numPr>
        <w:spacing w:after="180"/>
        <w:ind w:right="-284"/>
        <w:rPr>
          <w:rFonts w:asciiTheme="minorHAnsi" w:hAnsiTheme="minorHAnsi"/>
          <w:b/>
        </w:rPr>
      </w:pPr>
      <w:r w:rsidRPr="00747EF6">
        <w:rPr>
          <w:rFonts w:asciiTheme="minorHAnsi" w:hAnsiTheme="minorHAnsi"/>
          <w:b/>
          <w:bCs/>
        </w:rPr>
        <w:t>Consistency and proportionality</w:t>
      </w:r>
      <w:r>
        <w:rPr>
          <w:rFonts w:asciiTheme="minorHAnsi" w:hAnsiTheme="minorHAnsi"/>
          <w:b/>
          <w:bCs/>
        </w:rPr>
        <w:t>.</w:t>
      </w:r>
      <w:r w:rsidRPr="00747EF6">
        <w:rPr>
          <w:rFonts w:asciiTheme="minorHAnsi" w:hAnsiTheme="minorHAnsi"/>
          <w:b/>
          <w:bCs/>
        </w:rPr>
        <w:t xml:space="preserve"> </w:t>
      </w:r>
      <w:r w:rsidRPr="00747EF6">
        <w:rPr>
          <w:rFonts w:asciiTheme="minorHAnsi" w:hAnsiTheme="minorHAnsi"/>
        </w:rPr>
        <w:t>We want to ensure that the NZU market is regulated in a manner consistent with financial markets and international carbon markets. We also want to ensure that the regulation is proportional to the seven identified market governance risks.</w:t>
      </w:r>
    </w:p>
    <w:p w14:paraId="2AFD5D8F" w14:textId="77777777" w:rsidR="00D10DE4" w:rsidRPr="00747EF6" w:rsidRDefault="00D10DE4" w:rsidP="00BE2C32">
      <w:pPr>
        <w:pStyle w:val="Numberedparagraph"/>
        <w:numPr>
          <w:ilvl w:val="0"/>
          <w:numId w:val="17"/>
        </w:numPr>
        <w:spacing w:after="180"/>
        <w:ind w:right="-284"/>
        <w:rPr>
          <w:rFonts w:asciiTheme="minorHAnsi" w:hAnsiTheme="minorHAnsi"/>
        </w:rPr>
      </w:pPr>
      <w:r w:rsidRPr="00747EF6">
        <w:rPr>
          <w:rFonts w:asciiTheme="minorHAnsi" w:hAnsiTheme="minorHAnsi"/>
          <w:b/>
          <w:bCs/>
        </w:rPr>
        <w:t>Clarity and transparency</w:t>
      </w:r>
      <w:r>
        <w:rPr>
          <w:rFonts w:asciiTheme="minorHAnsi" w:hAnsiTheme="minorHAnsi"/>
          <w:b/>
          <w:bCs/>
        </w:rPr>
        <w:t>.</w:t>
      </w:r>
      <w:r>
        <w:rPr>
          <w:rFonts w:asciiTheme="minorHAnsi" w:hAnsiTheme="minorHAnsi"/>
        </w:rPr>
        <w:t xml:space="preserve"> </w:t>
      </w:r>
      <w:r w:rsidRPr="00747EF6">
        <w:rPr>
          <w:rFonts w:asciiTheme="minorHAnsi" w:hAnsiTheme="minorHAnsi"/>
        </w:rPr>
        <w:t>Clarity helps to ensure that stakeholders have access to the information they need to understand their obligations. Transparency helps the status of the market. We note that not all complexity can be eradicated from legislation.</w:t>
      </w:r>
    </w:p>
    <w:p w14:paraId="54FB1343" w14:textId="533517EF" w:rsidR="00D10DE4" w:rsidRPr="00747EF6" w:rsidRDefault="00D10DE4" w:rsidP="00BE2C32">
      <w:pPr>
        <w:pStyle w:val="Numberedparagraph"/>
        <w:numPr>
          <w:ilvl w:val="0"/>
          <w:numId w:val="17"/>
        </w:numPr>
        <w:spacing w:after="0"/>
        <w:ind w:right="-284"/>
        <w:rPr>
          <w:rFonts w:asciiTheme="minorHAnsi" w:hAnsiTheme="minorHAnsi"/>
          <w:bCs/>
        </w:rPr>
      </w:pPr>
      <w:r w:rsidRPr="00747EF6">
        <w:rPr>
          <w:rFonts w:asciiTheme="minorHAnsi" w:hAnsiTheme="minorHAnsi"/>
          <w:b/>
        </w:rPr>
        <w:t>Market efficiency</w:t>
      </w:r>
      <w:r>
        <w:rPr>
          <w:rFonts w:asciiTheme="minorHAnsi" w:hAnsiTheme="minorHAnsi"/>
          <w:b/>
        </w:rPr>
        <w:t>.</w:t>
      </w:r>
      <w:r>
        <w:rPr>
          <w:rFonts w:asciiTheme="minorHAnsi" w:hAnsiTheme="minorHAnsi"/>
          <w:bCs/>
        </w:rPr>
        <w:t xml:space="preserve"> </w:t>
      </w:r>
      <w:r w:rsidRPr="00747EF6">
        <w:rPr>
          <w:rFonts w:asciiTheme="minorHAnsi" w:hAnsiTheme="minorHAnsi"/>
          <w:bCs/>
        </w:rPr>
        <w:t xml:space="preserve">The market operates in a </w:t>
      </w:r>
      <w:r w:rsidR="00950F60">
        <w:rPr>
          <w:rFonts w:asciiTheme="minorHAnsi" w:hAnsiTheme="minorHAnsi"/>
          <w:bCs/>
        </w:rPr>
        <w:t>way that</w:t>
      </w:r>
      <w:r w:rsidR="00A02F4D" w:rsidRPr="00747EF6">
        <w:rPr>
          <w:rFonts w:asciiTheme="minorHAnsi" w:hAnsiTheme="minorHAnsi"/>
          <w:bCs/>
        </w:rPr>
        <w:t xml:space="preserve"> </w:t>
      </w:r>
      <w:r w:rsidRPr="00747EF6">
        <w:rPr>
          <w:rFonts w:asciiTheme="minorHAnsi" w:hAnsiTheme="minorHAnsi"/>
          <w:bCs/>
        </w:rPr>
        <w:t>supports channelling resources to their high</w:t>
      </w:r>
      <w:r>
        <w:rPr>
          <w:rFonts w:asciiTheme="minorHAnsi" w:hAnsiTheme="minorHAnsi"/>
          <w:bCs/>
        </w:rPr>
        <w:t>est</w:t>
      </w:r>
      <w:r w:rsidRPr="00747EF6">
        <w:rPr>
          <w:rFonts w:asciiTheme="minorHAnsi" w:hAnsiTheme="minorHAnsi"/>
        </w:rPr>
        <w:t xml:space="preserve"> </w:t>
      </w:r>
      <w:r w:rsidRPr="00747EF6">
        <w:rPr>
          <w:rFonts w:asciiTheme="minorHAnsi" w:hAnsiTheme="minorHAnsi"/>
          <w:bCs/>
        </w:rPr>
        <w:t>value uses</w:t>
      </w:r>
      <w:r>
        <w:rPr>
          <w:rFonts w:asciiTheme="minorHAnsi" w:hAnsiTheme="minorHAnsi"/>
          <w:bCs/>
        </w:rPr>
        <w:t>.</w:t>
      </w:r>
      <w:r w:rsidRPr="00747EF6">
        <w:rPr>
          <w:rFonts w:asciiTheme="minorHAnsi" w:hAnsiTheme="minorHAnsi"/>
          <w:bCs/>
        </w:rPr>
        <w:t xml:space="preserve"> NZU prices reflect all available information, and the market produces a reliable price signal that informs investment decisions, while minimising the cost impact of the carbon price.</w:t>
      </w:r>
    </w:p>
    <w:p w14:paraId="3F1EC2CA" w14:textId="77777777" w:rsidR="00D10DE4" w:rsidRPr="00747EF6" w:rsidRDefault="00D10DE4" w:rsidP="00D10DE4">
      <w:pPr>
        <w:pStyle w:val="Heading2"/>
      </w:pPr>
      <w:bookmarkStart w:id="58" w:name="_Toc116391409"/>
      <w:bookmarkStart w:id="59" w:name="_Toc118703525"/>
      <w:bookmarkStart w:id="60" w:name="_Toc118953580"/>
      <w:r w:rsidRPr="00747EF6">
        <w:t xml:space="preserve">Your </w:t>
      </w:r>
      <w:r>
        <w:t>v</w:t>
      </w:r>
      <w:r w:rsidRPr="00747EF6">
        <w:t>iews</w:t>
      </w:r>
      <w:bookmarkEnd w:id="58"/>
      <w:bookmarkEnd w:id="59"/>
      <w:bookmarkEnd w:id="60"/>
    </w:p>
    <w:p w14:paraId="1A2383DF" w14:textId="77777777" w:rsidR="00D10DE4" w:rsidRPr="00747EF6" w:rsidRDefault="00D10DE4" w:rsidP="00D10DE4">
      <w:pPr>
        <w:pStyle w:val="BodyText"/>
      </w:pPr>
      <w:r w:rsidRPr="00747EF6">
        <w:t xml:space="preserve">The </w:t>
      </w:r>
      <w:r>
        <w:t>G</w:t>
      </w:r>
      <w:r w:rsidRPr="00747EF6">
        <w:t>overnment seeks feedback on incorporating the NZU market into existing financial frameworks legislation, including:</w:t>
      </w:r>
    </w:p>
    <w:p w14:paraId="5F86B63C" w14:textId="482D76CA" w:rsidR="00D10DE4" w:rsidRPr="00747EF6" w:rsidRDefault="00D10DE4" w:rsidP="00D10DE4">
      <w:pPr>
        <w:pStyle w:val="Bullet"/>
        <w:tabs>
          <w:tab w:val="num" w:pos="397"/>
        </w:tabs>
        <w:spacing w:line="280" w:lineRule="exact"/>
      </w:pPr>
      <w:r w:rsidRPr="00747EF6">
        <w:t xml:space="preserve">treating NZUs as a financial product to bring the NZU market into the financial legislation framework, </w:t>
      </w:r>
      <w:proofErr w:type="gramStart"/>
      <w:r w:rsidRPr="00747EF6">
        <w:t>similar to</w:t>
      </w:r>
      <w:proofErr w:type="gramEnd"/>
      <w:r w:rsidRPr="00747EF6">
        <w:t xml:space="preserve"> that observed in financial markets</w:t>
      </w:r>
    </w:p>
    <w:p w14:paraId="4E0A0CCA" w14:textId="6A842CD8" w:rsidR="00D10DE4" w:rsidRPr="00747EF6" w:rsidRDefault="00D10DE4" w:rsidP="00D10DE4">
      <w:pPr>
        <w:pStyle w:val="Bullet"/>
        <w:tabs>
          <w:tab w:val="num" w:pos="397"/>
        </w:tabs>
        <w:spacing w:line="280" w:lineRule="exact"/>
      </w:pPr>
      <w:r w:rsidRPr="00747EF6">
        <w:t>treating advice relating to NZUs as financial advice</w:t>
      </w:r>
      <w:r w:rsidR="009E27B9">
        <w:t>,</w:t>
      </w:r>
      <w:r w:rsidRPr="00747EF6">
        <w:t xml:space="preserve"> </w:t>
      </w:r>
      <w:proofErr w:type="gramStart"/>
      <w:r w:rsidRPr="00747EF6">
        <w:t>similar to</w:t>
      </w:r>
      <w:proofErr w:type="gramEnd"/>
      <w:r w:rsidRPr="00747EF6">
        <w:t xml:space="preserve"> that observed in financial markets</w:t>
      </w:r>
    </w:p>
    <w:p w14:paraId="729977EC" w14:textId="3B09CF15" w:rsidR="00D10DE4" w:rsidRPr="00747EF6" w:rsidRDefault="00D10DE4" w:rsidP="00D10DE4">
      <w:pPr>
        <w:pStyle w:val="Bullet"/>
        <w:tabs>
          <w:tab w:val="num" w:pos="397"/>
        </w:tabs>
        <w:spacing w:line="280" w:lineRule="exact"/>
      </w:pPr>
      <w:r w:rsidRPr="00747EF6">
        <w:t xml:space="preserve">treating market risks as financial risks, to bring the NZU market into the financial market legislation framework, </w:t>
      </w:r>
      <w:proofErr w:type="gramStart"/>
      <w:r w:rsidRPr="00747EF6">
        <w:t>similar to</w:t>
      </w:r>
      <w:proofErr w:type="gramEnd"/>
      <w:r w:rsidRPr="00747EF6">
        <w:t xml:space="preserve"> how risks of misconduct are treated in financial markets</w:t>
      </w:r>
    </w:p>
    <w:p w14:paraId="049A9113" w14:textId="77777777" w:rsidR="00D10DE4" w:rsidRPr="00747EF6" w:rsidRDefault="00D10DE4" w:rsidP="00D10DE4">
      <w:pPr>
        <w:pStyle w:val="Bullet"/>
        <w:tabs>
          <w:tab w:val="num" w:pos="397"/>
        </w:tabs>
        <w:spacing w:line="280" w:lineRule="exact"/>
      </w:pPr>
      <w:r>
        <w:t>a</w:t>
      </w:r>
      <w:r w:rsidRPr="00747EF6">
        <w:t>ppointing the FMA to oversee and regulate the NZU market.</w:t>
      </w:r>
    </w:p>
    <w:p w14:paraId="38BC2E97" w14:textId="77777777" w:rsidR="00D10DE4" w:rsidRDefault="00D10DE4" w:rsidP="00D10DE4">
      <w:pPr>
        <w:pStyle w:val="BodyText"/>
        <w:rPr>
          <w:rFonts w:eastAsia="Calibri" w:cs="Calibri"/>
        </w:rPr>
        <w:sectPr w:rsidR="00D10DE4" w:rsidSect="008A7498">
          <w:pgSz w:w="11907" w:h="16840" w:code="9"/>
          <w:pgMar w:top="1134" w:right="1701" w:bottom="1134" w:left="1701" w:header="567" w:footer="567" w:gutter="0"/>
          <w:cols w:space="720"/>
          <w:docGrid w:linePitch="299"/>
        </w:sectPr>
      </w:pPr>
      <w:r w:rsidRPr="00747EF6">
        <w:rPr>
          <w:rFonts w:eastAsia="Calibri" w:cs="Calibri"/>
        </w:rPr>
        <w:t xml:space="preserve">This engagement presents options and </w:t>
      </w:r>
      <w:r w:rsidRPr="00747EF6" w:rsidDel="00670762">
        <w:rPr>
          <w:rFonts w:eastAsia="Calibri" w:cs="Calibri"/>
        </w:rPr>
        <w:t>analysis and</w:t>
      </w:r>
      <w:r w:rsidRPr="00747EF6">
        <w:rPr>
          <w:rFonts w:eastAsia="Calibri" w:cs="Calibri"/>
        </w:rPr>
        <w:t xml:space="preserve"> includes questions for you to consider. Your views will help us fill information gaps and measure support for the options.</w:t>
      </w:r>
    </w:p>
    <w:p w14:paraId="26542289" w14:textId="77777777" w:rsidR="00D10DE4" w:rsidRPr="00747EF6" w:rsidRDefault="00D10DE4" w:rsidP="00D10DE4">
      <w:pPr>
        <w:pStyle w:val="Heading1"/>
      </w:pPr>
      <w:bookmarkStart w:id="61" w:name="_Toc116391410"/>
      <w:bookmarkStart w:id="62" w:name="_Toc118703526"/>
      <w:bookmarkStart w:id="63" w:name="_Toc118953581"/>
      <w:r w:rsidRPr="00747EF6">
        <w:lastRenderedPageBreak/>
        <w:t>Topic 1: Regulating the NZU market based on financial legislation</w:t>
      </w:r>
      <w:bookmarkEnd w:id="61"/>
      <w:bookmarkEnd w:id="62"/>
      <w:bookmarkEnd w:id="63"/>
      <w:r w:rsidRPr="00747EF6">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8397"/>
      </w:tblGrid>
      <w:tr w:rsidR="00D10DE4" w:rsidRPr="00BE2A87" w14:paraId="45A4EC70" w14:textId="77777777" w:rsidTr="00675D2C">
        <w:tc>
          <w:tcPr>
            <w:tcW w:w="8613" w:type="dxa"/>
            <w:shd w:val="clear" w:color="auto" w:fill="D2DDE2"/>
          </w:tcPr>
          <w:p w14:paraId="04BDA6C8" w14:textId="006F2C2A" w:rsidR="00D10DE4" w:rsidRPr="00A517B5" w:rsidRDefault="00D10DE4" w:rsidP="00A517B5">
            <w:pPr>
              <w:pStyle w:val="Blueboxtext"/>
              <w:spacing w:after="0"/>
              <w:rPr>
                <w:b/>
                <w:bCs/>
              </w:rPr>
            </w:pPr>
            <w:r w:rsidRPr="00A517B5">
              <w:rPr>
                <w:b/>
                <w:bCs/>
              </w:rPr>
              <w:t>Summary of options</w:t>
            </w:r>
          </w:p>
          <w:p w14:paraId="7AB4054B" w14:textId="77777777" w:rsidR="00D10DE4" w:rsidRPr="00A517B5" w:rsidRDefault="00D10DE4" w:rsidP="00BE2C32">
            <w:pPr>
              <w:pStyle w:val="Blueboxtext"/>
              <w:numPr>
                <w:ilvl w:val="0"/>
                <w:numId w:val="23"/>
              </w:numPr>
              <w:spacing w:after="0"/>
            </w:pPr>
            <w:r w:rsidRPr="00A517B5">
              <w:rPr>
                <w:b/>
                <w:bCs/>
                <w:i/>
                <w:iCs/>
                <w:color w:val="1B556B"/>
              </w:rPr>
              <w:t>Option one: Crimes Act 1961 (status quo).</w:t>
            </w:r>
            <w:r w:rsidRPr="00A517B5">
              <w:t xml:space="preserve"> There are key protections under the Crimes Act and penalties apply for crimes, but the Act has limited insider trading provisions and no laws against market manipulation in the NZU market. </w:t>
            </w:r>
          </w:p>
          <w:p w14:paraId="673C08C0" w14:textId="35AB4D19" w:rsidR="00D10DE4" w:rsidRPr="00A517B5" w:rsidRDefault="00D10DE4" w:rsidP="00BE2C32">
            <w:pPr>
              <w:pStyle w:val="Blueboxtext"/>
              <w:numPr>
                <w:ilvl w:val="0"/>
                <w:numId w:val="23"/>
              </w:numPr>
              <w:spacing w:after="0"/>
            </w:pPr>
            <w:r w:rsidRPr="00A517B5">
              <w:rPr>
                <w:b/>
                <w:bCs/>
                <w:i/>
                <w:iCs/>
              </w:rPr>
              <w:t>Option two: F</w:t>
            </w:r>
            <w:r w:rsidR="00485F9E">
              <w:rPr>
                <w:b/>
                <w:bCs/>
                <w:i/>
                <w:iCs/>
              </w:rPr>
              <w:t xml:space="preserve">inancial </w:t>
            </w:r>
            <w:r w:rsidRPr="00A517B5">
              <w:rPr>
                <w:b/>
                <w:bCs/>
                <w:i/>
                <w:iCs/>
              </w:rPr>
              <w:t>M</w:t>
            </w:r>
            <w:r w:rsidR="00485F9E">
              <w:rPr>
                <w:b/>
                <w:bCs/>
                <w:i/>
                <w:iCs/>
              </w:rPr>
              <w:t xml:space="preserve">arkets </w:t>
            </w:r>
            <w:r w:rsidRPr="00A517B5">
              <w:rPr>
                <w:b/>
                <w:bCs/>
                <w:i/>
                <w:iCs/>
              </w:rPr>
              <w:t>C</w:t>
            </w:r>
            <w:r w:rsidR="00485F9E">
              <w:rPr>
                <w:b/>
                <w:bCs/>
                <w:i/>
                <w:iCs/>
              </w:rPr>
              <w:t>onduct</w:t>
            </w:r>
            <w:r w:rsidRPr="00A517B5">
              <w:rPr>
                <w:b/>
                <w:bCs/>
                <w:i/>
                <w:iCs/>
              </w:rPr>
              <w:t xml:space="preserve"> Act with suitable modifications</w:t>
            </w:r>
            <w:r w:rsidRPr="00A517B5">
              <w:t xml:space="preserve">. This would prohibit insider trading and market manipulation in relation to trading of NZUs. An optional centralised exchange has been agreed to, in principle, and the Government is considering options to procure and fund an NZU exchange. Market operators would be required to hold a licence and comply with obligations. </w:t>
            </w:r>
          </w:p>
          <w:p w14:paraId="0528AD5B" w14:textId="77777777" w:rsidR="00D10DE4" w:rsidRPr="00A517B5" w:rsidRDefault="00D10DE4" w:rsidP="00BE2C32">
            <w:pPr>
              <w:pStyle w:val="Blueboxtext"/>
              <w:numPr>
                <w:ilvl w:val="0"/>
                <w:numId w:val="23"/>
              </w:numPr>
              <w:spacing w:after="0"/>
            </w:pPr>
            <w:r w:rsidRPr="00A517B5">
              <w:rPr>
                <w:b/>
                <w:bCs/>
                <w:i/>
                <w:iCs/>
              </w:rPr>
              <w:t>Option three: Crimes Act and market manipulation prohibitions</w:t>
            </w:r>
            <w:r w:rsidRPr="00A517B5">
              <w:t xml:space="preserve">. This would use key protections in the Crimes Act while prohibiting market manipulation with similar FMC Act provisions. This option would not require a licensed market operator, meaning the operator would not be required to monitor for insider trading or market manipulation. </w:t>
            </w:r>
          </w:p>
          <w:p w14:paraId="048F3C5A" w14:textId="77777777" w:rsidR="00D10DE4" w:rsidRPr="00A517B5" w:rsidRDefault="00D10DE4" w:rsidP="00BE2C32">
            <w:pPr>
              <w:pStyle w:val="Blueboxtext"/>
              <w:numPr>
                <w:ilvl w:val="0"/>
                <w:numId w:val="23"/>
              </w:numPr>
              <w:spacing w:after="0"/>
              <w:rPr>
                <w:b/>
                <w:bCs/>
              </w:rPr>
            </w:pPr>
            <w:r w:rsidRPr="00A517B5">
              <w:rPr>
                <w:b/>
                <w:bCs/>
              </w:rPr>
              <w:t>We recommend progressing with option two: FMC Act with suitable modifications.</w:t>
            </w:r>
          </w:p>
          <w:p w14:paraId="060AF655" w14:textId="77777777" w:rsidR="00D10DE4" w:rsidRPr="00A517B5" w:rsidRDefault="00D10DE4" w:rsidP="00A517B5">
            <w:pPr>
              <w:pStyle w:val="Blueboxtext"/>
              <w:spacing w:before="240" w:after="0"/>
              <w:rPr>
                <w:b/>
                <w:bCs/>
              </w:rPr>
            </w:pPr>
            <w:r w:rsidRPr="00A517B5">
              <w:rPr>
                <w:b/>
                <w:bCs/>
              </w:rPr>
              <w:t>Summary of impact</w:t>
            </w:r>
          </w:p>
          <w:p w14:paraId="6D98BFBE" w14:textId="20AC7D1C" w:rsidR="00D10DE4" w:rsidRPr="00BE2A87" w:rsidRDefault="00D10DE4" w:rsidP="00BE2C32">
            <w:pPr>
              <w:pStyle w:val="Blueboxtext"/>
              <w:numPr>
                <w:ilvl w:val="0"/>
                <w:numId w:val="23"/>
              </w:numPr>
              <w:spacing w:after="0"/>
            </w:pPr>
            <w:r w:rsidRPr="00BE2A87">
              <w:t>Option two has a new regulatory burden for any person providing a facility that meets the definition of financial product market, including ongoing financial and resource impacts of applying for and complying with licence terms and obligations. This may affect existing facilities that allow or facilitate NZUs to be bought or sold if it meets the definition of financial product market.</w:t>
            </w:r>
          </w:p>
          <w:p w14:paraId="1800C3F4" w14:textId="36E410FA" w:rsidR="00D10DE4" w:rsidRPr="00BE2A87" w:rsidRDefault="00D10DE4" w:rsidP="00BE2C32">
            <w:pPr>
              <w:pStyle w:val="Blueboxtext"/>
              <w:numPr>
                <w:ilvl w:val="0"/>
                <w:numId w:val="23"/>
              </w:numPr>
              <w:spacing w:after="0"/>
            </w:pPr>
            <w:r w:rsidRPr="00BE2A87">
              <w:t xml:space="preserve">Option two may have flow-on costs for users </w:t>
            </w:r>
            <w:r w:rsidR="00973077">
              <w:t>trading</w:t>
            </w:r>
            <w:r w:rsidRPr="00BE2A87">
              <w:t xml:space="preserve"> on those facilities, in the form of fees to use the market along with the burden of complying with market rules. </w:t>
            </w:r>
          </w:p>
          <w:p w14:paraId="706A18B7" w14:textId="77777777" w:rsidR="00D10DE4" w:rsidRPr="00BE2A87" w:rsidRDefault="00D10DE4" w:rsidP="00BE2C32">
            <w:pPr>
              <w:pStyle w:val="Blueboxtext"/>
              <w:numPr>
                <w:ilvl w:val="0"/>
                <w:numId w:val="23"/>
              </w:numPr>
              <w:spacing w:after="0"/>
            </w:pPr>
            <w:r w:rsidRPr="00BE2A87">
              <w:t xml:space="preserve">Both options two and three could promote confidence and integrity in NZU trading, as market manipulation and insider trading are prohibited, using similar frameworks as other financial product markets. However, the degree of surveillance and regulation varies between the options. </w:t>
            </w:r>
          </w:p>
          <w:p w14:paraId="314323B6" w14:textId="77777777" w:rsidR="00D10DE4" w:rsidRPr="00BE2A87" w:rsidRDefault="00D10DE4" w:rsidP="00BE2C32">
            <w:pPr>
              <w:pStyle w:val="Blueboxtext"/>
              <w:numPr>
                <w:ilvl w:val="0"/>
                <w:numId w:val="23"/>
              </w:numPr>
              <w:spacing w:after="0"/>
            </w:pPr>
            <w:r w:rsidRPr="00BE2A87">
              <w:t>Option two increases oversight of facilities where NZUs are traded.</w:t>
            </w:r>
          </w:p>
          <w:p w14:paraId="77BDC113" w14:textId="77777777" w:rsidR="00D10DE4" w:rsidRPr="00BE2A87" w:rsidRDefault="00D10DE4" w:rsidP="00BE2C32">
            <w:pPr>
              <w:pStyle w:val="Blueboxtext"/>
              <w:numPr>
                <w:ilvl w:val="0"/>
                <w:numId w:val="23"/>
              </w:numPr>
              <w:rPr>
                <w:color w:val="1B556B"/>
              </w:rPr>
            </w:pPr>
            <w:r w:rsidRPr="00BE2A87">
              <w:t>Option one falls short of preventing insider trading and market manipulation in a growing market.</w:t>
            </w:r>
          </w:p>
        </w:tc>
      </w:tr>
    </w:tbl>
    <w:p w14:paraId="630F6C50" w14:textId="77777777" w:rsidR="00D10DE4" w:rsidRPr="00747EF6" w:rsidRDefault="00D10DE4" w:rsidP="00D10DE4">
      <w:pPr>
        <w:pStyle w:val="Heading2"/>
      </w:pPr>
      <w:bookmarkStart w:id="64" w:name="_Toc116391411"/>
      <w:bookmarkStart w:id="65" w:name="_Toc118703527"/>
      <w:bookmarkStart w:id="66" w:name="_Toc118953582"/>
      <w:r w:rsidRPr="00747EF6">
        <w:t>Objective</w:t>
      </w:r>
      <w:bookmarkEnd w:id="64"/>
      <w:bookmarkEnd w:id="65"/>
      <w:bookmarkEnd w:id="66"/>
    </w:p>
    <w:p w14:paraId="61BB1AEB" w14:textId="666C28E6" w:rsidR="00D10DE4" w:rsidRPr="00747EF6" w:rsidRDefault="00D10DE4" w:rsidP="00D10DE4">
      <w:pPr>
        <w:pStyle w:val="BodyText"/>
      </w:pPr>
      <w:r w:rsidRPr="00747EF6">
        <w:t>We aim to ensure that the NZU market trades with integrity, functions efficiently, promotes confidence and addresses the risks of misconduct.</w:t>
      </w:r>
    </w:p>
    <w:p w14:paraId="62048BC0" w14:textId="77777777" w:rsidR="00D10DE4" w:rsidRPr="00747EF6" w:rsidRDefault="00D10DE4" w:rsidP="00D10DE4">
      <w:pPr>
        <w:pStyle w:val="BodyText"/>
      </w:pPr>
      <w:r w:rsidRPr="00747EF6">
        <w:t>A fair, efficient, transparent NZU market requires all NZU market users to have the same material information relating to NZUs.</w:t>
      </w:r>
      <w:r>
        <w:t xml:space="preserve"> </w:t>
      </w:r>
      <w:r w:rsidRPr="00747EF6">
        <w:t xml:space="preserve">If some people have material information before others and are allowed to take advantage of this through trading, it undermines the fairness of the NZU market. </w:t>
      </w:r>
    </w:p>
    <w:p w14:paraId="6372318B" w14:textId="77777777" w:rsidR="00D10DE4" w:rsidRPr="00747EF6" w:rsidRDefault="00D10DE4" w:rsidP="00D10DE4">
      <w:pPr>
        <w:pStyle w:val="BodyText"/>
      </w:pPr>
      <w:r w:rsidRPr="00747EF6">
        <w:lastRenderedPageBreak/>
        <w:t>Additional objectives of this topic include:</w:t>
      </w:r>
    </w:p>
    <w:p w14:paraId="2EE397CF" w14:textId="77777777" w:rsidR="00D10DE4" w:rsidRPr="00747EF6" w:rsidRDefault="00D10DE4" w:rsidP="00D10DE4">
      <w:pPr>
        <w:pStyle w:val="Bullet"/>
        <w:tabs>
          <w:tab w:val="num" w:pos="397"/>
        </w:tabs>
        <w:spacing w:line="280" w:lineRule="exact"/>
      </w:pPr>
      <w:r w:rsidRPr="00747EF6">
        <w:t>greater activity oversight by a regulator on NZU trading facilities or exchanges</w:t>
      </w:r>
    </w:p>
    <w:p w14:paraId="6C43B2C5" w14:textId="77777777" w:rsidR="00D10DE4" w:rsidRPr="00747EF6" w:rsidRDefault="00D10DE4" w:rsidP="00D10DE4">
      <w:pPr>
        <w:pStyle w:val="Bullet"/>
        <w:tabs>
          <w:tab w:val="num" w:pos="397"/>
        </w:tabs>
        <w:spacing w:line="280" w:lineRule="exact"/>
      </w:pPr>
      <w:r>
        <w:t xml:space="preserve">that </w:t>
      </w:r>
      <w:r w:rsidRPr="00747EF6">
        <w:t>market access</w:t>
      </w:r>
      <w:r>
        <w:t>,</w:t>
      </w:r>
      <w:r w:rsidRPr="00747EF6">
        <w:t xml:space="preserve"> including </w:t>
      </w:r>
      <w:r>
        <w:t xml:space="preserve">the </w:t>
      </w:r>
      <w:r w:rsidRPr="00747EF6">
        <w:t>cost of trading on the NZU market</w:t>
      </w:r>
      <w:r>
        <w:t>,</w:t>
      </w:r>
      <w:r w:rsidRPr="00747EF6">
        <w:t xml:space="preserve"> is proportionate and not a barrier to using those markets</w:t>
      </w:r>
      <w:r>
        <w:t xml:space="preserve">, </w:t>
      </w:r>
      <w:r w:rsidRPr="00747EF6">
        <w:t xml:space="preserve">and </w:t>
      </w:r>
      <w:r>
        <w:t xml:space="preserve">that </w:t>
      </w:r>
      <w:r w:rsidRPr="00747EF6">
        <w:t>those markets operate efficiently</w:t>
      </w:r>
    </w:p>
    <w:p w14:paraId="7C2E0FD9" w14:textId="5E69F6D7" w:rsidR="00D10DE4" w:rsidRPr="00747EF6" w:rsidRDefault="00D10DE4" w:rsidP="00D10DE4">
      <w:pPr>
        <w:pStyle w:val="Bullet"/>
        <w:tabs>
          <w:tab w:val="num" w:pos="397"/>
        </w:tabs>
        <w:spacing w:line="280" w:lineRule="exact"/>
      </w:pPr>
      <w:r w:rsidRPr="00747EF6">
        <w:t xml:space="preserve">that proposed rules do not unnecessarily limit trading </w:t>
      </w:r>
      <w:r>
        <w:t>–</w:t>
      </w:r>
      <w:r w:rsidRPr="00747EF6">
        <w:t xml:space="preserve"> recognising that some people are </w:t>
      </w:r>
      <w:r w:rsidRPr="00747EF6">
        <w:rPr>
          <w:i/>
          <w:iCs/>
        </w:rPr>
        <w:t>required</w:t>
      </w:r>
      <w:r w:rsidRPr="00747EF6">
        <w:t xml:space="preserve"> to trade NZUs to meet surrender obligations. </w:t>
      </w:r>
    </w:p>
    <w:p w14:paraId="0E22E169" w14:textId="77777777" w:rsidR="00D10DE4" w:rsidRPr="00747EF6" w:rsidRDefault="00D10DE4" w:rsidP="00D10DE4">
      <w:pPr>
        <w:pStyle w:val="Heading2"/>
      </w:pPr>
      <w:bookmarkStart w:id="67" w:name="_Toc116391413"/>
      <w:bookmarkStart w:id="68" w:name="_Toc118703528"/>
      <w:bookmarkStart w:id="69" w:name="_Toc118953583"/>
      <w:r w:rsidRPr="00747EF6">
        <w:t xml:space="preserve">What we </w:t>
      </w:r>
      <w:r>
        <w:t xml:space="preserve">have </w:t>
      </w:r>
      <w:r w:rsidRPr="00747EF6">
        <w:t>heard so far</w:t>
      </w:r>
      <w:bookmarkEnd w:id="67"/>
      <w:bookmarkEnd w:id="68"/>
      <w:bookmarkEnd w:id="69"/>
    </w:p>
    <w:p w14:paraId="6B2E2A12" w14:textId="77777777" w:rsidR="00D10DE4" w:rsidRPr="00747EF6" w:rsidRDefault="00D10DE4" w:rsidP="00D10DE4">
      <w:pPr>
        <w:pStyle w:val="BodyText"/>
      </w:pPr>
      <w:r w:rsidRPr="00747EF6">
        <w:t xml:space="preserve">Stakeholders recommended that the </w:t>
      </w:r>
      <w:r>
        <w:t>G</w:t>
      </w:r>
      <w:r w:rsidRPr="00747EF6">
        <w:t>overnment should consider treating NZUs as a ‘financial product’</w:t>
      </w:r>
      <w:r>
        <w:t>,</w:t>
      </w:r>
      <w:r w:rsidRPr="00747EF6">
        <w:t xml:space="preserve"> because the FMC Act is well placed to protect users from the market risks.</w:t>
      </w:r>
      <w:r>
        <w:t xml:space="preserve"> </w:t>
      </w:r>
    </w:p>
    <w:p w14:paraId="6510E5D4" w14:textId="77777777" w:rsidR="00D10DE4" w:rsidRPr="00747EF6" w:rsidRDefault="00D10DE4" w:rsidP="00D10DE4">
      <w:pPr>
        <w:pStyle w:val="BodyText"/>
      </w:pPr>
      <w:r w:rsidRPr="00747EF6">
        <w:t>Stakeholders supported appointing an appropriately skilled regulator to improve the NZU market. Submitters stated a market regulator would improve the integrity of the NZU market and promote confidence that NZU market users are behaving ethically.</w:t>
      </w:r>
    </w:p>
    <w:p w14:paraId="544DE86E" w14:textId="77777777" w:rsidR="00D10DE4" w:rsidRPr="00747EF6" w:rsidRDefault="00D10DE4" w:rsidP="00D10DE4">
      <w:pPr>
        <w:pStyle w:val="Heading2"/>
      </w:pPr>
      <w:bookmarkStart w:id="70" w:name="_Toc118703529"/>
      <w:bookmarkStart w:id="71" w:name="_Toc118953584"/>
      <w:r w:rsidRPr="00747EF6">
        <w:t>Options considered</w:t>
      </w:r>
      <w:bookmarkEnd w:id="70"/>
      <w:bookmarkEnd w:id="71"/>
    </w:p>
    <w:p w14:paraId="4BDAABD0" w14:textId="77777777" w:rsidR="00D10DE4" w:rsidRPr="00747EF6" w:rsidRDefault="00D10DE4" w:rsidP="00D10DE4">
      <w:pPr>
        <w:pStyle w:val="Heading3"/>
      </w:pPr>
      <w:r w:rsidRPr="00747EF6">
        <w:t>Option one: Crimes Act 1961 (</w:t>
      </w:r>
      <w:r>
        <w:t>s</w:t>
      </w:r>
      <w:r w:rsidRPr="00747EF6">
        <w:t>tatus quo)</w:t>
      </w:r>
    </w:p>
    <w:p w14:paraId="1EFE1AF7" w14:textId="77777777" w:rsidR="00D10DE4" w:rsidRPr="00747EF6" w:rsidRDefault="00D10DE4" w:rsidP="00D10DE4">
      <w:pPr>
        <w:pStyle w:val="BodyText"/>
      </w:pPr>
      <w:r w:rsidRPr="00747EF6">
        <w:t>This option would maintain current provisions and laws. Under the status quo, there are limited insider trading provisions and no specific laws against market manipulation in NZU markets.</w:t>
      </w:r>
    </w:p>
    <w:p w14:paraId="155D2563" w14:textId="77777777" w:rsidR="00D10DE4" w:rsidRPr="00747EF6" w:rsidRDefault="00D10DE4" w:rsidP="00D10DE4">
      <w:pPr>
        <w:pStyle w:val="BodyText"/>
      </w:pPr>
      <w:r w:rsidRPr="00747EF6">
        <w:t xml:space="preserve">The </w:t>
      </w:r>
      <w:r>
        <w:t xml:space="preserve">current </w:t>
      </w:r>
      <w:r w:rsidRPr="00747EF6">
        <w:t>key protections are</w:t>
      </w:r>
      <w:r>
        <w:t xml:space="preserve"> outlined below.</w:t>
      </w:r>
    </w:p>
    <w:p w14:paraId="31700E86" w14:textId="77777777" w:rsidR="00D10DE4" w:rsidRPr="00747EF6" w:rsidRDefault="00D10DE4" w:rsidP="00D10DE4">
      <w:pPr>
        <w:pStyle w:val="BodyText"/>
      </w:pPr>
      <w:r w:rsidRPr="003509B6">
        <w:t>Officials</w:t>
      </w:r>
      <w:r w:rsidRPr="00747EF6">
        <w:t>:</w:t>
      </w:r>
    </w:p>
    <w:p w14:paraId="32E9F010" w14:textId="222F768A" w:rsidR="00D10DE4" w:rsidRPr="00747EF6" w:rsidRDefault="00D10DE4" w:rsidP="00D10DE4">
      <w:pPr>
        <w:pStyle w:val="Bullet"/>
        <w:tabs>
          <w:tab w:val="num" w:pos="397"/>
        </w:tabs>
        <w:spacing w:line="280" w:lineRule="exact"/>
      </w:pPr>
      <w:r w:rsidRPr="00747EF6">
        <w:t>are bound by employment contract</w:t>
      </w:r>
      <w:r>
        <w:t>s</w:t>
      </w:r>
      <w:r w:rsidRPr="00747EF6">
        <w:t>, employer</w:t>
      </w:r>
      <w:r>
        <w:t>s’</w:t>
      </w:r>
      <w:r w:rsidRPr="00747EF6">
        <w:t xml:space="preserve"> policies and the </w:t>
      </w:r>
      <w:hyperlink r:id="rId27" w:history="1">
        <w:r w:rsidRPr="00320D05">
          <w:rPr>
            <w:rStyle w:val="Hyperlink"/>
          </w:rPr>
          <w:t>Public Service Commission Standards of Integrity and Conduct</w:t>
        </w:r>
      </w:hyperlink>
      <w:r>
        <w:t>,</w:t>
      </w:r>
      <w:r w:rsidRPr="00747EF6">
        <w:t xml:space="preserve"> which are all governed by the </w:t>
      </w:r>
      <w:hyperlink r:id="rId28" w:history="1">
        <w:r w:rsidRPr="00C03928">
          <w:rPr>
            <w:rStyle w:val="Hyperlink"/>
          </w:rPr>
          <w:t>Employment Relations Act 2000</w:t>
        </w:r>
      </w:hyperlink>
    </w:p>
    <w:p w14:paraId="53AB774B" w14:textId="77777777" w:rsidR="00D10DE4" w:rsidRPr="00747EF6" w:rsidRDefault="00D10DE4" w:rsidP="00D10DE4">
      <w:pPr>
        <w:pStyle w:val="Bullet"/>
        <w:tabs>
          <w:tab w:val="num" w:pos="397"/>
        </w:tabs>
        <w:spacing w:line="280" w:lineRule="exact"/>
      </w:pPr>
      <w:r w:rsidRPr="00747EF6">
        <w:t xml:space="preserve">commit an offence if they corruptly use or disclose any information, acquired in their official capacity, to obtain an advantage or pecuniary gain for themselves or any other person under </w:t>
      </w:r>
      <w:hyperlink r:id="rId29" w:history="1">
        <w:r w:rsidRPr="00D230DB">
          <w:rPr>
            <w:rStyle w:val="Hyperlink"/>
          </w:rPr>
          <w:t>section 105A</w:t>
        </w:r>
      </w:hyperlink>
      <w:r w:rsidRPr="00747EF6">
        <w:t xml:space="preserve"> of the Crimes Act. This is subject to a maximum term of </w:t>
      </w:r>
      <w:r>
        <w:t>seven</w:t>
      </w:r>
      <w:r w:rsidRPr="00747EF6">
        <w:t xml:space="preserve"> years</w:t>
      </w:r>
      <w:r>
        <w:t>’</w:t>
      </w:r>
      <w:r w:rsidRPr="00747EF6">
        <w:t xml:space="preserve"> imprisonment but no civil penalties.</w:t>
      </w:r>
    </w:p>
    <w:p w14:paraId="740C5E25" w14:textId="77777777" w:rsidR="00D10DE4" w:rsidRPr="00747EF6" w:rsidRDefault="00D10DE4" w:rsidP="00D10DE4">
      <w:pPr>
        <w:pStyle w:val="BodyText"/>
      </w:pPr>
      <w:r w:rsidRPr="00747EF6">
        <w:t>All other persons</w:t>
      </w:r>
      <w:r>
        <w:t>,</w:t>
      </w:r>
      <w:r w:rsidRPr="00747EF6">
        <w:t xml:space="preserve"> otherwise:</w:t>
      </w:r>
    </w:p>
    <w:p w14:paraId="1984B2D8" w14:textId="77777777" w:rsidR="00D10DE4" w:rsidRPr="00747EF6" w:rsidRDefault="00D10DE4" w:rsidP="00D10DE4">
      <w:pPr>
        <w:pStyle w:val="Bullet"/>
        <w:tabs>
          <w:tab w:val="num" w:pos="397"/>
        </w:tabs>
        <w:spacing w:line="280" w:lineRule="exact"/>
      </w:pPr>
      <w:r>
        <w:t xml:space="preserve">are </w:t>
      </w:r>
      <w:r w:rsidRPr="00747EF6">
        <w:t xml:space="preserve">bound by the terms of service of </w:t>
      </w:r>
      <w:proofErr w:type="gramStart"/>
      <w:r w:rsidRPr="00747EF6">
        <w:t>particular trading</w:t>
      </w:r>
      <w:proofErr w:type="gramEnd"/>
      <w:r w:rsidRPr="00747EF6">
        <w:t xml:space="preserve"> platforms (</w:t>
      </w:r>
      <w:proofErr w:type="spellStart"/>
      <w:r w:rsidRPr="00747EF6">
        <w:t>eg</w:t>
      </w:r>
      <w:proofErr w:type="spellEnd"/>
      <w:r>
        <w:t>,</w:t>
      </w:r>
      <w:r w:rsidRPr="00747EF6">
        <w:t xml:space="preserve"> terms of use) which can include contractual provisions about conduct expectations (limited to that platform)</w:t>
      </w:r>
    </w:p>
    <w:p w14:paraId="12CDD69F" w14:textId="77777777" w:rsidR="00D10DE4" w:rsidRPr="00747EF6" w:rsidRDefault="00D10DE4" w:rsidP="00D10DE4">
      <w:pPr>
        <w:pStyle w:val="Bullet"/>
        <w:tabs>
          <w:tab w:val="num" w:pos="397"/>
        </w:tabs>
        <w:spacing w:line="280" w:lineRule="exact"/>
      </w:pPr>
      <w:r w:rsidRPr="00747EF6">
        <w:t xml:space="preserve">commit an offence under </w:t>
      </w:r>
      <w:hyperlink r:id="rId30" w:history="1">
        <w:r w:rsidRPr="00142586">
          <w:rPr>
            <w:rStyle w:val="Hyperlink"/>
          </w:rPr>
          <w:t>section 105B</w:t>
        </w:r>
      </w:hyperlink>
      <w:r w:rsidRPr="00747EF6">
        <w:t xml:space="preserve"> of the Crimes Act if they use or disclose personal information (</w:t>
      </w:r>
      <w:proofErr w:type="spellStart"/>
      <w:r w:rsidRPr="00747EF6">
        <w:t>ie</w:t>
      </w:r>
      <w:proofErr w:type="spellEnd"/>
      <w:r>
        <w:t>,</w:t>
      </w:r>
      <w:r w:rsidRPr="00747EF6">
        <w:t xml:space="preserve"> about a natural person only) that comes into their possession as a result of an offence </w:t>
      </w:r>
      <w:r>
        <w:t>under section</w:t>
      </w:r>
      <w:r w:rsidRPr="00747EF6">
        <w:t xml:space="preserve"> 105A, knowing that the information is in contravention of that provision, and use/disclose the information to obtain an advantage or pecuniary gain. This is subject to a maximum term of </w:t>
      </w:r>
      <w:r>
        <w:t xml:space="preserve">seven </w:t>
      </w:r>
      <w:r w:rsidRPr="00747EF6">
        <w:t>years</w:t>
      </w:r>
      <w:r>
        <w:t>’</w:t>
      </w:r>
      <w:r w:rsidRPr="00747EF6">
        <w:t xml:space="preserve"> imprisonment but no civil penalties</w:t>
      </w:r>
    </w:p>
    <w:p w14:paraId="7DAF568B" w14:textId="77777777" w:rsidR="00D10DE4" w:rsidRPr="00747EF6" w:rsidRDefault="00D10DE4" w:rsidP="00D10DE4">
      <w:pPr>
        <w:pStyle w:val="Bullet"/>
        <w:tabs>
          <w:tab w:val="num" w:pos="397"/>
        </w:tabs>
        <w:spacing w:line="280" w:lineRule="exact"/>
      </w:pPr>
      <w:r w:rsidRPr="00747EF6">
        <w:t>are not subject to any statutory restrictions on the use of non-public material information about</w:t>
      </w:r>
      <w:r>
        <w:t> </w:t>
      </w:r>
      <w:r w:rsidRPr="00747EF6">
        <w:t>NZUs.</w:t>
      </w:r>
    </w:p>
    <w:p w14:paraId="4A9808F5" w14:textId="77777777" w:rsidR="00D10DE4" w:rsidRPr="00747EF6" w:rsidRDefault="00D10DE4" w:rsidP="00D10DE4">
      <w:pPr>
        <w:spacing w:before="0" w:after="160" w:line="259" w:lineRule="auto"/>
        <w:jc w:val="left"/>
      </w:pPr>
      <w:r w:rsidRPr="00747EF6">
        <w:br w:type="page"/>
      </w:r>
    </w:p>
    <w:p w14:paraId="459C7F96" w14:textId="77777777" w:rsidR="00D10DE4" w:rsidRPr="00747EF6" w:rsidRDefault="00D10DE4" w:rsidP="00D10DE4">
      <w:pPr>
        <w:pStyle w:val="BodyText"/>
      </w:pPr>
      <w:r w:rsidRPr="00747EF6">
        <w:lastRenderedPageBreak/>
        <w:t>Under this option:</w:t>
      </w:r>
    </w:p>
    <w:p w14:paraId="1FD77C81" w14:textId="77777777" w:rsidR="00D10DE4" w:rsidRPr="00747EF6" w:rsidRDefault="00D10DE4" w:rsidP="00D10DE4">
      <w:pPr>
        <w:pStyle w:val="Bullet"/>
        <w:tabs>
          <w:tab w:val="num" w:pos="397"/>
        </w:tabs>
        <w:spacing w:line="280" w:lineRule="exact"/>
      </w:pPr>
      <w:r w:rsidRPr="00747EF6">
        <w:t>insider trading and market manipulation would continue to be addressed under the existing law</w:t>
      </w:r>
    </w:p>
    <w:p w14:paraId="28D020A1" w14:textId="4A2C44E9" w:rsidR="00D10DE4" w:rsidRPr="00747EF6" w:rsidRDefault="00D10DE4" w:rsidP="00D10DE4">
      <w:pPr>
        <w:pStyle w:val="Bullet"/>
        <w:tabs>
          <w:tab w:val="num" w:pos="397"/>
        </w:tabs>
        <w:spacing w:line="280" w:lineRule="exact"/>
      </w:pPr>
      <w:r w:rsidRPr="00747EF6">
        <w:t>there is no proposal to license market operators</w:t>
      </w:r>
      <w:r>
        <w:t>,</w:t>
      </w:r>
      <w:r w:rsidRPr="00747EF6">
        <w:t xml:space="preserve"> and persons that facilitate (directly or indirectly) acquisitions and disposals of NZUs are not required to monitor for suspected insider trading or market manipulation</w:t>
      </w:r>
    </w:p>
    <w:p w14:paraId="53808A11" w14:textId="77777777" w:rsidR="00D10DE4" w:rsidRPr="00747EF6" w:rsidRDefault="00D10DE4" w:rsidP="00D10DE4">
      <w:pPr>
        <w:pStyle w:val="Bullet"/>
        <w:tabs>
          <w:tab w:val="num" w:pos="397"/>
        </w:tabs>
        <w:spacing w:line="280" w:lineRule="exact"/>
      </w:pPr>
      <w:r>
        <w:t>a</w:t>
      </w:r>
      <w:r w:rsidRPr="00747EF6">
        <w:t xml:space="preserve">ny misconduct complaints relating to the corrupt use of official information remain a matter for the </w:t>
      </w:r>
      <w:r>
        <w:t>p</w:t>
      </w:r>
      <w:r w:rsidRPr="00747EF6">
        <w:t>olice.</w:t>
      </w:r>
      <w:r>
        <w:t xml:space="preserve"> </w:t>
      </w:r>
      <w:r w:rsidRPr="00747EF6">
        <w:t>Any complaints about conduct on market platforms remain the responsibility of the market operator as a matter of contract.</w:t>
      </w:r>
    </w:p>
    <w:p w14:paraId="053D9641" w14:textId="77777777" w:rsidR="00D10DE4" w:rsidRPr="00747EF6" w:rsidRDefault="00D10DE4" w:rsidP="00D10DE4">
      <w:pPr>
        <w:pStyle w:val="Heading3"/>
      </w:pPr>
      <w:r w:rsidRPr="00747EF6">
        <w:t>Option two: FMC Act with suitable modifications</w:t>
      </w:r>
    </w:p>
    <w:p w14:paraId="26B9FA8E" w14:textId="5A7B8242" w:rsidR="00D10DE4" w:rsidRPr="00747EF6" w:rsidRDefault="00D10DE4" w:rsidP="00D10DE4">
      <w:pPr>
        <w:pStyle w:val="BodyText"/>
      </w:pPr>
      <w:r w:rsidRPr="00747EF6">
        <w:t>Option two proposes regulating the NZU market based on how financial markets prohibit insider trading</w:t>
      </w:r>
      <w:r w:rsidR="0011443E">
        <w:t xml:space="preserve"> and</w:t>
      </w:r>
      <w:r w:rsidRPr="00747EF6">
        <w:t xml:space="preserve"> market </w:t>
      </w:r>
      <w:proofErr w:type="gramStart"/>
      <w:r w:rsidRPr="00747EF6">
        <w:t>manipulation, and</w:t>
      </w:r>
      <w:proofErr w:type="gramEnd"/>
      <w:r w:rsidRPr="00747EF6">
        <w:t xml:space="preserve"> require </w:t>
      </w:r>
      <w:r w:rsidRPr="00747EF6" w:rsidDel="00A7002C">
        <w:t xml:space="preserve">persons </w:t>
      </w:r>
      <w:r>
        <w:t>who</w:t>
      </w:r>
      <w:r w:rsidRPr="00747EF6">
        <w:t xml:space="preserve"> operate an NZU exchange to hold a licence to operate. We discuss modifications </w:t>
      </w:r>
      <w:r w:rsidR="003C6AC3">
        <w:t>that</w:t>
      </w:r>
      <w:r w:rsidR="003C6AC3" w:rsidRPr="00747EF6">
        <w:t xml:space="preserve"> </w:t>
      </w:r>
      <w:r w:rsidRPr="00747EF6">
        <w:t xml:space="preserve">could account for the differences between NZU markets and financial markets. </w:t>
      </w:r>
    </w:p>
    <w:p w14:paraId="47CDE33E" w14:textId="4F410D2B" w:rsidR="00D10DE4" w:rsidRPr="00747EF6" w:rsidRDefault="00D10DE4" w:rsidP="00D10DE4">
      <w:pPr>
        <w:pStyle w:val="BodyText"/>
      </w:pPr>
      <w:r w:rsidRPr="00747EF6">
        <w:t xml:space="preserve">The duties and proposed requirements are further discussed in the </w:t>
      </w:r>
      <w:r>
        <w:t>‘</w:t>
      </w:r>
      <w:r>
        <w:fldChar w:fldCharType="begin"/>
      </w:r>
      <w:r>
        <w:instrText xml:space="preserve"> REF _Ref118438036 \h </w:instrText>
      </w:r>
      <w:r>
        <w:fldChar w:fldCharType="separate"/>
      </w:r>
      <w:r w:rsidR="00C67DAB" w:rsidRPr="00747EF6">
        <w:t xml:space="preserve">What this </w:t>
      </w:r>
      <w:r w:rsidR="00C67DAB">
        <w:t xml:space="preserve">proposal </w:t>
      </w:r>
      <w:r w:rsidR="00C67DAB" w:rsidRPr="00747EF6">
        <w:t>means in practice</w:t>
      </w:r>
      <w:r>
        <w:fldChar w:fldCharType="end"/>
      </w:r>
      <w:r>
        <w:t>’</w:t>
      </w:r>
      <w:r w:rsidRPr="00747EF6">
        <w:t xml:space="preserve"> section below. At a high level, the obligations would </w:t>
      </w:r>
      <w:r>
        <w:t>apply</w:t>
      </w:r>
      <w:r w:rsidRPr="00747EF6">
        <w:t xml:space="preserve"> </w:t>
      </w:r>
      <w:r>
        <w:t>in the following ways</w:t>
      </w:r>
      <w:r w:rsidR="00144B9E">
        <w:t>:</w:t>
      </w:r>
    </w:p>
    <w:p w14:paraId="40938A34" w14:textId="472344A3" w:rsidR="00D10DE4" w:rsidRPr="00747EF6" w:rsidRDefault="00D10DE4" w:rsidP="00D10DE4">
      <w:pPr>
        <w:pStyle w:val="Bullet"/>
        <w:tabs>
          <w:tab w:val="num" w:pos="397"/>
        </w:tabs>
        <w:spacing w:line="280" w:lineRule="exact"/>
      </w:pPr>
      <w:r w:rsidRPr="00747EF6">
        <w:rPr>
          <w:b/>
        </w:rPr>
        <w:t>Insider trading:</w:t>
      </w:r>
      <w:r w:rsidRPr="00747EF6">
        <w:t xml:space="preserve"> </w:t>
      </w:r>
      <w:r>
        <w:t>A</w:t>
      </w:r>
      <w:r w:rsidRPr="00747EF6">
        <w:t xml:space="preserve"> person could not trade NZUs if they have material non-public information about government policy</w:t>
      </w:r>
      <w:r>
        <w:t>.</w:t>
      </w:r>
    </w:p>
    <w:p w14:paraId="7729CE12" w14:textId="77777777" w:rsidR="00D10DE4" w:rsidRPr="00747EF6" w:rsidRDefault="00D10DE4" w:rsidP="00D10DE4">
      <w:pPr>
        <w:pStyle w:val="Sub-list"/>
        <w:tabs>
          <w:tab w:val="num" w:pos="397"/>
        </w:tabs>
      </w:pPr>
      <w:r w:rsidRPr="00747EF6">
        <w:t xml:space="preserve">The FMC Act insider trading provision prohibits a person from buying or selling financial products that are </w:t>
      </w:r>
      <w:r>
        <w:t>‘</w:t>
      </w:r>
      <w:r w:rsidRPr="00747EF6">
        <w:t>quoted</w:t>
      </w:r>
      <w:r>
        <w:t>’</w:t>
      </w:r>
      <w:r w:rsidRPr="00747EF6">
        <w:t xml:space="preserve"> (</w:t>
      </w:r>
      <w:proofErr w:type="spellStart"/>
      <w:r w:rsidRPr="00747EF6">
        <w:t>ie</w:t>
      </w:r>
      <w:proofErr w:type="spellEnd"/>
      <w:r>
        <w:t>,</w:t>
      </w:r>
      <w:r w:rsidRPr="00747EF6">
        <w:t xml:space="preserve"> listed for trading) on a licensed market if they hold material non-public information. </w:t>
      </w:r>
    </w:p>
    <w:p w14:paraId="19D378EF" w14:textId="77777777" w:rsidR="00D10DE4" w:rsidRPr="00747EF6" w:rsidRDefault="00D10DE4" w:rsidP="00D10DE4">
      <w:pPr>
        <w:pStyle w:val="Sub-list"/>
        <w:tabs>
          <w:tab w:val="num" w:pos="397"/>
        </w:tabs>
      </w:pPr>
      <w:r w:rsidRPr="00747EF6">
        <w:t>We propose a much narrower and</w:t>
      </w:r>
      <w:r>
        <w:t xml:space="preserve"> more</w:t>
      </w:r>
      <w:r w:rsidRPr="00747EF6">
        <w:t xml:space="preserve"> tailored definition of material information to non-public information on government policy</w:t>
      </w:r>
      <w:r>
        <w:t>.</w:t>
      </w:r>
    </w:p>
    <w:p w14:paraId="60D32DFB" w14:textId="77777777" w:rsidR="00D10DE4" w:rsidRPr="00747EF6" w:rsidRDefault="00D10DE4" w:rsidP="00D10DE4">
      <w:pPr>
        <w:pStyle w:val="Bullet"/>
        <w:tabs>
          <w:tab w:val="num" w:pos="397"/>
        </w:tabs>
        <w:spacing w:line="280" w:lineRule="exact"/>
      </w:pPr>
      <w:r w:rsidRPr="00747EF6">
        <w:rPr>
          <w:b/>
          <w:bCs/>
        </w:rPr>
        <w:t>Market manipulation:</w:t>
      </w:r>
      <w:r w:rsidRPr="00747EF6">
        <w:t xml:space="preserve"> To promote integrity in NZU markets, we propose that market manipulation prohibitions and offences </w:t>
      </w:r>
      <w:proofErr w:type="gramStart"/>
      <w:r w:rsidRPr="00747EF6">
        <w:t xml:space="preserve">similar </w:t>
      </w:r>
      <w:r>
        <w:t>to</w:t>
      </w:r>
      <w:proofErr w:type="gramEnd"/>
      <w:r>
        <w:t xml:space="preserve"> those </w:t>
      </w:r>
      <w:r w:rsidRPr="00747EF6">
        <w:t>in the FMC Act could apply to NZUs</w:t>
      </w:r>
      <w:r>
        <w:t>.</w:t>
      </w:r>
    </w:p>
    <w:p w14:paraId="2097E920" w14:textId="71EAA248" w:rsidR="00D10DE4" w:rsidRPr="00747EF6" w:rsidRDefault="00D10DE4" w:rsidP="00D10DE4">
      <w:pPr>
        <w:pStyle w:val="Bullet"/>
        <w:tabs>
          <w:tab w:val="num" w:pos="397"/>
        </w:tabs>
        <w:spacing w:line="280" w:lineRule="exact"/>
      </w:pPr>
      <w:r w:rsidRPr="00747EF6">
        <w:rPr>
          <w:b/>
          <w:bCs/>
        </w:rPr>
        <w:t>An optional centralised exchange</w:t>
      </w:r>
      <w:r w:rsidRPr="002C65A1">
        <w:rPr>
          <w:b/>
          <w:bCs/>
        </w:rPr>
        <w:t>:</w:t>
      </w:r>
      <w:r w:rsidRPr="00747EF6">
        <w:t xml:space="preserve"> This would increase market visibility and assist in the regulation of insider trading and market manipulation</w:t>
      </w:r>
      <w:r>
        <w:t>.</w:t>
      </w:r>
    </w:p>
    <w:p w14:paraId="7ED73C86" w14:textId="77777777" w:rsidR="00D10DE4" w:rsidRPr="00747EF6" w:rsidRDefault="00D10DE4" w:rsidP="00D10DE4">
      <w:pPr>
        <w:pStyle w:val="Sub-list"/>
        <w:tabs>
          <w:tab w:val="num" w:pos="397"/>
        </w:tabs>
      </w:pPr>
      <w:r>
        <w:t>I</w:t>
      </w:r>
      <w:r w:rsidRPr="00747EF6">
        <w:t>n the event misconduct is detected, it will be forwarded to the FMA</w:t>
      </w:r>
      <w:r>
        <w:t>.</w:t>
      </w:r>
      <w:r w:rsidRPr="00747EF6">
        <w:t xml:space="preserve"> </w:t>
      </w:r>
    </w:p>
    <w:p w14:paraId="2239E0F6" w14:textId="0DA319BE" w:rsidR="00D10DE4" w:rsidRPr="002C65A1" w:rsidRDefault="00D10DE4" w:rsidP="00D10DE4">
      <w:pPr>
        <w:pStyle w:val="Bullet"/>
        <w:tabs>
          <w:tab w:val="num" w:pos="397"/>
        </w:tabs>
        <w:spacing w:line="280" w:lineRule="exact"/>
        <w:rPr>
          <w:b/>
          <w:bCs/>
        </w:rPr>
      </w:pPr>
      <w:r w:rsidRPr="002C65A1">
        <w:rPr>
          <w:b/>
          <w:bCs/>
        </w:rPr>
        <w:t>Regulatory responsibility for investigation and enforcement proposed to sit with the FMA</w:t>
      </w:r>
      <w:r w:rsidR="005879AD">
        <w:rPr>
          <w:b/>
          <w:bCs/>
        </w:rPr>
        <w:t>:</w:t>
      </w:r>
      <w:r w:rsidRPr="002C65A1">
        <w:rPr>
          <w:b/>
          <w:bCs/>
        </w:rPr>
        <w:t xml:space="preserve"> </w:t>
      </w:r>
    </w:p>
    <w:p w14:paraId="2177EFA5" w14:textId="5D45A478" w:rsidR="00D10DE4" w:rsidRPr="00747EF6" w:rsidRDefault="00D10DE4" w:rsidP="00D10DE4">
      <w:pPr>
        <w:pStyle w:val="Sub-list"/>
        <w:tabs>
          <w:tab w:val="num" w:pos="397"/>
        </w:tabs>
      </w:pPr>
      <w:r>
        <w:t>In t</w:t>
      </w:r>
      <w:r w:rsidRPr="00747EF6">
        <w:t>he NZU secondary market there is a frontline monitor for insider trading and market manipulation</w:t>
      </w:r>
      <w:r w:rsidR="00331C77">
        <w:t>. T</w:t>
      </w:r>
      <w:r w:rsidRPr="00747EF6">
        <w:t>rades that could occur on the proposed optional centralised exchange would be forwarded to the FMA for investigation and enforcement.</w:t>
      </w:r>
    </w:p>
    <w:p w14:paraId="11316237" w14:textId="77777777" w:rsidR="00D10DE4" w:rsidRPr="00747EF6" w:rsidRDefault="00D10DE4" w:rsidP="00D10DE4">
      <w:pPr>
        <w:pStyle w:val="Heading3"/>
      </w:pPr>
      <w:r w:rsidRPr="00747EF6">
        <w:t>Option three: Crimes Act 1961 and market manipulation prohibitions</w:t>
      </w:r>
    </w:p>
    <w:p w14:paraId="2E918038" w14:textId="77777777" w:rsidR="00D10DE4" w:rsidRPr="00747EF6" w:rsidRDefault="00D10DE4" w:rsidP="00D10DE4">
      <w:pPr>
        <w:pStyle w:val="BodyText"/>
      </w:pPr>
      <w:r w:rsidRPr="00747EF6">
        <w:t xml:space="preserve">Option three aligns with the objective for </w:t>
      </w:r>
      <w:r>
        <w:t>t</w:t>
      </w:r>
      <w:r w:rsidRPr="00747EF6">
        <w:t>opic 1</w:t>
      </w:r>
      <w:r>
        <w:t>,</w:t>
      </w:r>
      <w:r>
        <w:rPr>
          <w:rStyle w:val="FootnoteReference"/>
        </w:rPr>
        <w:footnoteReference w:id="20"/>
      </w:r>
      <w:r w:rsidRPr="00747EF6">
        <w:t xml:space="preserve"> in that it satisfies the criteria</w:t>
      </w:r>
      <w:r>
        <w:t xml:space="preserve"> of integrity and market efficiency</w:t>
      </w:r>
      <w:r w:rsidRPr="00747EF6">
        <w:t xml:space="preserve"> better than the status quo. </w:t>
      </w:r>
    </w:p>
    <w:p w14:paraId="1EF0AC94" w14:textId="53C37B7D" w:rsidR="00D10DE4" w:rsidRPr="00747EF6" w:rsidRDefault="00D10DE4" w:rsidP="00D10DE4">
      <w:pPr>
        <w:pStyle w:val="BodyText"/>
      </w:pPr>
      <w:r w:rsidRPr="00747EF6">
        <w:lastRenderedPageBreak/>
        <w:t>Under the alternative option, we propose</w:t>
      </w:r>
      <w:r>
        <w:t xml:space="preserve"> the following</w:t>
      </w:r>
      <w:r w:rsidR="005320BE">
        <w:t>:</w:t>
      </w:r>
    </w:p>
    <w:p w14:paraId="12196124" w14:textId="77777777" w:rsidR="00D10DE4" w:rsidRPr="00747EF6" w:rsidRDefault="00D10DE4" w:rsidP="00D10DE4">
      <w:pPr>
        <w:pStyle w:val="Bullet"/>
        <w:tabs>
          <w:tab w:val="num" w:pos="397"/>
        </w:tabs>
        <w:spacing w:line="280" w:lineRule="exact"/>
      </w:pPr>
      <w:r w:rsidRPr="00764AD0">
        <w:rPr>
          <w:b/>
          <w:bCs/>
        </w:rPr>
        <w:t>Use the key protections outlined above in the Crimes Act.</w:t>
      </w:r>
    </w:p>
    <w:p w14:paraId="72B05E78" w14:textId="77777777" w:rsidR="00D10DE4" w:rsidRPr="00747EF6" w:rsidRDefault="00D10DE4" w:rsidP="00D10DE4">
      <w:pPr>
        <w:pStyle w:val="Bullet"/>
        <w:tabs>
          <w:tab w:val="num" w:pos="397"/>
        </w:tabs>
        <w:spacing w:line="280" w:lineRule="exact"/>
      </w:pPr>
      <w:r w:rsidRPr="00747EF6">
        <w:rPr>
          <w:b/>
          <w:bCs/>
        </w:rPr>
        <w:t xml:space="preserve">Prohibit market manipulation with provisions </w:t>
      </w:r>
      <w:proofErr w:type="gramStart"/>
      <w:r w:rsidRPr="00747EF6">
        <w:rPr>
          <w:b/>
          <w:bCs/>
        </w:rPr>
        <w:t>similar to</w:t>
      </w:r>
      <w:proofErr w:type="gramEnd"/>
      <w:r w:rsidRPr="00747EF6">
        <w:rPr>
          <w:b/>
          <w:bCs/>
        </w:rPr>
        <w:t xml:space="preserve"> those in the FMC Act</w:t>
      </w:r>
      <w:r w:rsidRPr="006850B6">
        <w:rPr>
          <w:b/>
          <w:bCs/>
        </w:rPr>
        <w:t>.</w:t>
      </w:r>
      <w:r w:rsidRPr="00747EF6">
        <w:t xml:space="preserve"> Under this option, acts or omissions </w:t>
      </w:r>
      <w:r>
        <w:t xml:space="preserve">would be prohibited </w:t>
      </w:r>
      <w:r w:rsidRPr="00747EF6">
        <w:t>which have, or are likely to have, the effect of creating, or causing the creation of, a false or misleading appearance with respect to:</w:t>
      </w:r>
    </w:p>
    <w:p w14:paraId="73250ADD" w14:textId="77777777" w:rsidR="00D10DE4" w:rsidRPr="00747EF6" w:rsidRDefault="00D10DE4" w:rsidP="00D10DE4">
      <w:pPr>
        <w:pStyle w:val="Sub-list"/>
        <w:tabs>
          <w:tab w:val="num" w:pos="397"/>
        </w:tabs>
      </w:pPr>
      <w:r w:rsidRPr="00747EF6">
        <w:t xml:space="preserve">the extent of active trading in NZUs </w:t>
      </w:r>
    </w:p>
    <w:p w14:paraId="6F1EC86D" w14:textId="77777777" w:rsidR="00D10DE4" w:rsidRPr="00747EF6" w:rsidRDefault="00D10DE4" w:rsidP="00D10DE4">
      <w:pPr>
        <w:pStyle w:val="Sub-list"/>
        <w:tabs>
          <w:tab w:val="num" w:pos="397"/>
        </w:tabs>
      </w:pPr>
      <w:r w:rsidRPr="00747EF6">
        <w:t>the supply of, demand for, price for trading in, or value of NZUs.</w:t>
      </w:r>
    </w:p>
    <w:p w14:paraId="0AFBFF74" w14:textId="77777777" w:rsidR="00D10DE4" w:rsidRPr="00747EF6" w:rsidRDefault="00D10DE4" w:rsidP="00D10DE4">
      <w:pPr>
        <w:pStyle w:val="Bullet"/>
        <w:tabs>
          <w:tab w:val="num" w:pos="397"/>
        </w:tabs>
        <w:spacing w:line="280" w:lineRule="exact"/>
      </w:pPr>
      <w:r w:rsidRPr="00747EF6">
        <w:rPr>
          <w:b/>
          <w:bCs/>
        </w:rPr>
        <w:t xml:space="preserve">No licensed markets. </w:t>
      </w:r>
      <w:r w:rsidRPr="00747EF6">
        <w:t xml:space="preserve">Under this option, there are no licensed market operators. This means market operators would not be required to proactively monitor for potential insider trading or market manipulation. Any such misconduct would likely only be picked up in response to a complaint to the responsible market regulator by another NZU market user. </w:t>
      </w:r>
    </w:p>
    <w:p w14:paraId="0083B061" w14:textId="77777777" w:rsidR="00D10DE4" w:rsidRPr="00747EF6" w:rsidRDefault="00D10DE4" w:rsidP="00BE2C32">
      <w:pPr>
        <w:pStyle w:val="BodyText"/>
        <w:numPr>
          <w:ilvl w:val="0"/>
          <w:numId w:val="20"/>
        </w:numPr>
      </w:pPr>
      <w:r>
        <w:t xml:space="preserve">There would be no </w:t>
      </w:r>
      <w:r w:rsidRPr="00747EF6">
        <w:t xml:space="preserve">direct costs or obligations </w:t>
      </w:r>
      <w:r>
        <w:t xml:space="preserve">imposed </w:t>
      </w:r>
      <w:r w:rsidRPr="00747EF6">
        <w:t>on NZU market users.</w:t>
      </w:r>
    </w:p>
    <w:p w14:paraId="5712254C" w14:textId="7893ADB9" w:rsidR="00D10DE4" w:rsidRPr="00747EF6" w:rsidRDefault="00D10DE4" w:rsidP="00D10DE4">
      <w:pPr>
        <w:pStyle w:val="BodyText"/>
        <w:rPr>
          <w:rFonts w:asciiTheme="minorHAnsi" w:hAnsiTheme="minorHAnsi" w:cstheme="minorHAnsi"/>
          <w:color w:val="242424"/>
          <w:shd w:val="clear" w:color="auto" w:fill="FFFFFF"/>
        </w:rPr>
      </w:pPr>
      <w:r w:rsidRPr="00747EF6">
        <w:rPr>
          <w:rFonts w:asciiTheme="minorHAnsi" w:hAnsiTheme="minorHAnsi" w:cstheme="minorHAnsi"/>
          <w:color w:val="242424"/>
          <w:shd w:val="clear" w:color="auto" w:fill="FFFFFF"/>
        </w:rPr>
        <w:t>This alternative option is a light regulatory approach</w:t>
      </w:r>
      <w:r w:rsidR="00C47450">
        <w:rPr>
          <w:rFonts w:asciiTheme="minorHAnsi" w:hAnsiTheme="minorHAnsi" w:cstheme="minorHAnsi"/>
          <w:color w:val="242424"/>
          <w:shd w:val="clear" w:color="auto" w:fill="FFFFFF"/>
        </w:rPr>
        <w:t>,</w:t>
      </w:r>
      <w:r w:rsidRPr="00747EF6">
        <w:rPr>
          <w:rFonts w:asciiTheme="minorHAnsi" w:hAnsiTheme="minorHAnsi" w:cstheme="minorHAnsi"/>
          <w:color w:val="242424"/>
          <w:shd w:val="clear" w:color="auto" w:fill="FFFFFF"/>
        </w:rPr>
        <w:t xml:space="preserve"> which prohibits some forms of insider trading and market manipulation but is less likely to detect such misconduct. This option has been put forward as a lighter</w:t>
      </w:r>
      <w:r>
        <w:rPr>
          <w:rFonts w:asciiTheme="minorHAnsi" w:hAnsiTheme="minorHAnsi" w:cstheme="minorHAnsi"/>
          <w:color w:val="242424"/>
          <w:shd w:val="clear" w:color="auto" w:fill="FFFFFF"/>
        </w:rPr>
        <w:t>-</w:t>
      </w:r>
      <w:r w:rsidRPr="00747EF6">
        <w:rPr>
          <w:rFonts w:asciiTheme="minorHAnsi" w:hAnsiTheme="minorHAnsi" w:cstheme="minorHAnsi"/>
          <w:color w:val="242424"/>
          <w:shd w:val="clear" w:color="auto" w:fill="FFFFFF"/>
        </w:rPr>
        <w:t>touch regime</w:t>
      </w:r>
      <w:r>
        <w:rPr>
          <w:rFonts w:asciiTheme="minorHAnsi" w:hAnsiTheme="minorHAnsi" w:cstheme="minorHAnsi"/>
          <w:color w:val="242424"/>
          <w:shd w:val="clear" w:color="auto" w:fill="FFFFFF"/>
        </w:rPr>
        <w:t>,</w:t>
      </w:r>
      <w:r w:rsidRPr="00747EF6">
        <w:rPr>
          <w:rFonts w:asciiTheme="minorHAnsi" w:hAnsiTheme="minorHAnsi" w:cstheme="minorHAnsi"/>
          <w:color w:val="242424"/>
          <w:shd w:val="clear" w:color="auto" w:fill="FFFFFF"/>
        </w:rPr>
        <w:t xml:space="preserve"> to reflect </w:t>
      </w:r>
      <w:r>
        <w:rPr>
          <w:rFonts w:asciiTheme="minorHAnsi" w:hAnsiTheme="minorHAnsi" w:cstheme="minorHAnsi"/>
          <w:color w:val="242424"/>
          <w:shd w:val="clear" w:color="auto" w:fill="FFFFFF"/>
        </w:rPr>
        <w:t xml:space="preserve">that </w:t>
      </w:r>
      <w:r w:rsidRPr="00747EF6">
        <w:rPr>
          <w:rFonts w:asciiTheme="minorHAnsi" w:hAnsiTheme="minorHAnsi" w:cstheme="minorHAnsi"/>
          <w:color w:val="242424"/>
          <w:shd w:val="clear" w:color="auto" w:fill="FFFFFF"/>
        </w:rPr>
        <w:t>the scope of insider trading in the NZU market is narrower given it relates only to government policy that is not generally available to the market. The scope for market manipulation remains comparable to financial markets.</w:t>
      </w:r>
    </w:p>
    <w:p w14:paraId="6E2DA6F4" w14:textId="77777777" w:rsidR="00D10DE4" w:rsidRPr="00747EF6" w:rsidRDefault="00D10DE4" w:rsidP="00D10DE4">
      <w:pPr>
        <w:pStyle w:val="Heading2"/>
      </w:pPr>
      <w:bookmarkStart w:id="72" w:name="_Toc118703530"/>
      <w:bookmarkStart w:id="73" w:name="_Toc118953585"/>
      <w:r w:rsidRPr="00747EF6">
        <w:t xml:space="preserve">Options </w:t>
      </w:r>
      <w:r>
        <w:t>a</w:t>
      </w:r>
      <w:r w:rsidRPr="00747EF6">
        <w:t>nalysis</w:t>
      </w:r>
      <w:bookmarkEnd w:id="72"/>
      <w:bookmarkEnd w:id="73"/>
    </w:p>
    <w:p w14:paraId="686ADBD8" w14:textId="77777777" w:rsidR="00D10DE4" w:rsidRPr="00747EF6" w:rsidRDefault="008A6D82" w:rsidP="00D10DE4">
      <w:pPr>
        <w:pStyle w:val="BodyText"/>
      </w:pPr>
      <w:hyperlink w:anchor="_Appendix_B:_Topic" w:history="1">
        <w:r w:rsidR="00D10DE4" w:rsidRPr="00BA3CDF">
          <w:rPr>
            <w:rStyle w:val="Hyperlink"/>
          </w:rPr>
          <w:t>Appendix B</w:t>
        </w:r>
      </w:hyperlink>
      <w:r w:rsidR="00D10DE4" w:rsidRPr="00747EF6">
        <w:t xml:space="preserve"> of this discussion document provides the </w:t>
      </w:r>
      <w:r w:rsidR="00D10DE4">
        <w:t>option</w:t>
      </w:r>
      <w:r w:rsidR="00D10DE4" w:rsidRPr="00747EF6">
        <w:t xml:space="preserve"> and risk analys</w:t>
      </w:r>
      <w:r w:rsidR="00D10DE4">
        <w:t>i</w:t>
      </w:r>
      <w:r w:rsidR="00D10DE4" w:rsidRPr="00747EF6">
        <w:t xml:space="preserve">s tables for </w:t>
      </w:r>
      <w:r w:rsidR="00D10DE4">
        <w:t>t</w:t>
      </w:r>
      <w:r w:rsidR="00D10DE4" w:rsidRPr="00747EF6">
        <w:t>opic 1.</w:t>
      </w:r>
    </w:p>
    <w:p w14:paraId="6680DB63" w14:textId="77777777" w:rsidR="00D10DE4" w:rsidRPr="00747EF6" w:rsidRDefault="00D10DE4" w:rsidP="00D10DE4">
      <w:pPr>
        <w:pStyle w:val="BodyText"/>
      </w:pPr>
      <w:r>
        <w:t>O</w:t>
      </w:r>
      <w:r w:rsidRPr="00747EF6">
        <w:t>ption one</w:t>
      </w:r>
      <w:r>
        <w:t xml:space="preserve"> (the status quo</w:t>
      </w:r>
      <w:r w:rsidRPr="00747EF6">
        <w:t xml:space="preserve">) provides limited protection from insider trading and market manipulation and does not meet the objectives set out. Maintaining this option when the NZU market is increasing in value could create opportunities for bad actors to take advantage of a poorly regulated market. </w:t>
      </w:r>
    </w:p>
    <w:p w14:paraId="786D50B5" w14:textId="52D7BCC6" w:rsidR="00D10DE4" w:rsidRPr="00747EF6" w:rsidRDefault="00D10DE4" w:rsidP="00D10DE4">
      <w:pPr>
        <w:pStyle w:val="BodyText"/>
      </w:pPr>
      <w:r w:rsidRPr="00747EF6">
        <w:t xml:space="preserve">Option two </w:t>
      </w:r>
      <w:r>
        <w:t>(</w:t>
      </w:r>
      <w:r w:rsidRPr="00747EF6">
        <w:t>FMC Act with suitable modifications</w:t>
      </w:r>
      <w:r>
        <w:t>)</w:t>
      </w:r>
      <w:r w:rsidRPr="00747EF6">
        <w:t xml:space="preserve"> provides the highest integrity of all the options by applying trusted and tested financial market tools. </w:t>
      </w:r>
      <w:r w:rsidRPr="00257E8B">
        <w:t>Those that operate and use markets for trading NZUs will likely be subject to additional costs, however the</w:t>
      </w:r>
      <w:r w:rsidRPr="00747EF6">
        <w:t xml:space="preserve"> cost</w:t>
      </w:r>
      <w:r w:rsidR="00235C5B">
        <w:t>s</w:t>
      </w:r>
      <w:r w:rsidRPr="00747EF6">
        <w:t xml:space="preserve"> associated with implementing this option </w:t>
      </w:r>
      <w:r w:rsidRPr="00257E8B">
        <w:t>are mitigated by removing some unnecessary obligations</w:t>
      </w:r>
      <w:r w:rsidR="00B53004">
        <w:t>,</w:t>
      </w:r>
      <w:r w:rsidRPr="00747EF6">
        <w:t xml:space="preserve"> while still providing the greatest amount of protection to market users. The established rules in the FMC Act are consistent and proportionate to other financial markets</w:t>
      </w:r>
      <w:r w:rsidR="000B0101">
        <w:t xml:space="preserve"> and</w:t>
      </w:r>
      <w:r w:rsidRPr="00747EF6">
        <w:t xml:space="preserve"> carve</w:t>
      </w:r>
      <w:r>
        <w:t>-</w:t>
      </w:r>
      <w:r w:rsidRPr="00747EF6">
        <w:t xml:space="preserve">outs </w:t>
      </w:r>
      <w:r w:rsidRPr="00257E8B">
        <w:t xml:space="preserve">have been proposed to </w:t>
      </w:r>
      <w:r w:rsidRPr="00747EF6">
        <w:t xml:space="preserve">allow for the unique nature of the NZU market. </w:t>
      </w:r>
      <w:r w:rsidRPr="00257E8B">
        <w:t>Feedback on this document will also be considered to assess whether other modifications are necessary.</w:t>
      </w:r>
    </w:p>
    <w:p w14:paraId="14BE379A" w14:textId="0D6559D5" w:rsidR="00D10DE4" w:rsidRPr="00747EF6" w:rsidRDefault="00D10DE4" w:rsidP="00D10DE4">
      <w:pPr>
        <w:pStyle w:val="BodyText"/>
      </w:pPr>
      <w:r w:rsidRPr="00747EF6">
        <w:t>This option increases market efficiency by creating clear rules against insider trading and market manipulation and establishing a regulator to investigate any potential misconduct. When compared to the status quo, option two meets the objectives of integrity, efficiency, fairness and promot</w:t>
      </w:r>
      <w:r>
        <w:t>ing</w:t>
      </w:r>
      <w:r w:rsidRPr="00747EF6">
        <w:t xml:space="preserve"> confidence in the NZU market. </w:t>
      </w:r>
    </w:p>
    <w:p w14:paraId="6067CE8F" w14:textId="77777777" w:rsidR="00D10DE4" w:rsidRPr="00747EF6" w:rsidRDefault="00D10DE4" w:rsidP="00D10DE4">
      <w:pPr>
        <w:pStyle w:val="BodyText"/>
      </w:pPr>
      <w:r w:rsidRPr="00747EF6">
        <w:t>In terms of risk mitigation, option two also provides the best overall coverage. In particular, the FMC Act has specific provisions to address insider</w:t>
      </w:r>
      <w:r>
        <w:t xml:space="preserve"> trading</w:t>
      </w:r>
      <w:r w:rsidRPr="00747EF6">
        <w:t xml:space="preserve"> and market manipulation in financial markets. Option two will also minimise a lack of transparency</w:t>
      </w:r>
      <w:r>
        <w:t>,</w:t>
      </w:r>
      <w:r w:rsidRPr="00747EF6">
        <w:t xml:space="preserve"> and credit</w:t>
      </w:r>
      <w:r>
        <w:t xml:space="preserve"> </w:t>
      </w:r>
      <w:r w:rsidRPr="00747EF6">
        <w:t>and counterparty risks</w:t>
      </w:r>
      <w:r>
        <w:t>,</w:t>
      </w:r>
      <w:r w:rsidRPr="00747EF6">
        <w:t xml:space="preserve"> through market rules for licensed market operators. The market operators </w:t>
      </w:r>
      <w:r w:rsidRPr="00747EF6">
        <w:lastRenderedPageBreak/>
        <w:t xml:space="preserve">are required to operate their platforms in a fair, </w:t>
      </w:r>
      <w:proofErr w:type="gramStart"/>
      <w:r w:rsidRPr="00747EF6">
        <w:t>orderly</w:t>
      </w:r>
      <w:proofErr w:type="gramEnd"/>
      <w:r w:rsidRPr="00747EF6">
        <w:t xml:space="preserve"> and transparent manner. The market rules often contain provisions to resolve events of transaction defaults among platform users.</w:t>
      </w:r>
    </w:p>
    <w:p w14:paraId="096C25F6" w14:textId="77777777" w:rsidR="00D10DE4" w:rsidRPr="00747EF6" w:rsidRDefault="00D10DE4" w:rsidP="00D10DE4">
      <w:pPr>
        <w:pStyle w:val="BodyText"/>
      </w:pPr>
      <w:r w:rsidRPr="00747EF6">
        <w:t>Option three</w:t>
      </w:r>
      <w:r>
        <w:t xml:space="preserve"> (</w:t>
      </w:r>
      <w:r w:rsidRPr="00747EF6">
        <w:t>Crimes Act and market manipulation prohibitions</w:t>
      </w:r>
      <w:r>
        <w:t>)</w:t>
      </w:r>
      <w:r w:rsidRPr="00747EF6">
        <w:t xml:space="preserve"> is an improvement when compared to the status quo but falls short on catching misconduct. This option does not require licensed markets and therefore lacks a market operator to conduct frontline monitoring surveillance. </w:t>
      </w:r>
    </w:p>
    <w:p w14:paraId="14F8F1F6" w14:textId="77777777" w:rsidR="00D10DE4" w:rsidRPr="00747EF6" w:rsidRDefault="00D10DE4" w:rsidP="00D10DE4">
      <w:pPr>
        <w:pStyle w:val="BodyText"/>
      </w:pPr>
      <w:r>
        <w:t>Option three</w:t>
      </w:r>
      <w:r w:rsidRPr="00747EF6">
        <w:t xml:space="preserve"> relies on formal complaints being lodged to the regulator about possible misconduct instead of </w:t>
      </w:r>
      <w:r>
        <w:t xml:space="preserve">maintaining </w:t>
      </w:r>
      <w:r w:rsidRPr="00747EF6">
        <w:t xml:space="preserve">active surveillance on the market. The lack of information collected from a frontline market operator could also be difficult when investigating a complaint. Further, this option does not align with domestic financial markets or international carbon market standards. </w:t>
      </w:r>
    </w:p>
    <w:p w14:paraId="2D67288F" w14:textId="77777777" w:rsidR="00D10DE4" w:rsidRPr="00747EF6" w:rsidRDefault="00D10DE4" w:rsidP="00D10DE4">
      <w:pPr>
        <w:pStyle w:val="BodyText"/>
      </w:pPr>
      <w:r w:rsidRPr="00747EF6">
        <w:t>While option three is better than the status quo, it provides a lower level of protection against poor transparency in secondary markets and market manipulation. Our analysis also suggests it performs no better than the status quo in addressing credit</w:t>
      </w:r>
      <w:r>
        <w:t xml:space="preserve"> </w:t>
      </w:r>
      <w:r w:rsidRPr="00747EF6">
        <w:t xml:space="preserve">and counterparty risk and insider trading. </w:t>
      </w:r>
    </w:p>
    <w:p w14:paraId="698BC6A5" w14:textId="77777777" w:rsidR="00D10DE4" w:rsidRPr="00747EF6" w:rsidRDefault="00D10DE4" w:rsidP="00D10DE4">
      <w:pPr>
        <w:pStyle w:val="Heading2"/>
      </w:pPr>
      <w:bookmarkStart w:id="74" w:name="_Toc118703531"/>
      <w:bookmarkStart w:id="75" w:name="_Toc118953586"/>
      <w:r>
        <w:t>Option two is preferred</w:t>
      </w:r>
      <w:r w:rsidRPr="005A388F">
        <w:t xml:space="preserve"> </w:t>
      </w:r>
      <w:r w:rsidRPr="00257E8B">
        <w:t>at this stage</w:t>
      </w:r>
      <w:r>
        <w:t xml:space="preserve">: </w:t>
      </w:r>
      <w:r w:rsidRPr="00747EF6">
        <w:t>FMC Act with suitable modifications</w:t>
      </w:r>
      <w:bookmarkEnd w:id="74"/>
      <w:bookmarkEnd w:id="75"/>
      <w:r>
        <w:t xml:space="preserve"> </w:t>
      </w:r>
    </w:p>
    <w:p w14:paraId="325099D5" w14:textId="77777777" w:rsidR="00D10DE4" w:rsidRPr="00747EF6" w:rsidRDefault="00D10DE4" w:rsidP="00D10DE4">
      <w:pPr>
        <w:pStyle w:val="BodyText"/>
      </w:pPr>
      <w:r w:rsidRPr="00747EF6">
        <w:t>Considering</w:t>
      </w:r>
      <w:r>
        <w:t xml:space="preserve"> the</w:t>
      </w:r>
      <w:r w:rsidRPr="00747EF6">
        <w:t xml:space="preserve"> analyses above, </w:t>
      </w:r>
      <w:r w:rsidRPr="00257E8B">
        <w:t xml:space="preserve">our current view is that </w:t>
      </w:r>
      <w:r w:rsidRPr="00747EF6">
        <w:t>option two</w:t>
      </w:r>
      <w:r>
        <w:t xml:space="preserve"> (FMC Act with suitable modifications)</w:t>
      </w:r>
      <w:r w:rsidRPr="00747EF6">
        <w:t xml:space="preserve"> is best suited to address the risks of insider trading and market manipulation while meeting the criteria set out for market governance.</w:t>
      </w:r>
    </w:p>
    <w:p w14:paraId="592A5DD0" w14:textId="77777777" w:rsidR="00D10DE4" w:rsidRPr="00747EF6" w:rsidRDefault="00D10DE4" w:rsidP="00D10DE4">
      <w:pPr>
        <w:pStyle w:val="BodyText"/>
      </w:pPr>
      <w:r w:rsidRPr="00747EF6">
        <w:t xml:space="preserve">The proposed option aligns with </w:t>
      </w:r>
      <w:r>
        <w:t xml:space="preserve">the </w:t>
      </w:r>
      <w:r w:rsidRPr="00747EF6">
        <w:t xml:space="preserve">objective for </w:t>
      </w:r>
      <w:r>
        <w:t>t</w:t>
      </w:r>
      <w:r w:rsidRPr="00747EF6">
        <w:t>opic 1</w:t>
      </w:r>
      <w:r>
        <w:t>,</w:t>
      </w:r>
      <w:r w:rsidRPr="00747EF6">
        <w:t xml:space="preserve"> in that it satisfies the criteria much better than option one (status quo) and option three (Crimes Act and market manipulation prohibitions)</w:t>
      </w:r>
      <w:r>
        <w:t>, in terms of</w:t>
      </w:r>
      <w:r w:rsidRPr="00747EF6">
        <w:t xml:space="preserve"> integrity, consistency and proportionality, and clarity and transparency. </w:t>
      </w:r>
    </w:p>
    <w:p w14:paraId="495DE1CF" w14:textId="77777777" w:rsidR="00D10DE4" w:rsidRPr="00747EF6" w:rsidRDefault="00D10DE4" w:rsidP="00D10DE4">
      <w:pPr>
        <w:pStyle w:val="BodyText"/>
      </w:pPr>
      <w:r w:rsidRPr="00747EF6">
        <w:t>The proposals outlined in option two increase</w:t>
      </w:r>
      <w:r>
        <w:t>s</w:t>
      </w:r>
      <w:r w:rsidRPr="00747EF6">
        <w:t xml:space="preserve"> market confidence by requiring a licensed market operator to survey for misconduct and a regulator to investigate irregular trades. This option meets the criteria and objectives </w:t>
      </w:r>
      <w:r>
        <w:t>that</w:t>
      </w:r>
      <w:r w:rsidRPr="00747EF6">
        <w:t xml:space="preserve"> increase market efficiency. </w:t>
      </w:r>
    </w:p>
    <w:p w14:paraId="31AC9598" w14:textId="77777777" w:rsidR="00D10DE4" w:rsidRPr="00747EF6" w:rsidRDefault="00D10DE4" w:rsidP="00D10DE4">
      <w:pPr>
        <w:pStyle w:val="Heading2"/>
      </w:pPr>
      <w:bookmarkStart w:id="76" w:name="_Ref118438036"/>
      <w:bookmarkStart w:id="77" w:name="_Ref118438038"/>
      <w:bookmarkStart w:id="78" w:name="_Toc118703532"/>
      <w:bookmarkStart w:id="79" w:name="_Toc118953587"/>
      <w:r w:rsidRPr="00747EF6">
        <w:t xml:space="preserve">What this </w:t>
      </w:r>
      <w:r>
        <w:t xml:space="preserve">proposal </w:t>
      </w:r>
      <w:r w:rsidRPr="00747EF6">
        <w:t>means in practice</w:t>
      </w:r>
      <w:bookmarkEnd w:id="76"/>
      <w:bookmarkEnd w:id="77"/>
      <w:bookmarkEnd w:id="78"/>
      <w:bookmarkEnd w:id="79"/>
    </w:p>
    <w:p w14:paraId="44F3C86D" w14:textId="5D7D4D13" w:rsidR="00D10DE4" w:rsidRPr="00747EF6" w:rsidRDefault="00D10DE4" w:rsidP="00675D2C">
      <w:pPr>
        <w:pStyle w:val="Heading4"/>
      </w:pPr>
      <w:r w:rsidRPr="00747EF6">
        <w:t xml:space="preserve">A person could not trade NZUs if they have material non-public information about government policy </w:t>
      </w:r>
    </w:p>
    <w:p w14:paraId="575CE021" w14:textId="77777777" w:rsidR="00D10DE4" w:rsidRPr="00747EF6" w:rsidRDefault="00D10DE4" w:rsidP="00D10DE4">
      <w:pPr>
        <w:pStyle w:val="BodyText"/>
      </w:pPr>
      <w:r w:rsidRPr="00747EF6">
        <w:t xml:space="preserve">The FMC Act insider trading provision prohibits a person from buying or selling financial products that are </w:t>
      </w:r>
      <w:r>
        <w:t>‘</w:t>
      </w:r>
      <w:r w:rsidRPr="00747EF6">
        <w:t>quoted</w:t>
      </w:r>
      <w:r>
        <w:t>’</w:t>
      </w:r>
      <w:r w:rsidRPr="00747EF6">
        <w:t xml:space="preserve"> (</w:t>
      </w:r>
      <w:proofErr w:type="spellStart"/>
      <w:r w:rsidRPr="00747EF6">
        <w:t>ie</w:t>
      </w:r>
      <w:proofErr w:type="spellEnd"/>
      <w:r>
        <w:t>,</w:t>
      </w:r>
      <w:r w:rsidRPr="00747EF6">
        <w:t xml:space="preserve"> listed for trading) on a licensed market if they hold material non-public information, being information that:</w:t>
      </w:r>
    </w:p>
    <w:p w14:paraId="210F265C" w14:textId="77777777" w:rsidR="00D10DE4" w:rsidRPr="00747EF6" w:rsidRDefault="00D10DE4" w:rsidP="00D10DE4">
      <w:pPr>
        <w:pStyle w:val="Bullet"/>
        <w:tabs>
          <w:tab w:val="num" w:pos="397"/>
        </w:tabs>
        <w:spacing w:line="280" w:lineRule="exact"/>
      </w:pPr>
      <w:r w:rsidRPr="00747EF6">
        <w:t xml:space="preserve">is not </w:t>
      </w:r>
      <w:r w:rsidRPr="00D83CB5">
        <w:t>generally</w:t>
      </w:r>
      <w:r w:rsidRPr="00747EF6">
        <w:t xml:space="preserve"> available to the market</w:t>
      </w:r>
    </w:p>
    <w:p w14:paraId="5D3F5F20" w14:textId="0433F7AE" w:rsidR="00D10DE4" w:rsidRPr="00747EF6" w:rsidRDefault="00D10DE4" w:rsidP="00D10DE4">
      <w:pPr>
        <w:pStyle w:val="Bullet"/>
        <w:tabs>
          <w:tab w:val="num" w:pos="397"/>
        </w:tabs>
        <w:spacing w:line="280" w:lineRule="exact"/>
      </w:pPr>
      <w:r w:rsidRPr="00747EF6">
        <w:t>a reasonable person would expect to have a material effect on the price of the financial product on the licensed market if the information was generally available.</w:t>
      </w:r>
    </w:p>
    <w:p w14:paraId="6331484F" w14:textId="77777777" w:rsidR="00D10DE4" w:rsidRPr="00747EF6" w:rsidRDefault="00D10DE4" w:rsidP="00D10DE4">
      <w:pPr>
        <w:pStyle w:val="BodyText"/>
      </w:pPr>
      <w:bookmarkStart w:id="80" w:name="_Hlk115793396"/>
      <w:r w:rsidRPr="00747EF6">
        <w:lastRenderedPageBreak/>
        <w:t xml:space="preserve">This includes provisions for </w:t>
      </w:r>
      <w:r>
        <w:t xml:space="preserve">an </w:t>
      </w:r>
      <w:r w:rsidRPr="00747EF6">
        <w:t>information insider (</w:t>
      </w:r>
      <w:r w:rsidRPr="00DF65F9">
        <w:t>Person A</w:t>
      </w:r>
      <w:r w:rsidRPr="00747EF6">
        <w:t>) of a listed issuer to not directly or indirectly disclose inside information to another person (</w:t>
      </w:r>
      <w:r w:rsidRPr="00DF65F9">
        <w:t>Person B</w:t>
      </w:r>
      <w:r w:rsidRPr="00747EF6">
        <w:t>) if Person A knows or ought reasonably to know or believes that Person B will, or is likely to</w:t>
      </w:r>
      <w:r>
        <w:t>:</w:t>
      </w:r>
    </w:p>
    <w:p w14:paraId="74AFD7F0" w14:textId="77777777" w:rsidR="00D10DE4" w:rsidRPr="00747EF6" w:rsidRDefault="00D10DE4" w:rsidP="00D10DE4">
      <w:pPr>
        <w:pStyle w:val="Bullet"/>
        <w:tabs>
          <w:tab w:val="num" w:pos="397"/>
        </w:tabs>
        <w:spacing w:line="280" w:lineRule="exact"/>
      </w:pPr>
      <w:r w:rsidRPr="00747EF6">
        <w:t>trade quoted financial products (</w:t>
      </w:r>
      <w:proofErr w:type="spellStart"/>
      <w:r w:rsidRPr="00747EF6">
        <w:t>ie</w:t>
      </w:r>
      <w:proofErr w:type="spellEnd"/>
      <w:r>
        <w:t>,</w:t>
      </w:r>
      <w:r w:rsidRPr="00747EF6">
        <w:t xml:space="preserve"> NZUs) of the listed issuer</w:t>
      </w:r>
    </w:p>
    <w:bookmarkEnd w:id="80"/>
    <w:p w14:paraId="18FBF8D8" w14:textId="77777777" w:rsidR="00D10DE4" w:rsidRPr="00747EF6" w:rsidRDefault="00D10DE4" w:rsidP="00D10DE4">
      <w:pPr>
        <w:pStyle w:val="Bullet"/>
        <w:tabs>
          <w:tab w:val="num" w:pos="397"/>
        </w:tabs>
        <w:spacing w:line="280" w:lineRule="exact"/>
      </w:pPr>
      <w:r w:rsidRPr="00747EF6">
        <w:t>advise or encourage another person (</w:t>
      </w:r>
      <w:r w:rsidRPr="00DF65F9">
        <w:t>Person C</w:t>
      </w:r>
      <w:r w:rsidRPr="00747EF6">
        <w:t>) to trade or hold those products.</w:t>
      </w:r>
    </w:p>
    <w:p w14:paraId="15862441" w14:textId="77777777" w:rsidR="00D10DE4" w:rsidRPr="00747EF6" w:rsidRDefault="00D10DE4" w:rsidP="00675D2C">
      <w:pPr>
        <w:pStyle w:val="Bullet"/>
        <w:numPr>
          <w:ilvl w:val="0"/>
          <w:numId w:val="0"/>
        </w:numPr>
        <w:rPr>
          <w:rFonts w:ascii="Arial" w:hAnsi="Arial"/>
          <w:b/>
          <w:bCs/>
          <w:sz w:val="20"/>
          <w:lang w:eastAsia="en-GB"/>
        </w:rPr>
      </w:pPr>
      <w:r>
        <w:fldChar w:fldCharType="begin"/>
      </w:r>
      <w:r>
        <w:instrText xml:space="preserve"> REF _Ref118440386 \h </w:instrText>
      </w:r>
      <w:r>
        <w:fldChar w:fldCharType="separate"/>
      </w:r>
      <w:r w:rsidR="00C67DAB">
        <w:t xml:space="preserve">Table </w:t>
      </w:r>
      <w:r w:rsidR="00C67DAB">
        <w:rPr>
          <w:noProof/>
        </w:rPr>
        <w:t>9</w:t>
      </w:r>
      <w:r>
        <w:fldChar w:fldCharType="end"/>
      </w:r>
      <w:r>
        <w:t xml:space="preserve"> provides a summary of this proposed </w:t>
      </w:r>
      <w:r w:rsidRPr="00747EF6">
        <w:t>prohibition.</w:t>
      </w:r>
      <w:bookmarkStart w:id="81" w:name="_Ref116462986"/>
    </w:p>
    <w:p w14:paraId="5629846A" w14:textId="77777777" w:rsidR="00D10DE4" w:rsidRDefault="00D10DE4" w:rsidP="00D10DE4">
      <w:pPr>
        <w:pStyle w:val="Tableheading"/>
      </w:pPr>
      <w:bookmarkStart w:id="82" w:name="_Ref118440386"/>
      <w:bookmarkStart w:id="83" w:name="_Toc118953827"/>
      <w:bookmarkEnd w:id="81"/>
      <w:r>
        <w:t xml:space="preserve">Table </w:t>
      </w:r>
      <w:fldSimple w:instr=" SEQ Table \* ARABIC ">
        <w:r w:rsidR="00C67DAB">
          <w:rPr>
            <w:noProof/>
          </w:rPr>
          <w:t>9</w:t>
        </w:r>
      </w:fldSimple>
      <w:bookmarkEnd w:id="82"/>
      <w:r>
        <w:t xml:space="preserve">: </w:t>
      </w:r>
      <w:r>
        <w:tab/>
      </w:r>
      <w:r w:rsidRPr="00443890">
        <w:t>Proposal to prohibit insider trading for quoted financial products and NZUs</w:t>
      </w:r>
      <w:bookmarkEnd w:id="83"/>
    </w:p>
    <w:tbl>
      <w:tblPr>
        <w:tblStyle w:val="TableGrid"/>
        <w:tblW w:w="4938" w:type="pct"/>
        <w:tblInd w:w="108" w:type="dxa"/>
        <w:tblLook w:val="04A0" w:firstRow="1" w:lastRow="0" w:firstColumn="1" w:lastColumn="0" w:noHBand="0" w:noVBand="1"/>
      </w:tblPr>
      <w:tblGrid>
        <w:gridCol w:w="2241"/>
        <w:gridCol w:w="2787"/>
        <w:gridCol w:w="3372"/>
      </w:tblGrid>
      <w:tr w:rsidR="00D10DE4" w:rsidRPr="00747EF6" w14:paraId="477EA528" w14:textId="77777777" w:rsidTr="00675D2C">
        <w:tc>
          <w:tcPr>
            <w:tcW w:w="1334" w:type="pct"/>
            <w:tcBorders>
              <w:top w:val="single" w:sz="4" w:space="0" w:color="FFFFFF" w:themeColor="background1"/>
              <w:left w:val="nil"/>
              <w:bottom w:val="single" w:sz="4" w:space="0" w:color="1B556B"/>
              <w:right w:val="nil"/>
            </w:tcBorders>
          </w:tcPr>
          <w:p w14:paraId="11C9B632" w14:textId="77777777" w:rsidR="00D10DE4" w:rsidRPr="00747EF6" w:rsidRDefault="00D10DE4" w:rsidP="00A517B5">
            <w:pPr>
              <w:pStyle w:val="TableText"/>
            </w:pPr>
          </w:p>
        </w:tc>
        <w:tc>
          <w:tcPr>
            <w:tcW w:w="1659" w:type="pct"/>
            <w:tcBorders>
              <w:top w:val="nil"/>
              <w:left w:val="nil"/>
              <w:bottom w:val="nil"/>
              <w:right w:val="nil"/>
            </w:tcBorders>
            <w:shd w:val="clear" w:color="auto" w:fill="1C556C"/>
          </w:tcPr>
          <w:p w14:paraId="025F4DEC" w14:textId="77777777" w:rsidR="00D10DE4" w:rsidRPr="00AE03E8" w:rsidRDefault="00D10DE4" w:rsidP="00A517B5">
            <w:pPr>
              <w:pStyle w:val="TableText"/>
              <w:rPr>
                <w:b/>
                <w:bCs/>
                <w:color w:val="FFFFFF" w:themeColor="background1"/>
              </w:rPr>
            </w:pPr>
            <w:r w:rsidRPr="00AE03E8">
              <w:rPr>
                <w:b/>
                <w:bCs/>
                <w:color w:val="FFFFFF" w:themeColor="background1"/>
              </w:rPr>
              <w:t>Quoted financial products</w:t>
            </w:r>
          </w:p>
        </w:tc>
        <w:tc>
          <w:tcPr>
            <w:tcW w:w="2007" w:type="pct"/>
            <w:tcBorders>
              <w:top w:val="nil"/>
              <w:left w:val="nil"/>
              <w:bottom w:val="nil"/>
              <w:right w:val="nil"/>
            </w:tcBorders>
            <w:shd w:val="clear" w:color="auto" w:fill="1C556C"/>
          </w:tcPr>
          <w:p w14:paraId="1D3CFB3A" w14:textId="77777777" w:rsidR="00D10DE4" w:rsidRPr="00017B0E" w:rsidRDefault="00D10DE4" w:rsidP="00A517B5">
            <w:pPr>
              <w:pStyle w:val="TableText"/>
              <w:rPr>
                <w:b/>
                <w:bCs/>
                <w:color w:val="FFFFFF" w:themeColor="background1"/>
              </w:rPr>
            </w:pPr>
            <w:r w:rsidRPr="00AE03E8">
              <w:rPr>
                <w:b/>
                <w:bCs/>
                <w:color w:val="FFFFFF" w:themeColor="background1"/>
              </w:rPr>
              <w:t>NZUs (proposed)</w:t>
            </w:r>
          </w:p>
        </w:tc>
      </w:tr>
      <w:tr w:rsidR="00D10DE4" w:rsidRPr="00747EF6" w14:paraId="4DB1FA1B" w14:textId="77777777" w:rsidTr="00675D2C">
        <w:tc>
          <w:tcPr>
            <w:tcW w:w="1334" w:type="pct"/>
            <w:tcBorders>
              <w:top w:val="single" w:sz="4" w:space="0" w:color="1B556B"/>
              <w:left w:val="nil"/>
              <w:bottom w:val="single" w:sz="4" w:space="0" w:color="1B556B"/>
              <w:right w:val="single" w:sz="4" w:space="0" w:color="1B556B"/>
            </w:tcBorders>
            <w:shd w:val="clear" w:color="auto" w:fill="1C556C"/>
            <w:vAlign w:val="center"/>
          </w:tcPr>
          <w:p w14:paraId="6092CC24" w14:textId="77777777" w:rsidR="00D10DE4" w:rsidRPr="00017B0E" w:rsidRDefault="00D10DE4" w:rsidP="00A517B5">
            <w:pPr>
              <w:pStyle w:val="TableText"/>
              <w:rPr>
                <w:b/>
                <w:bCs/>
                <w:color w:val="FFFFFF" w:themeColor="background1"/>
              </w:rPr>
            </w:pPr>
            <w:r w:rsidRPr="00017B0E">
              <w:rPr>
                <w:b/>
                <w:bCs/>
                <w:color w:val="FFFFFF" w:themeColor="background1"/>
              </w:rPr>
              <w:t xml:space="preserve">Information insider / </w:t>
            </w:r>
            <w:r w:rsidR="00675D2C">
              <w:rPr>
                <w:b/>
                <w:bCs/>
                <w:color w:val="FFFFFF" w:themeColor="background1"/>
              </w:rPr>
              <w:br/>
            </w:r>
            <w:r w:rsidRPr="00017B0E">
              <w:rPr>
                <w:b/>
                <w:bCs/>
                <w:color w:val="FFFFFF" w:themeColor="background1"/>
              </w:rPr>
              <w:t>Person A</w:t>
            </w:r>
          </w:p>
        </w:tc>
        <w:tc>
          <w:tcPr>
            <w:tcW w:w="1659" w:type="pct"/>
            <w:tcBorders>
              <w:top w:val="nil"/>
              <w:left w:val="single" w:sz="4" w:space="0" w:color="1B556B"/>
              <w:bottom w:val="single" w:sz="4" w:space="0" w:color="1B556B"/>
              <w:right w:val="single" w:sz="4" w:space="0" w:color="1B556B"/>
            </w:tcBorders>
          </w:tcPr>
          <w:p w14:paraId="7AAE6E65" w14:textId="77777777" w:rsidR="00D10DE4" w:rsidRPr="00747EF6" w:rsidRDefault="00D10DE4" w:rsidP="00A517B5">
            <w:pPr>
              <w:pStyle w:val="TableText"/>
            </w:pPr>
            <w:r w:rsidRPr="00747EF6">
              <w:t>Prohibited</w:t>
            </w:r>
          </w:p>
        </w:tc>
        <w:tc>
          <w:tcPr>
            <w:tcW w:w="2007" w:type="pct"/>
            <w:tcBorders>
              <w:top w:val="nil"/>
              <w:left w:val="single" w:sz="4" w:space="0" w:color="1B556B"/>
              <w:bottom w:val="single" w:sz="4" w:space="0" w:color="1B556B"/>
              <w:right w:val="nil"/>
            </w:tcBorders>
          </w:tcPr>
          <w:p w14:paraId="10CE196C" w14:textId="77777777" w:rsidR="00D10DE4" w:rsidRPr="00747EF6" w:rsidRDefault="00D10DE4" w:rsidP="00A517B5">
            <w:pPr>
              <w:pStyle w:val="TableText"/>
            </w:pPr>
            <w:r w:rsidRPr="00747EF6">
              <w:t>Prohibited (</w:t>
            </w:r>
            <w:hyperlink w:anchor="_Government_information_as" w:history="1">
              <w:r w:rsidRPr="0020541E">
                <w:rPr>
                  <w:rStyle w:val="Hyperlink"/>
                </w:rPr>
                <w:t>modified meaning of ‘material information’</w:t>
              </w:r>
            </w:hyperlink>
            <w:r w:rsidRPr="00747EF6">
              <w:t>)</w:t>
            </w:r>
          </w:p>
        </w:tc>
      </w:tr>
      <w:tr w:rsidR="00D10DE4" w:rsidRPr="00747EF6" w14:paraId="5F24B017" w14:textId="77777777" w:rsidTr="00675D2C">
        <w:tc>
          <w:tcPr>
            <w:tcW w:w="1334" w:type="pct"/>
            <w:tcBorders>
              <w:top w:val="single" w:sz="4" w:space="0" w:color="1B556B"/>
              <w:left w:val="nil"/>
              <w:bottom w:val="single" w:sz="4" w:space="0" w:color="1B556B"/>
              <w:right w:val="single" w:sz="4" w:space="0" w:color="1B556B"/>
            </w:tcBorders>
            <w:shd w:val="clear" w:color="auto" w:fill="1C556C"/>
            <w:vAlign w:val="center"/>
          </w:tcPr>
          <w:p w14:paraId="3FD4CEA7" w14:textId="77777777" w:rsidR="00D10DE4" w:rsidRPr="00017B0E" w:rsidRDefault="00D10DE4" w:rsidP="00A517B5">
            <w:pPr>
              <w:pStyle w:val="TableText"/>
              <w:rPr>
                <w:b/>
                <w:bCs/>
                <w:color w:val="FFFFFF" w:themeColor="background1"/>
              </w:rPr>
            </w:pPr>
            <w:r w:rsidRPr="00017B0E">
              <w:rPr>
                <w:b/>
                <w:bCs/>
                <w:color w:val="FFFFFF" w:themeColor="background1"/>
              </w:rPr>
              <w:t>Person B</w:t>
            </w:r>
          </w:p>
        </w:tc>
        <w:tc>
          <w:tcPr>
            <w:tcW w:w="1659" w:type="pct"/>
            <w:tcBorders>
              <w:top w:val="single" w:sz="4" w:space="0" w:color="1B556B"/>
              <w:left w:val="single" w:sz="4" w:space="0" w:color="1B556B"/>
              <w:bottom w:val="single" w:sz="4" w:space="0" w:color="1B556B"/>
              <w:right w:val="single" w:sz="4" w:space="0" w:color="1B556B"/>
            </w:tcBorders>
          </w:tcPr>
          <w:p w14:paraId="6208A546" w14:textId="77777777" w:rsidR="00D10DE4" w:rsidRPr="00747EF6" w:rsidRDefault="00D10DE4" w:rsidP="00A517B5">
            <w:pPr>
              <w:pStyle w:val="TableText"/>
            </w:pPr>
            <w:r w:rsidRPr="00747EF6">
              <w:t>Prohibited</w:t>
            </w:r>
          </w:p>
        </w:tc>
        <w:tc>
          <w:tcPr>
            <w:tcW w:w="2007" w:type="pct"/>
            <w:tcBorders>
              <w:top w:val="single" w:sz="4" w:space="0" w:color="1B556B"/>
              <w:left w:val="single" w:sz="4" w:space="0" w:color="1B556B"/>
              <w:bottom w:val="single" w:sz="4" w:space="0" w:color="1B556B"/>
              <w:right w:val="nil"/>
            </w:tcBorders>
          </w:tcPr>
          <w:p w14:paraId="00B948A6" w14:textId="77777777" w:rsidR="00D10DE4" w:rsidRPr="00747EF6" w:rsidRDefault="00D10DE4" w:rsidP="00A517B5">
            <w:pPr>
              <w:pStyle w:val="TableText"/>
            </w:pPr>
            <w:r w:rsidRPr="00747EF6">
              <w:t>Prohibited (as above)</w:t>
            </w:r>
          </w:p>
        </w:tc>
      </w:tr>
      <w:tr w:rsidR="00D10DE4" w:rsidRPr="00747EF6" w14:paraId="0FF120C4" w14:textId="77777777" w:rsidTr="00675D2C">
        <w:tc>
          <w:tcPr>
            <w:tcW w:w="1334" w:type="pct"/>
            <w:tcBorders>
              <w:top w:val="single" w:sz="4" w:space="0" w:color="1B556B"/>
              <w:left w:val="nil"/>
              <w:bottom w:val="single" w:sz="4" w:space="0" w:color="1B556B"/>
              <w:right w:val="single" w:sz="4" w:space="0" w:color="1B556B"/>
            </w:tcBorders>
            <w:shd w:val="clear" w:color="auto" w:fill="1C556C"/>
            <w:vAlign w:val="center"/>
          </w:tcPr>
          <w:p w14:paraId="1D844D82" w14:textId="77777777" w:rsidR="00D10DE4" w:rsidRPr="00017B0E" w:rsidRDefault="00D10DE4" w:rsidP="00A517B5">
            <w:pPr>
              <w:pStyle w:val="TableText"/>
              <w:rPr>
                <w:b/>
                <w:bCs/>
                <w:color w:val="FFFFFF" w:themeColor="background1"/>
              </w:rPr>
            </w:pPr>
            <w:r w:rsidRPr="00017B0E">
              <w:rPr>
                <w:b/>
                <w:bCs/>
                <w:color w:val="FFFFFF" w:themeColor="background1"/>
              </w:rPr>
              <w:t>Person C</w:t>
            </w:r>
          </w:p>
        </w:tc>
        <w:tc>
          <w:tcPr>
            <w:tcW w:w="1659" w:type="pct"/>
            <w:tcBorders>
              <w:top w:val="single" w:sz="4" w:space="0" w:color="1B556B"/>
              <w:left w:val="single" w:sz="4" w:space="0" w:color="1B556B"/>
              <w:bottom w:val="single" w:sz="4" w:space="0" w:color="1B556B"/>
              <w:right w:val="single" w:sz="4" w:space="0" w:color="1B556B"/>
            </w:tcBorders>
          </w:tcPr>
          <w:p w14:paraId="779E296C" w14:textId="77777777" w:rsidR="00D10DE4" w:rsidRPr="00747EF6" w:rsidRDefault="00D10DE4" w:rsidP="00A517B5">
            <w:pPr>
              <w:pStyle w:val="TableText"/>
            </w:pPr>
            <w:r w:rsidRPr="00747EF6">
              <w:t>Prohibited</w:t>
            </w:r>
          </w:p>
        </w:tc>
        <w:tc>
          <w:tcPr>
            <w:tcW w:w="2007" w:type="pct"/>
            <w:tcBorders>
              <w:top w:val="single" w:sz="4" w:space="0" w:color="1B556B"/>
              <w:left w:val="single" w:sz="4" w:space="0" w:color="1B556B"/>
              <w:bottom w:val="single" w:sz="4" w:space="0" w:color="1B556B"/>
              <w:right w:val="nil"/>
            </w:tcBorders>
          </w:tcPr>
          <w:p w14:paraId="09A81317" w14:textId="77777777" w:rsidR="00D10DE4" w:rsidRPr="00747EF6" w:rsidRDefault="00D10DE4" w:rsidP="00A517B5">
            <w:pPr>
              <w:pStyle w:val="TableText"/>
            </w:pPr>
            <w:r w:rsidRPr="00747EF6">
              <w:t>Prohibited (as above)</w:t>
            </w:r>
          </w:p>
        </w:tc>
      </w:tr>
    </w:tbl>
    <w:p w14:paraId="3082B6A7" w14:textId="77777777" w:rsidR="00D10DE4" w:rsidRPr="00747EF6" w:rsidRDefault="00D10DE4" w:rsidP="00D10DE4">
      <w:pPr>
        <w:pStyle w:val="BodyText"/>
      </w:pPr>
      <w:r w:rsidRPr="00747EF6">
        <w:t>However, there could be scenarios where</w:t>
      </w:r>
      <w:r>
        <w:t>, for example,</w:t>
      </w:r>
      <w:r w:rsidRPr="00747EF6">
        <w:t xml:space="preserve"> a person who receives inside information may need to trade to meet a legal obligation that may require forms of exclusions or exemptions.</w:t>
      </w:r>
    </w:p>
    <w:p w14:paraId="21A5E808" w14:textId="77777777" w:rsidR="00D10DE4" w:rsidRPr="00747EF6" w:rsidRDefault="00D10DE4" w:rsidP="00D10DE4">
      <w:pPr>
        <w:pStyle w:val="BodyText"/>
      </w:pPr>
      <w:r w:rsidRPr="00747EF6">
        <w:t xml:space="preserve">In these circumstances, we consider a likely source of a person becoming an NZU information insider is through targeted consultation. In this instance, it may be appropriate for the </w:t>
      </w:r>
      <w:r>
        <w:t>G</w:t>
      </w:r>
      <w:r w:rsidRPr="00747EF6">
        <w:t xml:space="preserve">overnment to first consider its approach to consultation, and whether it may have a negative impact on one or more persons with legal surrender obligations. </w:t>
      </w:r>
    </w:p>
    <w:p w14:paraId="74C339B1" w14:textId="77777777" w:rsidR="00D10DE4" w:rsidRPr="00747EF6" w:rsidRDefault="00D10DE4" w:rsidP="00D10DE4">
      <w:pPr>
        <w:pStyle w:val="BodyText"/>
      </w:pPr>
      <w:r w:rsidRPr="00747EF6">
        <w:t>Second, matters may also be manageable by clearly stating that the terms of the targeted consultation may involve the recipients becoming NZU information insiders and are thereby prohibited from trading for a defined period. We may also consider whether future exclusions and/or modifications may be appropriate if this approach is insufficient.</w:t>
      </w:r>
    </w:p>
    <w:p w14:paraId="008943C0" w14:textId="77777777" w:rsidR="00D10DE4" w:rsidRPr="00747EF6" w:rsidRDefault="00D10DE4" w:rsidP="00D10DE4">
      <w:pPr>
        <w:pStyle w:val="Heading4"/>
      </w:pPr>
      <w:bookmarkStart w:id="84" w:name="_Government_information_as"/>
      <w:bookmarkEnd w:id="84"/>
      <w:r w:rsidRPr="00747EF6">
        <w:t>Government information as material information</w:t>
      </w:r>
    </w:p>
    <w:p w14:paraId="2CF8C763" w14:textId="77777777" w:rsidR="00D10DE4" w:rsidRPr="00747EF6" w:rsidRDefault="00D10DE4" w:rsidP="00D10DE4">
      <w:pPr>
        <w:pStyle w:val="BodyText"/>
      </w:pPr>
      <w:r w:rsidRPr="00747EF6">
        <w:t xml:space="preserve">In relation to NZUs, we propose a much narrower and </w:t>
      </w:r>
      <w:r>
        <w:t xml:space="preserve">more </w:t>
      </w:r>
      <w:r w:rsidRPr="00747EF6">
        <w:t xml:space="preserve">tailored definition of material information for prohibitions on insider trading, </w:t>
      </w:r>
      <w:r>
        <w:t>which</w:t>
      </w:r>
      <w:r w:rsidRPr="00747EF6">
        <w:t xml:space="preserve"> would apply where a person holds material non-public information about </w:t>
      </w:r>
      <w:r w:rsidRPr="00747EF6">
        <w:rPr>
          <w:i/>
        </w:rPr>
        <w:t>government policy only</w:t>
      </w:r>
      <w:r w:rsidRPr="00747EF6">
        <w:t>.</w:t>
      </w:r>
      <w:r w:rsidRPr="00747EF6">
        <w:rPr>
          <w:vertAlign w:val="superscript"/>
        </w:rPr>
        <w:footnoteReference w:id="21"/>
      </w:r>
      <w:r w:rsidRPr="00747EF6">
        <w:t xml:space="preserve"> As part of this discussion document, we are seeking your feedback on:</w:t>
      </w:r>
    </w:p>
    <w:p w14:paraId="5F05E201" w14:textId="77777777" w:rsidR="00D10DE4" w:rsidRPr="00747EF6" w:rsidRDefault="00D10DE4" w:rsidP="00D10DE4">
      <w:pPr>
        <w:pStyle w:val="Bullet"/>
        <w:tabs>
          <w:tab w:val="num" w:pos="397"/>
        </w:tabs>
        <w:spacing w:line="280" w:lineRule="exact"/>
      </w:pPr>
      <w:r w:rsidRPr="00747EF6">
        <w:t>what information should be considered government policy</w:t>
      </w:r>
      <w:r>
        <w:t xml:space="preserve"> –</w:t>
      </w:r>
      <w:r w:rsidRPr="00747EF6">
        <w:t xml:space="preserve"> for example</w:t>
      </w:r>
      <w:r>
        <w:t>,</w:t>
      </w:r>
      <w:r w:rsidRPr="00747EF6">
        <w:t xml:space="preserve"> decisions approved by Cabinet or policy under active consideration</w:t>
      </w:r>
    </w:p>
    <w:p w14:paraId="7FBC18D0" w14:textId="77777777" w:rsidR="00D10DE4" w:rsidRPr="00747EF6" w:rsidRDefault="00D10DE4" w:rsidP="00D10DE4">
      <w:pPr>
        <w:pStyle w:val="Bullet"/>
        <w:tabs>
          <w:tab w:val="num" w:pos="397"/>
        </w:tabs>
        <w:spacing w:line="280" w:lineRule="exact"/>
      </w:pPr>
      <w:r w:rsidRPr="00747EF6">
        <w:t xml:space="preserve">what stakeholders expect from </w:t>
      </w:r>
      <w:r>
        <w:t>the G</w:t>
      </w:r>
      <w:r w:rsidRPr="00747EF6">
        <w:t>overnment in terms of disclosures and publishing of information.</w:t>
      </w:r>
    </w:p>
    <w:p w14:paraId="6E10E0FD" w14:textId="77777777" w:rsidR="00D10DE4" w:rsidRPr="00747EF6" w:rsidRDefault="00D10DE4" w:rsidP="00D10DE4">
      <w:pPr>
        <w:pStyle w:val="BodyText"/>
      </w:pPr>
      <w:r w:rsidRPr="00747EF6">
        <w:t xml:space="preserve">Our objective is to provide sufficient transparency and to not impede </w:t>
      </w:r>
      <w:r>
        <w:t>the G</w:t>
      </w:r>
      <w:r w:rsidRPr="00747EF6">
        <w:t>overnment’s ability to consult on and test proposals with the marketplace.</w:t>
      </w:r>
    </w:p>
    <w:p w14:paraId="18944CD0" w14:textId="19FACB72" w:rsidR="00D10DE4" w:rsidRPr="00747EF6" w:rsidRDefault="00D10DE4" w:rsidP="00D10DE4">
      <w:pPr>
        <w:pStyle w:val="BodyText"/>
      </w:pPr>
      <w:r w:rsidRPr="00747EF6">
        <w:t xml:space="preserve">However, the definition of </w:t>
      </w:r>
      <w:r>
        <w:t>‘</w:t>
      </w:r>
      <w:r w:rsidRPr="00747EF6">
        <w:t>information insider</w:t>
      </w:r>
      <w:r>
        <w:t>’</w:t>
      </w:r>
      <w:r w:rsidRPr="00747EF6">
        <w:t xml:space="preserve"> is broad enough to capture third</w:t>
      </w:r>
      <w:r>
        <w:t xml:space="preserve"> </w:t>
      </w:r>
      <w:r w:rsidRPr="00747EF6">
        <w:t>parties if they hold material information relating to the government that they ought to reasonably know is material information and generally not available to the market.</w:t>
      </w:r>
    </w:p>
    <w:tbl>
      <w:tblPr>
        <w:tblStyle w:val="TableGrid"/>
        <w:tblW w:w="4938" w:type="pct"/>
        <w:tblInd w:w="108" w:type="dxa"/>
        <w:tblBorders>
          <w:top w:val="single" w:sz="4" w:space="0" w:color="C3E2EF" w:themeColor="accent1" w:themeTint="33"/>
          <w:left w:val="single" w:sz="4" w:space="0" w:color="C3E2EF" w:themeColor="accent1" w:themeTint="33"/>
          <w:bottom w:val="single" w:sz="4" w:space="0" w:color="C3E2EF" w:themeColor="accent1" w:themeTint="33"/>
          <w:right w:val="single" w:sz="4" w:space="0" w:color="C3E2EF" w:themeColor="accent1" w:themeTint="33"/>
          <w:insideH w:val="single" w:sz="4" w:space="0" w:color="C3E2EF" w:themeColor="accent1" w:themeTint="33"/>
          <w:insideV w:val="single" w:sz="4" w:space="0" w:color="C3E2EF" w:themeColor="accent1" w:themeTint="33"/>
        </w:tblBorders>
        <w:shd w:val="clear" w:color="auto" w:fill="D2DDE2"/>
        <w:tblLook w:val="04A0" w:firstRow="1" w:lastRow="0" w:firstColumn="1" w:lastColumn="0" w:noHBand="0" w:noVBand="1"/>
      </w:tblPr>
      <w:tblGrid>
        <w:gridCol w:w="8400"/>
      </w:tblGrid>
      <w:tr w:rsidR="00D10DE4" w:rsidRPr="00BE2A87" w14:paraId="01E2075C" w14:textId="77777777" w:rsidTr="00BE2A87">
        <w:tc>
          <w:tcPr>
            <w:tcW w:w="5000" w:type="pct"/>
            <w:tcBorders>
              <w:top w:val="nil"/>
              <w:left w:val="nil"/>
              <w:bottom w:val="nil"/>
              <w:right w:val="nil"/>
            </w:tcBorders>
            <w:shd w:val="clear" w:color="auto" w:fill="D2DDE2"/>
          </w:tcPr>
          <w:p w14:paraId="0C5387A1" w14:textId="77777777" w:rsidR="00D10DE4" w:rsidRPr="00A517B5" w:rsidRDefault="00D10DE4" w:rsidP="00A517B5">
            <w:pPr>
              <w:pStyle w:val="Blueboxtext"/>
              <w:spacing w:after="0"/>
              <w:rPr>
                <w:b/>
                <w:bCs/>
              </w:rPr>
            </w:pPr>
            <w:r w:rsidRPr="00A517B5">
              <w:rPr>
                <w:b/>
                <w:bCs/>
              </w:rPr>
              <w:lastRenderedPageBreak/>
              <w:t>Example</w:t>
            </w:r>
          </w:p>
          <w:p w14:paraId="7B86EA93" w14:textId="58B183A2" w:rsidR="00D10DE4" w:rsidRPr="00BE2A87" w:rsidRDefault="00D10DE4" w:rsidP="00A517B5">
            <w:pPr>
              <w:pStyle w:val="Blueboxtext"/>
            </w:pPr>
            <w:r w:rsidRPr="00BE2A87">
              <w:t>If a government employee or other person (Person A) became aware that the Government was planning to announce a policy that would materially reduce demand for NZUs, and Person A encouraged another person (Person B) to trade NZUs, Person B would be prohibited from trading if a reasonable person would expect that information to have a material effect on the price of NZUs on the licensed exchange(s).</w:t>
            </w:r>
          </w:p>
        </w:tc>
      </w:tr>
    </w:tbl>
    <w:p w14:paraId="574114EF" w14:textId="77777777" w:rsidR="00D10DE4" w:rsidRPr="00747EF6" w:rsidRDefault="00D10DE4" w:rsidP="00D10DE4">
      <w:pPr>
        <w:pStyle w:val="BodyText"/>
      </w:pPr>
      <w:r w:rsidRPr="00747EF6">
        <w:t>The proposed approach reflects that information about government policy is the source of information</w:t>
      </w:r>
      <w:r>
        <w:t xml:space="preserve"> most likely to have </w:t>
      </w:r>
      <w:r w:rsidRPr="00747EF6">
        <w:t xml:space="preserve">a material impact on NZU price. It provides greater clarity for NZU market users about what is and is not insider trading. </w:t>
      </w:r>
    </w:p>
    <w:tbl>
      <w:tblPr>
        <w:tblStyle w:val="TableGrid"/>
        <w:tblW w:w="4938" w:type="pct"/>
        <w:tblInd w:w="108" w:type="dxa"/>
        <w:tblBorders>
          <w:top w:val="single" w:sz="4" w:space="0" w:color="C3E2EF" w:themeColor="accent1" w:themeTint="33"/>
          <w:left w:val="single" w:sz="4" w:space="0" w:color="C3E2EF" w:themeColor="accent1" w:themeTint="33"/>
          <w:bottom w:val="single" w:sz="4" w:space="0" w:color="C3E2EF" w:themeColor="accent1" w:themeTint="33"/>
          <w:right w:val="single" w:sz="4" w:space="0" w:color="C3E2EF" w:themeColor="accent1" w:themeTint="33"/>
          <w:insideH w:val="single" w:sz="4" w:space="0" w:color="C3E2EF" w:themeColor="accent1" w:themeTint="33"/>
          <w:insideV w:val="single" w:sz="4" w:space="0" w:color="C3E2EF" w:themeColor="accent1" w:themeTint="33"/>
        </w:tblBorders>
        <w:shd w:val="clear" w:color="auto" w:fill="D2DDE2"/>
        <w:tblLook w:val="04A0" w:firstRow="1" w:lastRow="0" w:firstColumn="1" w:lastColumn="0" w:noHBand="0" w:noVBand="1"/>
      </w:tblPr>
      <w:tblGrid>
        <w:gridCol w:w="8400"/>
      </w:tblGrid>
      <w:tr w:rsidR="00D10DE4" w:rsidRPr="00BE2A87" w14:paraId="462269DA" w14:textId="77777777" w:rsidTr="00BE2A87">
        <w:tc>
          <w:tcPr>
            <w:tcW w:w="5000" w:type="pct"/>
            <w:tcBorders>
              <w:top w:val="nil"/>
              <w:left w:val="nil"/>
              <w:bottom w:val="nil"/>
              <w:right w:val="nil"/>
            </w:tcBorders>
            <w:shd w:val="clear" w:color="auto" w:fill="D2DDE2"/>
          </w:tcPr>
          <w:p w14:paraId="76CCFDB9" w14:textId="77777777" w:rsidR="00D10DE4" w:rsidRPr="00A517B5" w:rsidRDefault="00D10DE4" w:rsidP="00A517B5">
            <w:pPr>
              <w:pStyle w:val="Blueboxtext"/>
              <w:spacing w:after="0"/>
              <w:rPr>
                <w:b/>
                <w:bCs/>
              </w:rPr>
            </w:pPr>
            <w:r w:rsidRPr="00A517B5">
              <w:rPr>
                <w:b/>
                <w:bCs/>
              </w:rPr>
              <w:t>Example</w:t>
            </w:r>
          </w:p>
          <w:p w14:paraId="312E9E70" w14:textId="77777777" w:rsidR="00D10DE4" w:rsidRPr="00BE2A87" w:rsidRDefault="00D10DE4" w:rsidP="00A517B5">
            <w:pPr>
              <w:pStyle w:val="Blueboxtext"/>
            </w:pPr>
            <w:r w:rsidRPr="00BE2A87">
              <w:t xml:space="preserve">A person is not prohibited from trading if they have knowledge that a large emitter that is an NZU market user is planning to stop operations and reduce future demand for NZUs, because that emitter is neither an issuer of quoted financial products nor subject to any disclosure (or continuous disclosure) obligations in the NZU market. </w:t>
            </w:r>
          </w:p>
          <w:p w14:paraId="64810ED2" w14:textId="0CC9D2D1" w:rsidR="00D10DE4" w:rsidRPr="00BE2A87" w:rsidRDefault="00D10DE4" w:rsidP="00A517B5">
            <w:pPr>
              <w:pStyle w:val="Blueboxtext"/>
            </w:pPr>
            <w:r w:rsidRPr="00BE2A87">
              <w:t xml:space="preserve">Also, knowledge of a person’s own intentions or activities is not considered insider trading. This generally allows for an NZU market user to buy and sell NZUs </w:t>
            </w:r>
            <w:proofErr w:type="gramStart"/>
            <w:r w:rsidRPr="00BE2A87">
              <w:t>in the course of</w:t>
            </w:r>
            <w:proofErr w:type="gramEnd"/>
            <w:r w:rsidRPr="00BE2A87">
              <w:t xml:space="preserve"> normal business, and for an adviser to advise a NZU market user to buy or sell NZUs in the course of normal business.</w:t>
            </w:r>
          </w:p>
        </w:tc>
      </w:tr>
    </w:tbl>
    <w:p w14:paraId="3143A8B0" w14:textId="77777777" w:rsidR="00D10DE4" w:rsidRPr="00747EF6" w:rsidRDefault="00D10DE4" w:rsidP="00D10DE4">
      <w:pPr>
        <w:pStyle w:val="BodyText"/>
      </w:pPr>
      <w:r w:rsidRPr="00747EF6">
        <w:t>We propose that the same offences and penalties could apply as in financial markets where</w:t>
      </w:r>
      <w:r>
        <w:t>,</w:t>
      </w:r>
      <w:r w:rsidRPr="00747EF6">
        <w:t xml:space="preserve"> in serious cases, insider trading may amount to a criminal offence and can be punishable with up to five years</w:t>
      </w:r>
      <w:r>
        <w:t>’</w:t>
      </w:r>
      <w:r w:rsidRPr="00747EF6">
        <w:t xml:space="preserve"> imprisonment and a maximum fine of $500,000 for individuals or $2.5 million for companies. </w:t>
      </w:r>
    </w:p>
    <w:tbl>
      <w:tblPr>
        <w:tblStyle w:val="TableGrid"/>
        <w:tblW w:w="493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8400"/>
      </w:tblGrid>
      <w:tr w:rsidR="00D10DE4" w:rsidRPr="00747EF6" w14:paraId="6C1999F7" w14:textId="77777777" w:rsidTr="00833810">
        <w:tc>
          <w:tcPr>
            <w:tcW w:w="5000" w:type="pct"/>
            <w:shd w:val="clear" w:color="auto" w:fill="D2DDE2"/>
          </w:tcPr>
          <w:p w14:paraId="414140E9" w14:textId="77777777" w:rsidR="00A517B5" w:rsidRPr="00A517B5" w:rsidRDefault="00A517B5" w:rsidP="00A517B5">
            <w:pPr>
              <w:pStyle w:val="Blueboxtext"/>
              <w:spacing w:after="0"/>
              <w:rPr>
                <w:b/>
                <w:bCs/>
              </w:rPr>
            </w:pPr>
            <w:r w:rsidRPr="00A517B5">
              <w:rPr>
                <w:b/>
                <w:bCs/>
              </w:rPr>
              <w:t>Question 1</w:t>
            </w:r>
          </w:p>
          <w:p w14:paraId="7F63F21F" w14:textId="2D13CB40" w:rsidR="00A517B5" w:rsidRPr="00BE2A87" w:rsidRDefault="00A517B5" w:rsidP="00A517B5">
            <w:pPr>
              <w:pStyle w:val="Blueboxtext"/>
            </w:pPr>
            <w:r w:rsidRPr="00BE2A87">
              <w:t>What are your views on the proposed insider</w:t>
            </w:r>
            <w:r w:rsidR="00A2195C">
              <w:t>-</w:t>
            </w:r>
            <w:r w:rsidRPr="00BE2A87">
              <w:t xml:space="preserve">trading prohibition? </w:t>
            </w:r>
          </w:p>
          <w:p w14:paraId="384C9A68" w14:textId="77777777" w:rsidR="00A517B5" w:rsidRPr="00A517B5" w:rsidRDefault="00A517B5" w:rsidP="00A517B5">
            <w:pPr>
              <w:pStyle w:val="Blueboxtext"/>
              <w:spacing w:after="0"/>
              <w:rPr>
                <w:b/>
                <w:bCs/>
              </w:rPr>
            </w:pPr>
            <w:r w:rsidRPr="00A517B5">
              <w:rPr>
                <w:b/>
                <w:bCs/>
              </w:rPr>
              <w:t>Question 2</w:t>
            </w:r>
          </w:p>
          <w:p w14:paraId="6DCC4718" w14:textId="6B691137" w:rsidR="00A517B5" w:rsidRPr="00BE2A87" w:rsidRDefault="00A517B5" w:rsidP="00A517B5">
            <w:pPr>
              <w:pStyle w:val="Blueboxtext"/>
            </w:pPr>
            <w:r w:rsidRPr="00BE2A87">
              <w:t>In what way could these</w:t>
            </w:r>
            <w:r w:rsidR="00357E1C">
              <w:t xml:space="preserve"> insider trading</w:t>
            </w:r>
            <w:r w:rsidRPr="00BE2A87">
              <w:t xml:space="preserve"> obligations </w:t>
            </w:r>
            <w:r w:rsidR="00357E1C">
              <w:t xml:space="preserve">impact </w:t>
            </w:r>
            <w:r w:rsidRPr="00BE2A87">
              <w:t xml:space="preserve">any other forms of legitimate conduct? </w:t>
            </w:r>
          </w:p>
          <w:p w14:paraId="50D05037" w14:textId="77777777" w:rsidR="00A517B5" w:rsidRPr="00A517B5" w:rsidRDefault="00A517B5" w:rsidP="00A517B5">
            <w:pPr>
              <w:pStyle w:val="Blueboxtext"/>
              <w:spacing w:after="0"/>
              <w:rPr>
                <w:b/>
                <w:bCs/>
              </w:rPr>
            </w:pPr>
            <w:r w:rsidRPr="00A517B5">
              <w:rPr>
                <w:b/>
                <w:bCs/>
              </w:rPr>
              <w:t>Question 3</w:t>
            </w:r>
          </w:p>
          <w:p w14:paraId="62A2286B" w14:textId="77777777" w:rsidR="00A517B5" w:rsidRPr="00BE2A87" w:rsidRDefault="00A517B5" w:rsidP="00A517B5">
            <w:pPr>
              <w:pStyle w:val="Blueboxtext"/>
            </w:pPr>
            <w:r w:rsidRPr="00BE2A87">
              <w:t>What other types of insider trading should be prohibited?</w:t>
            </w:r>
          </w:p>
          <w:p w14:paraId="01F573EE" w14:textId="77777777" w:rsidR="00A517B5" w:rsidRPr="00A517B5" w:rsidRDefault="00A517B5" w:rsidP="00A517B5">
            <w:pPr>
              <w:pStyle w:val="Blueboxtext"/>
              <w:spacing w:after="0"/>
              <w:rPr>
                <w:b/>
                <w:bCs/>
              </w:rPr>
            </w:pPr>
            <w:r w:rsidRPr="00A517B5">
              <w:rPr>
                <w:b/>
                <w:bCs/>
              </w:rPr>
              <w:t>Question 4</w:t>
            </w:r>
          </w:p>
          <w:p w14:paraId="406D29E2" w14:textId="77777777" w:rsidR="00A517B5" w:rsidRPr="00BE2A87" w:rsidRDefault="00A517B5" w:rsidP="00A517B5">
            <w:pPr>
              <w:pStyle w:val="Blueboxtext"/>
            </w:pPr>
            <w:r w:rsidRPr="00BE2A87">
              <w:t>What information should be defined as ‘government policy’ in the context of insider trading?</w:t>
            </w:r>
          </w:p>
          <w:p w14:paraId="36EC9454" w14:textId="77777777" w:rsidR="00A517B5" w:rsidRPr="00A517B5" w:rsidRDefault="00A517B5" w:rsidP="00A517B5">
            <w:pPr>
              <w:pStyle w:val="Blueboxtext"/>
              <w:spacing w:after="0"/>
              <w:rPr>
                <w:b/>
                <w:bCs/>
              </w:rPr>
            </w:pPr>
            <w:r w:rsidRPr="00A517B5">
              <w:rPr>
                <w:b/>
                <w:bCs/>
              </w:rPr>
              <w:t>Question 5</w:t>
            </w:r>
          </w:p>
          <w:p w14:paraId="2D032119" w14:textId="77777777" w:rsidR="00A517B5" w:rsidRPr="00A517B5" w:rsidRDefault="00A517B5" w:rsidP="00A517B5">
            <w:pPr>
              <w:pStyle w:val="Blueboxtext"/>
            </w:pPr>
            <w:r w:rsidRPr="00BE2A87">
              <w:t>What other type of information should be considered ‘material non-public information’ in the context of insider trading and the NZU market?</w:t>
            </w:r>
          </w:p>
        </w:tc>
      </w:tr>
    </w:tbl>
    <w:p w14:paraId="2D34896D" w14:textId="77777777" w:rsidR="00D10DE4" w:rsidRPr="00747EF6" w:rsidRDefault="00D10DE4" w:rsidP="00D10DE4">
      <w:pPr>
        <w:pStyle w:val="Heading4"/>
      </w:pPr>
      <w:bookmarkStart w:id="85" w:name="_Market_manipulation_would"/>
      <w:bookmarkEnd w:id="85"/>
      <w:r w:rsidRPr="00747EF6">
        <w:t>Market manipulation would be prohibited</w:t>
      </w:r>
    </w:p>
    <w:p w14:paraId="5388D544" w14:textId="77777777" w:rsidR="00D10DE4" w:rsidRPr="00747EF6" w:rsidRDefault="00D10DE4" w:rsidP="00D10DE4">
      <w:pPr>
        <w:pStyle w:val="BodyText"/>
      </w:pPr>
      <w:r w:rsidRPr="00747EF6">
        <w:t>Market manipulation is where someone misleads (or attempts to mislead) the market through false or misleading information or statements</w:t>
      </w:r>
      <w:r>
        <w:t>,</w:t>
      </w:r>
      <w:r w:rsidRPr="00747EF6">
        <w:t xml:space="preserve"> or by giving a false appearance of trading activity, supply, demand, or the value of financial products.</w:t>
      </w:r>
    </w:p>
    <w:p w14:paraId="436A7429" w14:textId="38C6694F" w:rsidR="00D10DE4" w:rsidRPr="00747EF6" w:rsidRDefault="00D10DE4" w:rsidP="00D10DE4">
      <w:pPr>
        <w:pStyle w:val="BodyText"/>
      </w:pPr>
      <w:r w:rsidRPr="00747EF6">
        <w:lastRenderedPageBreak/>
        <w:t>The FMC Act includes provisions for two types of market manipulation in relation to financial products traded on licensed markets</w:t>
      </w:r>
      <w:r w:rsidR="00FA6195">
        <w:t>:</w:t>
      </w:r>
      <w:r w:rsidRPr="00747EF6">
        <w:t xml:space="preserve"> </w:t>
      </w:r>
    </w:p>
    <w:p w14:paraId="65F7164B" w14:textId="160DF240" w:rsidR="00D10DE4" w:rsidRDefault="00D10DE4" w:rsidP="00D10DE4">
      <w:pPr>
        <w:pStyle w:val="Bullet"/>
        <w:tabs>
          <w:tab w:val="num" w:pos="397"/>
        </w:tabs>
        <w:spacing w:line="280" w:lineRule="exact"/>
      </w:pPr>
      <w:r>
        <w:t>I</w:t>
      </w:r>
      <w:r w:rsidRPr="00747EF6">
        <w:t>nformation-based manipulation (</w:t>
      </w:r>
      <w:hyperlink r:id="rId31" w:history="1">
        <w:r w:rsidRPr="00BF4BCE">
          <w:rPr>
            <w:rStyle w:val="Hyperlink"/>
          </w:rPr>
          <w:t>section 262</w:t>
        </w:r>
      </w:hyperlink>
      <w:r w:rsidRPr="00747EF6">
        <w:t>): This is where someone says something </w:t>
      </w:r>
      <w:r>
        <w:t>–</w:t>
      </w:r>
      <w:r w:rsidRPr="00747EF6">
        <w:t xml:space="preserve"> or otherwise shares information </w:t>
      </w:r>
      <w:r>
        <w:t>–</w:t>
      </w:r>
      <w:r w:rsidRPr="00747EF6">
        <w:t xml:space="preserve"> that they know (or should know) contains information that is false or materially misleading, and which is likely to</w:t>
      </w:r>
      <w:r>
        <w:t>:</w:t>
      </w:r>
    </w:p>
    <w:p w14:paraId="531F2D70" w14:textId="77777777" w:rsidR="00D10DE4" w:rsidRDefault="00D10DE4" w:rsidP="00D10DE4">
      <w:pPr>
        <w:pStyle w:val="Sub-list"/>
        <w:tabs>
          <w:tab w:val="num" w:pos="397"/>
        </w:tabs>
      </w:pPr>
      <w:r w:rsidRPr="00747EF6">
        <w:t>induce a person</w:t>
      </w:r>
      <w:r w:rsidRPr="00747EF6" w:rsidDel="00F10475">
        <w:t xml:space="preserve"> </w:t>
      </w:r>
      <w:r w:rsidRPr="00747EF6">
        <w:t xml:space="preserve">to trade </w:t>
      </w:r>
      <w:r w:rsidRPr="00747EF6" w:rsidDel="007A2E26">
        <w:t>in</w:t>
      </w:r>
      <w:r w:rsidRPr="00747EF6">
        <w:t xml:space="preserve"> financial products</w:t>
      </w:r>
    </w:p>
    <w:p w14:paraId="6E1EF4A1" w14:textId="77777777" w:rsidR="00D10DE4" w:rsidRDefault="00D10DE4" w:rsidP="00D10DE4">
      <w:pPr>
        <w:pStyle w:val="Sub-list"/>
        <w:tabs>
          <w:tab w:val="num" w:pos="397"/>
        </w:tabs>
      </w:pPr>
      <w:r w:rsidRPr="00747EF6">
        <w:t>impact the price for trading those products</w:t>
      </w:r>
    </w:p>
    <w:p w14:paraId="349BC79D" w14:textId="77777777" w:rsidR="00D10DE4" w:rsidRPr="00747EF6" w:rsidRDefault="00D10DE4" w:rsidP="00D10DE4">
      <w:pPr>
        <w:pStyle w:val="Sub-list"/>
        <w:tabs>
          <w:tab w:val="num" w:pos="397"/>
        </w:tabs>
      </w:pPr>
      <w:r w:rsidRPr="00747EF6">
        <w:t>impact the way a person exercises any voting rights associated with a financial product.</w:t>
      </w:r>
    </w:p>
    <w:p w14:paraId="5745A714" w14:textId="77777777" w:rsidR="00D10DE4" w:rsidRPr="00747EF6" w:rsidRDefault="00D10DE4" w:rsidP="00D10DE4">
      <w:pPr>
        <w:pStyle w:val="Bullet"/>
        <w:tabs>
          <w:tab w:val="num" w:pos="397"/>
        </w:tabs>
        <w:spacing w:line="280" w:lineRule="exact"/>
      </w:pPr>
      <w:r>
        <w:t>T</w:t>
      </w:r>
      <w:r w:rsidRPr="00747EF6">
        <w:t>ransaction-based manipulation (</w:t>
      </w:r>
      <w:hyperlink r:id="rId32" w:history="1">
        <w:r w:rsidRPr="00D230DB">
          <w:rPr>
            <w:rStyle w:val="Hyperlink"/>
          </w:rPr>
          <w:t>section 265</w:t>
        </w:r>
      </w:hyperlink>
      <w:r w:rsidRPr="00747EF6">
        <w:t>): This is where someone does something, or chooses not to do something, that the person knows or ought to reasonably know will (or could) give a false or misleading impression about the extent of trading activity of a financial product or about its popularity, availability, price or value.</w:t>
      </w:r>
    </w:p>
    <w:p w14:paraId="26278A53" w14:textId="77777777" w:rsidR="00D10DE4" w:rsidRPr="00747EF6" w:rsidRDefault="00D10DE4" w:rsidP="00D10DE4">
      <w:pPr>
        <w:pStyle w:val="BodyText"/>
      </w:pPr>
      <w:r w:rsidRPr="00747EF6">
        <w:t>Market manipulation could include</w:t>
      </w:r>
      <w:r>
        <w:t xml:space="preserve"> </w:t>
      </w:r>
      <w:r w:rsidRPr="00747EF6">
        <w:t xml:space="preserve">a person placing, or giving the impression that they will place, orders on a licensed financial product market to buy a product when they do not actually want or intend to buy </w:t>
      </w:r>
      <w:r>
        <w:t>it</w:t>
      </w:r>
      <w:r w:rsidRPr="00747EF6">
        <w:t>. This would give a false impression of demand for the product.</w:t>
      </w:r>
    </w:p>
    <w:p w14:paraId="55F266BF" w14:textId="77777777" w:rsidR="00D10DE4" w:rsidRPr="00747EF6" w:rsidRDefault="00D10DE4" w:rsidP="00D10DE4">
      <w:pPr>
        <w:pStyle w:val="BodyText"/>
      </w:pPr>
      <w:r w:rsidRPr="00747EF6">
        <w:t>As with insider trading, in the most serious cases, market manipulation may amount to a criminal offence and be punishable with up to five years</w:t>
      </w:r>
      <w:r>
        <w:t>’</w:t>
      </w:r>
      <w:r w:rsidRPr="00747EF6">
        <w:t xml:space="preserve"> imprisonment, and a maximum fine of $500,000 for individuals or $2.5 million for companies.</w:t>
      </w:r>
    </w:p>
    <w:p w14:paraId="4F5C89FF" w14:textId="77777777" w:rsidR="00D10DE4" w:rsidRPr="00747EF6" w:rsidRDefault="00D10DE4" w:rsidP="00D10DE4">
      <w:pPr>
        <w:pStyle w:val="BodyText"/>
      </w:pPr>
      <w:r w:rsidRPr="00747EF6">
        <w:t xml:space="preserve">To promote integrity in NZU markets, we propose that similar market manipulation prohibitions and offences </w:t>
      </w:r>
      <w:r>
        <w:t>that apply in financial markets</w:t>
      </w:r>
      <w:r w:rsidRPr="00747EF6">
        <w:t xml:space="preserve"> could apply to NZUs.</w:t>
      </w:r>
    </w:p>
    <w:tbl>
      <w:tblPr>
        <w:tblStyle w:val="TableGrid"/>
        <w:tblW w:w="493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8400"/>
      </w:tblGrid>
      <w:tr w:rsidR="00833810" w:rsidRPr="00A517B5" w14:paraId="4B238C84" w14:textId="77777777" w:rsidTr="00BE2A87">
        <w:tc>
          <w:tcPr>
            <w:tcW w:w="5000" w:type="pct"/>
            <w:shd w:val="clear" w:color="auto" w:fill="D2DDE2"/>
          </w:tcPr>
          <w:p w14:paraId="6BC3D95D" w14:textId="77777777" w:rsidR="00BE2A87" w:rsidRPr="00A517B5" w:rsidRDefault="00BE2A87" w:rsidP="00A517B5">
            <w:pPr>
              <w:pStyle w:val="Blueboxtext"/>
              <w:spacing w:after="0"/>
              <w:rPr>
                <w:b/>
                <w:bCs/>
              </w:rPr>
            </w:pPr>
            <w:r w:rsidRPr="00A517B5">
              <w:rPr>
                <w:b/>
                <w:bCs/>
              </w:rPr>
              <w:t>Question 6</w:t>
            </w:r>
          </w:p>
          <w:p w14:paraId="5376C73C" w14:textId="77777777" w:rsidR="00BE2A87" w:rsidRPr="00A517B5" w:rsidRDefault="00BE2A87" w:rsidP="00A517B5">
            <w:pPr>
              <w:pStyle w:val="Blueboxtext"/>
            </w:pPr>
            <w:r w:rsidRPr="00A517B5">
              <w:t xml:space="preserve">What are your views on the proposed market manipulation prohibition? </w:t>
            </w:r>
          </w:p>
          <w:p w14:paraId="0EC62BC8" w14:textId="77777777" w:rsidR="00BE2A87" w:rsidRPr="00A517B5" w:rsidRDefault="00BE2A87" w:rsidP="00A517B5">
            <w:pPr>
              <w:pStyle w:val="Blueboxtext"/>
              <w:spacing w:after="0"/>
              <w:rPr>
                <w:b/>
                <w:bCs/>
              </w:rPr>
            </w:pPr>
            <w:r w:rsidRPr="00A517B5">
              <w:rPr>
                <w:b/>
                <w:bCs/>
              </w:rPr>
              <w:t>Question 7</w:t>
            </w:r>
          </w:p>
          <w:p w14:paraId="638A491B" w14:textId="2EC2DF21" w:rsidR="00BE2A87" w:rsidRPr="00A517B5" w:rsidRDefault="00BE2A87" w:rsidP="00A517B5">
            <w:pPr>
              <w:pStyle w:val="Blueboxtext"/>
            </w:pPr>
            <w:r w:rsidRPr="00A517B5">
              <w:t xml:space="preserve">In what way could these </w:t>
            </w:r>
            <w:r w:rsidR="008829C4">
              <w:t xml:space="preserve">market manipulation </w:t>
            </w:r>
            <w:r w:rsidRPr="00A517B5">
              <w:t xml:space="preserve">obligations </w:t>
            </w:r>
            <w:r w:rsidR="008829C4">
              <w:t xml:space="preserve">impact </w:t>
            </w:r>
            <w:r w:rsidRPr="00A517B5">
              <w:t xml:space="preserve">any </w:t>
            </w:r>
            <w:r w:rsidR="00DB3AB7">
              <w:t xml:space="preserve">other </w:t>
            </w:r>
            <w:r w:rsidRPr="00A517B5">
              <w:t>forms of legitimate conduct?</w:t>
            </w:r>
          </w:p>
        </w:tc>
      </w:tr>
    </w:tbl>
    <w:p w14:paraId="2DD27986" w14:textId="77777777" w:rsidR="00D10DE4" w:rsidRPr="00747EF6" w:rsidRDefault="00D10DE4" w:rsidP="00D10DE4">
      <w:pPr>
        <w:pStyle w:val="Heading4"/>
      </w:pPr>
      <w:r w:rsidRPr="00747EF6">
        <w:t xml:space="preserve">Responsibility </w:t>
      </w:r>
      <w:r w:rsidRPr="00747EF6" w:rsidDel="00F72A98">
        <w:t xml:space="preserve">for </w:t>
      </w:r>
      <w:r w:rsidRPr="00747EF6">
        <w:t>insider trading and market manipulation in the NZU market</w:t>
      </w:r>
    </w:p>
    <w:p w14:paraId="7E8CCDC9" w14:textId="77777777" w:rsidR="00D10DE4" w:rsidRPr="00747EF6" w:rsidRDefault="00D10DE4" w:rsidP="00D10DE4">
      <w:pPr>
        <w:pStyle w:val="BodyText"/>
      </w:pPr>
      <w:r w:rsidRPr="00747EF6">
        <w:t>There are two functions in detecting insider trading and market manipulation.</w:t>
      </w:r>
    </w:p>
    <w:p w14:paraId="7ABF9C7D" w14:textId="77777777" w:rsidR="00D10DE4" w:rsidRPr="00747EF6" w:rsidRDefault="00D10DE4" w:rsidP="00D10DE4">
      <w:pPr>
        <w:pStyle w:val="Bullet"/>
        <w:tabs>
          <w:tab w:val="num" w:pos="397"/>
        </w:tabs>
        <w:spacing w:line="280" w:lineRule="exact"/>
      </w:pPr>
      <w:r w:rsidRPr="00E439D2">
        <w:rPr>
          <w:b/>
          <w:bCs/>
        </w:rPr>
        <w:t>Monitoring and surveillance</w:t>
      </w:r>
      <w:r>
        <w:t>, which t</w:t>
      </w:r>
      <w:r w:rsidRPr="00747EF6">
        <w:t>ake</w:t>
      </w:r>
      <w:r>
        <w:t xml:space="preserve"> </w:t>
      </w:r>
      <w:r w:rsidRPr="00747EF6">
        <w:t xml:space="preserve">place on the market frontline. If misconduct is detected by the licensed market operator, it would be forwarded for investigation. </w:t>
      </w:r>
    </w:p>
    <w:p w14:paraId="23E36D02" w14:textId="77777777" w:rsidR="00D10DE4" w:rsidRPr="00747EF6" w:rsidRDefault="00D10DE4" w:rsidP="00D10DE4">
      <w:pPr>
        <w:pStyle w:val="Bullet"/>
        <w:tabs>
          <w:tab w:val="num" w:pos="397"/>
        </w:tabs>
        <w:spacing w:line="280" w:lineRule="exact"/>
      </w:pPr>
      <w:r w:rsidRPr="00E439D2">
        <w:rPr>
          <w:b/>
          <w:bCs/>
        </w:rPr>
        <w:t>Investigation and enforcement</w:t>
      </w:r>
      <w:r>
        <w:t xml:space="preserve">, by which </w:t>
      </w:r>
      <w:r w:rsidRPr="00747EF6">
        <w:t>misconduct would be sent for investigation and</w:t>
      </w:r>
      <w:r>
        <w:t>,</w:t>
      </w:r>
      <w:r w:rsidRPr="00747EF6">
        <w:t xml:space="preserve"> if considered </w:t>
      </w:r>
      <w:r>
        <w:t xml:space="preserve">to have </w:t>
      </w:r>
      <w:r w:rsidRPr="00747EF6">
        <w:t xml:space="preserve">a good basis, </w:t>
      </w:r>
      <w:r>
        <w:t>there is potential for</w:t>
      </w:r>
      <w:r w:rsidRPr="00747EF6">
        <w:t xml:space="preserve"> enforcement via regulatory action or formal proceedings.</w:t>
      </w:r>
    </w:p>
    <w:p w14:paraId="66D9BA78" w14:textId="77777777" w:rsidR="00D10DE4" w:rsidRPr="00BE2A87" w:rsidRDefault="00D10DE4" w:rsidP="00BE2A87">
      <w:pPr>
        <w:pStyle w:val="Heading5"/>
        <w:rPr>
          <w:rStyle w:val="Strong"/>
          <w:b w:val="0"/>
          <w:bCs w:val="0"/>
        </w:rPr>
      </w:pPr>
      <w:r w:rsidRPr="00BE2A87">
        <w:rPr>
          <w:rStyle w:val="Strong"/>
          <w:b w:val="0"/>
          <w:bCs w:val="0"/>
        </w:rPr>
        <w:t>Frontline monitoring and surveillance</w:t>
      </w:r>
    </w:p>
    <w:p w14:paraId="49D37824" w14:textId="77777777" w:rsidR="00D10DE4" w:rsidRPr="00747EF6" w:rsidRDefault="00D10DE4" w:rsidP="00D10DE4">
      <w:pPr>
        <w:pStyle w:val="BodyText"/>
      </w:pPr>
      <w:r w:rsidRPr="00747EF6">
        <w:t>In other financial product markets, a licensed market operator receives both on</w:t>
      </w:r>
      <w:r>
        <w:t>-</w:t>
      </w:r>
      <w:r w:rsidRPr="00747EF6">
        <w:t xml:space="preserve"> and off-market trading information about products quoted on its market and is responsible for the frontline monitoring of insider trading and market manipulation.</w:t>
      </w:r>
    </w:p>
    <w:p w14:paraId="50B4E228" w14:textId="77777777" w:rsidR="00D10DE4" w:rsidRPr="00747EF6" w:rsidRDefault="00D10DE4" w:rsidP="00D10DE4">
      <w:pPr>
        <w:pStyle w:val="BodyText"/>
      </w:pPr>
      <w:r w:rsidRPr="00747EF6">
        <w:lastRenderedPageBreak/>
        <w:t>We propose that in the NZU secondary market there is a frontline monitor for insider trading and market manipulation who can gather information</w:t>
      </w:r>
      <w:r>
        <w:t>,</w:t>
      </w:r>
      <w:r w:rsidRPr="00747EF6">
        <w:t xml:space="preserve"> from both over-the-counter trades and trades that could occur on the proposed optional centralised exchange discussed </w:t>
      </w:r>
      <w:hyperlink w:anchor="_An_optional_centralised" w:history="1">
        <w:r w:rsidRPr="003F4E3A">
          <w:rPr>
            <w:rStyle w:val="Hyperlink"/>
          </w:rPr>
          <w:t>below</w:t>
        </w:r>
      </w:hyperlink>
      <w:r w:rsidRPr="00747EF6">
        <w:t>.</w:t>
      </w:r>
    </w:p>
    <w:p w14:paraId="4654F3A5" w14:textId="77777777" w:rsidR="00D10DE4" w:rsidRPr="003F4E3A" w:rsidRDefault="00D10DE4" w:rsidP="00D10DE4">
      <w:pPr>
        <w:pStyle w:val="Heading5"/>
        <w:rPr>
          <w:rStyle w:val="Strong"/>
          <w:b w:val="0"/>
          <w:bCs w:val="0"/>
        </w:rPr>
      </w:pPr>
      <w:r w:rsidRPr="003F4E3A">
        <w:rPr>
          <w:rStyle w:val="Strong"/>
          <w:b w:val="0"/>
          <w:bCs w:val="0"/>
        </w:rPr>
        <w:t xml:space="preserve">Regulatory responsibility for investigation and enforcement could sit with the FMA </w:t>
      </w:r>
    </w:p>
    <w:p w14:paraId="4413D5FC" w14:textId="77777777" w:rsidR="00D10DE4" w:rsidRPr="00747EF6" w:rsidRDefault="00D10DE4" w:rsidP="00D10DE4">
      <w:pPr>
        <w:pStyle w:val="BodyText"/>
      </w:pPr>
      <w:r w:rsidRPr="00747EF6">
        <w:t>We propose that, in the event misconduct is detected, it will be forwarded to the FMA as the potential regulator of the NZU market</w:t>
      </w:r>
      <w:r>
        <w:t>,</w:t>
      </w:r>
      <w:r w:rsidRPr="00747EF6">
        <w:t xml:space="preserve"> for investigation and possibly enforcement. </w:t>
      </w:r>
    </w:p>
    <w:tbl>
      <w:tblPr>
        <w:tblStyle w:val="TableGrid"/>
        <w:tblW w:w="493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0"/>
      </w:tblGrid>
      <w:tr w:rsidR="00D10DE4" w:rsidRPr="00A517B5" w14:paraId="383DDBE4" w14:textId="77777777" w:rsidTr="00BE2A87">
        <w:tc>
          <w:tcPr>
            <w:tcW w:w="5000" w:type="pct"/>
            <w:shd w:val="clear" w:color="auto" w:fill="D2DDE2"/>
          </w:tcPr>
          <w:p w14:paraId="038E82E8" w14:textId="77777777" w:rsidR="00BE2A87" w:rsidRPr="00A517B5" w:rsidRDefault="00BE2A87" w:rsidP="00A517B5">
            <w:pPr>
              <w:pStyle w:val="Blueboxtext"/>
              <w:spacing w:after="0"/>
              <w:rPr>
                <w:b/>
                <w:bCs/>
                <w:highlight w:val="yellow"/>
              </w:rPr>
            </w:pPr>
            <w:r w:rsidRPr="00A517B5">
              <w:rPr>
                <w:b/>
                <w:bCs/>
              </w:rPr>
              <w:t>Question 8</w:t>
            </w:r>
          </w:p>
          <w:p w14:paraId="0D40B488" w14:textId="77777777" w:rsidR="00BE2A87" w:rsidRPr="00A517B5" w:rsidRDefault="00BE2A87" w:rsidP="00A517B5">
            <w:pPr>
              <w:pStyle w:val="Blueboxtext"/>
            </w:pPr>
            <w:r w:rsidRPr="00A517B5">
              <w:t>The FMA, as the regulator of financial markets, could oversee and regulate the NZU market where we propose similar regulations would apply. What are your views on the FMA having regulatory responsibility over insider trading and market manipulation?</w:t>
            </w:r>
          </w:p>
          <w:p w14:paraId="065A8C5E" w14:textId="77777777" w:rsidR="00BE2A87" w:rsidRPr="00A517B5" w:rsidRDefault="00BE2A87" w:rsidP="00A517B5">
            <w:pPr>
              <w:pStyle w:val="Blueboxtext"/>
              <w:spacing w:after="0"/>
              <w:rPr>
                <w:b/>
                <w:bCs/>
              </w:rPr>
            </w:pPr>
            <w:r w:rsidRPr="00A517B5">
              <w:rPr>
                <w:b/>
                <w:bCs/>
              </w:rPr>
              <w:t>Question 9</w:t>
            </w:r>
          </w:p>
          <w:p w14:paraId="5AC7A626" w14:textId="77777777" w:rsidR="00BE2A87" w:rsidRPr="00A517B5" w:rsidRDefault="00BE2A87" w:rsidP="00A517B5">
            <w:pPr>
              <w:pStyle w:val="Blueboxtext"/>
              <w:rPr>
                <w:highlight w:val="yellow"/>
              </w:rPr>
            </w:pPr>
            <w:r w:rsidRPr="00A517B5">
              <w:t>Do you consider it appropriate to expand the FMA’s remit to include investigation and enforcement responsibilities to the matters set out in topic 1?</w:t>
            </w:r>
          </w:p>
        </w:tc>
      </w:tr>
    </w:tbl>
    <w:p w14:paraId="38299CBC" w14:textId="77777777" w:rsidR="00D10DE4" w:rsidRPr="00747EF6" w:rsidRDefault="00D10DE4" w:rsidP="00D10DE4">
      <w:pPr>
        <w:pStyle w:val="Heading4"/>
      </w:pPr>
      <w:bookmarkStart w:id="86" w:name="_The_NZU_market"/>
      <w:bookmarkEnd w:id="86"/>
      <w:r w:rsidRPr="00747EF6">
        <w:t>The NZU market structure and its interaction with FMC Act insider trading and market manipulation rules</w:t>
      </w:r>
    </w:p>
    <w:p w14:paraId="2F6EA925" w14:textId="77777777" w:rsidR="00D10DE4" w:rsidRPr="00747EF6" w:rsidRDefault="00D10DE4" w:rsidP="00D10DE4">
      <w:pPr>
        <w:pStyle w:val="BodyText"/>
      </w:pPr>
      <w:r w:rsidRPr="00747EF6">
        <w:t xml:space="preserve">In financial product markets, insider trading and market manipulation </w:t>
      </w:r>
      <w:r>
        <w:t>are</w:t>
      </w:r>
      <w:r w:rsidRPr="00747EF6">
        <w:t xml:space="preserve"> prohibited in relation to products </w:t>
      </w:r>
      <w:r>
        <w:t>‘</w:t>
      </w:r>
      <w:r w:rsidRPr="00747EF6">
        <w:t>quoted</w:t>
      </w:r>
      <w:r>
        <w:t>’</w:t>
      </w:r>
      <w:r w:rsidRPr="00747EF6">
        <w:t xml:space="preserve"> on licensed market (</w:t>
      </w:r>
      <w:proofErr w:type="spellStart"/>
      <w:r>
        <w:t>ie</w:t>
      </w:r>
      <w:proofErr w:type="spellEnd"/>
      <w:r>
        <w:t>,</w:t>
      </w:r>
      <w:r w:rsidRPr="00747EF6">
        <w:t xml:space="preserve"> products listed on the NZX). </w:t>
      </w:r>
    </w:p>
    <w:tbl>
      <w:tblPr>
        <w:tblStyle w:val="TableGrid"/>
        <w:tblW w:w="493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E1D3" w:themeFill="accent6" w:themeFillTint="33"/>
        <w:tblLook w:val="04A0" w:firstRow="1" w:lastRow="0" w:firstColumn="1" w:lastColumn="0" w:noHBand="0" w:noVBand="1"/>
      </w:tblPr>
      <w:tblGrid>
        <w:gridCol w:w="8400"/>
      </w:tblGrid>
      <w:tr w:rsidR="00D10DE4" w:rsidRPr="00A517B5" w14:paraId="299575F4" w14:textId="77777777" w:rsidTr="00BE2A87">
        <w:trPr>
          <w:trHeight w:val="1591"/>
        </w:trPr>
        <w:tc>
          <w:tcPr>
            <w:tcW w:w="5000" w:type="pct"/>
            <w:shd w:val="clear" w:color="auto" w:fill="D2DDE2"/>
          </w:tcPr>
          <w:p w14:paraId="435BC9E8" w14:textId="77777777" w:rsidR="00D10DE4" w:rsidRPr="00A517B5" w:rsidRDefault="00D10DE4" w:rsidP="00A517B5">
            <w:pPr>
              <w:pStyle w:val="Blueboxtext"/>
              <w:rPr>
                <w:b/>
                <w:bCs/>
              </w:rPr>
            </w:pPr>
            <w:r w:rsidRPr="00A517B5">
              <w:rPr>
                <w:b/>
                <w:bCs/>
              </w:rPr>
              <w:t>Example</w:t>
            </w:r>
          </w:p>
          <w:p w14:paraId="335D9E7A" w14:textId="77777777" w:rsidR="00D10DE4" w:rsidRPr="00A517B5" w:rsidRDefault="00D10DE4" w:rsidP="00A517B5">
            <w:pPr>
              <w:pStyle w:val="Blueboxtext"/>
            </w:pPr>
            <w:r w:rsidRPr="00A517B5">
              <w:t xml:space="preserve">If Company X’s shares are listed for trading on the NZX, insider trading and market manipulation are prohibited in relation to trading of Company X’s shares – both trading through the NZX exchange or off the exchange (noting that off-exchange transactions are reported to the exchange operator). </w:t>
            </w:r>
          </w:p>
        </w:tc>
      </w:tr>
    </w:tbl>
    <w:p w14:paraId="65DADDFE" w14:textId="77777777" w:rsidR="00D10DE4" w:rsidRPr="00747EF6" w:rsidRDefault="00D10DE4" w:rsidP="00D10DE4">
      <w:pPr>
        <w:pStyle w:val="BodyText"/>
      </w:pPr>
      <w:r w:rsidRPr="00747EF6">
        <w:t xml:space="preserve">Insider trading and market manipulation </w:t>
      </w:r>
      <w:r>
        <w:t>are</w:t>
      </w:r>
      <w:r w:rsidRPr="00747EF6">
        <w:t xml:space="preserve"> not prohibited in the trading of financial products that are not listed on licensed markets. The limitation to quoted financial products aligns with</w:t>
      </w:r>
      <w:r>
        <w:t xml:space="preserve"> the responsibility of</w:t>
      </w:r>
      <w:r w:rsidRPr="00747EF6">
        <w:t xml:space="preserve"> licensed market operators to monitor for insider trading and market manipulation in relation to trading in products quoted on their market. </w:t>
      </w:r>
    </w:p>
    <w:p w14:paraId="188336A3" w14:textId="77777777" w:rsidR="00D10DE4" w:rsidRPr="00747EF6" w:rsidRDefault="00D10DE4" w:rsidP="00D10DE4">
      <w:pPr>
        <w:pStyle w:val="Bullet"/>
        <w:numPr>
          <w:ilvl w:val="0"/>
          <w:numId w:val="0"/>
        </w:numPr>
      </w:pPr>
      <w:r w:rsidRPr="00747EF6">
        <w:t>Given there is only one product being discussed (NZUs), if NZUs are traded (quoted) on one licensed market, applying the FMC Act rules would mean insider trading and market manipulation would be prohibited for all forms of secondary trading of NZUs, whether over</w:t>
      </w:r>
      <w:r>
        <w:t xml:space="preserve"> </w:t>
      </w:r>
      <w:r w:rsidRPr="00747EF6">
        <w:t>the</w:t>
      </w:r>
      <w:r>
        <w:t xml:space="preserve"> </w:t>
      </w:r>
      <w:r w:rsidRPr="00747EF6">
        <w:t xml:space="preserve">counter or through other platforms that may not meet the definition of being a financial product market. </w:t>
      </w:r>
    </w:p>
    <w:p w14:paraId="7CD3CB20" w14:textId="77777777" w:rsidR="00D10DE4" w:rsidRPr="00747EF6" w:rsidRDefault="00D10DE4" w:rsidP="00D10DE4">
      <w:pPr>
        <w:pStyle w:val="BodyText"/>
        <w:rPr>
          <w:rFonts w:eastAsia="Calibri"/>
        </w:rPr>
      </w:pPr>
      <w:r w:rsidRPr="00747EF6">
        <w:t>We will further consider</w:t>
      </w:r>
      <w:r w:rsidRPr="00747EF6" w:rsidDel="000D3AAB">
        <w:t xml:space="preserve"> </w:t>
      </w:r>
      <w:r w:rsidRPr="00747EF6">
        <w:t>the impact of the possible shape of the secondary market for the insider trading and market manipulation provisions and monitoring of those provisions.</w:t>
      </w:r>
    </w:p>
    <w:p w14:paraId="64248881" w14:textId="77777777" w:rsidR="00D10DE4" w:rsidRPr="00747EF6" w:rsidRDefault="00D10DE4" w:rsidP="00D10DE4">
      <w:pPr>
        <w:pStyle w:val="Heading4"/>
        <w:rPr>
          <w:rFonts w:eastAsia="Calibri"/>
        </w:rPr>
      </w:pPr>
      <w:bookmarkStart w:id="87" w:name="_An_optional_centralised"/>
      <w:bookmarkEnd w:id="87"/>
      <w:r w:rsidRPr="00747EF6">
        <w:t>An optional centralised exchange has been agreed to in principle</w:t>
      </w:r>
    </w:p>
    <w:p w14:paraId="68959CB2" w14:textId="77777777" w:rsidR="00D10DE4" w:rsidRPr="00747EF6" w:rsidRDefault="00D10DE4" w:rsidP="00D10DE4">
      <w:pPr>
        <w:pStyle w:val="BodyText"/>
      </w:pPr>
      <w:r>
        <w:t>We are considering</w:t>
      </w:r>
      <w:r w:rsidRPr="00747EF6">
        <w:t xml:space="preserve"> addressing governance of trading risks with an optional centralised exchange, given that the optional centralised exchange would </w:t>
      </w:r>
      <w:r w:rsidRPr="00747EF6" w:rsidDel="002F62E3">
        <w:t>be</w:t>
      </w:r>
      <w:r w:rsidRPr="00747EF6">
        <w:t xml:space="preserve"> designed to preserve the option of treating NZUs as a financial product.</w:t>
      </w:r>
      <w:r>
        <w:t xml:space="preserve"> </w:t>
      </w:r>
    </w:p>
    <w:p w14:paraId="4EA93EB7" w14:textId="77777777" w:rsidR="00D10DE4" w:rsidRPr="00747EF6" w:rsidRDefault="00D10DE4" w:rsidP="00D10DE4">
      <w:pPr>
        <w:pStyle w:val="BodyText"/>
      </w:pPr>
      <w:r w:rsidRPr="00747EF6">
        <w:lastRenderedPageBreak/>
        <w:t xml:space="preserve">As part of this engagement, we seek your feedback on applying </w:t>
      </w:r>
      <w:proofErr w:type="gramStart"/>
      <w:r w:rsidRPr="00747EF6">
        <w:t>particular FMC</w:t>
      </w:r>
      <w:proofErr w:type="gramEnd"/>
      <w:r w:rsidRPr="00747EF6">
        <w:t xml:space="preserve"> Act definitions and obligations for licensed markets to the potential NZU market centralised exchange.</w:t>
      </w:r>
    </w:p>
    <w:p w14:paraId="4DD7DB74" w14:textId="77777777" w:rsidR="00D10DE4" w:rsidRPr="00747EF6" w:rsidRDefault="00D10DE4" w:rsidP="00D10DE4">
      <w:pPr>
        <w:pStyle w:val="Heading4"/>
      </w:pPr>
      <w:r w:rsidRPr="00747EF6">
        <w:t xml:space="preserve">The </w:t>
      </w:r>
      <w:r>
        <w:t>G</w:t>
      </w:r>
      <w:r w:rsidRPr="00747EF6">
        <w:t xml:space="preserve">overnment </w:t>
      </w:r>
      <w:r w:rsidRPr="00747EF6">
        <w:rPr>
          <w:bCs w:val="0"/>
        </w:rPr>
        <w:t>is considering options to</w:t>
      </w:r>
      <w:r w:rsidRPr="00747EF6">
        <w:t xml:space="preserve"> procure and fund a licensed market operator to run an NZU market platform</w:t>
      </w:r>
    </w:p>
    <w:p w14:paraId="6D0ADD56" w14:textId="04F6D041" w:rsidR="00D10DE4" w:rsidRPr="00747EF6" w:rsidRDefault="00D10DE4" w:rsidP="00D10DE4">
      <w:pPr>
        <w:pStyle w:val="BodyText"/>
      </w:pPr>
      <w:r w:rsidRPr="00747EF6">
        <w:t xml:space="preserve">The </w:t>
      </w:r>
      <w:r>
        <w:t>G</w:t>
      </w:r>
      <w:r w:rsidRPr="00747EF6">
        <w:t xml:space="preserve">overnment intends to run a procurement process for the supply of market services for a trading platform to buy and sell NZUs, alongside the development of the </w:t>
      </w:r>
      <w:r>
        <w:t>NZ </w:t>
      </w:r>
      <w:r w:rsidRPr="00747EF6">
        <w:t>ETS market governance reform package</w:t>
      </w:r>
      <w:r w:rsidR="004F3FA9">
        <w:t>. This would be</w:t>
      </w:r>
      <w:r w:rsidRPr="00747EF6">
        <w:t xml:space="preserve"> subject to the terms and conditions of any RFI and RFP</w:t>
      </w:r>
      <w:r>
        <w:t xml:space="preserve">, </w:t>
      </w:r>
      <w:r w:rsidRPr="00747EF6">
        <w:t>the nature and extent of interest</w:t>
      </w:r>
      <w:r>
        <w:t>,</w:t>
      </w:r>
      <w:r w:rsidRPr="00747EF6">
        <w:t xml:space="preserve"> and any offers received.</w:t>
      </w:r>
    </w:p>
    <w:p w14:paraId="54DA112B" w14:textId="0BA00A3C" w:rsidR="00D10DE4" w:rsidRPr="00747EF6" w:rsidRDefault="00D10DE4" w:rsidP="00D10DE4">
      <w:pPr>
        <w:pStyle w:val="BodyText"/>
      </w:pPr>
      <w:r w:rsidRPr="00747EF6">
        <w:t>The objective</w:t>
      </w:r>
      <w:r>
        <w:t>s</w:t>
      </w:r>
      <w:r w:rsidRPr="00747EF6">
        <w:t xml:space="preserve"> of progressing this non-legislative tool now </w:t>
      </w:r>
      <w:r>
        <w:t>are</w:t>
      </w:r>
      <w:r w:rsidRPr="00747EF6">
        <w:t xml:space="preserve"> to improve the liquidity and functioning of the NZU market</w:t>
      </w:r>
      <w:r>
        <w:t>,</w:t>
      </w:r>
      <w:r w:rsidRPr="00747EF6">
        <w:t xml:space="preserve"> and to increase transparency, monitoring and oversight of the NZU market.</w:t>
      </w:r>
    </w:p>
    <w:p w14:paraId="4CD1923C" w14:textId="77777777" w:rsidR="00D10DE4" w:rsidRPr="00747EF6" w:rsidRDefault="00D10DE4" w:rsidP="00D10DE4">
      <w:pPr>
        <w:pStyle w:val="BodyText"/>
      </w:pPr>
      <w:r w:rsidRPr="00747EF6">
        <w:t>It is currently intended that the market operator(s) o</w:t>
      </w:r>
      <w:r>
        <w:t>n</w:t>
      </w:r>
      <w:r w:rsidRPr="00747EF6">
        <w:t xml:space="preserve"> this platform would be subject to the same regulatory requirements that are proposed in this engagement document, including being required to hold a market operator licence to operate that licensed market.</w:t>
      </w:r>
    </w:p>
    <w:p w14:paraId="1EE3EC0E" w14:textId="77777777" w:rsidR="00D10DE4" w:rsidRPr="00747EF6" w:rsidRDefault="00D10DE4" w:rsidP="00D10DE4">
      <w:pPr>
        <w:pStyle w:val="Heading4"/>
      </w:pPr>
      <w:r w:rsidRPr="00747EF6">
        <w:t>Facilities for trading NZUs would be required to be licensed</w:t>
      </w:r>
    </w:p>
    <w:p w14:paraId="28E389EA" w14:textId="77777777" w:rsidR="00D10DE4" w:rsidRPr="00747EF6" w:rsidRDefault="00D10DE4" w:rsidP="00D10DE4">
      <w:pPr>
        <w:pStyle w:val="BodyText"/>
      </w:pPr>
      <w:r w:rsidRPr="00747EF6">
        <w:t>Under the FMC Act, a financial product market is a facility where financial products are bought or sold, or where offers or invitations to buy or sell financial products are made. Financial product market operators are required to hold a licen</w:t>
      </w:r>
      <w:r>
        <w:t>c</w:t>
      </w:r>
      <w:r w:rsidRPr="00747EF6">
        <w:t>e issued by the Minister of Commerce and Consumer Affairs for each market that they operate</w:t>
      </w:r>
      <w:r w:rsidRPr="00747EF6" w:rsidDel="00E07A54">
        <w:t xml:space="preserve">. </w:t>
      </w:r>
    </w:p>
    <w:p w14:paraId="3C2E8BA8" w14:textId="15B55141" w:rsidR="00D10DE4" w:rsidRPr="00747EF6" w:rsidRDefault="008A6D82" w:rsidP="00D10DE4">
      <w:pPr>
        <w:pStyle w:val="BodyText"/>
      </w:pPr>
      <w:hyperlink r:id="rId33" w:history="1">
        <w:r w:rsidR="00D10DE4" w:rsidRPr="006D59D6">
          <w:rPr>
            <w:rStyle w:val="Hyperlink"/>
          </w:rPr>
          <w:t>Section 314</w:t>
        </w:r>
      </w:hyperlink>
      <w:r w:rsidR="00D10DE4" w:rsidRPr="00747EF6">
        <w:t xml:space="preserve"> and </w:t>
      </w:r>
      <w:hyperlink r:id="rId34" w:history="1">
        <w:r w:rsidR="00D10DE4" w:rsidRPr="00245361">
          <w:rPr>
            <w:rStyle w:val="Hyperlink"/>
          </w:rPr>
          <w:t>section 316</w:t>
        </w:r>
      </w:hyperlink>
      <w:r w:rsidR="00D10DE4" w:rsidRPr="00747EF6">
        <w:t xml:space="preserve"> set out the considerations for the Minister and the FMA before a licence may be granted.</w:t>
      </w:r>
      <w:r w:rsidR="00D10DE4">
        <w:t xml:space="preserve"> </w:t>
      </w:r>
      <w:r w:rsidR="00D10DE4" w:rsidRPr="00747EF6">
        <w:t>Th</w:t>
      </w:r>
      <w:r w:rsidR="00D10DE4">
        <w:t>ese</w:t>
      </w:r>
      <w:r w:rsidR="00D10DE4" w:rsidRPr="00747EF6">
        <w:t xml:space="preserve"> include </w:t>
      </w:r>
      <w:r w:rsidR="00D10DE4" w:rsidRPr="00E90E92">
        <w:t>meeting</w:t>
      </w:r>
      <w:r w:rsidR="00D10DE4" w:rsidRPr="00747EF6">
        <w:t xml:space="preserve"> general obligations that a market operator must ensure that licensed markets operate in a fair, </w:t>
      </w:r>
      <w:proofErr w:type="gramStart"/>
      <w:r w:rsidR="00D10DE4" w:rsidRPr="00747EF6">
        <w:t>orderly</w:t>
      </w:r>
      <w:proofErr w:type="gramEnd"/>
      <w:r w:rsidR="00D10DE4" w:rsidRPr="00747EF6">
        <w:t xml:space="preserve"> and transparent way, and </w:t>
      </w:r>
      <w:r w:rsidR="00D10DE4">
        <w:t>must have</w:t>
      </w:r>
      <w:r w:rsidR="00D10DE4" w:rsidRPr="00747EF6">
        <w:t xml:space="preserve"> arrangements in place for:</w:t>
      </w:r>
    </w:p>
    <w:p w14:paraId="60B087F7" w14:textId="77777777" w:rsidR="00D10DE4" w:rsidRPr="00747EF6" w:rsidRDefault="00D10DE4" w:rsidP="00D10DE4">
      <w:pPr>
        <w:pStyle w:val="Bullet"/>
        <w:tabs>
          <w:tab w:val="num" w:pos="397"/>
        </w:tabs>
        <w:spacing w:line="280" w:lineRule="exact"/>
      </w:pPr>
      <w:r w:rsidRPr="00747EF6">
        <w:t xml:space="preserve">handling conflicts between the operator’s commercial interests and fair, </w:t>
      </w:r>
      <w:proofErr w:type="gramStart"/>
      <w:r w:rsidRPr="00747EF6">
        <w:t>orderly</w:t>
      </w:r>
      <w:proofErr w:type="gramEnd"/>
      <w:r w:rsidRPr="00747EF6">
        <w:t xml:space="preserve"> and transparent licensed markets</w:t>
      </w:r>
    </w:p>
    <w:p w14:paraId="6F5D0A0F" w14:textId="77777777" w:rsidR="00D10DE4" w:rsidRPr="00747EF6" w:rsidRDefault="00D10DE4" w:rsidP="00D10DE4">
      <w:pPr>
        <w:pStyle w:val="Bullet"/>
        <w:tabs>
          <w:tab w:val="num" w:pos="397"/>
        </w:tabs>
        <w:spacing w:line="280" w:lineRule="exact"/>
      </w:pPr>
      <w:r w:rsidRPr="00747EF6">
        <w:t>making market disclosures available</w:t>
      </w:r>
    </w:p>
    <w:p w14:paraId="5F57E0E7" w14:textId="77777777" w:rsidR="00D10DE4" w:rsidRPr="00747EF6" w:rsidRDefault="00D10DE4" w:rsidP="00D10DE4">
      <w:pPr>
        <w:pStyle w:val="Bullet"/>
        <w:tabs>
          <w:tab w:val="num" w:pos="397"/>
        </w:tabs>
        <w:spacing w:line="280" w:lineRule="exact"/>
      </w:pPr>
      <w:r w:rsidRPr="00747EF6">
        <w:t>monitoring conduct on licensed markets</w:t>
      </w:r>
    </w:p>
    <w:p w14:paraId="495BD6B5" w14:textId="77777777" w:rsidR="00D10DE4" w:rsidRPr="00747EF6" w:rsidRDefault="00D10DE4" w:rsidP="00D10DE4">
      <w:pPr>
        <w:pStyle w:val="Bullet"/>
        <w:tabs>
          <w:tab w:val="num" w:pos="397"/>
        </w:tabs>
        <w:spacing w:line="280" w:lineRule="exact"/>
      </w:pPr>
      <w:r w:rsidRPr="00747EF6">
        <w:t>enforcing market rules.</w:t>
      </w:r>
    </w:p>
    <w:p w14:paraId="6348C0F5" w14:textId="67FAD997" w:rsidR="00D10DE4" w:rsidRPr="00747EF6" w:rsidRDefault="00D10DE4" w:rsidP="00D10DE4">
      <w:pPr>
        <w:pStyle w:val="BodyText"/>
      </w:pPr>
      <w:r w:rsidRPr="00747EF6">
        <w:t>Those requirements</w:t>
      </w:r>
      <w:r>
        <w:t xml:space="preserve"> also</w:t>
      </w:r>
      <w:r w:rsidRPr="00747EF6">
        <w:t xml:space="preserve"> include having adequate arrangements </w:t>
      </w:r>
      <w:r w:rsidR="0019214C">
        <w:t>to monitor</w:t>
      </w:r>
      <w:r w:rsidRPr="00747EF6">
        <w:t xml:space="preserve"> for potential insider trading and market manipulation for trading on that licensed market.</w:t>
      </w:r>
      <w:r>
        <w:t xml:space="preserve"> </w:t>
      </w:r>
      <w:r w:rsidRPr="00747EF6">
        <w:t xml:space="preserve">Market operators are </w:t>
      </w:r>
      <w:r>
        <w:t xml:space="preserve">also </w:t>
      </w:r>
      <w:r w:rsidRPr="00747EF6">
        <w:t>required to notify the FMA of certain events</w:t>
      </w:r>
      <w:r>
        <w:t>,</w:t>
      </w:r>
      <w:r w:rsidRPr="00747EF6">
        <w:t xml:space="preserve"> such as when disciplinary action is taken for breaches of market rules (</w:t>
      </w:r>
      <w:proofErr w:type="spellStart"/>
      <w:r>
        <w:t>eg</w:t>
      </w:r>
      <w:proofErr w:type="spellEnd"/>
      <w:r w:rsidRPr="00747EF6">
        <w:t xml:space="preserve">, by market participants). </w:t>
      </w:r>
    </w:p>
    <w:p w14:paraId="791F63B9" w14:textId="77777777" w:rsidR="00D10DE4" w:rsidRPr="00747EF6" w:rsidRDefault="00D10DE4" w:rsidP="00D10DE4">
      <w:pPr>
        <w:pStyle w:val="BodyText"/>
      </w:pPr>
      <w:r w:rsidRPr="00747EF6">
        <w:t xml:space="preserve">We propose that similar licensing requirements could apply to any facility for trading of NZUs that meets the definition of a financial product market (a licensed NZU </w:t>
      </w:r>
      <w:r>
        <w:t>exchange</w:t>
      </w:r>
      <w:r w:rsidRPr="00747EF6">
        <w:t xml:space="preserve">). </w:t>
      </w:r>
    </w:p>
    <w:p w14:paraId="44419F8D" w14:textId="77777777" w:rsidR="00D10DE4" w:rsidRPr="00747EF6" w:rsidRDefault="00D10DE4" w:rsidP="00D10DE4">
      <w:pPr>
        <w:pStyle w:val="Heading4"/>
      </w:pPr>
      <w:bookmarkStart w:id="88" w:name="_Existing_exclusions_would"/>
      <w:bookmarkEnd w:id="88"/>
      <w:r w:rsidRPr="00747EF6">
        <w:t>Existing exclusions would be maintained</w:t>
      </w:r>
    </w:p>
    <w:p w14:paraId="2492BB11" w14:textId="77777777" w:rsidR="00D10DE4" w:rsidRPr="00747EF6" w:rsidRDefault="00D10DE4" w:rsidP="00D10DE4">
      <w:pPr>
        <w:pStyle w:val="BodyText"/>
      </w:pPr>
      <w:r w:rsidRPr="00747EF6">
        <w:t xml:space="preserve">This proposal would maintain the existing exclusions from the definition of financial product market under </w:t>
      </w:r>
      <w:hyperlink r:id="rId35" w:history="1">
        <w:r w:rsidRPr="006D31AF">
          <w:rPr>
            <w:rStyle w:val="Hyperlink"/>
          </w:rPr>
          <w:t>section 309(2)</w:t>
        </w:r>
      </w:hyperlink>
      <w:r>
        <w:t xml:space="preserve"> of the </w:t>
      </w:r>
      <w:r w:rsidRPr="00747EF6">
        <w:t>FMC Act</w:t>
      </w:r>
      <w:r>
        <w:t>.</w:t>
      </w:r>
      <w:r w:rsidRPr="00747EF6">
        <w:t xml:space="preserve"> </w:t>
      </w:r>
      <w:r>
        <w:t>F</w:t>
      </w:r>
      <w:r w:rsidRPr="00747EF6">
        <w:t xml:space="preserve">or example, a person making or accepting offers </w:t>
      </w:r>
      <w:r w:rsidRPr="00747EF6">
        <w:lastRenderedPageBreak/>
        <w:t>to acquire or dispose of NZUs on the sole behalf of one party to the transaction would be excluded from the definition of a licensed NZU exchange.</w:t>
      </w:r>
    </w:p>
    <w:p w14:paraId="2C1F42A9" w14:textId="77777777" w:rsidR="00D10DE4" w:rsidRPr="00747EF6" w:rsidRDefault="00D10DE4" w:rsidP="00D10DE4">
      <w:pPr>
        <w:pStyle w:val="BodyText"/>
      </w:pPr>
      <w:r w:rsidRPr="00747EF6">
        <w:t>Licensing of NZU trading facilities that meet the definition of a financial product market would provide greater oversight of some trading activity on secondary markets generally, as well as maintaining mechanisms for detecting insider trading and market manipulation on</w:t>
      </w:r>
      <w:r w:rsidRPr="00747EF6" w:rsidDel="008459AF">
        <w:t xml:space="preserve"> </w:t>
      </w:r>
      <w:r w:rsidRPr="00747EF6">
        <w:t xml:space="preserve">licensed NZU exchanges. </w:t>
      </w:r>
    </w:p>
    <w:p w14:paraId="464D0BCF" w14:textId="77777777" w:rsidR="00D10DE4" w:rsidRPr="00747EF6" w:rsidRDefault="00D10DE4" w:rsidP="00D10DE4">
      <w:pPr>
        <w:pStyle w:val="BodyText"/>
      </w:pPr>
      <w:r w:rsidRPr="00747EF6">
        <w:t>Some adjustments to the existing obligations of licensed market operators would be required</w:t>
      </w:r>
      <w:r>
        <w:t>,</w:t>
      </w:r>
      <w:r w:rsidRPr="00747EF6">
        <w:t xml:space="preserve"> to reflect that there are no </w:t>
      </w:r>
      <w:r>
        <w:t>‘</w:t>
      </w:r>
      <w:r w:rsidRPr="00747EF6">
        <w:t>issuers</w:t>
      </w:r>
      <w:r>
        <w:t>’</w:t>
      </w:r>
      <w:r w:rsidRPr="00747EF6">
        <w:t xml:space="preserve"> of financial products for the operator to oversee</w:t>
      </w:r>
      <w:r>
        <w:t xml:space="preserve">, </w:t>
      </w:r>
      <w:r w:rsidRPr="00747EF6">
        <w:t xml:space="preserve">as the Government would be the issuer in this market (and potentially </w:t>
      </w:r>
      <w:r>
        <w:t xml:space="preserve">in </w:t>
      </w:r>
      <w:r w:rsidRPr="00747EF6">
        <w:t xml:space="preserve">others). </w:t>
      </w:r>
    </w:p>
    <w:p w14:paraId="14CAE9CE" w14:textId="77777777" w:rsidR="00D10DE4" w:rsidRPr="00747EF6" w:rsidRDefault="00D10DE4" w:rsidP="00D10DE4">
      <w:pPr>
        <w:pStyle w:val="Heading4"/>
      </w:pPr>
      <w:r w:rsidRPr="00747EF6">
        <w:t xml:space="preserve">Application fees and levies </w:t>
      </w:r>
    </w:p>
    <w:p w14:paraId="47784300" w14:textId="77777777" w:rsidR="00D10DE4" w:rsidRPr="00747EF6" w:rsidRDefault="00D10DE4" w:rsidP="00D10DE4">
      <w:pPr>
        <w:pStyle w:val="BodyText"/>
      </w:pPr>
      <w:r w:rsidRPr="00747EF6">
        <w:t>This proposal would have a large impact on</w:t>
      </w:r>
      <w:r w:rsidRPr="00747EF6" w:rsidDel="00897EAF">
        <w:t xml:space="preserve"> </w:t>
      </w:r>
      <w:r w:rsidRPr="00747EF6">
        <w:t>market operators because</w:t>
      </w:r>
      <w:r w:rsidRPr="00747EF6" w:rsidDel="00246183">
        <w:t>:</w:t>
      </w:r>
    </w:p>
    <w:p w14:paraId="6BAF358F" w14:textId="1D7A71CA" w:rsidR="00D10DE4" w:rsidRPr="00747EF6" w:rsidRDefault="00D10DE4" w:rsidP="00D10DE4">
      <w:pPr>
        <w:pStyle w:val="Bullet"/>
        <w:tabs>
          <w:tab w:val="num" w:pos="397"/>
        </w:tabs>
        <w:spacing w:line="280" w:lineRule="exact"/>
      </w:pPr>
      <w:r>
        <w:t xml:space="preserve">market operators may </w:t>
      </w:r>
      <w:r w:rsidRPr="00747EF6">
        <w:t xml:space="preserve">incur material compliance costs to put in place processes, </w:t>
      </w:r>
      <w:proofErr w:type="gramStart"/>
      <w:r w:rsidRPr="00747EF6">
        <w:t>systems</w:t>
      </w:r>
      <w:proofErr w:type="gramEnd"/>
      <w:r w:rsidRPr="00747EF6">
        <w:t xml:space="preserve"> and rules (to the extent those are not in place or below the required standard</w:t>
      </w:r>
      <w:r>
        <w:t>)</w:t>
      </w:r>
    </w:p>
    <w:p w14:paraId="3BA691A1" w14:textId="77777777" w:rsidR="00D10DE4" w:rsidRPr="00747EF6" w:rsidRDefault="00D10DE4" w:rsidP="00D10DE4">
      <w:pPr>
        <w:pStyle w:val="Bullet"/>
        <w:tabs>
          <w:tab w:val="num" w:pos="397"/>
        </w:tabs>
        <w:spacing w:line="280" w:lineRule="exact"/>
      </w:pPr>
      <w:r w:rsidRPr="00747EF6">
        <w:t>those who trade on a licensed NZU exchange incur costs complying with those rules (</w:t>
      </w:r>
      <w:proofErr w:type="spellStart"/>
      <w:r>
        <w:t>eg</w:t>
      </w:r>
      <w:proofErr w:type="spellEnd"/>
      <w:r w:rsidRPr="00747EF6">
        <w:t xml:space="preserve">, becoming an authorised broker – to the extent that is applicable). </w:t>
      </w:r>
    </w:p>
    <w:p w14:paraId="002DAFE0" w14:textId="7D6C167D" w:rsidR="00D10DE4" w:rsidRPr="00747EF6" w:rsidRDefault="00D10DE4" w:rsidP="00D10DE4">
      <w:pPr>
        <w:pStyle w:val="BodyText"/>
      </w:pPr>
      <w:r w:rsidRPr="00747EF6">
        <w:t>The licensing process can take an extended period</w:t>
      </w:r>
      <w:r w:rsidR="003D1A83">
        <w:t xml:space="preserve"> </w:t>
      </w:r>
      <w:r w:rsidRPr="00747EF6">
        <w:t xml:space="preserve">– potentially upwards of </w:t>
      </w:r>
      <w:r>
        <w:t xml:space="preserve">six </w:t>
      </w:r>
      <w:r w:rsidRPr="00747EF6">
        <w:t>months – which businesses would need to factor in as part of any transitional period if this proposal is implemented.</w:t>
      </w:r>
    </w:p>
    <w:p w14:paraId="73C0C471" w14:textId="389D3CDD" w:rsidR="00D10DE4" w:rsidRPr="00747EF6" w:rsidRDefault="00D10DE4" w:rsidP="00D10DE4">
      <w:pPr>
        <w:pStyle w:val="BodyText"/>
      </w:pPr>
      <w:r w:rsidRPr="00747EF6">
        <w:t xml:space="preserve">A licensed market operator would need to pay licensing fees (based on </w:t>
      </w:r>
      <w:r>
        <w:t xml:space="preserve">the </w:t>
      </w:r>
      <w:r w:rsidRPr="00747EF6">
        <w:t>FMA’s hourly rate) and annual FMA levies. Any brokers authorised to trade on the market would also need to pay annual FMA levies.</w:t>
      </w:r>
      <w:r w:rsidRPr="00747EF6">
        <w:rPr>
          <w:rStyle w:val="FootnoteReference"/>
        </w:rPr>
        <w:footnoteReference w:id="22"/>
      </w:r>
      <w:r w:rsidRPr="00747EF6">
        <w:t xml:space="preserve"> Levy amounts would need to be determined at a later stage. There may be a need to introduce a separate FMA levy for any NZU exchange market operator if the nature of the obligations and regulation differ sufficiently from general market operators (this is currently uncertain).</w:t>
      </w:r>
    </w:p>
    <w:p w14:paraId="453D195D" w14:textId="77777777" w:rsidR="00D10DE4" w:rsidRPr="00747EF6" w:rsidRDefault="00D10DE4" w:rsidP="00D10DE4">
      <w:pPr>
        <w:pStyle w:val="BodyText"/>
      </w:pPr>
      <w:r w:rsidRPr="00747EF6">
        <w:t>The licen</w:t>
      </w:r>
      <w:r>
        <w:t>c</w:t>
      </w:r>
      <w:r w:rsidRPr="00747EF6">
        <w:t xml:space="preserve">e fee and levy structure </w:t>
      </w:r>
      <w:r>
        <w:t>are</w:t>
      </w:r>
      <w:r w:rsidRPr="00747EF6">
        <w:t xml:space="preserve"> still being considered</w:t>
      </w:r>
      <w:r>
        <w:t>,</w:t>
      </w:r>
      <w:r w:rsidRPr="00747EF6">
        <w:t xml:space="preserve"> as levies for existing markets may differ from a new market. However, these costs (or a portion of them) are likely to be passed on to participants</w:t>
      </w:r>
      <w:r>
        <w:t xml:space="preserve"> –</w:t>
      </w:r>
      <w:r w:rsidRPr="00747EF6">
        <w:t xml:space="preserve"> for example, in the form of transaction fees. </w:t>
      </w:r>
    </w:p>
    <w:p w14:paraId="5402E5D1" w14:textId="77777777" w:rsidR="00D10DE4" w:rsidRPr="00747EF6" w:rsidRDefault="00D10DE4" w:rsidP="00D10DE4">
      <w:pPr>
        <w:keepNext/>
        <w:tabs>
          <w:tab w:val="left" w:pos="851"/>
        </w:tabs>
        <w:spacing w:before="360" w:after="0" w:line="240" w:lineRule="auto"/>
        <w:outlineLvl w:val="3"/>
        <w:rPr>
          <w:rFonts w:ascii="Georgia" w:hAnsi="Georgia"/>
          <w:b/>
          <w:sz w:val="24"/>
        </w:rPr>
      </w:pPr>
      <w:r w:rsidRPr="00747EF6">
        <w:rPr>
          <w:rFonts w:ascii="Georgia" w:hAnsi="Georgia"/>
          <w:b/>
          <w:sz w:val="24"/>
        </w:rPr>
        <w:t xml:space="preserve">The primary auction </w:t>
      </w:r>
      <w:proofErr w:type="gramStart"/>
      <w:r w:rsidRPr="00747EF6">
        <w:rPr>
          <w:rFonts w:ascii="Georgia" w:hAnsi="Georgia"/>
          <w:b/>
          <w:sz w:val="24"/>
        </w:rPr>
        <w:t>market</w:t>
      </w:r>
      <w:proofErr w:type="gramEnd"/>
    </w:p>
    <w:p w14:paraId="0E376563" w14:textId="36A7BDE2" w:rsidR="00D10DE4" w:rsidRPr="00747EF6" w:rsidRDefault="00D10DE4" w:rsidP="00D10DE4">
      <w:pPr>
        <w:pStyle w:val="BodyText"/>
      </w:pPr>
      <w:r>
        <w:t>The following proposals are made i</w:t>
      </w:r>
      <w:r w:rsidRPr="00747EF6">
        <w:t>n relation to the primary NZU auction market</w:t>
      </w:r>
      <w:r w:rsidR="00AC325A">
        <w:t>:</w:t>
      </w:r>
    </w:p>
    <w:p w14:paraId="7E392E00" w14:textId="77777777" w:rsidR="00D10DE4" w:rsidRPr="00747EF6" w:rsidRDefault="00D10DE4" w:rsidP="00D10DE4">
      <w:pPr>
        <w:pStyle w:val="Bullet"/>
        <w:tabs>
          <w:tab w:val="num" w:pos="397"/>
        </w:tabs>
        <w:spacing w:line="280" w:lineRule="exact"/>
      </w:pPr>
      <w:r>
        <w:t>I</w:t>
      </w:r>
      <w:r w:rsidRPr="00747EF6">
        <w:t>t is expected that the auction market operator would not need to be licensed as a financial product market operator. A person accepting offers to acquire NZUs on behalf of one party to the transaction only (the Crown) would be excluded from the definition of a licensed financial product market</w:t>
      </w:r>
      <w:r>
        <w:t xml:space="preserve"> operator</w:t>
      </w:r>
      <w:r w:rsidRPr="00747EF6">
        <w:t>.</w:t>
      </w:r>
    </w:p>
    <w:p w14:paraId="72A6A830" w14:textId="5C2C6656" w:rsidR="00D10DE4" w:rsidRPr="00747EF6" w:rsidRDefault="00D10DE4" w:rsidP="00D10DE4">
      <w:pPr>
        <w:pStyle w:val="Bullet"/>
        <w:tabs>
          <w:tab w:val="num" w:pos="397"/>
        </w:tabs>
        <w:spacing w:line="280" w:lineRule="exact"/>
      </w:pPr>
      <w:r w:rsidRPr="00747EF6">
        <w:t xml:space="preserve">We propose that the insider trading prohibition does not apply to transactions on the primary auction market. This is consistent with the treatment of most financial products </w:t>
      </w:r>
      <w:r w:rsidRPr="00747EF6">
        <w:lastRenderedPageBreak/>
        <w:t>under the FMC Act</w:t>
      </w:r>
      <w:r>
        <w:t>,</w:t>
      </w:r>
      <w:r w:rsidRPr="00747EF6">
        <w:rPr>
          <w:rStyle w:val="FootnoteReference"/>
        </w:rPr>
        <w:footnoteReference w:id="23"/>
      </w:r>
      <w:r w:rsidRPr="00747EF6">
        <w:t xml:space="preserve"> as the </w:t>
      </w:r>
      <w:r>
        <w:t>G</w:t>
      </w:r>
      <w:r w:rsidRPr="00747EF6">
        <w:t xml:space="preserve">overnment aims to make all material information available </w:t>
      </w:r>
      <w:r w:rsidR="00DC0672">
        <w:t>before</w:t>
      </w:r>
      <w:r w:rsidRPr="00747EF6">
        <w:t xml:space="preserve"> the auction.</w:t>
      </w:r>
    </w:p>
    <w:p w14:paraId="7E8F32BE" w14:textId="77777777" w:rsidR="00D10DE4" w:rsidRPr="00747EF6" w:rsidRDefault="00D10DE4" w:rsidP="00D10DE4">
      <w:pPr>
        <w:pStyle w:val="Heading4"/>
      </w:pPr>
      <w:r w:rsidRPr="00747EF6">
        <w:t>Impact on existing operators and platforms</w:t>
      </w:r>
    </w:p>
    <w:p w14:paraId="569AA639" w14:textId="2E5EC5EA" w:rsidR="00D10DE4" w:rsidRPr="00747EF6" w:rsidRDefault="00D10DE4" w:rsidP="00D10DE4">
      <w:pPr>
        <w:pStyle w:val="BodyText"/>
      </w:pPr>
      <w:r w:rsidRPr="00747EF6">
        <w:t xml:space="preserve">We are aware that there are several </w:t>
      </w:r>
      <w:r w:rsidR="00253DD9">
        <w:t>operators</w:t>
      </w:r>
      <w:r w:rsidR="007D4C35" w:rsidRPr="00747EF6">
        <w:t xml:space="preserve"> </w:t>
      </w:r>
      <w:r>
        <w:t>who</w:t>
      </w:r>
      <w:r w:rsidRPr="00747EF6">
        <w:t xml:space="preserve"> provide different types of facilities or services that enable parties to make direct or indirect offers to buy or sell NZUs.</w:t>
      </w:r>
    </w:p>
    <w:p w14:paraId="05E7B4A6" w14:textId="04DB5F3A" w:rsidR="00D10DE4" w:rsidRPr="00747EF6" w:rsidRDefault="00D10DE4" w:rsidP="00D10DE4">
      <w:pPr>
        <w:pStyle w:val="BodyText"/>
      </w:pPr>
      <w:r w:rsidRPr="00747EF6">
        <w:t xml:space="preserve">Under this proposal, these </w:t>
      </w:r>
      <w:proofErr w:type="gramStart"/>
      <w:r w:rsidRPr="00747EF6">
        <w:t>facilities</w:t>
      </w:r>
      <w:proofErr w:type="gramEnd"/>
      <w:r w:rsidRPr="00747EF6">
        <w:t xml:space="preserve"> or services (to the extent they would meet the definition of financial product market and do not fall under the existing exclusions) would be required to either change the way those services are provided or to seek a market operator licence.</w:t>
      </w:r>
    </w:p>
    <w:p w14:paraId="2509F2E9" w14:textId="77777777" w:rsidR="00D10DE4" w:rsidRPr="00747EF6" w:rsidRDefault="00D10DE4" w:rsidP="00D10DE4">
      <w:pPr>
        <w:pStyle w:val="BodyText"/>
      </w:pPr>
      <w:r w:rsidRPr="00747EF6">
        <w:t>We note that, because the Government is the issuer of NZUs, those operators would need to have an agreement to quote NZUs on any market</w:t>
      </w:r>
      <w:r>
        <w:t>,</w:t>
      </w:r>
      <w:r w:rsidRPr="00747EF6">
        <w:t xml:space="preserve"> as well as </w:t>
      </w:r>
      <w:r>
        <w:t xml:space="preserve">needing </w:t>
      </w:r>
      <w:r w:rsidRPr="00747EF6">
        <w:t>to obtain a licence.</w:t>
      </w:r>
    </w:p>
    <w:tbl>
      <w:tblPr>
        <w:tblStyle w:val="TableGrid"/>
        <w:tblW w:w="493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8400"/>
      </w:tblGrid>
      <w:tr w:rsidR="00BE2A87" w:rsidRPr="00BE2A87" w14:paraId="34F6E3E7" w14:textId="77777777" w:rsidTr="00BE2A87">
        <w:trPr>
          <w:trHeight w:val="471"/>
        </w:trPr>
        <w:tc>
          <w:tcPr>
            <w:tcW w:w="5000" w:type="pct"/>
            <w:shd w:val="clear" w:color="auto" w:fill="D2DDE2"/>
          </w:tcPr>
          <w:p w14:paraId="0CEDDE04" w14:textId="77777777" w:rsidR="00BE2A87" w:rsidRPr="00A517B5" w:rsidRDefault="00BE2A87" w:rsidP="00A517B5">
            <w:pPr>
              <w:pStyle w:val="Blueboxtext"/>
              <w:spacing w:after="0"/>
              <w:rPr>
                <w:b/>
                <w:bCs/>
              </w:rPr>
            </w:pPr>
            <w:r w:rsidRPr="00A517B5">
              <w:rPr>
                <w:b/>
                <w:bCs/>
              </w:rPr>
              <w:t>Question 10</w:t>
            </w:r>
          </w:p>
          <w:p w14:paraId="1C6AF554" w14:textId="77777777" w:rsidR="00BE2A87" w:rsidRPr="00A517B5" w:rsidRDefault="00BE2A87" w:rsidP="00A517B5">
            <w:pPr>
              <w:pStyle w:val="Blueboxtext"/>
            </w:pPr>
            <w:r w:rsidRPr="00A517B5">
              <w:t xml:space="preserve">Do you agree that operators of facilities for trading NZUs that would meet the definition of a ‘financial product market’ should be required to be licensed, and to incur and comply with associated costs and obligations? </w:t>
            </w:r>
          </w:p>
          <w:p w14:paraId="4E5261FE" w14:textId="77777777" w:rsidR="00BE2A87" w:rsidRPr="00A517B5" w:rsidRDefault="00BE2A87" w:rsidP="00A517B5">
            <w:pPr>
              <w:pStyle w:val="Blueboxtext"/>
              <w:spacing w:after="0"/>
              <w:rPr>
                <w:b/>
                <w:bCs/>
              </w:rPr>
            </w:pPr>
            <w:r w:rsidRPr="00A517B5">
              <w:rPr>
                <w:b/>
                <w:bCs/>
              </w:rPr>
              <w:t>Question 11</w:t>
            </w:r>
          </w:p>
          <w:p w14:paraId="49863C3E" w14:textId="77777777" w:rsidR="00BE2A87" w:rsidRPr="00A517B5" w:rsidRDefault="00BE2A87" w:rsidP="00A517B5">
            <w:pPr>
              <w:pStyle w:val="Blueboxtext"/>
            </w:pPr>
            <w:r w:rsidRPr="00A517B5">
              <w:t>As a market operator who currently does, or would, provide a platform for the trade of NZUs, what is the impact of a licensing requirement on your business (</w:t>
            </w:r>
            <w:proofErr w:type="spellStart"/>
            <w:r w:rsidRPr="00A517B5">
              <w:t>eg</w:t>
            </w:r>
            <w:proofErr w:type="spellEnd"/>
            <w:r w:rsidRPr="00A517B5">
              <w:t>, costs and obligations)?</w:t>
            </w:r>
          </w:p>
          <w:p w14:paraId="3DC1F0BD" w14:textId="77777777" w:rsidR="00BE2A87" w:rsidRPr="00A517B5" w:rsidRDefault="00BE2A87" w:rsidP="00A517B5">
            <w:pPr>
              <w:pStyle w:val="Blueboxtext"/>
              <w:spacing w:after="0"/>
              <w:rPr>
                <w:b/>
                <w:bCs/>
              </w:rPr>
            </w:pPr>
            <w:r w:rsidRPr="00A517B5">
              <w:rPr>
                <w:b/>
                <w:bCs/>
              </w:rPr>
              <w:t>Question 12</w:t>
            </w:r>
          </w:p>
          <w:p w14:paraId="543D50CF" w14:textId="6EE0F6E7" w:rsidR="00BE2A87" w:rsidRPr="00A517B5" w:rsidRDefault="00BE2A87" w:rsidP="00A517B5">
            <w:pPr>
              <w:pStyle w:val="Blueboxtext"/>
            </w:pPr>
            <w:r w:rsidRPr="00A517B5">
              <w:t xml:space="preserve">If you plan </w:t>
            </w:r>
            <w:r w:rsidR="00E27C2B">
              <w:t>to buy and sell</w:t>
            </w:r>
            <w:r w:rsidRPr="00A517B5">
              <w:t xml:space="preserve"> NZUs, how would access to a licensed market platform affect your willingness to participate in the NZU market?</w:t>
            </w:r>
          </w:p>
          <w:p w14:paraId="4F520059" w14:textId="77777777" w:rsidR="00BE2A87" w:rsidRPr="00A517B5" w:rsidRDefault="00BE2A87" w:rsidP="00A517B5">
            <w:pPr>
              <w:pStyle w:val="Blueboxtext"/>
              <w:spacing w:after="0"/>
              <w:rPr>
                <w:b/>
                <w:bCs/>
              </w:rPr>
            </w:pPr>
            <w:r w:rsidRPr="00A517B5">
              <w:rPr>
                <w:b/>
                <w:bCs/>
              </w:rPr>
              <w:t>Question 13</w:t>
            </w:r>
          </w:p>
          <w:p w14:paraId="17E4266F" w14:textId="77777777" w:rsidR="00BE2A87" w:rsidRPr="00A517B5" w:rsidRDefault="00BE2A87" w:rsidP="00A517B5">
            <w:pPr>
              <w:pStyle w:val="Blueboxtext"/>
            </w:pPr>
            <w:r w:rsidRPr="00A517B5">
              <w:t>For stakeholders, what would be the costs and benefits to your business associated with buying and selling NZUs on a licensed market platform with market rules (</w:t>
            </w:r>
            <w:proofErr w:type="spellStart"/>
            <w:r w:rsidRPr="00A517B5">
              <w:t>eg</w:t>
            </w:r>
            <w:proofErr w:type="spellEnd"/>
            <w:r w:rsidRPr="00A517B5">
              <w:t>, new administrative costs, trustworthy market operators)?</w:t>
            </w:r>
          </w:p>
          <w:p w14:paraId="26A32A78" w14:textId="77777777" w:rsidR="00BE2A87" w:rsidRPr="00A517B5" w:rsidRDefault="00BE2A87" w:rsidP="00A517B5">
            <w:pPr>
              <w:pStyle w:val="Blueboxtext"/>
              <w:keepNext/>
              <w:spacing w:after="0"/>
              <w:rPr>
                <w:b/>
                <w:bCs/>
              </w:rPr>
            </w:pPr>
            <w:r w:rsidRPr="00A517B5">
              <w:rPr>
                <w:b/>
                <w:bCs/>
              </w:rPr>
              <w:t>Question 14</w:t>
            </w:r>
          </w:p>
          <w:p w14:paraId="5CA115A2" w14:textId="476CFD05" w:rsidR="00BE2A87" w:rsidRPr="00A517B5" w:rsidRDefault="00BE2A87" w:rsidP="00A517B5">
            <w:pPr>
              <w:pStyle w:val="Blueboxtext"/>
            </w:pPr>
            <w:r w:rsidRPr="00A517B5">
              <w:t xml:space="preserve">If you plan </w:t>
            </w:r>
            <w:r w:rsidR="00E27C2B">
              <w:t>to buy and sell</w:t>
            </w:r>
            <w:r w:rsidRPr="00A517B5">
              <w:t xml:space="preserve"> NZUs, would a fee to trade on a licensed market platform affect your willingness to participate in the NZU market? </w:t>
            </w:r>
          </w:p>
          <w:p w14:paraId="2AC7D21A" w14:textId="77777777" w:rsidR="00BE2A87" w:rsidRPr="00A517B5" w:rsidRDefault="00BE2A87" w:rsidP="00A517B5">
            <w:pPr>
              <w:pStyle w:val="Blueboxtext"/>
              <w:spacing w:after="0"/>
              <w:rPr>
                <w:b/>
                <w:bCs/>
              </w:rPr>
            </w:pPr>
            <w:r w:rsidRPr="00A517B5">
              <w:rPr>
                <w:b/>
                <w:bCs/>
              </w:rPr>
              <w:t>Question 15</w:t>
            </w:r>
          </w:p>
          <w:p w14:paraId="4ED3F8A6" w14:textId="77777777" w:rsidR="00BE2A87" w:rsidRPr="00BE2A87" w:rsidRDefault="00BE2A87" w:rsidP="00A517B5">
            <w:pPr>
              <w:pStyle w:val="Blueboxtext"/>
            </w:pPr>
            <w:r w:rsidRPr="00A517B5">
              <w:t>Do you have any comments on the impact of the proposals in this topic, given differences in structure between NZU markets and financial markets?</w:t>
            </w:r>
          </w:p>
        </w:tc>
      </w:tr>
    </w:tbl>
    <w:p w14:paraId="6439AEF4" w14:textId="77777777" w:rsidR="002C437C" w:rsidRPr="00747EF6" w:rsidRDefault="002C437C" w:rsidP="002C437C">
      <w:pPr>
        <w:pStyle w:val="Heading3"/>
      </w:pPr>
      <w:r w:rsidRPr="00747EF6">
        <w:lastRenderedPageBreak/>
        <w:t>Disclosure obligations</w:t>
      </w:r>
    </w:p>
    <w:p w14:paraId="13F9C606" w14:textId="77777777" w:rsidR="002C437C" w:rsidRPr="00747EF6" w:rsidRDefault="002C437C" w:rsidP="002C437C">
      <w:pPr>
        <w:pStyle w:val="Heading4"/>
      </w:pPr>
      <w:r w:rsidRPr="00747EF6">
        <w:t xml:space="preserve">Information disclosure requirements would not apply, but </w:t>
      </w:r>
      <w:r>
        <w:t>the G</w:t>
      </w:r>
      <w:r w:rsidRPr="00747EF6">
        <w:t>overnment would observe best practice in relation to release of material information</w:t>
      </w:r>
    </w:p>
    <w:p w14:paraId="702E7F90" w14:textId="77777777" w:rsidR="002C437C" w:rsidRPr="00747EF6" w:rsidRDefault="002C437C" w:rsidP="002C437C">
      <w:pPr>
        <w:pStyle w:val="BodyText"/>
      </w:pPr>
      <w:r w:rsidRPr="00747EF6">
        <w:t>When financial products are issued for the first time, the issuer is required to provide a Product Disclosure Statement that sets out material information about the product</w:t>
      </w:r>
      <w:r>
        <w:t>,</w:t>
      </w:r>
      <w:r w:rsidRPr="00747EF6">
        <w:t xml:space="preserve"> in accordance with detailed requirements in legislation.</w:t>
      </w:r>
      <w:r w:rsidRPr="00747EF6">
        <w:rPr>
          <w:rStyle w:val="FootnoteReference"/>
        </w:rPr>
        <w:footnoteReference w:id="24"/>
      </w:r>
      <w:r w:rsidRPr="00747EF6">
        <w:t xml:space="preserve"> If the product is listed for trading on a market platform</w:t>
      </w:r>
      <w:r>
        <w:t>,</w:t>
      </w:r>
      <w:r w:rsidRPr="00747EF6">
        <w:t xml:space="preserve"> the</w:t>
      </w:r>
      <w:r>
        <w:t>n</w:t>
      </w:r>
      <w:r w:rsidRPr="00747EF6">
        <w:t xml:space="preserve"> </w:t>
      </w:r>
      <w:r>
        <w:t>‘</w:t>
      </w:r>
      <w:r w:rsidRPr="00747EF6">
        <w:t>continuous disclosure</w:t>
      </w:r>
      <w:r>
        <w:t>’</w:t>
      </w:r>
      <w:r w:rsidRPr="00747EF6">
        <w:t xml:space="preserve"> provisions</w:t>
      </w:r>
      <w:r>
        <w:t xml:space="preserve"> apply,</w:t>
      </w:r>
      <w:r w:rsidRPr="00747EF6">
        <w:t xml:space="preserve"> which require the issuer to release material information to the public, as and when such information comes to light. </w:t>
      </w:r>
    </w:p>
    <w:p w14:paraId="42E097AC" w14:textId="77777777" w:rsidR="002C437C" w:rsidRPr="00747EF6" w:rsidRDefault="002C437C" w:rsidP="002C437C">
      <w:pPr>
        <w:pStyle w:val="BodyText"/>
      </w:pPr>
      <w:r w:rsidRPr="00747EF6">
        <w:t xml:space="preserve">These disclosure requirements promote transparency and reduce the risk of insider trading, as they limit the ability </w:t>
      </w:r>
      <w:r>
        <w:t>of</w:t>
      </w:r>
      <w:r w:rsidRPr="00747EF6">
        <w:t xml:space="preserve"> a person to trade on non-public information. </w:t>
      </w:r>
    </w:p>
    <w:p w14:paraId="3D276BBD" w14:textId="77777777" w:rsidR="002C437C" w:rsidRPr="00747EF6" w:rsidRDefault="002C437C" w:rsidP="002C437C">
      <w:pPr>
        <w:pStyle w:val="BodyText"/>
      </w:pPr>
      <w:r>
        <w:t>We do not propose to introduce l</w:t>
      </w:r>
      <w:r w:rsidRPr="00747EF6">
        <w:t>egislated disclosure requirements in relation to NZU markets</w:t>
      </w:r>
      <w:r>
        <w:t>,</w:t>
      </w:r>
      <w:r w:rsidRPr="00747EF6">
        <w:t xml:space="preserve"> as the </w:t>
      </w:r>
      <w:r>
        <w:t>G</w:t>
      </w:r>
      <w:r w:rsidRPr="00747EF6">
        <w:t xml:space="preserve">overnment is the only </w:t>
      </w:r>
      <w:r>
        <w:t>‘</w:t>
      </w:r>
      <w:r w:rsidRPr="00747EF6">
        <w:t>issuer</w:t>
      </w:r>
      <w:r>
        <w:t>’</w:t>
      </w:r>
      <w:r w:rsidRPr="00747EF6">
        <w:t xml:space="preserve"> of NZUs. The </w:t>
      </w:r>
      <w:r>
        <w:t>G</w:t>
      </w:r>
      <w:r w:rsidRPr="00747EF6">
        <w:t>overnment</w:t>
      </w:r>
      <w:r w:rsidRPr="00747EF6">
        <w:rPr>
          <w:b/>
          <w:bCs/>
        </w:rPr>
        <w:t xml:space="preserve"> </w:t>
      </w:r>
      <w:r w:rsidRPr="00747EF6">
        <w:t xml:space="preserve">is, however, committed to best practice in releasing material information </w:t>
      </w:r>
      <w:r>
        <w:t>before</w:t>
      </w:r>
      <w:r w:rsidRPr="00747EF6">
        <w:t xml:space="preserve"> auctions as and when information arises, including observing the principles of the </w:t>
      </w:r>
      <w:r>
        <w:t xml:space="preserve">relevant </w:t>
      </w:r>
      <w:r w:rsidRPr="00747EF6">
        <w:t xml:space="preserve">Cabinet circular </w:t>
      </w:r>
      <w:r>
        <w:t>(</w:t>
      </w:r>
      <w:proofErr w:type="spellStart"/>
      <w:r>
        <w:t>eg</w:t>
      </w:r>
      <w:proofErr w:type="spellEnd"/>
      <w:r>
        <w:t>, around</w:t>
      </w:r>
      <w:r w:rsidRPr="00747EF6">
        <w:t xml:space="preserve"> releasing information outside of trading hours</w:t>
      </w:r>
      <w:r>
        <w:t>)</w:t>
      </w:r>
      <w:r w:rsidRPr="00747EF6">
        <w:t>.</w:t>
      </w:r>
      <w:r>
        <w:rPr>
          <w:rStyle w:val="FootnoteReference"/>
        </w:rPr>
        <w:footnoteReference w:id="25"/>
      </w:r>
      <w:r>
        <w:t xml:space="preserve"> </w:t>
      </w:r>
    </w:p>
    <w:tbl>
      <w:tblPr>
        <w:tblStyle w:val="TableGrid"/>
        <w:tblW w:w="493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8400"/>
      </w:tblGrid>
      <w:tr w:rsidR="002C437C" w:rsidRPr="00A517B5" w14:paraId="3BB3520C" w14:textId="77777777" w:rsidTr="00265198">
        <w:tc>
          <w:tcPr>
            <w:tcW w:w="5000" w:type="pct"/>
            <w:shd w:val="clear" w:color="auto" w:fill="D2DDE2"/>
            <w:hideMark/>
          </w:tcPr>
          <w:p w14:paraId="2C5D0BBA" w14:textId="3B338175" w:rsidR="002C437C" w:rsidRPr="00A517B5" w:rsidRDefault="002C437C" w:rsidP="00265198">
            <w:pPr>
              <w:pStyle w:val="Blueboxtext"/>
              <w:spacing w:after="0"/>
              <w:rPr>
                <w:b/>
                <w:bCs/>
              </w:rPr>
            </w:pPr>
            <w:r w:rsidRPr="00A517B5">
              <w:rPr>
                <w:b/>
                <w:bCs/>
              </w:rPr>
              <w:t>Question 1</w:t>
            </w:r>
            <w:r w:rsidR="00FB5601">
              <w:rPr>
                <w:b/>
                <w:bCs/>
              </w:rPr>
              <w:t>6</w:t>
            </w:r>
          </w:p>
          <w:p w14:paraId="08979ECA" w14:textId="77777777" w:rsidR="002C437C" w:rsidRPr="00A517B5" w:rsidRDefault="002C437C" w:rsidP="00265198">
            <w:pPr>
              <w:pStyle w:val="Blueboxtext"/>
            </w:pPr>
            <w:r w:rsidRPr="00A517B5">
              <w:t>What do you expect from the Government in terms of disclosure obligations, including the content of the disclosure and the process of disclosing information?</w:t>
            </w:r>
          </w:p>
        </w:tc>
      </w:tr>
    </w:tbl>
    <w:p w14:paraId="695F65B5" w14:textId="77777777" w:rsidR="002C437C" w:rsidRPr="00747EF6" w:rsidRDefault="002C437C" w:rsidP="002C437C">
      <w:pPr>
        <w:pStyle w:val="Heading4"/>
      </w:pPr>
      <w:r w:rsidRPr="00747EF6">
        <w:t>Default features that apply to financial products will not necessarily apply to NZUs</w:t>
      </w:r>
    </w:p>
    <w:p w14:paraId="0BCDB84F" w14:textId="77777777" w:rsidR="002C437C" w:rsidRPr="00747EF6" w:rsidRDefault="002C437C" w:rsidP="002C437C">
      <w:pPr>
        <w:pStyle w:val="BodyText"/>
      </w:pPr>
      <w:r w:rsidRPr="00747EF6">
        <w:t>While we propose regulating some aspects of NZU markets by applying the same obligations as in financial markets, we do not propose applying other obligations that apply in financial markets in relation to:</w:t>
      </w:r>
    </w:p>
    <w:p w14:paraId="6E246339" w14:textId="77777777" w:rsidR="002C437C" w:rsidRPr="00747EF6" w:rsidRDefault="002C437C" w:rsidP="002C437C">
      <w:pPr>
        <w:pStyle w:val="Bullet"/>
        <w:tabs>
          <w:tab w:val="num" w:pos="397"/>
        </w:tabs>
        <w:spacing w:line="280" w:lineRule="exact"/>
      </w:pPr>
      <w:r w:rsidRPr="00747EF6">
        <w:t>requiring Product Disclosure Statements (</w:t>
      </w:r>
      <w:hyperlink r:id="rId36" w:history="1">
        <w:r w:rsidRPr="00E37CC9">
          <w:rPr>
            <w:rStyle w:val="Hyperlink"/>
          </w:rPr>
          <w:t>Part 3</w:t>
        </w:r>
      </w:hyperlink>
      <w:r w:rsidRPr="00747EF6">
        <w:t xml:space="preserve"> of FMC Act)</w:t>
      </w:r>
    </w:p>
    <w:p w14:paraId="04FF6836" w14:textId="77777777" w:rsidR="002C437C" w:rsidRPr="00747EF6" w:rsidRDefault="002C437C" w:rsidP="002C437C">
      <w:pPr>
        <w:pStyle w:val="Bullet"/>
        <w:tabs>
          <w:tab w:val="num" w:pos="397"/>
        </w:tabs>
        <w:spacing w:line="280" w:lineRule="exact"/>
      </w:pPr>
      <w:r w:rsidRPr="00747EF6">
        <w:t>governance relating to debt securities and managed investment schemes (</w:t>
      </w:r>
      <w:hyperlink r:id="rId37" w:history="1">
        <w:r w:rsidRPr="005D2384">
          <w:rPr>
            <w:rStyle w:val="Hyperlink"/>
          </w:rPr>
          <w:t>Part 4</w:t>
        </w:r>
      </w:hyperlink>
      <w:r w:rsidRPr="00747EF6">
        <w:t xml:space="preserve"> of FMC Act)</w:t>
      </w:r>
    </w:p>
    <w:p w14:paraId="554DA5AD" w14:textId="77777777" w:rsidR="002C437C" w:rsidRPr="00747EF6" w:rsidRDefault="002C437C" w:rsidP="002C437C">
      <w:pPr>
        <w:pStyle w:val="Bullet"/>
        <w:tabs>
          <w:tab w:val="num" w:pos="397"/>
        </w:tabs>
        <w:spacing w:line="280" w:lineRule="exact"/>
      </w:pPr>
      <w:r w:rsidRPr="00747EF6">
        <w:t xml:space="preserve">obligations of FMC </w:t>
      </w:r>
      <w:r>
        <w:t>r</w:t>
      </w:r>
      <w:r w:rsidRPr="00747EF6">
        <w:t xml:space="preserve">eporting </w:t>
      </w:r>
      <w:r>
        <w:t>e</w:t>
      </w:r>
      <w:r w:rsidRPr="00747EF6">
        <w:t>ntities (</w:t>
      </w:r>
      <w:hyperlink r:id="rId38" w:history="1">
        <w:r w:rsidRPr="006E5273">
          <w:rPr>
            <w:rStyle w:val="Hyperlink"/>
          </w:rPr>
          <w:t>Part 7</w:t>
        </w:r>
      </w:hyperlink>
      <w:r w:rsidRPr="00747EF6">
        <w:t xml:space="preserve"> of FMC Act) for NZU financial advice providers</w:t>
      </w:r>
      <w:r>
        <w:t xml:space="preserve"> (although</w:t>
      </w:r>
      <w:r w:rsidRPr="00747EF6">
        <w:t xml:space="preserve"> we expect any licensed market operator would be </w:t>
      </w:r>
      <w:r>
        <w:t xml:space="preserve">an </w:t>
      </w:r>
      <w:r w:rsidRPr="00747EF6">
        <w:t xml:space="preserve">FMC </w:t>
      </w:r>
      <w:r>
        <w:t>r</w:t>
      </w:r>
      <w:r w:rsidRPr="00747EF6">
        <w:t xml:space="preserve">eporting </w:t>
      </w:r>
      <w:r>
        <w:t xml:space="preserve">entity </w:t>
      </w:r>
      <w:r w:rsidRPr="00747EF6">
        <w:t>and need to comply with the additional</w:t>
      </w:r>
      <w:r>
        <w:t xml:space="preserve"> associated</w:t>
      </w:r>
      <w:r w:rsidRPr="00747EF6">
        <w:t xml:space="preserve"> financial reporting requirements</w:t>
      </w:r>
      <w:r>
        <w:t>)</w:t>
      </w:r>
      <w:r w:rsidRPr="00747EF6">
        <w:t xml:space="preserve"> </w:t>
      </w:r>
    </w:p>
    <w:p w14:paraId="1ED9B152" w14:textId="77777777" w:rsidR="002C437C" w:rsidRPr="00747EF6" w:rsidRDefault="002C437C" w:rsidP="002C437C">
      <w:pPr>
        <w:pStyle w:val="Bullet"/>
        <w:tabs>
          <w:tab w:val="num" w:pos="397"/>
        </w:tabs>
        <w:spacing w:line="280" w:lineRule="exact"/>
      </w:pPr>
      <w:r>
        <w:t>r</w:t>
      </w:r>
      <w:r w:rsidRPr="00747EF6">
        <w:t>egulation of discretionary investment management services (</w:t>
      </w:r>
      <w:hyperlink r:id="rId39" w:history="1">
        <w:r w:rsidRPr="00E97A7A">
          <w:rPr>
            <w:rStyle w:val="Hyperlink"/>
          </w:rPr>
          <w:t>subpart 6 of Part 6</w:t>
        </w:r>
      </w:hyperlink>
      <w:r w:rsidRPr="00747EF6">
        <w:t xml:space="preserve"> of FMC Act).</w:t>
      </w:r>
    </w:p>
    <w:tbl>
      <w:tblPr>
        <w:tblStyle w:val="TableGrid"/>
        <w:tblW w:w="493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8400"/>
      </w:tblGrid>
      <w:tr w:rsidR="002C437C" w:rsidRPr="00A517B5" w14:paraId="2D472462" w14:textId="77777777" w:rsidTr="00265198">
        <w:tc>
          <w:tcPr>
            <w:tcW w:w="5000" w:type="pct"/>
            <w:shd w:val="clear" w:color="auto" w:fill="D2DDE2"/>
          </w:tcPr>
          <w:p w14:paraId="2074579B" w14:textId="41FA3AC6" w:rsidR="002C437C" w:rsidRPr="00A517B5" w:rsidRDefault="002C437C" w:rsidP="00265198">
            <w:pPr>
              <w:pStyle w:val="Blueboxtext"/>
              <w:spacing w:after="0"/>
              <w:rPr>
                <w:b/>
                <w:bCs/>
              </w:rPr>
            </w:pPr>
            <w:r w:rsidRPr="00A517B5">
              <w:rPr>
                <w:b/>
                <w:bCs/>
              </w:rPr>
              <w:t xml:space="preserve">Question </w:t>
            </w:r>
            <w:r w:rsidR="00FB5601">
              <w:rPr>
                <w:b/>
                <w:bCs/>
              </w:rPr>
              <w:t>17</w:t>
            </w:r>
          </w:p>
          <w:p w14:paraId="2A518D5B" w14:textId="77777777" w:rsidR="002C437C" w:rsidRPr="00A517B5" w:rsidRDefault="002C437C" w:rsidP="00265198">
            <w:pPr>
              <w:pStyle w:val="Blueboxtext"/>
            </w:pPr>
            <w:r w:rsidRPr="00A517B5">
              <w:t>Do you prefer the alternative options (status quo: Crimes Act 1961 or option three: Crimes Act and market manipulation prohibitions) to the preferred option? If so, why? And if so, please describe the aspects that you see as particularly advantageous to achieve the stated policy objectives.</w:t>
            </w:r>
          </w:p>
          <w:p w14:paraId="15A8B0CE" w14:textId="37AD8C88" w:rsidR="002C437C" w:rsidRPr="00A517B5" w:rsidRDefault="002C437C" w:rsidP="00265198">
            <w:pPr>
              <w:pStyle w:val="Blueboxtext"/>
              <w:spacing w:after="0"/>
              <w:rPr>
                <w:b/>
                <w:bCs/>
              </w:rPr>
            </w:pPr>
            <w:r w:rsidRPr="00A517B5">
              <w:rPr>
                <w:b/>
                <w:bCs/>
              </w:rPr>
              <w:lastRenderedPageBreak/>
              <w:t xml:space="preserve">Question </w:t>
            </w:r>
            <w:r w:rsidR="00FB5601">
              <w:rPr>
                <w:b/>
                <w:bCs/>
              </w:rPr>
              <w:t>18</w:t>
            </w:r>
          </w:p>
          <w:p w14:paraId="03939306" w14:textId="77777777" w:rsidR="002C437C" w:rsidRPr="00A517B5" w:rsidRDefault="002C437C" w:rsidP="00265198">
            <w:pPr>
              <w:pStyle w:val="Blueboxtext"/>
            </w:pPr>
            <w:r w:rsidRPr="00A517B5">
              <w:t xml:space="preserve">Do you have any views on whether market conduct (insider trading and market manipulation) should proceed </w:t>
            </w:r>
            <w:r>
              <w:t>as a</w:t>
            </w:r>
            <w:r w:rsidRPr="00A517B5">
              <w:t xml:space="preserve"> priority to, or instead of, creating a licensing framework for NZU market operators?</w:t>
            </w:r>
          </w:p>
          <w:p w14:paraId="4F7C0BE5" w14:textId="17F505A4" w:rsidR="002C437C" w:rsidRPr="00A517B5" w:rsidRDefault="002C437C" w:rsidP="00265198">
            <w:pPr>
              <w:pStyle w:val="Blueboxtext"/>
              <w:spacing w:after="0"/>
              <w:rPr>
                <w:b/>
                <w:bCs/>
              </w:rPr>
            </w:pPr>
            <w:r w:rsidRPr="00A517B5">
              <w:rPr>
                <w:b/>
                <w:bCs/>
              </w:rPr>
              <w:t xml:space="preserve">Question </w:t>
            </w:r>
            <w:r w:rsidR="00FB5601">
              <w:rPr>
                <w:b/>
                <w:bCs/>
              </w:rPr>
              <w:t>19</w:t>
            </w:r>
          </w:p>
          <w:p w14:paraId="64E12B4D" w14:textId="77777777" w:rsidR="002C437C" w:rsidRPr="00A517B5" w:rsidRDefault="002C437C" w:rsidP="00265198">
            <w:pPr>
              <w:pStyle w:val="Blueboxtext"/>
              <w:rPr>
                <w:highlight w:val="yellow"/>
              </w:rPr>
            </w:pPr>
            <w:r>
              <w:t>Can you suggest</w:t>
            </w:r>
            <w:r w:rsidRPr="00A517B5">
              <w:t xml:space="preserve"> alternative options that would achieve the stated policy objectives?</w:t>
            </w:r>
          </w:p>
        </w:tc>
      </w:tr>
    </w:tbl>
    <w:p w14:paraId="7E91E876" w14:textId="77777777" w:rsidR="00D10DE4" w:rsidRPr="00747EF6" w:rsidRDefault="00D10DE4" w:rsidP="00D10DE4">
      <w:pPr>
        <w:pStyle w:val="Heading3"/>
      </w:pPr>
      <w:r w:rsidRPr="00747EF6">
        <w:lastRenderedPageBreak/>
        <w:t>Clearing and settlement systems</w:t>
      </w:r>
    </w:p>
    <w:p w14:paraId="3E8FE503" w14:textId="77777777" w:rsidR="00D10DE4" w:rsidRPr="00747EF6" w:rsidRDefault="00D10DE4" w:rsidP="00D10DE4">
      <w:pPr>
        <w:pStyle w:val="BodyText"/>
      </w:pPr>
      <w:r w:rsidRPr="00747EF6">
        <w:t>Market operators are required to have systems and process</w:t>
      </w:r>
      <w:r>
        <w:t>es</w:t>
      </w:r>
      <w:r w:rsidRPr="00747EF6">
        <w:t xml:space="preserve"> to allow the market to operate in a fair, </w:t>
      </w:r>
      <w:proofErr w:type="gramStart"/>
      <w:r w:rsidRPr="00747EF6">
        <w:t>orderly</w:t>
      </w:r>
      <w:proofErr w:type="gramEnd"/>
      <w:r w:rsidRPr="00747EF6">
        <w:t xml:space="preserve"> and transparent manner,</w:t>
      </w:r>
      <w:r>
        <w:t xml:space="preserve"> including</w:t>
      </w:r>
      <w:r w:rsidRPr="00747EF6">
        <w:t xml:space="preserve"> arrangements to clear and settle transactions.</w:t>
      </w:r>
    </w:p>
    <w:p w14:paraId="31517E88" w14:textId="77777777" w:rsidR="00D10DE4" w:rsidRPr="00747EF6" w:rsidRDefault="00D10DE4" w:rsidP="00D10DE4">
      <w:pPr>
        <w:pStyle w:val="Heading4"/>
      </w:pPr>
      <w:r w:rsidRPr="00747EF6">
        <w:t>Previous feedback</w:t>
      </w:r>
    </w:p>
    <w:p w14:paraId="1E6FE41A" w14:textId="2DE61BF4" w:rsidR="00D10DE4" w:rsidRPr="00747EF6" w:rsidRDefault="00D10DE4" w:rsidP="00D10DE4">
      <w:pPr>
        <w:pStyle w:val="BodyText"/>
      </w:pPr>
      <w:r w:rsidRPr="00747EF6">
        <w:t xml:space="preserve">Submitters on the July 2021 consultation </w:t>
      </w:r>
      <w:r w:rsidR="003A5E4D" w:rsidRPr="00747EF6">
        <w:t xml:space="preserve">provided feedback </w:t>
      </w:r>
      <w:r w:rsidRPr="00747EF6">
        <w:t xml:space="preserve">that, under the current </w:t>
      </w:r>
      <w:r>
        <w:t>NZ </w:t>
      </w:r>
      <w:r w:rsidRPr="00747EF6">
        <w:t>ETS settings, credit and counterparty risks were seen as negligible. Although some participants had been required to adapt their procedures to manage those risks, it had not limited their ability to participate in the NZ</w:t>
      </w:r>
      <w:r>
        <w:t> </w:t>
      </w:r>
      <w:r w:rsidRPr="00747EF6">
        <w:t>ETS.</w:t>
      </w:r>
      <w:r>
        <w:t xml:space="preserve"> </w:t>
      </w:r>
      <w:r w:rsidRPr="00747EF6">
        <w:t>Submitters also suggested that an in-built escrow arrangement within the NZETR may help to mitigate counterparty risk.</w:t>
      </w:r>
      <w:r w:rsidR="00BF034B">
        <w:rPr>
          <w:rStyle w:val="FootnoteReference"/>
        </w:rPr>
        <w:footnoteReference w:id="26"/>
      </w:r>
    </w:p>
    <w:p w14:paraId="458E71DE" w14:textId="77777777" w:rsidR="00D10DE4" w:rsidRPr="00747EF6" w:rsidRDefault="00D10DE4" w:rsidP="00D10DE4">
      <w:pPr>
        <w:pStyle w:val="BodyText"/>
      </w:pPr>
      <w:r w:rsidRPr="00747EF6">
        <w:t xml:space="preserve">Most submitters also favoured voluntary exchange-based trading while leaving space for </w:t>
      </w:r>
      <w:proofErr w:type="gramStart"/>
      <w:r w:rsidRPr="00747EF6">
        <w:t>over-the-counter</w:t>
      </w:r>
      <w:proofErr w:type="gramEnd"/>
      <w:r w:rsidRPr="00747EF6">
        <w:t xml:space="preserve"> (OTC) market</w:t>
      </w:r>
      <w:r>
        <w:t>s</w:t>
      </w:r>
      <w:r w:rsidRPr="00747EF6">
        <w:t xml:space="preserve"> to continue to operate.</w:t>
      </w:r>
    </w:p>
    <w:p w14:paraId="04B322E0" w14:textId="77777777" w:rsidR="00D10DE4" w:rsidRPr="00747EF6" w:rsidRDefault="00D10DE4" w:rsidP="00D10DE4">
      <w:pPr>
        <w:pStyle w:val="Heading4"/>
      </w:pPr>
      <w:r w:rsidRPr="00747EF6">
        <w:t>Current proposal</w:t>
      </w:r>
    </w:p>
    <w:p w14:paraId="674D9AF4" w14:textId="2580EE7F" w:rsidR="00D10DE4" w:rsidRPr="00747EF6" w:rsidRDefault="00D10DE4" w:rsidP="00D10DE4">
      <w:pPr>
        <w:pStyle w:val="BodyText"/>
      </w:pPr>
      <w:r w:rsidRPr="00747EF6">
        <w:t xml:space="preserve">The current market governance proposal is to introduce licensing for NZU market operators. It has been considered desirable to </w:t>
      </w:r>
      <w:r w:rsidR="002B59CF">
        <w:t>develop</w:t>
      </w:r>
      <w:r w:rsidRPr="00747EF6">
        <w:t xml:space="preserve"> a centralised clearing and settlement arrangement </w:t>
      </w:r>
      <w:r w:rsidR="0031150A">
        <w:t>to handle</w:t>
      </w:r>
      <w:r w:rsidRPr="00747EF6">
        <w:t xml:space="preserve"> the transfer of payments and NZUs in a similar manner as financial markets.</w:t>
      </w:r>
    </w:p>
    <w:p w14:paraId="273E6998" w14:textId="5E4A332F" w:rsidR="00D10DE4" w:rsidRPr="00747EF6" w:rsidRDefault="00D10DE4" w:rsidP="00D10DE4">
      <w:pPr>
        <w:pStyle w:val="BodyText"/>
      </w:pPr>
      <w:r w:rsidRPr="00747EF6">
        <w:t>The objective</w:t>
      </w:r>
      <w:r>
        <w:t>s</w:t>
      </w:r>
      <w:r w:rsidRPr="00747EF6">
        <w:t xml:space="preserve"> </w:t>
      </w:r>
      <w:r>
        <w:t>for</w:t>
      </w:r>
      <w:r w:rsidRPr="00747EF6">
        <w:t xml:space="preserve"> doing so would be to mitigate credit and counterparty risks</w:t>
      </w:r>
      <w:r>
        <w:t>,</w:t>
      </w:r>
      <w:r w:rsidRPr="00747EF6">
        <w:t xml:space="preserve"> and to improve oversight of price, </w:t>
      </w:r>
      <w:proofErr w:type="gramStart"/>
      <w:r w:rsidRPr="00747EF6">
        <w:t>volumes</w:t>
      </w:r>
      <w:proofErr w:type="gramEnd"/>
      <w:r w:rsidRPr="00747EF6">
        <w:t xml:space="preserve"> and trading activity on the secondary market.</w:t>
      </w:r>
    </w:p>
    <w:p w14:paraId="2065B5BA" w14:textId="07B59D0A" w:rsidR="00D10DE4" w:rsidRPr="00747EF6" w:rsidRDefault="00D10DE4" w:rsidP="00D10DE4">
      <w:pPr>
        <w:pStyle w:val="BodyText"/>
      </w:pPr>
      <w:r w:rsidRPr="00747EF6">
        <w:t>The form and structure of any clearing and settlement system will depend on the future state of the secondary market structure. For example</w:t>
      </w:r>
      <w:r>
        <w:t xml:space="preserve">, </w:t>
      </w:r>
      <w:r w:rsidRPr="00747EF6">
        <w:t xml:space="preserve">it may look like in-house clearing and settlement systems and processes operated separately by one or more small NZU markets for persons that participate in trading on each </w:t>
      </w:r>
      <w:proofErr w:type="gramStart"/>
      <w:r w:rsidRPr="00747EF6">
        <w:t>particular market</w:t>
      </w:r>
      <w:proofErr w:type="gramEnd"/>
      <w:r w:rsidRPr="00747EF6">
        <w:t xml:space="preserve"> </w:t>
      </w:r>
      <w:r>
        <w:t>(</w:t>
      </w:r>
      <w:proofErr w:type="spellStart"/>
      <w:r w:rsidRPr="00747EF6">
        <w:t>eg</w:t>
      </w:r>
      <w:proofErr w:type="spellEnd"/>
      <w:r>
        <w:t>,</w:t>
      </w:r>
      <w:r w:rsidRPr="00747EF6">
        <w:t xml:space="preserve"> auction</w:t>
      </w:r>
      <w:r>
        <w:t xml:space="preserve"> h</w:t>
      </w:r>
      <w:r w:rsidRPr="00747EF6">
        <w:t>ouses or small exchanges</w:t>
      </w:r>
      <w:r>
        <w:t>,</w:t>
      </w:r>
      <w:r w:rsidRPr="00747EF6">
        <w:t xml:space="preserve"> where the secondary market has low levels of trading activity and/or liquidity). </w:t>
      </w:r>
    </w:p>
    <w:p w14:paraId="78F95B50" w14:textId="77777777" w:rsidR="00D10DE4" w:rsidRPr="00747EF6" w:rsidRDefault="00D10DE4" w:rsidP="00D10DE4">
      <w:pPr>
        <w:pStyle w:val="BodyText"/>
      </w:pPr>
      <w:r w:rsidRPr="00747EF6">
        <w:t>In its most sophisticated form, the</w:t>
      </w:r>
      <w:r>
        <w:t xml:space="preserve"> clearing and settlement system </w:t>
      </w:r>
      <w:r w:rsidRPr="00747EF6">
        <w:t>may involve:</w:t>
      </w:r>
    </w:p>
    <w:p w14:paraId="1130F57D" w14:textId="77777777" w:rsidR="00D10DE4" w:rsidRPr="00747EF6" w:rsidRDefault="00D10DE4" w:rsidP="00D10DE4">
      <w:pPr>
        <w:pStyle w:val="Bullet"/>
        <w:tabs>
          <w:tab w:val="num" w:pos="397"/>
        </w:tabs>
        <w:spacing w:line="280" w:lineRule="exact"/>
      </w:pPr>
      <w:r w:rsidRPr="00747EF6">
        <w:t>a general centralised clearing (with or without a central counterparty).</w:t>
      </w:r>
    </w:p>
    <w:p w14:paraId="1E4685C4" w14:textId="77777777" w:rsidR="00D10DE4" w:rsidRPr="00747EF6" w:rsidRDefault="00D10DE4" w:rsidP="00D10DE4">
      <w:pPr>
        <w:pStyle w:val="Bullet"/>
        <w:tabs>
          <w:tab w:val="num" w:pos="397"/>
        </w:tabs>
        <w:spacing w:line="280" w:lineRule="exact"/>
      </w:pPr>
      <w:r w:rsidRPr="00747EF6">
        <w:t>a ‘NZU securities</w:t>
      </w:r>
      <w:r>
        <w:t>’</w:t>
      </w:r>
      <w:r w:rsidRPr="00747EF6">
        <w:t xml:space="preserve"> depository function (among other things).</w:t>
      </w:r>
    </w:p>
    <w:p w14:paraId="12868360" w14:textId="77777777" w:rsidR="00D10DE4" w:rsidRDefault="00D10DE4" w:rsidP="00D10DE4">
      <w:pPr>
        <w:pStyle w:val="BodyText"/>
      </w:pPr>
      <w:r w:rsidRPr="00747EF6">
        <w:t>Collectively, these functions</w:t>
      </w:r>
      <w:r>
        <w:t>:</w:t>
      </w:r>
    </w:p>
    <w:p w14:paraId="4D6AC52D" w14:textId="77777777" w:rsidR="00D10DE4" w:rsidRDefault="00D10DE4" w:rsidP="00D10DE4">
      <w:pPr>
        <w:pStyle w:val="Bullet"/>
        <w:tabs>
          <w:tab w:val="num" w:pos="397"/>
        </w:tabs>
        <w:spacing w:line="280" w:lineRule="exact"/>
      </w:pPr>
      <w:r w:rsidRPr="00747EF6">
        <w:t>support the management of counterparty risks</w:t>
      </w:r>
    </w:p>
    <w:p w14:paraId="141B3E3F" w14:textId="77777777" w:rsidR="00D10DE4" w:rsidRDefault="00D10DE4" w:rsidP="00D10DE4">
      <w:pPr>
        <w:pStyle w:val="Bullet"/>
        <w:tabs>
          <w:tab w:val="num" w:pos="397"/>
        </w:tabs>
        <w:spacing w:line="280" w:lineRule="exact"/>
      </w:pPr>
      <w:r w:rsidRPr="00747EF6">
        <w:t>allow multilateral netting of trades</w:t>
      </w:r>
    </w:p>
    <w:p w14:paraId="742FA3C4" w14:textId="77777777" w:rsidR="00D10DE4" w:rsidRDefault="00D10DE4" w:rsidP="00D10DE4">
      <w:pPr>
        <w:pStyle w:val="Bullet"/>
        <w:tabs>
          <w:tab w:val="num" w:pos="397"/>
        </w:tabs>
        <w:spacing w:line="280" w:lineRule="exact"/>
      </w:pPr>
      <w:r w:rsidRPr="00747EF6">
        <w:t xml:space="preserve">provide custodial holdings, recording of beneficial and security interests, and transaction settling. </w:t>
      </w:r>
    </w:p>
    <w:p w14:paraId="62AA8ED6" w14:textId="77777777" w:rsidR="00D10DE4" w:rsidRPr="00747EF6" w:rsidRDefault="00D10DE4" w:rsidP="00D10DE4">
      <w:pPr>
        <w:pStyle w:val="BodyText"/>
      </w:pPr>
      <w:r w:rsidRPr="00747EF6">
        <w:t>This</w:t>
      </w:r>
      <w:r>
        <w:t xml:space="preserve"> system</w:t>
      </w:r>
      <w:r w:rsidRPr="00747EF6">
        <w:t xml:space="preserve"> may be accessible for all NZU transactions (whether </w:t>
      </w:r>
      <w:r>
        <w:t xml:space="preserve">they take </w:t>
      </w:r>
      <w:r w:rsidRPr="00747EF6">
        <w:t>place on-market or over</w:t>
      </w:r>
      <w:r>
        <w:t xml:space="preserve"> </w:t>
      </w:r>
      <w:r w:rsidRPr="00747EF6">
        <w:t>the</w:t>
      </w:r>
      <w:r>
        <w:t xml:space="preserve"> </w:t>
      </w:r>
      <w:r w:rsidRPr="00747EF6">
        <w:t>counter</w:t>
      </w:r>
      <w:r>
        <w:t>)</w:t>
      </w:r>
      <w:r w:rsidRPr="00747EF6">
        <w:t>.</w:t>
      </w:r>
    </w:p>
    <w:p w14:paraId="443692AA" w14:textId="45A019D9" w:rsidR="00D10DE4" w:rsidRPr="00747EF6" w:rsidRDefault="00D10DE4" w:rsidP="00D10DE4">
      <w:pPr>
        <w:pStyle w:val="BodyText"/>
      </w:pPr>
      <w:r w:rsidRPr="00747EF6">
        <w:lastRenderedPageBreak/>
        <w:t xml:space="preserve">We seek your feedback on the extent to which you consider it necessary or desirable to facilitate </w:t>
      </w:r>
      <w:proofErr w:type="gramStart"/>
      <w:r w:rsidRPr="00747EF6">
        <w:t>particular forms</w:t>
      </w:r>
      <w:proofErr w:type="gramEnd"/>
      <w:r w:rsidRPr="00747EF6">
        <w:t xml:space="preserve"> of clearing and settlement systems and arrangements. This will </w:t>
      </w:r>
      <w:r w:rsidR="00500E0D">
        <w:t xml:space="preserve">help us to determine </w:t>
      </w:r>
      <w:r w:rsidRPr="00747EF6">
        <w:t>what (if any) changes should be made to the systems-level regulatory settings in the context of the NZU market</w:t>
      </w:r>
      <w:r>
        <w:t>,</w:t>
      </w:r>
      <w:r w:rsidRPr="00747EF6">
        <w:t xml:space="preserve"> and </w:t>
      </w:r>
      <w:r>
        <w:t xml:space="preserve">consideration of </w:t>
      </w:r>
      <w:r w:rsidRPr="00747EF6">
        <w:t>the costs and benefits of requiring NZU financial product markets to be licen</w:t>
      </w:r>
      <w:r>
        <w:t>s</w:t>
      </w:r>
      <w:r w:rsidRPr="00747EF6">
        <w:t>ed.</w:t>
      </w:r>
    </w:p>
    <w:tbl>
      <w:tblPr>
        <w:tblStyle w:val="TableGrid"/>
        <w:tblW w:w="493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8400"/>
      </w:tblGrid>
      <w:tr w:rsidR="00BE2A87" w:rsidRPr="00BE2A87" w14:paraId="6E850F83" w14:textId="77777777" w:rsidTr="00BE2A87">
        <w:tc>
          <w:tcPr>
            <w:tcW w:w="5000" w:type="pct"/>
            <w:shd w:val="clear" w:color="auto" w:fill="D2DDE2"/>
            <w:hideMark/>
          </w:tcPr>
          <w:p w14:paraId="702C9AEE" w14:textId="2A0C6FED" w:rsidR="00BE2A87" w:rsidRPr="00A517B5" w:rsidRDefault="00BE2A87" w:rsidP="00A517B5">
            <w:pPr>
              <w:pStyle w:val="Blueboxtext"/>
              <w:spacing w:after="0"/>
              <w:rPr>
                <w:b/>
                <w:bCs/>
              </w:rPr>
            </w:pPr>
            <w:r w:rsidRPr="00A517B5">
              <w:rPr>
                <w:b/>
                <w:bCs/>
              </w:rPr>
              <w:t xml:space="preserve">Question </w:t>
            </w:r>
            <w:r w:rsidR="00FB5601">
              <w:rPr>
                <w:b/>
                <w:bCs/>
              </w:rPr>
              <w:t>20</w:t>
            </w:r>
          </w:p>
          <w:p w14:paraId="7A4099D0" w14:textId="3A2EA5A0" w:rsidR="00BE2A87" w:rsidRPr="00BE2A87" w:rsidRDefault="00BE2A87" w:rsidP="00A517B5">
            <w:pPr>
              <w:pStyle w:val="Blueboxtext"/>
            </w:pPr>
            <w:r w:rsidRPr="00BE2A87">
              <w:t xml:space="preserve">Do you consider a centralised clearing and settlement system necessary or desirable to manage counterparty, </w:t>
            </w:r>
            <w:proofErr w:type="gramStart"/>
            <w:r w:rsidRPr="00BE2A87">
              <w:t>credit</w:t>
            </w:r>
            <w:proofErr w:type="gramEnd"/>
            <w:r w:rsidRPr="00BE2A87">
              <w:t xml:space="preserve"> and other settlement risks for NZU markets if there are one or more licensed market operators? Why or why not?</w:t>
            </w:r>
          </w:p>
          <w:p w14:paraId="1B59BC6C" w14:textId="2A94AC64" w:rsidR="00BE2A87" w:rsidRPr="00A517B5" w:rsidRDefault="00BE2A87" w:rsidP="00A517B5">
            <w:pPr>
              <w:pStyle w:val="Blueboxtext"/>
              <w:spacing w:after="0"/>
              <w:rPr>
                <w:b/>
                <w:bCs/>
              </w:rPr>
            </w:pPr>
            <w:r w:rsidRPr="00A517B5">
              <w:rPr>
                <w:b/>
                <w:bCs/>
              </w:rPr>
              <w:t xml:space="preserve">Question </w:t>
            </w:r>
            <w:r w:rsidR="00FB5601">
              <w:rPr>
                <w:b/>
                <w:bCs/>
              </w:rPr>
              <w:t>21</w:t>
            </w:r>
          </w:p>
          <w:p w14:paraId="5C9E3873" w14:textId="77777777" w:rsidR="00BE2A87" w:rsidRPr="00BE2A87" w:rsidRDefault="00BE2A87" w:rsidP="00A517B5">
            <w:pPr>
              <w:pStyle w:val="Blueboxtext"/>
            </w:pPr>
            <w:r w:rsidRPr="00BE2A87">
              <w:t xml:space="preserve">What are your views on whether it should be limited to on-market transactions or should be available for over-the-counter transactions? </w:t>
            </w:r>
          </w:p>
          <w:p w14:paraId="3CE87CFA" w14:textId="24A633D3" w:rsidR="00BE2A87" w:rsidRPr="00A517B5" w:rsidRDefault="00BE2A87" w:rsidP="00A517B5">
            <w:pPr>
              <w:pStyle w:val="Blueboxtext"/>
              <w:spacing w:after="0"/>
              <w:rPr>
                <w:b/>
                <w:bCs/>
              </w:rPr>
            </w:pPr>
            <w:r w:rsidRPr="00A517B5">
              <w:rPr>
                <w:b/>
                <w:bCs/>
              </w:rPr>
              <w:t xml:space="preserve">Question </w:t>
            </w:r>
            <w:r w:rsidR="00FB5601">
              <w:rPr>
                <w:b/>
                <w:bCs/>
              </w:rPr>
              <w:t>22</w:t>
            </w:r>
          </w:p>
          <w:p w14:paraId="3E0F5D8F" w14:textId="77777777" w:rsidR="00BE2A87" w:rsidRPr="00BE2A87" w:rsidRDefault="00BE2A87" w:rsidP="00A517B5">
            <w:pPr>
              <w:pStyle w:val="Blueboxtext"/>
              <w:rPr>
                <w:lang w:eastAsia="en-US"/>
              </w:rPr>
            </w:pPr>
            <w:r w:rsidRPr="00BE2A87">
              <w:t>How would the availability of a centralised clearing party benefit and/or impact your business in terms of managing credit and counterparty risk?</w:t>
            </w:r>
          </w:p>
        </w:tc>
      </w:tr>
    </w:tbl>
    <w:p w14:paraId="5788CF82" w14:textId="77777777" w:rsidR="004545E0" w:rsidRDefault="004545E0" w:rsidP="00A517B5">
      <w:pPr>
        <w:pStyle w:val="Heading1"/>
      </w:pPr>
      <w:bookmarkStart w:id="89" w:name="_Toc118703534"/>
      <w:bookmarkStart w:id="90" w:name="_Toc118953588"/>
    </w:p>
    <w:p w14:paraId="72053F2D" w14:textId="77777777" w:rsidR="004545E0" w:rsidRDefault="004545E0">
      <w:pPr>
        <w:spacing w:before="0" w:after="200" w:line="276" w:lineRule="auto"/>
        <w:jc w:val="left"/>
        <w:rPr>
          <w:rFonts w:ascii="Georgia" w:eastAsiaTheme="majorEastAsia" w:hAnsi="Georgia" w:cstheme="majorBidi"/>
          <w:b/>
          <w:bCs/>
          <w:color w:val="1B556B"/>
          <w:sz w:val="48"/>
          <w:szCs w:val="28"/>
        </w:rPr>
      </w:pPr>
      <w:r>
        <w:br w:type="page"/>
      </w:r>
    </w:p>
    <w:p w14:paraId="5E0A4888" w14:textId="368D9E78" w:rsidR="00A517B5" w:rsidRPr="00747EF6" w:rsidRDefault="00A517B5" w:rsidP="00A517B5">
      <w:pPr>
        <w:pStyle w:val="Heading1"/>
      </w:pPr>
      <w:r w:rsidRPr="00747EF6">
        <w:t>Topic 2: Regulating NZU financial advice, transaction</w:t>
      </w:r>
      <w:r>
        <w:t>al</w:t>
      </w:r>
      <w:r w:rsidRPr="00747EF6">
        <w:t xml:space="preserve"> and/or custodial service</w:t>
      </w:r>
      <w:r>
        <w:t>s</w:t>
      </w:r>
      <w:bookmarkEnd w:id="89"/>
      <w:bookmarkEnd w:id="9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8397"/>
      </w:tblGrid>
      <w:tr w:rsidR="00A517B5" w:rsidRPr="00747EF6" w14:paraId="06A60394" w14:textId="77777777" w:rsidTr="00A517B5">
        <w:tc>
          <w:tcPr>
            <w:tcW w:w="8613" w:type="dxa"/>
            <w:shd w:val="clear" w:color="auto" w:fill="D2DDE2"/>
          </w:tcPr>
          <w:p w14:paraId="4B8D6126" w14:textId="77777777" w:rsidR="00A517B5" w:rsidRPr="00BE2C32" w:rsidRDefault="00A517B5" w:rsidP="00BE2C32">
            <w:pPr>
              <w:pStyle w:val="Blueboxtext"/>
              <w:rPr>
                <w:b/>
                <w:bCs/>
              </w:rPr>
            </w:pPr>
            <w:r w:rsidRPr="00BE2C32">
              <w:rPr>
                <w:b/>
                <w:bCs/>
              </w:rPr>
              <w:t>Summary of options</w:t>
            </w:r>
          </w:p>
          <w:p w14:paraId="09D4BD2F" w14:textId="3D4133D4" w:rsidR="00A517B5" w:rsidRPr="00747EF6" w:rsidRDefault="00A517B5" w:rsidP="00BE2C32">
            <w:pPr>
              <w:pStyle w:val="Blue-boxbullet"/>
              <w:numPr>
                <w:ilvl w:val="0"/>
                <w:numId w:val="24"/>
              </w:numPr>
            </w:pPr>
            <w:r w:rsidRPr="00A517B5">
              <w:rPr>
                <w:b/>
                <w:bCs/>
                <w:i/>
                <w:iCs/>
              </w:rPr>
              <w:t>Option one: Existing legislation (status quo</w:t>
            </w:r>
            <w:r>
              <w:rPr>
                <w:i/>
                <w:iCs/>
              </w:rPr>
              <w:t>)</w:t>
            </w:r>
            <w:r w:rsidRPr="00747EF6">
              <w:t>. The NZU market is partially covered by four Acts</w:t>
            </w:r>
            <w:r>
              <w:t xml:space="preserve"> that</w:t>
            </w:r>
            <w:r w:rsidRPr="00747EF6">
              <w:rPr>
                <w:bCs/>
              </w:rPr>
              <w:t xml:space="preserve"> protect market users from poor or misleading advice</w:t>
            </w:r>
            <w:r w:rsidRPr="00747EF6">
              <w:t>. The status quo also captures private remedies that exist independently of</w:t>
            </w:r>
            <w:r>
              <w:t xml:space="preserve"> legislation</w:t>
            </w:r>
            <w:r w:rsidRPr="00747EF6">
              <w:t xml:space="preserve">, such as a claim for breach of contract. </w:t>
            </w:r>
            <w:r>
              <w:t>Th</w:t>
            </w:r>
            <w:r w:rsidRPr="00747EF6">
              <w:t xml:space="preserve">is option </w:t>
            </w:r>
            <w:r>
              <w:t>may</w:t>
            </w:r>
            <w:r w:rsidRPr="00747EF6">
              <w:t xml:space="preserve"> not provide adequate coverage from the potential</w:t>
            </w:r>
            <w:r w:rsidR="006037FC">
              <w:t xml:space="preserve"> of</w:t>
            </w:r>
            <w:r w:rsidRPr="00747EF6">
              <w:t xml:space="preserve"> increasingly poor advice</w:t>
            </w:r>
            <w:r>
              <w:t>.</w:t>
            </w:r>
          </w:p>
          <w:p w14:paraId="416A6766" w14:textId="556C62B1" w:rsidR="00A517B5" w:rsidRPr="00747EF6" w:rsidRDefault="00A517B5" w:rsidP="00BE2C32">
            <w:pPr>
              <w:pStyle w:val="Blue-boxbullet"/>
              <w:numPr>
                <w:ilvl w:val="0"/>
                <w:numId w:val="24"/>
              </w:numPr>
            </w:pPr>
            <w:r w:rsidRPr="00BE2C32">
              <w:rPr>
                <w:b/>
                <w:i/>
                <w:iCs/>
              </w:rPr>
              <w:t>Option two: Regulating NZU financial advice, transactional and/or custodial services.</w:t>
            </w:r>
            <w:r w:rsidRPr="00747EF6">
              <w:t xml:space="preserve"> Regulating NZU financial advice means that persons </w:t>
            </w:r>
            <w:r>
              <w:t>who</w:t>
            </w:r>
            <w:r w:rsidRPr="00747EF6">
              <w:t xml:space="preserve"> make recommendations or give opinions about buying, </w:t>
            </w:r>
            <w:proofErr w:type="gramStart"/>
            <w:r w:rsidRPr="00747EF6">
              <w:t>selling</w:t>
            </w:r>
            <w:proofErr w:type="gramEnd"/>
            <w:r w:rsidRPr="00747EF6">
              <w:t xml:space="preserve"> or holding NZUs </w:t>
            </w:r>
            <w:r>
              <w:t>would be</w:t>
            </w:r>
            <w:r w:rsidRPr="00747EF6">
              <w:t xml:space="preserve"> regulated in a similar manner as </w:t>
            </w:r>
            <w:r>
              <w:t xml:space="preserve">under </w:t>
            </w:r>
            <w:r w:rsidRPr="00747EF6">
              <w:t>the FMC Act.</w:t>
            </w:r>
            <w:r w:rsidRPr="00747EF6">
              <w:rPr>
                <w:bCs/>
              </w:rPr>
              <w:t xml:space="preserve"> </w:t>
            </w:r>
            <w:r w:rsidRPr="00257E8B">
              <w:rPr>
                <w:bCs/>
              </w:rPr>
              <w:t>Obligations for advice providers to retail clients include complying with a code of conduct, meeting standards of competence, operating under a licence from the FMA and belonging to a dispute</w:t>
            </w:r>
            <w:r w:rsidR="002B5B8C">
              <w:rPr>
                <w:bCs/>
              </w:rPr>
              <w:t>-</w:t>
            </w:r>
            <w:r w:rsidRPr="00257E8B">
              <w:rPr>
                <w:bCs/>
              </w:rPr>
              <w:t xml:space="preserve">resolution scheme. </w:t>
            </w:r>
            <w:r w:rsidRPr="00747EF6">
              <w:rPr>
                <w:bCs/>
              </w:rPr>
              <w:t xml:space="preserve">This proposal also tests </w:t>
            </w:r>
            <w:r>
              <w:rPr>
                <w:bCs/>
              </w:rPr>
              <w:t>whether</w:t>
            </w:r>
            <w:r w:rsidRPr="00747EF6">
              <w:rPr>
                <w:bCs/>
              </w:rPr>
              <w:t xml:space="preserve"> client money and property services as part of </w:t>
            </w:r>
            <w:r w:rsidR="00457848">
              <w:rPr>
                <w:bCs/>
              </w:rPr>
              <w:t xml:space="preserve">the </w:t>
            </w:r>
            <w:r w:rsidRPr="00747EF6">
              <w:rPr>
                <w:bCs/>
              </w:rPr>
              <w:t xml:space="preserve">FMC Act should </w:t>
            </w:r>
            <w:r w:rsidR="007428BD">
              <w:rPr>
                <w:bCs/>
              </w:rPr>
              <w:t xml:space="preserve">now </w:t>
            </w:r>
            <w:r w:rsidRPr="00747EF6">
              <w:rPr>
                <w:bCs/>
              </w:rPr>
              <w:t>be considered</w:t>
            </w:r>
            <w:r>
              <w:rPr>
                <w:bCs/>
              </w:rPr>
              <w:t>,</w:t>
            </w:r>
            <w:r w:rsidRPr="00747EF6">
              <w:rPr>
                <w:bCs/>
              </w:rPr>
              <w:t xml:space="preserve"> as it was not a part of the 2021 consultation. </w:t>
            </w:r>
          </w:p>
          <w:p w14:paraId="2A0D9E28" w14:textId="5988DBDA" w:rsidR="00A517B5" w:rsidRPr="00747EF6" w:rsidRDefault="00A517B5" w:rsidP="00BE2C32">
            <w:pPr>
              <w:pStyle w:val="Blue-boxbullet"/>
              <w:numPr>
                <w:ilvl w:val="0"/>
                <w:numId w:val="24"/>
              </w:numPr>
            </w:pPr>
            <w:r w:rsidRPr="00BE2C32">
              <w:rPr>
                <w:b/>
                <w:bCs/>
                <w:i/>
                <w:iCs/>
              </w:rPr>
              <w:t>Option three: FMC Act wholesale client settings</w:t>
            </w:r>
            <w:r w:rsidRPr="00747EF6">
              <w:rPr>
                <w:i/>
              </w:rPr>
              <w:t>.</w:t>
            </w:r>
            <w:r w:rsidRPr="00747EF6">
              <w:rPr>
                <w:bCs/>
              </w:rPr>
              <w:t xml:space="preserve"> </w:t>
            </w:r>
            <w:r w:rsidRPr="00747EF6">
              <w:t xml:space="preserve">This option </w:t>
            </w:r>
            <w:r w:rsidR="00C56491">
              <w:t>assumes</w:t>
            </w:r>
            <w:r w:rsidRPr="00747EF6">
              <w:t xml:space="preserve"> </w:t>
            </w:r>
            <w:r>
              <w:t xml:space="preserve">that </w:t>
            </w:r>
            <w:r w:rsidRPr="00747EF6">
              <w:t xml:space="preserve">a larger proportion of those </w:t>
            </w:r>
            <w:r>
              <w:t>receiving</w:t>
            </w:r>
            <w:r w:rsidRPr="00747EF6">
              <w:t xml:space="preserve"> NZU financial advice would have a higher degree of experience</w:t>
            </w:r>
            <w:r>
              <w:t>,</w:t>
            </w:r>
            <w:r w:rsidRPr="00747EF6">
              <w:t xml:space="preserve"> compared to clients </w:t>
            </w:r>
            <w:r w:rsidR="005A53B7">
              <w:t>who</w:t>
            </w:r>
            <w:r w:rsidR="005A53B7" w:rsidRPr="00747EF6">
              <w:t xml:space="preserve"> </w:t>
            </w:r>
            <w:r w:rsidRPr="00747EF6">
              <w:t>receive advice about other financial products.</w:t>
            </w:r>
            <w:r w:rsidRPr="00747EF6">
              <w:rPr>
                <w:bCs/>
              </w:rPr>
              <w:t xml:space="preserve"> This option proposes </w:t>
            </w:r>
            <w:r>
              <w:rPr>
                <w:bCs/>
              </w:rPr>
              <w:t xml:space="preserve">that </w:t>
            </w:r>
            <w:r w:rsidRPr="00747EF6">
              <w:rPr>
                <w:bCs/>
              </w:rPr>
              <w:t>wholesale client settings apply for all NZU market users.</w:t>
            </w:r>
            <w:r>
              <w:t xml:space="preserve"> </w:t>
            </w:r>
          </w:p>
          <w:p w14:paraId="67791FCC" w14:textId="77777777" w:rsidR="00A517B5" w:rsidRPr="00E17A49" w:rsidRDefault="00A517B5" w:rsidP="00BE2C32">
            <w:pPr>
              <w:pStyle w:val="Blue-boxbullet"/>
              <w:numPr>
                <w:ilvl w:val="0"/>
                <w:numId w:val="24"/>
              </w:numPr>
              <w:spacing w:after="0"/>
              <w:rPr>
                <w:b/>
              </w:rPr>
            </w:pPr>
            <w:r>
              <w:rPr>
                <w:b/>
              </w:rPr>
              <w:t>Subject to feedback, w</w:t>
            </w:r>
            <w:r w:rsidRPr="00804959">
              <w:rPr>
                <w:b/>
              </w:rPr>
              <w:t>e recommend progressing with option two: Regulating NZU financial advice, transactional and/or custodial services.</w:t>
            </w:r>
          </w:p>
          <w:p w14:paraId="2CC5C8F3" w14:textId="77777777" w:rsidR="00A517B5" w:rsidRPr="00BE2C32" w:rsidRDefault="00A517B5" w:rsidP="00BE2C32">
            <w:pPr>
              <w:pStyle w:val="Blueboxtext"/>
              <w:spacing w:before="240"/>
              <w:rPr>
                <w:b/>
                <w:bCs/>
              </w:rPr>
            </w:pPr>
            <w:r w:rsidRPr="00BE2C32">
              <w:rPr>
                <w:b/>
                <w:bCs/>
              </w:rPr>
              <w:t>Summary of impacts</w:t>
            </w:r>
          </w:p>
          <w:p w14:paraId="3ABAE513" w14:textId="72671202" w:rsidR="00A517B5" w:rsidRPr="00BE2C32" w:rsidRDefault="00A517B5" w:rsidP="00BE2C32">
            <w:pPr>
              <w:pStyle w:val="Blue-boxbullet"/>
              <w:numPr>
                <w:ilvl w:val="0"/>
                <w:numId w:val="24"/>
              </w:numPr>
              <w:rPr>
                <w:bCs/>
              </w:rPr>
            </w:pPr>
            <w:r w:rsidRPr="00BE2C32">
              <w:rPr>
                <w:bCs/>
              </w:rPr>
              <w:lastRenderedPageBreak/>
              <w:t xml:space="preserve">Option two provides greater oversight for government agencies, the </w:t>
            </w:r>
            <w:proofErr w:type="gramStart"/>
            <w:r w:rsidRPr="00BE2C32">
              <w:rPr>
                <w:bCs/>
              </w:rPr>
              <w:t>regulator</w:t>
            </w:r>
            <w:proofErr w:type="gramEnd"/>
            <w:r w:rsidRPr="00BE2C32">
              <w:rPr>
                <w:bCs/>
              </w:rPr>
              <w:t xml:space="preserve"> and the public as to who provides financial advice relating to NZUs, as well as greater ability to monitor compliance with existing laws.</w:t>
            </w:r>
          </w:p>
          <w:p w14:paraId="2EF2D8BA" w14:textId="77777777" w:rsidR="00A517B5" w:rsidRPr="00BE2C32" w:rsidRDefault="00A517B5" w:rsidP="00BE2C32">
            <w:pPr>
              <w:pStyle w:val="Blue-boxbullet"/>
              <w:numPr>
                <w:ilvl w:val="0"/>
                <w:numId w:val="24"/>
              </w:numPr>
              <w:rPr>
                <w:bCs/>
              </w:rPr>
            </w:pPr>
            <w:r w:rsidRPr="00BE2C32">
              <w:rPr>
                <w:bCs/>
              </w:rPr>
              <w:t>Option two provides greater oversight of financial advice and additional protections for smaller NZU market users – in particular, increased access to redress for clients of NZU advisers if something goes wrong.</w:t>
            </w:r>
          </w:p>
          <w:p w14:paraId="357134B5" w14:textId="772AD26E" w:rsidR="00A517B5" w:rsidRPr="00BE2C32" w:rsidRDefault="00A517B5" w:rsidP="00BE2C32">
            <w:pPr>
              <w:pStyle w:val="Blue-boxbullet"/>
              <w:numPr>
                <w:ilvl w:val="0"/>
                <w:numId w:val="24"/>
              </w:numPr>
              <w:rPr>
                <w:bCs/>
              </w:rPr>
            </w:pPr>
            <w:r w:rsidRPr="00BE2C32">
              <w:rPr>
                <w:bCs/>
              </w:rPr>
              <w:t>Option two increases confidence for those receiving advice from NZU advisers, as the advisers would be required to act ethically and have competence in relation to NZUs and would be subject to oversight by the FMA.</w:t>
            </w:r>
          </w:p>
          <w:p w14:paraId="52FFD520" w14:textId="40D7C1F8" w:rsidR="00A517B5" w:rsidRPr="00BE2C32" w:rsidRDefault="00A517B5" w:rsidP="00BE2C32">
            <w:pPr>
              <w:pStyle w:val="Blue-boxbullet"/>
              <w:numPr>
                <w:ilvl w:val="0"/>
                <w:numId w:val="24"/>
              </w:numPr>
              <w:rPr>
                <w:bCs/>
              </w:rPr>
            </w:pPr>
            <w:r w:rsidRPr="00BE2C32">
              <w:rPr>
                <w:bCs/>
              </w:rPr>
              <w:t>Option two subjects NZU advisers to compliance costs – both internal compliance costs and external direct fees (such as licensing fees, Financial Service Providers Register (FSPR) registration fees, FMA levies, dispute</w:t>
            </w:r>
            <w:r w:rsidR="002B5B8C">
              <w:rPr>
                <w:bCs/>
              </w:rPr>
              <w:t>-</w:t>
            </w:r>
            <w:r w:rsidRPr="00BE2C32">
              <w:rPr>
                <w:bCs/>
              </w:rPr>
              <w:t xml:space="preserve">resolution scheme fees) – which may be passed onto clients. </w:t>
            </w:r>
          </w:p>
          <w:p w14:paraId="3BA01081" w14:textId="77777777" w:rsidR="00A517B5" w:rsidRPr="00747EF6" w:rsidRDefault="00A517B5" w:rsidP="00BE2C32">
            <w:pPr>
              <w:pStyle w:val="Blue-boxbullet"/>
              <w:numPr>
                <w:ilvl w:val="0"/>
                <w:numId w:val="24"/>
              </w:numPr>
            </w:pPr>
            <w:r w:rsidRPr="00BE2C32">
              <w:rPr>
                <w:bCs/>
              </w:rPr>
              <w:t>While option three would not amount to a big difference for existing wholesale clients, it could impact the advice received from retail clients.</w:t>
            </w:r>
          </w:p>
        </w:tc>
      </w:tr>
    </w:tbl>
    <w:p w14:paraId="29E3E8A8" w14:textId="77777777" w:rsidR="00A517B5" w:rsidRPr="00747EF6" w:rsidRDefault="00A517B5" w:rsidP="00A517B5">
      <w:pPr>
        <w:pStyle w:val="Heading2"/>
        <w:rPr>
          <w:b w:val="0"/>
          <w:sz w:val="28"/>
        </w:rPr>
      </w:pPr>
      <w:bookmarkStart w:id="91" w:name="_Toc118703535"/>
      <w:bookmarkStart w:id="92" w:name="_Toc118953589"/>
      <w:r w:rsidRPr="00747EF6">
        <w:lastRenderedPageBreak/>
        <w:t>Objective</w:t>
      </w:r>
      <w:bookmarkEnd w:id="91"/>
      <w:bookmarkEnd w:id="92"/>
    </w:p>
    <w:p w14:paraId="27614F19" w14:textId="30391240" w:rsidR="00A517B5" w:rsidRPr="00747EF6" w:rsidRDefault="00A517B5" w:rsidP="00A517B5">
      <w:pPr>
        <w:pStyle w:val="BodyText"/>
        <w:rPr>
          <w:b/>
        </w:rPr>
      </w:pPr>
      <w:r w:rsidRPr="00747EF6">
        <w:t xml:space="preserve">We want all persons </w:t>
      </w:r>
      <w:r>
        <w:t>who</w:t>
      </w:r>
      <w:r w:rsidRPr="00747EF6">
        <w:t xml:space="preserve"> interact</w:t>
      </w:r>
      <w:r w:rsidR="00D33B9A">
        <w:t>s</w:t>
      </w:r>
      <w:r w:rsidRPr="00747EF6">
        <w:t xml:space="preserve"> with the NZU market to have access to quality advice about buying and selling NZUs</w:t>
      </w:r>
      <w:r>
        <w:t xml:space="preserve">. We also want to ensure </w:t>
      </w:r>
      <w:r w:rsidRPr="00747EF6">
        <w:t xml:space="preserve">services relating to NZUs are provided with appropriate levels of care, </w:t>
      </w:r>
      <w:proofErr w:type="gramStart"/>
      <w:r w:rsidRPr="00747EF6">
        <w:t>diligence</w:t>
      </w:r>
      <w:proofErr w:type="gramEnd"/>
      <w:r w:rsidRPr="00747EF6">
        <w:t xml:space="preserve"> and skill. To achieve this, the following are required</w:t>
      </w:r>
      <w:r w:rsidR="00D33B9A">
        <w:t>:</w:t>
      </w:r>
    </w:p>
    <w:p w14:paraId="5B24324B" w14:textId="77777777" w:rsidR="00A517B5" w:rsidRPr="00747EF6" w:rsidRDefault="00A517B5" w:rsidP="00A517B5">
      <w:pPr>
        <w:pStyle w:val="Bullet"/>
        <w:tabs>
          <w:tab w:val="num" w:pos="397"/>
        </w:tabs>
        <w:spacing w:line="280" w:lineRule="exact"/>
        <w:rPr>
          <w:b/>
        </w:rPr>
      </w:pPr>
      <w:r w:rsidRPr="00747EF6">
        <w:t xml:space="preserve">NZU </w:t>
      </w:r>
      <w:r w:rsidRPr="007365C2">
        <w:t>advisers</w:t>
      </w:r>
      <w:r w:rsidRPr="00747EF6">
        <w:t xml:space="preserve"> are to be competent and to act ethically. This will enable those who receive financial advice relating to NZUs to have confidence that the advice they receive will help them meet their financial goals</w:t>
      </w:r>
      <w:r>
        <w:t xml:space="preserve">. </w:t>
      </w:r>
    </w:p>
    <w:p w14:paraId="16AA5AA3" w14:textId="77777777" w:rsidR="00A517B5" w:rsidRPr="00747EF6" w:rsidRDefault="00A517B5" w:rsidP="00A517B5">
      <w:pPr>
        <w:pStyle w:val="Bullet"/>
        <w:tabs>
          <w:tab w:val="num" w:pos="397"/>
        </w:tabs>
        <w:spacing w:line="280" w:lineRule="exact"/>
      </w:pPr>
      <w:r>
        <w:t>R</w:t>
      </w:r>
      <w:r w:rsidRPr="00747EF6">
        <w:t xml:space="preserve">egulatory obligations are </w:t>
      </w:r>
      <w:r>
        <w:t xml:space="preserve">to be </w:t>
      </w:r>
      <w:r w:rsidRPr="00747EF6">
        <w:t>proportionate</w:t>
      </w:r>
      <w:r>
        <w:t>,</w:t>
      </w:r>
      <w:r w:rsidRPr="00747EF6">
        <w:t xml:space="preserve"> so that financial advice relating to NZUs is accessible at affordable prices.</w:t>
      </w:r>
    </w:p>
    <w:p w14:paraId="2063EE91" w14:textId="77777777" w:rsidR="00A517B5" w:rsidRPr="00747EF6" w:rsidRDefault="00A517B5" w:rsidP="00A517B5">
      <w:pPr>
        <w:pStyle w:val="Heading2"/>
        <w:rPr>
          <w:b w:val="0"/>
          <w:sz w:val="28"/>
        </w:rPr>
      </w:pPr>
      <w:bookmarkStart w:id="93" w:name="_Toc118703536"/>
      <w:bookmarkStart w:id="94" w:name="_Toc118953590"/>
      <w:r w:rsidRPr="00747EF6">
        <w:t>What we have heard so far</w:t>
      </w:r>
      <w:bookmarkEnd w:id="93"/>
      <w:bookmarkEnd w:id="94"/>
    </w:p>
    <w:p w14:paraId="34C3F1DD" w14:textId="2F67C8F5" w:rsidR="00A517B5" w:rsidRPr="00747EF6" w:rsidRDefault="00A517B5" w:rsidP="00A517B5">
      <w:pPr>
        <w:jc w:val="left"/>
      </w:pPr>
      <w:r w:rsidRPr="00747EF6">
        <w:t xml:space="preserve">Stakeholders stated they had not received poor or misleading advice from advisers but acknowledged they were aware of poor advice in the market. However, </w:t>
      </w:r>
      <w:r w:rsidR="00C9409E">
        <w:t xml:space="preserve">in 2014 </w:t>
      </w:r>
      <w:r w:rsidR="000E58B3">
        <w:t xml:space="preserve">the Ministry for the Environment </w:t>
      </w:r>
      <w:r w:rsidRPr="00747EF6">
        <w:t>received complaints of poor advice</w:t>
      </w:r>
      <w:r>
        <w:t>,</w:t>
      </w:r>
      <w:r w:rsidRPr="00747EF6">
        <w:t xml:space="preserve"> which initiated the </w:t>
      </w:r>
      <w:r>
        <w:t xml:space="preserve">NZU </w:t>
      </w:r>
      <w:r w:rsidRPr="00747EF6">
        <w:t xml:space="preserve">market governance work programme. </w:t>
      </w:r>
    </w:p>
    <w:p w14:paraId="5C22862C" w14:textId="77777777" w:rsidR="00A517B5" w:rsidRPr="00747EF6" w:rsidRDefault="00A517B5" w:rsidP="00A517B5">
      <w:pPr>
        <w:jc w:val="left"/>
      </w:pPr>
      <w:r w:rsidRPr="00747EF6">
        <w:t xml:space="preserve">Some stakeholders mentioned that any registration framework and code of conduct for NZU advisers should consider linkages to similar frameworks. In particular, that consideration should be given to the FMC Act and its </w:t>
      </w:r>
      <w:hyperlink r:id="rId40" w:anchor="Financial%20advice%20code%20website" w:history="1">
        <w:r w:rsidRPr="003C7B83">
          <w:rPr>
            <w:rStyle w:val="Hyperlink"/>
          </w:rPr>
          <w:t>Code of Professional Conduct for Financial Advice Services</w:t>
        </w:r>
      </w:hyperlink>
      <w:r w:rsidRPr="00747EF6">
        <w:t>.</w:t>
      </w:r>
    </w:p>
    <w:p w14:paraId="33822C7D" w14:textId="3B953087" w:rsidR="00A517B5" w:rsidRPr="00747EF6" w:rsidRDefault="00A517B5" w:rsidP="00B711D1">
      <w:pPr>
        <w:jc w:val="left"/>
      </w:pPr>
      <w:r w:rsidRPr="00747EF6">
        <w:t xml:space="preserve">Submitters also wanted to ensure double regulation </w:t>
      </w:r>
      <w:r w:rsidR="003C7C61">
        <w:t>was</w:t>
      </w:r>
      <w:r w:rsidRPr="00747EF6">
        <w:t xml:space="preserve"> avoided for complementary frameworks such as the Forests Act 1949.</w:t>
      </w:r>
      <w:r w:rsidRPr="00747EF6">
        <w:rPr>
          <w:rStyle w:val="FootnoteReference"/>
        </w:rPr>
        <w:footnoteReference w:id="27"/>
      </w:r>
    </w:p>
    <w:p w14:paraId="23F17D78" w14:textId="77777777" w:rsidR="00A517B5" w:rsidRPr="00747EF6" w:rsidRDefault="00A517B5" w:rsidP="00A517B5">
      <w:pPr>
        <w:pStyle w:val="Heading2"/>
      </w:pPr>
      <w:bookmarkStart w:id="95" w:name="_Toc118703537"/>
      <w:bookmarkStart w:id="96" w:name="_Toc118953591"/>
      <w:r w:rsidRPr="00747EF6">
        <w:lastRenderedPageBreak/>
        <w:t xml:space="preserve">Options </w:t>
      </w:r>
      <w:r>
        <w:t>c</w:t>
      </w:r>
      <w:r w:rsidRPr="00747EF6">
        <w:t>onsidered</w:t>
      </w:r>
      <w:bookmarkEnd w:id="95"/>
      <w:bookmarkEnd w:id="96"/>
    </w:p>
    <w:p w14:paraId="02673811" w14:textId="77777777" w:rsidR="00A517B5" w:rsidRPr="00747EF6" w:rsidRDefault="00A517B5" w:rsidP="00A517B5">
      <w:pPr>
        <w:pStyle w:val="Heading3"/>
      </w:pPr>
      <w:r w:rsidRPr="00747EF6">
        <w:t>Option one: Existing legislation (</w:t>
      </w:r>
      <w:r>
        <w:t>s</w:t>
      </w:r>
      <w:r w:rsidRPr="00747EF6">
        <w:t>tatus quo)</w:t>
      </w:r>
    </w:p>
    <w:p w14:paraId="4CDEA4FD" w14:textId="6573767E" w:rsidR="00A517B5" w:rsidRPr="00747EF6" w:rsidRDefault="00A517B5" w:rsidP="00BF034B">
      <w:pPr>
        <w:pStyle w:val="BodyText"/>
      </w:pPr>
      <w:r w:rsidRPr="00747EF6">
        <w:t>Under the status quo, advice relating to NZUs is partially covered by four Acts:</w:t>
      </w:r>
      <w:r>
        <w:t xml:space="preserve"> </w:t>
      </w:r>
      <w:proofErr w:type="gramStart"/>
      <w:r>
        <w:t>the</w:t>
      </w:r>
      <w:proofErr w:type="gramEnd"/>
      <w:r>
        <w:t xml:space="preserve"> </w:t>
      </w:r>
      <w:r w:rsidR="00BF034B">
        <w:t>Fair Trading Act 1986</w:t>
      </w:r>
      <w:r>
        <w:t xml:space="preserve">, the </w:t>
      </w:r>
      <w:r w:rsidRPr="00747EF6">
        <w:t>Forests Act 1949</w:t>
      </w:r>
      <w:r>
        <w:t xml:space="preserve">, the </w:t>
      </w:r>
      <w:r w:rsidRPr="00747EF6">
        <w:t xml:space="preserve">FMC Act and </w:t>
      </w:r>
      <w:r>
        <w:t xml:space="preserve">the </w:t>
      </w:r>
      <w:r w:rsidRPr="00747EF6">
        <w:t>Financial Service Providers (Registration and Dispute Resolution) Act 2008.</w:t>
      </w:r>
    </w:p>
    <w:p w14:paraId="146C5C53" w14:textId="77777777" w:rsidR="00A517B5" w:rsidRPr="00747EF6" w:rsidRDefault="00A517B5" w:rsidP="00A517B5">
      <w:pPr>
        <w:pStyle w:val="Bullet"/>
        <w:numPr>
          <w:ilvl w:val="0"/>
          <w:numId w:val="0"/>
        </w:numPr>
      </w:pPr>
      <w:r w:rsidRPr="00747EF6">
        <w:t>The status quo also captures private remedies that exist independently of statute, such as a claim for breach of contract.</w:t>
      </w:r>
    </w:p>
    <w:p w14:paraId="1C1EA18A" w14:textId="77777777" w:rsidR="00A517B5" w:rsidRPr="00747EF6" w:rsidRDefault="00A517B5" w:rsidP="00A517B5">
      <w:pPr>
        <w:pStyle w:val="Heading4"/>
      </w:pPr>
      <w:r w:rsidRPr="00747EF6">
        <w:t>Coverage under the FTA</w:t>
      </w:r>
    </w:p>
    <w:p w14:paraId="5E27E640" w14:textId="77777777" w:rsidR="00A517B5" w:rsidRPr="00747EF6" w:rsidRDefault="00A517B5" w:rsidP="00A517B5">
      <w:pPr>
        <w:pStyle w:val="BodyText"/>
      </w:pPr>
      <w:r w:rsidRPr="00747EF6">
        <w:t xml:space="preserve">For trade in general goods and services, the FTA seeks to protect consumer interests and to allow businesses and consumers to participate confidently in trade. The FTA does this by prohibiting certain unfair conduct and practices, and providing for proportionate offences, </w:t>
      </w:r>
      <w:proofErr w:type="gramStart"/>
      <w:r w:rsidRPr="00747EF6">
        <w:t>penalties</w:t>
      </w:r>
      <w:proofErr w:type="gramEnd"/>
      <w:r w:rsidRPr="00747EF6">
        <w:t xml:space="preserve"> and avenues for consumer redress. </w:t>
      </w:r>
    </w:p>
    <w:p w14:paraId="3BB90B27" w14:textId="77777777" w:rsidR="00A517B5" w:rsidRPr="00747EF6" w:rsidRDefault="00A517B5" w:rsidP="00A517B5">
      <w:pPr>
        <w:pStyle w:val="BodyText"/>
      </w:pPr>
      <w:r w:rsidRPr="00747EF6">
        <w:t>NZU advice remain</w:t>
      </w:r>
      <w:r>
        <w:t>s</w:t>
      </w:r>
      <w:r w:rsidRPr="00747EF6">
        <w:t xml:space="preserve"> within the general remit of the FTA as a service (unless </w:t>
      </w:r>
      <w:r>
        <w:t xml:space="preserve">parties </w:t>
      </w:r>
      <w:r w:rsidRPr="00747EF6">
        <w:t>lawfully contract</w:t>
      </w:r>
      <w:r>
        <w:t xml:space="preserve"> </w:t>
      </w:r>
      <w:r w:rsidRPr="00747EF6">
        <w:t>out).</w:t>
      </w:r>
    </w:p>
    <w:p w14:paraId="44EDB235" w14:textId="1995BC9B" w:rsidR="00A517B5" w:rsidRPr="00747EF6" w:rsidRDefault="00A517B5" w:rsidP="00A517B5">
      <w:pPr>
        <w:pStyle w:val="BodyText"/>
      </w:pPr>
      <w:r w:rsidRPr="00747EF6">
        <w:t>Consumer protections are limited</w:t>
      </w:r>
      <w:r>
        <w:t>,</w:t>
      </w:r>
      <w:r w:rsidRPr="00747EF6">
        <w:t xml:space="preserve"> and the key avenue </w:t>
      </w:r>
      <w:r>
        <w:t>for remedy</w:t>
      </w:r>
      <w:r w:rsidRPr="00747EF6">
        <w:t xml:space="preserve"> is to take a claim to the Disputes Tribunal, the District </w:t>
      </w:r>
      <w:proofErr w:type="gramStart"/>
      <w:r w:rsidRPr="00747EF6">
        <w:t>Court</w:t>
      </w:r>
      <w:proofErr w:type="gramEnd"/>
      <w:r w:rsidRPr="00747EF6">
        <w:t xml:space="preserve"> or the High Court. The </w:t>
      </w:r>
      <w:r w:rsidR="00CF1F00">
        <w:t xml:space="preserve">jurisdiction of the </w:t>
      </w:r>
      <w:r w:rsidRPr="00747EF6">
        <w:t xml:space="preserve">Disputes Tribunal </w:t>
      </w:r>
      <w:r w:rsidR="00CF1F00">
        <w:t>is</w:t>
      </w:r>
      <w:r w:rsidRPr="00747EF6">
        <w:t xml:space="preserve"> limited to making orders for values and amounts that do not exceed $30,000</w:t>
      </w:r>
      <w:r>
        <w:t>;</w:t>
      </w:r>
      <w:r w:rsidRPr="00747EF6">
        <w:t xml:space="preserve"> the District Court’s jurisdictional limit for such orders is $350,000</w:t>
      </w:r>
      <w:r>
        <w:t>;</w:t>
      </w:r>
      <w:r w:rsidRPr="00747EF6">
        <w:t xml:space="preserve"> the High Court has unlimited jurisdiction.</w:t>
      </w:r>
    </w:p>
    <w:p w14:paraId="6DDA6954" w14:textId="20715150" w:rsidR="00A517B5" w:rsidRDefault="00A517B5" w:rsidP="00A517B5">
      <w:pPr>
        <w:pStyle w:val="BodyText"/>
      </w:pPr>
      <w:r w:rsidRPr="00747EF6">
        <w:t xml:space="preserve">As for all services governed by the FTA, the Commerce Commission </w:t>
      </w:r>
      <w:r w:rsidR="00CF1F00" w:rsidRPr="00747EF6">
        <w:t>can</w:t>
      </w:r>
      <w:r>
        <w:t>:</w:t>
      </w:r>
    </w:p>
    <w:p w14:paraId="6F079FB1" w14:textId="77777777" w:rsidR="00A517B5" w:rsidRDefault="00A517B5" w:rsidP="00A517B5">
      <w:pPr>
        <w:pStyle w:val="Bullet"/>
        <w:tabs>
          <w:tab w:val="num" w:pos="397"/>
        </w:tabs>
        <w:spacing w:line="280" w:lineRule="exact"/>
      </w:pPr>
      <w:r w:rsidRPr="00747EF6">
        <w:t>receive</w:t>
      </w:r>
      <w:r>
        <w:t xml:space="preserve"> and investigate </w:t>
      </w:r>
      <w:r w:rsidRPr="00747EF6">
        <w:t>complaints</w:t>
      </w:r>
    </w:p>
    <w:p w14:paraId="128643F6" w14:textId="77777777" w:rsidR="00A517B5" w:rsidRDefault="00A517B5" w:rsidP="00A517B5">
      <w:pPr>
        <w:pStyle w:val="Bullet"/>
        <w:tabs>
          <w:tab w:val="num" w:pos="397"/>
        </w:tabs>
        <w:spacing w:line="280" w:lineRule="exact"/>
      </w:pPr>
      <w:r w:rsidRPr="00747EF6">
        <w:t>provide advice</w:t>
      </w:r>
      <w:r>
        <w:t xml:space="preserve"> and/or </w:t>
      </w:r>
      <w:r w:rsidRPr="00747EF6">
        <w:t>warnings</w:t>
      </w:r>
    </w:p>
    <w:p w14:paraId="43E9F52E" w14:textId="77777777" w:rsidR="00A517B5" w:rsidRPr="00747EF6" w:rsidRDefault="00A517B5" w:rsidP="00A517B5">
      <w:pPr>
        <w:pStyle w:val="Bullet"/>
        <w:tabs>
          <w:tab w:val="num" w:pos="397"/>
        </w:tabs>
        <w:spacing w:line="280" w:lineRule="exact"/>
      </w:pPr>
      <w:r w:rsidRPr="00747EF6">
        <w:t>take enforcement action.</w:t>
      </w:r>
    </w:p>
    <w:p w14:paraId="016FC420" w14:textId="77777777" w:rsidR="00A517B5" w:rsidRPr="00747EF6" w:rsidRDefault="00A517B5" w:rsidP="00A517B5">
      <w:pPr>
        <w:pStyle w:val="BodyText"/>
      </w:pPr>
      <w:r w:rsidRPr="00747EF6">
        <w:t xml:space="preserve">As above, the penalties and offences are designed for general services and are lower than </w:t>
      </w:r>
      <w:r>
        <w:t xml:space="preserve">the </w:t>
      </w:r>
      <w:r w:rsidRPr="00747EF6">
        <w:t>approaches and maximums set out in the FMC Act for financial products and financial services.</w:t>
      </w:r>
    </w:p>
    <w:p w14:paraId="37C3AE02" w14:textId="77777777" w:rsidR="00A517B5" w:rsidRPr="00747EF6" w:rsidRDefault="00A517B5" w:rsidP="00A517B5">
      <w:pPr>
        <w:pStyle w:val="Heading4"/>
      </w:pPr>
      <w:r w:rsidRPr="00747EF6">
        <w:t>Coverage under the Forests Act 1949</w:t>
      </w:r>
    </w:p>
    <w:p w14:paraId="68F746E9" w14:textId="77777777" w:rsidR="00A517B5" w:rsidRPr="00747EF6" w:rsidRDefault="00A517B5" w:rsidP="00A517B5">
      <w:pPr>
        <w:pStyle w:val="BodyText"/>
        <w:rPr>
          <w:rFonts w:cs="Arial"/>
        </w:rPr>
      </w:pPr>
      <w:r w:rsidRPr="00747EF6">
        <w:t>In the case where two parties in the forestry sector contract out of the FTA, there may remain protections under the Forests Act 1949.</w:t>
      </w:r>
    </w:p>
    <w:p w14:paraId="7168492F" w14:textId="77777777" w:rsidR="00A517B5" w:rsidRPr="00747EF6" w:rsidRDefault="00A517B5" w:rsidP="00A517B5">
      <w:pPr>
        <w:pStyle w:val="BodyText"/>
      </w:pPr>
      <w:r w:rsidRPr="00747EF6">
        <w:t xml:space="preserve">In </w:t>
      </w:r>
      <w:r>
        <w:t>that</w:t>
      </w:r>
      <w:r w:rsidRPr="00747EF6">
        <w:t xml:space="preserve"> case, under </w:t>
      </w:r>
      <w:hyperlink r:id="rId41" w:history="1">
        <w:r w:rsidRPr="0080093B">
          <w:rPr>
            <w:rStyle w:val="Hyperlink"/>
          </w:rPr>
          <w:t>section 63V(2)</w:t>
        </w:r>
      </w:hyperlink>
      <w:r w:rsidRPr="00747EF6">
        <w:t xml:space="preserve"> of the Forests Act 1949, </w:t>
      </w:r>
      <w:r>
        <w:t xml:space="preserve">any person may </w:t>
      </w:r>
      <w:r w:rsidRPr="00747EF6">
        <w:t>complain to the Forestry Authority</w:t>
      </w:r>
      <w:r>
        <w:t xml:space="preserve"> (</w:t>
      </w:r>
      <w:r w:rsidRPr="00747EF6">
        <w:t>or the Forestry Authority may itself initiate a complaint</w:t>
      </w:r>
      <w:r>
        <w:t>)</w:t>
      </w:r>
      <w:r w:rsidRPr="00747EF6">
        <w:t xml:space="preserve"> that a person has engaged in unsatisfactory conduct or misconduct in their capacity as a registered person.</w:t>
      </w:r>
    </w:p>
    <w:p w14:paraId="48CC8988" w14:textId="77777777" w:rsidR="00A517B5" w:rsidRPr="00747EF6" w:rsidRDefault="00A517B5" w:rsidP="00A517B5">
      <w:pPr>
        <w:pStyle w:val="BodyText"/>
      </w:pPr>
      <w:r w:rsidRPr="00747EF6">
        <w:t xml:space="preserve">If the Forestry Authority is satisfied that a person has, in their capacity as a registered person, engaged in misconduct (as defined in </w:t>
      </w:r>
      <w:hyperlink r:id="rId42" w:history="1">
        <w:r w:rsidRPr="001760D3">
          <w:rPr>
            <w:rStyle w:val="Hyperlink"/>
          </w:rPr>
          <w:t>section 63ZI</w:t>
        </w:r>
      </w:hyperlink>
      <w:r w:rsidRPr="00747EF6">
        <w:t xml:space="preserve">), the Forestry Authority may consider whether there are grounds to prosecute the person for an offence under </w:t>
      </w:r>
      <w:hyperlink r:id="rId43" w:history="1">
        <w:r w:rsidRPr="001760D3">
          <w:rPr>
            <w:rStyle w:val="Hyperlink"/>
          </w:rPr>
          <w:t>section 63ZK</w:t>
        </w:r>
      </w:hyperlink>
      <w:r w:rsidRPr="00747EF6">
        <w:t>.</w:t>
      </w:r>
      <w:r>
        <w:t xml:space="preserve"> </w:t>
      </w:r>
      <w:r w:rsidRPr="00747EF6">
        <w:t xml:space="preserve">A person who commits an offence under </w:t>
      </w:r>
      <w:r>
        <w:t>s</w:t>
      </w:r>
      <w:r w:rsidRPr="00747EF6">
        <w:t xml:space="preserve">ection 63ZK is liable on conviction for a fine </w:t>
      </w:r>
      <w:r>
        <w:t>(</w:t>
      </w:r>
      <w:r w:rsidRPr="00747EF6">
        <w:t>not exceeding $40,000 in the case of an individual, and $100,000 in any other case</w:t>
      </w:r>
      <w:r>
        <w:t>)</w:t>
      </w:r>
      <w:r w:rsidRPr="00747EF6">
        <w:t>.</w:t>
      </w:r>
    </w:p>
    <w:p w14:paraId="69C5112D" w14:textId="77777777" w:rsidR="00A517B5" w:rsidRPr="00747EF6" w:rsidRDefault="00A517B5" w:rsidP="00A517B5">
      <w:pPr>
        <w:pStyle w:val="Heading4"/>
      </w:pPr>
      <w:r w:rsidRPr="00747EF6">
        <w:lastRenderedPageBreak/>
        <w:t>Coverage under the FMC Act and Financial Service Providers (Registration and Dispute Resolution) Act 2008</w:t>
      </w:r>
    </w:p>
    <w:p w14:paraId="4830E555" w14:textId="36493D15" w:rsidR="00A517B5" w:rsidRPr="00747EF6" w:rsidRDefault="00A517B5" w:rsidP="00A517B5">
      <w:pPr>
        <w:pStyle w:val="BodyText"/>
      </w:pPr>
      <w:r w:rsidRPr="00747EF6">
        <w:t xml:space="preserve">Ancillary services (such as the managing or administering of money) provided in connection with </w:t>
      </w:r>
      <w:r>
        <w:t>NZ </w:t>
      </w:r>
      <w:r w:rsidRPr="00747EF6">
        <w:t xml:space="preserve">ETS-related transactions by persons that are in the business of providing a </w:t>
      </w:r>
      <w:r>
        <w:t>‘</w:t>
      </w:r>
      <w:r w:rsidRPr="00747EF6">
        <w:t>financial service</w:t>
      </w:r>
      <w:r>
        <w:t>’</w:t>
      </w:r>
      <w:r>
        <w:rPr>
          <w:rStyle w:val="FootnoteReference"/>
        </w:rPr>
        <w:footnoteReference w:id="28"/>
      </w:r>
      <w:r w:rsidRPr="00747EF6">
        <w:t xml:space="preserve"> are governed by the FMC Act fair</w:t>
      </w:r>
      <w:r w:rsidR="004129A9">
        <w:t>-</w:t>
      </w:r>
      <w:r w:rsidRPr="00747EF6">
        <w:t>dealing provisions.</w:t>
      </w:r>
    </w:p>
    <w:p w14:paraId="16DABCA2" w14:textId="77777777" w:rsidR="00A517B5" w:rsidRPr="00747EF6" w:rsidRDefault="00A517B5" w:rsidP="00A517B5">
      <w:pPr>
        <w:pStyle w:val="BodyText"/>
      </w:pPr>
      <w:r w:rsidRPr="00747EF6">
        <w:t>There are stronger consumer protections for this component of services, including:</w:t>
      </w:r>
    </w:p>
    <w:p w14:paraId="608342A7" w14:textId="77777777" w:rsidR="00A517B5" w:rsidRPr="00747EF6" w:rsidRDefault="00A517B5" w:rsidP="00A517B5">
      <w:pPr>
        <w:pStyle w:val="Bullet"/>
        <w:tabs>
          <w:tab w:val="num" w:pos="397"/>
        </w:tabs>
        <w:spacing w:line="280" w:lineRule="exact"/>
      </w:pPr>
      <w:r w:rsidRPr="00747EF6">
        <w:t>fair dealing rules that are tailored to dealings in financial products and financial services</w:t>
      </w:r>
    </w:p>
    <w:p w14:paraId="26A0FC87" w14:textId="5C5CB323" w:rsidR="00A517B5" w:rsidRPr="00747EF6" w:rsidRDefault="00A517B5" w:rsidP="00A517B5">
      <w:pPr>
        <w:pStyle w:val="Bullet"/>
        <w:tabs>
          <w:tab w:val="num" w:pos="397"/>
        </w:tabs>
        <w:spacing w:line="280" w:lineRule="exact"/>
      </w:pPr>
      <w:r w:rsidRPr="00747EF6">
        <w:t xml:space="preserve">providers are required to register on the </w:t>
      </w:r>
      <w:r w:rsidR="007F558D" w:rsidRPr="007F558D">
        <w:t>Financial Service Providers Register</w:t>
      </w:r>
      <w:r w:rsidR="007F558D">
        <w:t xml:space="preserve"> (</w:t>
      </w:r>
      <w:r>
        <w:t>FSPR</w:t>
      </w:r>
      <w:r w:rsidR="007F558D">
        <w:t>)</w:t>
      </w:r>
    </w:p>
    <w:p w14:paraId="09048430" w14:textId="32B9325C" w:rsidR="00A517B5" w:rsidRPr="00747EF6" w:rsidRDefault="00A517B5" w:rsidP="00A517B5">
      <w:pPr>
        <w:pStyle w:val="Bullet"/>
        <w:tabs>
          <w:tab w:val="num" w:pos="397"/>
        </w:tabs>
        <w:spacing w:line="280" w:lineRule="exact"/>
      </w:pPr>
      <w:r>
        <w:t xml:space="preserve">providing </w:t>
      </w:r>
      <w:r w:rsidRPr="00747EF6">
        <w:t>services to retail clients require</w:t>
      </w:r>
      <w:r>
        <w:t>s</w:t>
      </w:r>
      <w:r w:rsidRPr="00747EF6">
        <w:t xml:space="preserve"> mandatory membership of an approved dispute</w:t>
      </w:r>
      <w:r w:rsidR="002145CA">
        <w:t>-</w:t>
      </w:r>
      <w:r w:rsidRPr="00747EF6">
        <w:t>resolution scheme.</w:t>
      </w:r>
    </w:p>
    <w:p w14:paraId="0D4FE14F" w14:textId="05CDC433" w:rsidR="00A517B5" w:rsidRPr="00747EF6" w:rsidRDefault="00A517B5" w:rsidP="00A517B5">
      <w:pPr>
        <w:pStyle w:val="BodyText"/>
      </w:pPr>
      <w:r w:rsidRPr="00747EF6">
        <w:t xml:space="preserve">The FMA has regulatory remit over financial service providers and has access to a broader range of regulatory tools when considering intervening. As well as providing guidance and </w:t>
      </w:r>
      <w:r>
        <w:t xml:space="preserve">undertaking </w:t>
      </w:r>
      <w:r w:rsidRPr="00747EF6">
        <w:t>investigations, the FMA may issue stop orders to pause or end conduct</w:t>
      </w:r>
      <w:r>
        <w:t>. These orders</w:t>
      </w:r>
      <w:r w:rsidRPr="00747EF6">
        <w:t xml:space="preserve"> can be used to stop or prevent advertising or disclosure that confuses, or is likely to confuse</w:t>
      </w:r>
      <w:r>
        <w:t>,</w:t>
      </w:r>
      <w:r w:rsidRPr="00747EF6">
        <w:t xml:space="preserve"> consumers or investors on matters that influence their investment decision</w:t>
      </w:r>
      <w:r>
        <w:t>s</w:t>
      </w:r>
      <w:r w:rsidRPr="00747EF6">
        <w:t xml:space="preserve">. For example, the FMA could issue a stop order to restrict the supply, or possible supply, of services </w:t>
      </w:r>
      <w:r w:rsidR="001825F3">
        <w:t>that</w:t>
      </w:r>
      <w:r w:rsidR="001825F3" w:rsidRPr="00747EF6">
        <w:t xml:space="preserve"> </w:t>
      </w:r>
      <w:r>
        <w:t>are</w:t>
      </w:r>
      <w:r w:rsidRPr="00747EF6">
        <w:t xml:space="preserve"> likely to mislead or confuse in a serious manner.</w:t>
      </w:r>
    </w:p>
    <w:p w14:paraId="4C834C32" w14:textId="41EC84A9" w:rsidR="00A517B5" w:rsidRPr="00747EF6" w:rsidRDefault="00A517B5" w:rsidP="00A517B5">
      <w:pPr>
        <w:pStyle w:val="BodyText"/>
      </w:pPr>
      <w:r w:rsidRPr="00747EF6">
        <w:t>The FMA may also take prosecutions for breaches of the fair</w:t>
      </w:r>
      <w:r w:rsidR="001825F3">
        <w:t>-</w:t>
      </w:r>
      <w:r w:rsidRPr="00747EF6">
        <w:t>dealing provisions. As noted above, the offences and penalties are tailored to financial products and financial services</w:t>
      </w:r>
      <w:r>
        <w:t>,</w:t>
      </w:r>
      <w:r w:rsidRPr="00747EF6">
        <w:t xml:space="preserve"> where there is </w:t>
      </w:r>
      <w:r>
        <w:t xml:space="preserve">a </w:t>
      </w:r>
      <w:r w:rsidRPr="00747EF6">
        <w:t>much greater prospect of financial harm or loss than other types of services.</w:t>
      </w:r>
    </w:p>
    <w:p w14:paraId="640EF25A" w14:textId="77777777" w:rsidR="00A517B5" w:rsidRPr="00747EF6" w:rsidRDefault="00A517B5" w:rsidP="00A517B5">
      <w:pPr>
        <w:pStyle w:val="Heading3"/>
      </w:pPr>
      <w:r w:rsidRPr="00747EF6">
        <w:t>Option two: Regulating NZU financial advice, transactional and/or custodial services</w:t>
      </w:r>
    </w:p>
    <w:p w14:paraId="2C745EE2" w14:textId="17611ABB" w:rsidR="00A517B5" w:rsidRPr="00747EF6" w:rsidRDefault="00A517B5" w:rsidP="00A517B5">
      <w:pPr>
        <w:pStyle w:val="BodyText"/>
      </w:pPr>
      <w:r w:rsidRPr="00747EF6">
        <w:t xml:space="preserve">Under </w:t>
      </w:r>
      <w:r>
        <w:t>o</w:t>
      </w:r>
      <w:r w:rsidRPr="00747EF6">
        <w:t>ption two, we would extend the regulation of financial advice to persons</w:t>
      </w:r>
      <w:r>
        <w:t xml:space="preserve"> who, as part of their ordinary course of business,</w:t>
      </w:r>
      <w:r w:rsidRPr="00747EF6">
        <w:t xml:space="preserve"> make recommendations or give an opinion about acquiring, disposing</w:t>
      </w:r>
      <w:r>
        <w:t xml:space="preserve"> of</w:t>
      </w:r>
      <w:r w:rsidRPr="00747EF6">
        <w:t>, or holding NZUs.</w:t>
      </w:r>
    </w:p>
    <w:p w14:paraId="0768C511" w14:textId="77777777" w:rsidR="00A517B5" w:rsidRPr="00747EF6" w:rsidRDefault="00A517B5" w:rsidP="00A517B5">
      <w:pPr>
        <w:pStyle w:val="Heading4"/>
      </w:pPr>
      <w:r w:rsidRPr="00747EF6">
        <w:t>Duties and licensing requirements for NZU advisers</w:t>
      </w:r>
    </w:p>
    <w:p w14:paraId="595CE328" w14:textId="29AA20B6" w:rsidR="00A517B5" w:rsidRPr="00747EF6" w:rsidRDefault="00A517B5" w:rsidP="00A517B5">
      <w:pPr>
        <w:spacing w:line="252" w:lineRule="auto"/>
        <w:rPr>
          <w:b/>
          <w:bCs/>
        </w:rPr>
      </w:pPr>
      <w:r w:rsidRPr="00747EF6">
        <w:t>All duties and licensing requirements are discussed further in the</w:t>
      </w:r>
      <w:r>
        <w:t xml:space="preserve"> ‘</w:t>
      </w:r>
      <w:r>
        <w:fldChar w:fldCharType="begin"/>
      </w:r>
      <w:r>
        <w:instrText xml:space="preserve"> REF _Ref118455514 \h </w:instrText>
      </w:r>
      <w:r>
        <w:fldChar w:fldCharType="separate"/>
      </w:r>
      <w:r w:rsidR="00C67DAB" w:rsidRPr="00747EF6">
        <w:t>What this proposal means in practice</w:t>
      </w:r>
      <w:r>
        <w:fldChar w:fldCharType="end"/>
      </w:r>
      <w:r>
        <w:t xml:space="preserve">’ </w:t>
      </w:r>
      <w:r w:rsidRPr="00747EF6">
        <w:t>section below. At a high</w:t>
      </w:r>
      <w:r>
        <w:t xml:space="preserve"> </w:t>
      </w:r>
      <w:r w:rsidRPr="00747EF6">
        <w:t>level, obligations include</w:t>
      </w:r>
      <w:r>
        <w:t xml:space="preserve"> the following</w:t>
      </w:r>
      <w:r w:rsidR="00D744F5">
        <w:t>:</w:t>
      </w:r>
    </w:p>
    <w:p w14:paraId="5B836865" w14:textId="77777777" w:rsidR="00A517B5" w:rsidRPr="00747EF6" w:rsidRDefault="00A517B5" w:rsidP="00BE2C32">
      <w:pPr>
        <w:pStyle w:val="BodyText"/>
        <w:numPr>
          <w:ilvl w:val="0"/>
          <w:numId w:val="21"/>
        </w:numPr>
      </w:pPr>
      <w:r w:rsidRPr="00747EF6">
        <w:rPr>
          <w:b/>
          <w:bCs/>
        </w:rPr>
        <w:t>Licensing</w:t>
      </w:r>
      <w:r>
        <w:rPr>
          <w:b/>
          <w:bCs/>
        </w:rPr>
        <w:t>:</w:t>
      </w:r>
      <w:r w:rsidRPr="00747EF6">
        <w:t xml:space="preserve"> Under the financial advice regime, anyone </w:t>
      </w:r>
      <w:r>
        <w:t xml:space="preserve">who </w:t>
      </w:r>
      <w:r w:rsidRPr="00747EF6">
        <w:t xml:space="preserve">gives regulated financial advice to retail clients must hold or operate under a licence granted by the FMA. </w:t>
      </w:r>
    </w:p>
    <w:p w14:paraId="5B48D5FD" w14:textId="77777777" w:rsidR="00A517B5" w:rsidRPr="00747EF6" w:rsidRDefault="00A517B5" w:rsidP="00BE2C32">
      <w:pPr>
        <w:pStyle w:val="BodyText"/>
        <w:numPr>
          <w:ilvl w:val="0"/>
          <w:numId w:val="21"/>
        </w:numPr>
      </w:pPr>
      <w:r w:rsidRPr="00747EF6">
        <w:rPr>
          <w:b/>
          <w:bCs/>
        </w:rPr>
        <w:t>Registration</w:t>
      </w:r>
      <w:r>
        <w:rPr>
          <w:b/>
          <w:bCs/>
        </w:rPr>
        <w:t>:</w:t>
      </w:r>
      <w:r w:rsidRPr="00747EF6">
        <w:t xml:space="preserve"> All financial service providers are required to register on the </w:t>
      </w:r>
      <w:r>
        <w:t>FSPR</w:t>
      </w:r>
      <w:r w:rsidRPr="00747EF6">
        <w:t xml:space="preserve"> (under the Financial Service Providers (Registration and Dispute Resolution) Act 2008).</w:t>
      </w:r>
    </w:p>
    <w:p w14:paraId="144628F3" w14:textId="77777777" w:rsidR="00A517B5" w:rsidRDefault="00A517B5" w:rsidP="00BE2C32">
      <w:pPr>
        <w:pStyle w:val="BodyText"/>
        <w:numPr>
          <w:ilvl w:val="0"/>
          <w:numId w:val="21"/>
        </w:numPr>
      </w:pPr>
      <w:r w:rsidRPr="00747EF6">
        <w:rPr>
          <w:b/>
          <w:bCs/>
        </w:rPr>
        <w:t>Fair dealing</w:t>
      </w:r>
      <w:r>
        <w:rPr>
          <w:b/>
          <w:bCs/>
        </w:rPr>
        <w:t>:</w:t>
      </w:r>
      <w:r w:rsidRPr="00747EF6">
        <w:t xml:space="preserve"> </w:t>
      </w:r>
      <w:r>
        <w:t>A</w:t>
      </w:r>
      <w:r w:rsidRPr="00747EF6">
        <w:t>s is applied under the FMC Act, fair dealing includes</w:t>
      </w:r>
      <w:r>
        <w:t>:</w:t>
      </w:r>
    </w:p>
    <w:p w14:paraId="629DA42E" w14:textId="77777777" w:rsidR="00A517B5" w:rsidRDefault="00A517B5" w:rsidP="00A517B5">
      <w:pPr>
        <w:pStyle w:val="Sub-list"/>
        <w:tabs>
          <w:tab w:val="num" w:pos="397"/>
        </w:tabs>
      </w:pPr>
      <w:r w:rsidRPr="00747EF6">
        <w:t>not engaging in misleading or deceptive conduct</w:t>
      </w:r>
    </w:p>
    <w:p w14:paraId="54B05180" w14:textId="77777777" w:rsidR="00A517B5" w:rsidRDefault="00A517B5" w:rsidP="00A517B5">
      <w:pPr>
        <w:pStyle w:val="Sub-list"/>
        <w:tabs>
          <w:tab w:val="num" w:pos="397"/>
        </w:tabs>
      </w:pPr>
      <w:r w:rsidRPr="00747EF6">
        <w:t>not making false or misleading representations</w:t>
      </w:r>
    </w:p>
    <w:p w14:paraId="0B337EB5" w14:textId="77777777" w:rsidR="00A517B5" w:rsidRDefault="00A517B5" w:rsidP="00A517B5">
      <w:pPr>
        <w:pStyle w:val="Sub-list"/>
        <w:tabs>
          <w:tab w:val="num" w:pos="397"/>
        </w:tabs>
      </w:pPr>
      <w:r w:rsidRPr="00747EF6">
        <w:lastRenderedPageBreak/>
        <w:t xml:space="preserve">not making unsubstantiated representations. </w:t>
      </w:r>
    </w:p>
    <w:p w14:paraId="5190AC1C" w14:textId="7EB5AD5F" w:rsidR="00A517B5" w:rsidRPr="00747EF6" w:rsidRDefault="00A517B5" w:rsidP="00A517B5">
      <w:pPr>
        <w:pStyle w:val="Bullet"/>
        <w:numPr>
          <w:ilvl w:val="0"/>
          <w:numId w:val="0"/>
        </w:numPr>
        <w:ind w:left="397"/>
      </w:pPr>
      <w:r w:rsidRPr="00747EF6">
        <w:t>Fair</w:t>
      </w:r>
      <w:r w:rsidR="00C2382E">
        <w:t>-</w:t>
      </w:r>
      <w:r w:rsidRPr="00747EF6">
        <w:t>dealing requirements for NZU advisers would ensure that ‘NZU financial advice’ is treated on a like-for-like basis with ‘financial advice’</w:t>
      </w:r>
      <w:r>
        <w:t>,</w:t>
      </w:r>
      <w:r w:rsidRPr="00747EF6">
        <w:t xml:space="preserve"> </w:t>
      </w:r>
      <w:proofErr w:type="gramStart"/>
      <w:r w:rsidRPr="00747EF6">
        <w:t>in order to</w:t>
      </w:r>
      <w:proofErr w:type="gramEnd"/>
      <w:r w:rsidRPr="00747EF6">
        <w:t xml:space="preserve"> enhance the integrity and confidence of the NZU market.</w:t>
      </w:r>
    </w:p>
    <w:p w14:paraId="36279D84" w14:textId="77777777" w:rsidR="00A517B5" w:rsidRDefault="00A517B5" w:rsidP="00BE2C32">
      <w:pPr>
        <w:pStyle w:val="BodyText"/>
        <w:numPr>
          <w:ilvl w:val="0"/>
          <w:numId w:val="21"/>
        </w:numPr>
      </w:pPr>
      <w:r w:rsidRPr="00747EF6">
        <w:rPr>
          <w:b/>
          <w:bCs/>
        </w:rPr>
        <w:t>Statutory duties</w:t>
      </w:r>
      <w:r>
        <w:rPr>
          <w:b/>
          <w:bCs/>
        </w:rPr>
        <w:t>:</w:t>
      </w:r>
      <w:r w:rsidRPr="00747EF6">
        <w:t xml:space="preserve"> In providing financial advice, all financial advice providers must</w:t>
      </w:r>
      <w:r>
        <w:t>:</w:t>
      </w:r>
    </w:p>
    <w:p w14:paraId="28D2A7A6" w14:textId="77777777" w:rsidR="00A517B5" w:rsidRDefault="00A517B5" w:rsidP="00A517B5">
      <w:pPr>
        <w:pStyle w:val="Sub-list"/>
        <w:tabs>
          <w:tab w:val="num" w:pos="397"/>
        </w:tabs>
      </w:pPr>
      <w:r w:rsidRPr="00747EF6">
        <w:t xml:space="preserve">exercise care, </w:t>
      </w:r>
      <w:proofErr w:type="gramStart"/>
      <w:r w:rsidRPr="00747EF6">
        <w:t>diligence</w:t>
      </w:r>
      <w:proofErr w:type="gramEnd"/>
      <w:r w:rsidRPr="00747EF6">
        <w:t xml:space="preserve"> and skill</w:t>
      </w:r>
    </w:p>
    <w:p w14:paraId="347644DA" w14:textId="77777777" w:rsidR="00A517B5" w:rsidRPr="00747EF6" w:rsidRDefault="00A517B5" w:rsidP="00A517B5">
      <w:pPr>
        <w:pStyle w:val="Sub-list"/>
        <w:tabs>
          <w:tab w:val="num" w:pos="397"/>
        </w:tabs>
      </w:pPr>
      <w:r w:rsidRPr="00747EF6">
        <w:t>give priority to client’s interests where the provider knows, or ought to reasonably know, there is a conflict between the provider</w:t>
      </w:r>
      <w:r>
        <w:t>’s</w:t>
      </w:r>
      <w:r w:rsidRPr="00747EF6">
        <w:t xml:space="preserve"> and the client’s interests</w:t>
      </w:r>
    </w:p>
    <w:p w14:paraId="383C25DA" w14:textId="2DD49081" w:rsidR="00A517B5" w:rsidRPr="00747EF6" w:rsidRDefault="00A517B5" w:rsidP="00A517B5">
      <w:pPr>
        <w:pStyle w:val="Sub-list"/>
        <w:tabs>
          <w:tab w:val="num" w:pos="397"/>
        </w:tabs>
      </w:pPr>
      <w:r>
        <w:t xml:space="preserve">comply with a </w:t>
      </w:r>
      <w:r w:rsidR="004921DA">
        <w:t>c</w:t>
      </w:r>
      <w:r>
        <w:t xml:space="preserve">ode of </w:t>
      </w:r>
      <w:r w:rsidR="004921DA">
        <w:t>c</w:t>
      </w:r>
      <w:r>
        <w:t xml:space="preserve">onduct and other statutory duties if they give regulated financial advice to retail clients. </w:t>
      </w:r>
    </w:p>
    <w:p w14:paraId="7685010C" w14:textId="77777777" w:rsidR="001844E8" w:rsidRDefault="00A517B5" w:rsidP="00A517B5">
      <w:pPr>
        <w:pStyle w:val="Bullet"/>
        <w:numPr>
          <w:ilvl w:val="0"/>
          <w:numId w:val="0"/>
        </w:numPr>
        <w:rPr>
          <w:szCs w:val="22"/>
        </w:rPr>
        <w:sectPr w:rsidR="001844E8" w:rsidSect="008A7498">
          <w:pgSz w:w="11907" w:h="16840" w:code="9"/>
          <w:pgMar w:top="1134" w:right="1701" w:bottom="1134" w:left="1701" w:header="567" w:footer="567" w:gutter="0"/>
          <w:cols w:space="720"/>
          <w:docGrid w:linePitch="299"/>
        </w:sectPr>
      </w:pPr>
      <w:r>
        <w:rPr>
          <w:szCs w:val="22"/>
        </w:rPr>
        <w:fldChar w:fldCharType="begin"/>
      </w:r>
      <w:r>
        <w:rPr>
          <w:szCs w:val="22"/>
        </w:rPr>
        <w:instrText xml:space="preserve"> REF _Ref118456029 \h </w:instrText>
      </w:r>
      <w:r>
        <w:rPr>
          <w:szCs w:val="22"/>
        </w:rPr>
      </w:r>
      <w:r>
        <w:rPr>
          <w:szCs w:val="22"/>
        </w:rPr>
        <w:fldChar w:fldCharType="separate"/>
      </w:r>
      <w:r w:rsidR="00C67DAB">
        <w:t xml:space="preserve">Table </w:t>
      </w:r>
      <w:r w:rsidR="00C67DAB">
        <w:rPr>
          <w:noProof/>
        </w:rPr>
        <w:t>10</w:t>
      </w:r>
      <w:r>
        <w:rPr>
          <w:szCs w:val="22"/>
        </w:rPr>
        <w:fldChar w:fldCharType="end"/>
      </w:r>
      <w:r>
        <w:rPr>
          <w:szCs w:val="22"/>
        </w:rPr>
        <w:t xml:space="preserve"> </w:t>
      </w:r>
      <w:r w:rsidRPr="00747EF6">
        <w:rPr>
          <w:szCs w:val="22"/>
        </w:rPr>
        <w:t>below indicates, at a high</w:t>
      </w:r>
      <w:r>
        <w:rPr>
          <w:szCs w:val="22"/>
        </w:rPr>
        <w:t xml:space="preserve"> </w:t>
      </w:r>
      <w:r w:rsidRPr="00747EF6">
        <w:rPr>
          <w:szCs w:val="22"/>
        </w:rPr>
        <w:t>level, what changes this proposal is intended to make to the current regulatory environment.</w:t>
      </w:r>
    </w:p>
    <w:p w14:paraId="678615EE" w14:textId="77777777" w:rsidR="00A517B5" w:rsidRDefault="00A517B5" w:rsidP="00A517B5">
      <w:pPr>
        <w:pStyle w:val="Tableheading"/>
      </w:pPr>
      <w:bookmarkStart w:id="97" w:name="_Ref118456029"/>
      <w:bookmarkStart w:id="98" w:name="_Ref118456010"/>
      <w:bookmarkStart w:id="99" w:name="_Toc118953828"/>
      <w:r>
        <w:lastRenderedPageBreak/>
        <w:t xml:space="preserve">Table </w:t>
      </w:r>
      <w:fldSimple w:instr=" SEQ Table \* ARABIC ">
        <w:r w:rsidR="00C67DAB">
          <w:rPr>
            <w:noProof/>
          </w:rPr>
          <w:t>10</w:t>
        </w:r>
      </w:fldSimple>
      <w:bookmarkEnd w:id="97"/>
      <w:r>
        <w:t xml:space="preserve">: </w:t>
      </w:r>
      <w:r>
        <w:tab/>
      </w:r>
      <w:r w:rsidRPr="00753AFD">
        <w:t>Effect of proposed changes on financial advice relating to NZUs</w:t>
      </w:r>
      <w:bookmarkEnd w:id="98"/>
      <w:bookmarkEnd w:id="99"/>
    </w:p>
    <w:tbl>
      <w:tblPr>
        <w:tblW w:w="4938" w:type="pct"/>
        <w:tblInd w:w="108" w:type="dxa"/>
        <w:tblBorders>
          <w:top w:val="single" w:sz="4" w:space="0" w:color="1B556B"/>
          <w:bottom w:val="single" w:sz="4" w:space="0" w:color="1B556B"/>
          <w:insideH w:val="single" w:sz="4" w:space="0" w:color="1B556B"/>
          <w:insideV w:val="single" w:sz="4" w:space="0" w:color="1B556B"/>
        </w:tblBorders>
        <w:tblLayout w:type="fixed"/>
        <w:tblLook w:val="04A0" w:firstRow="1" w:lastRow="0" w:firstColumn="1" w:lastColumn="0" w:noHBand="0" w:noVBand="1"/>
      </w:tblPr>
      <w:tblGrid>
        <w:gridCol w:w="1703"/>
        <w:gridCol w:w="2651"/>
        <w:gridCol w:w="1919"/>
        <w:gridCol w:w="2127"/>
      </w:tblGrid>
      <w:tr w:rsidR="001844E8" w:rsidRPr="001844E8" w14:paraId="78EE8D32" w14:textId="77777777" w:rsidTr="001844E8">
        <w:trPr>
          <w:trHeight w:val="20"/>
          <w:tblHeader/>
        </w:trPr>
        <w:tc>
          <w:tcPr>
            <w:tcW w:w="1014" w:type="pct"/>
            <w:shd w:val="clear" w:color="auto" w:fill="1B556B"/>
            <w:vAlign w:val="center"/>
            <w:hideMark/>
          </w:tcPr>
          <w:p w14:paraId="1E042CF2" w14:textId="77777777" w:rsidR="00A517B5" w:rsidRPr="001844E8" w:rsidRDefault="00A517B5" w:rsidP="001844E8">
            <w:pPr>
              <w:pStyle w:val="TableText"/>
              <w:rPr>
                <w:b/>
                <w:bCs/>
                <w:color w:val="FFFFFF" w:themeColor="background1"/>
              </w:rPr>
            </w:pPr>
            <w:r w:rsidRPr="001844E8">
              <w:rPr>
                <w:b/>
                <w:bCs/>
                <w:color w:val="FFFFFF" w:themeColor="background1"/>
              </w:rPr>
              <w:t>Service</w:t>
            </w:r>
          </w:p>
        </w:tc>
        <w:tc>
          <w:tcPr>
            <w:tcW w:w="1578" w:type="pct"/>
            <w:shd w:val="clear" w:color="auto" w:fill="1B556B"/>
            <w:vAlign w:val="center"/>
            <w:hideMark/>
          </w:tcPr>
          <w:p w14:paraId="213CFF75" w14:textId="77777777" w:rsidR="00A517B5" w:rsidRPr="001844E8" w:rsidRDefault="00A517B5" w:rsidP="001844E8">
            <w:pPr>
              <w:pStyle w:val="TableText"/>
              <w:rPr>
                <w:b/>
                <w:bCs/>
                <w:color w:val="FFFFFF" w:themeColor="background1"/>
              </w:rPr>
            </w:pPr>
            <w:r w:rsidRPr="001844E8">
              <w:rPr>
                <w:b/>
                <w:bCs/>
                <w:color w:val="FFFFFF" w:themeColor="background1"/>
              </w:rPr>
              <w:t>Activity</w:t>
            </w:r>
          </w:p>
        </w:tc>
        <w:tc>
          <w:tcPr>
            <w:tcW w:w="1142" w:type="pct"/>
            <w:shd w:val="clear" w:color="auto" w:fill="1B556B"/>
            <w:vAlign w:val="center"/>
            <w:hideMark/>
          </w:tcPr>
          <w:p w14:paraId="3C20E02E" w14:textId="77777777" w:rsidR="00A517B5" w:rsidRPr="001844E8" w:rsidRDefault="00A517B5" w:rsidP="001844E8">
            <w:pPr>
              <w:pStyle w:val="TableText"/>
              <w:rPr>
                <w:b/>
                <w:bCs/>
                <w:color w:val="FFFFFF" w:themeColor="background1"/>
              </w:rPr>
            </w:pPr>
            <w:r w:rsidRPr="001844E8">
              <w:rPr>
                <w:b/>
                <w:bCs/>
                <w:color w:val="FFFFFF" w:themeColor="background1"/>
              </w:rPr>
              <w:t>Change proposed</w:t>
            </w:r>
          </w:p>
        </w:tc>
        <w:tc>
          <w:tcPr>
            <w:tcW w:w="1266" w:type="pct"/>
            <w:shd w:val="clear" w:color="auto" w:fill="1B556B"/>
            <w:vAlign w:val="center"/>
            <w:hideMark/>
          </w:tcPr>
          <w:p w14:paraId="544512C9" w14:textId="77777777" w:rsidR="00A517B5" w:rsidRPr="001844E8" w:rsidRDefault="00A517B5" w:rsidP="001844E8">
            <w:pPr>
              <w:pStyle w:val="TableText"/>
              <w:rPr>
                <w:b/>
                <w:bCs/>
                <w:color w:val="FFFFFF" w:themeColor="background1"/>
              </w:rPr>
            </w:pPr>
            <w:r w:rsidRPr="001844E8">
              <w:rPr>
                <w:b/>
                <w:bCs/>
                <w:color w:val="FFFFFF" w:themeColor="background1"/>
              </w:rPr>
              <w:t>Effect</w:t>
            </w:r>
          </w:p>
        </w:tc>
      </w:tr>
      <w:tr w:rsidR="00A517B5" w:rsidRPr="00747EF6" w14:paraId="3D3325CE" w14:textId="77777777" w:rsidTr="001844E8">
        <w:trPr>
          <w:trHeight w:val="20"/>
        </w:trPr>
        <w:tc>
          <w:tcPr>
            <w:tcW w:w="1014" w:type="pct"/>
            <w:vMerge w:val="restart"/>
            <w:shd w:val="clear" w:color="auto" w:fill="FFFFFF" w:themeFill="background1"/>
            <w:vAlign w:val="center"/>
            <w:hideMark/>
          </w:tcPr>
          <w:p w14:paraId="72ABB1BE" w14:textId="77777777" w:rsidR="00A517B5" w:rsidRPr="001844E8" w:rsidRDefault="00A517B5" w:rsidP="001844E8">
            <w:pPr>
              <w:pStyle w:val="TableText"/>
            </w:pPr>
            <w:r w:rsidRPr="001844E8">
              <w:t>NZU financial advice</w:t>
            </w:r>
          </w:p>
        </w:tc>
        <w:tc>
          <w:tcPr>
            <w:tcW w:w="1578" w:type="pct"/>
            <w:shd w:val="clear" w:color="auto" w:fill="FFFFFF" w:themeFill="background1"/>
            <w:vAlign w:val="center"/>
            <w:hideMark/>
          </w:tcPr>
          <w:p w14:paraId="3FCECC85" w14:textId="77777777" w:rsidR="00A517B5" w:rsidRPr="001844E8" w:rsidRDefault="00A517B5" w:rsidP="001844E8">
            <w:pPr>
              <w:pStyle w:val="TableText"/>
            </w:pPr>
            <w:r w:rsidRPr="001844E8">
              <w:t>Recommendation/opinion to buy/sell/hold NZUs</w:t>
            </w:r>
          </w:p>
        </w:tc>
        <w:tc>
          <w:tcPr>
            <w:tcW w:w="1142" w:type="pct"/>
            <w:shd w:val="clear" w:color="auto" w:fill="FFFFFF" w:themeFill="background1"/>
            <w:vAlign w:val="center"/>
            <w:hideMark/>
          </w:tcPr>
          <w:p w14:paraId="7B88E5F3" w14:textId="77777777" w:rsidR="00A517B5" w:rsidRPr="001844E8" w:rsidRDefault="00A517B5" w:rsidP="001844E8">
            <w:pPr>
              <w:pStyle w:val="TableText"/>
            </w:pPr>
            <w:r w:rsidRPr="001844E8">
              <w:t>Yes</w:t>
            </w:r>
          </w:p>
        </w:tc>
        <w:tc>
          <w:tcPr>
            <w:tcW w:w="1266" w:type="pct"/>
            <w:shd w:val="clear" w:color="auto" w:fill="FFFFFF" w:themeFill="background1"/>
            <w:vAlign w:val="center"/>
            <w:hideMark/>
          </w:tcPr>
          <w:p w14:paraId="4DEAA119" w14:textId="77777777" w:rsidR="00A517B5" w:rsidRPr="001844E8" w:rsidRDefault="00A517B5" w:rsidP="001844E8">
            <w:pPr>
              <w:pStyle w:val="TableText"/>
            </w:pPr>
            <w:r w:rsidRPr="001844E8">
              <w:t>Regulate as financial advice relating to NZUs</w:t>
            </w:r>
          </w:p>
        </w:tc>
      </w:tr>
      <w:tr w:rsidR="00A517B5" w:rsidRPr="00747EF6" w14:paraId="3F1E628C" w14:textId="77777777" w:rsidTr="001844E8">
        <w:trPr>
          <w:trHeight w:val="20"/>
        </w:trPr>
        <w:tc>
          <w:tcPr>
            <w:tcW w:w="1014" w:type="pct"/>
            <w:vMerge/>
            <w:shd w:val="clear" w:color="auto" w:fill="FFFFFF" w:themeFill="background1"/>
            <w:vAlign w:val="center"/>
          </w:tcPr>
          <w:p w14:paraId="6E3E34FD" w14:textId="77777777" w:rsidR="00A517B5" w:rsidRPr="001844E8" w:rsidRDefault="00A517B5" w:rsidP="001844E8">
            <w:pPr>
              <w:pStyle w:val="TableText"/>
            </w:pPr>
          </w:p>
        </w:tc>
        <w:tc>
          <w:tcPr>
            <w:tcW w:w="1578" w:type="pct"/>
            <w:shd w:val="clear" w:color="auto" w:fill="FFFFFF" w:themeFill="background1"/>
            <w:vAlign w:val="center"/>
          </w:tcPr>
          <w:p w14:paraId="6383AFFD" w14:textId="77777777" w:rsidR="00A517B5" w:rsidRPr="001844E8" w:rsidRDefault="00A517B5" w:rsidP="001844E8">
            <w:pPr>
              <w:pStyle w:val="TableText"/>
            </w:pPr>
            <w:r w:rsidRPr="001844E8">
              <w:t>Design investment plan that includes NZUs</w:t>
            </w:r>
          </w:p>
        </w:tc>
        <w:tc>
          <w:tcPr>
            <w:tcW w:w="1142" w:type="pct"/>
            <w:shd w:val="clear" w:color="auto" w:fill="FFFFFF" w:themeFill="background1"/>
            <w:vAlign w:val="center"/>
          </w:tcPr>
          <w:p w14:paraId="4E037445" w14:textId="77777777" w:rsidR="00A517B5" w:rsidRPr="001844E8" w:rsidRDefault="00A517B5" w:rsidP="001844E8">
            <w:pPr>
              <w:pStyle w:val="TableText"/>
            </w:pPr>
            <w:r w:rsidRPr="001844E8">
              <w:t>No</w:t>
            </w:r>
          </w:p>
        </w:tc>
        <w:tc>
          <w:tcPr>
            <w:tcW w:w="1266" w:type="pct"/>
            <w:shd w:val="clear" w:color="auto" w:fill="FFFFFF" w:themeFill="background1"/>
            <w:vAlign w:val="center"/>
          </w:tcPr>
          <w:p w14:paraId="75906277" w14:textId="77777777" w:rsidR="00A517B5" w:rsidRPr="001844E8" w:rsidRDefault="00A517B5" w:rsidP="001844E8">
            <w:pPr>
              <w:pStyle w:val="TableText"/>
            </w:pPr>
            <w:r w:rsidRPr="001844E8">
              <w:t>Status quo – already regulated as financial advice</w:t>
            </w:r>
          </w:p>
        </w:tc>
      </w:tr>
      <w:tr w:rsidR="00A517B5" w:rsidRPr="00747EF6" w14:paraId="74BC863A" w14:textId="77777777" w:rsidTr="001844E8">
        <w:trPr>
          <w:trHeight w:val="20"/>
        </w:trPr>
        <w:tc>
          <w:tcPr>
            <w:tcW w:w="1014" w:type="pct"/>
            <w:vMerge w:val="restart"/>
            <w:shd w:val="clear" w:color="auto" w:fill="FFFFFF" w:themeFill="background1"/>
            <w:vAlign w:val="center"/>
            <w:hideMark/>
          </w:tcPr>
          <w:p w14:paraId="0BB75D52" w14:textId="77777777" w:rsidR="00A517B5" w:rsidRPr="001844E8" w:rsidRDefault="00A517B5" w:rsidP="001844E8">
            <w:pPr>
              <w:pStyle w:val="TableText"/>
            </w:pPr>
            <w:r w:rsidRPr="001844E8">
              <w:t>Transactional and/or custodial services</w:t>
            </w:r>
          </w:p>
        </w:tc>
        <w:tc>
          <w:tcPr>
            <w:tcW w:w="1578" w:type="pct"/>
            <w:shd w:val="clear" w:color="auto" w:fill="FFFFFF" w:themeFill="background1"/>
            <w:vAlign w:val="center"/>
            <w:hideMark/>
          </w:tcPr>
          <w:p w14:paraId="1483B8B5" w14:textId="77777777" w:rsidR="00A517B5" w:rsidRPr="001844E8" w:rsidRDefault="00A517B5" w:rsidP="001844E8">
            <w:pPr>
              <w:pStyle w:val="TableText"/>
            </w:pPr>
            <w:r w:rsidRPr="001844E8">
              <w:t>Buying or selling NZUs on behalf of a client (where that involves dealing with client money or NZUs)</w:t>
            </w:r>
          </w:p>
        </w:tc>
        <w:tc>
          <w:tcPr>
            <w:tcW w:w="1142" w:type="pct"/>
            <w:shd w:val="clear" w:color="auto" w:fill="FFFFFF" w:themeFill="background1"/>
            <w:vAlign w:val="center"/>
            <w:hideMark/>
          </w:tcPr>
          <w:p w14:paraId="1C51A7C9" w14:textId="77777777" w:rsidR="00A517B5" w:rsidRPr="001844E8" w:rsidRDefault="00A517B5" w:rsidP="001844E8">
            <w:pPr>
              <w:pStyle w:val="TableText"/>
            </w:pPr>
            <w:r w:rsidRPr="001844E8">
              <w:t xml:space="preserve">For consultation </w:t>
            </w:r>
          </w:p>
        </w:tc>
        <w:tc>
          <w:tcPr>
            <w:tcW w:w="1266" w:type="pct"/>
            <w:shd w:val="clear" w:color="auto" w:fill="FFFFFF" w:themeFill="background1"/>
            <w:vAlign w:val="center"/>
            <w:hideMark/>
          </w:tcPr>
          <w:p w14:paraId="039E8E0F" w14:textId="77777777" w:rsidR="00A517B5" w:rsidRPr="001844E8" w:rsidRDefault="00A517B5" w:rsidP="001844E8">
            <w:pPr>
              <w:pStyle w:val="TableText"/>
            </w:pPr>
            <w:r w:rsidRPr="001844E8">
              <w:t>Regulate as client money and property service</w:t>
            </w:r>
          </w:p>
        </w:tc>
      </w:tr>
      <w:tr w:rsidR="00A517B5" w:rsidRPr="00747EF6" w14:paraId="690B45F3" w14:textId="77777777" w:rsidTr="001844E8">
        <w:trPr>
          <w:trHeight w:val="20"/>
        </w:trPr>
        <w:tc>
          <w:tcPr>
            <w:tcW w:w="1014" w:type="pct"/>
            <w:vMerge/>
            <w:shd w:val="clear" w:color="auto" w:fill="FFFFFF" w:themeFill="background1"/>
            <w:vAlign w:val="center"/>
          </w:tcPr>
          <w:p w14:paraId="7F76426C" w14:textId="77777777" w:rsidR="00A517B5" w:rsidRPr="001844E8" w:rsidRDefault="00A517B5" w:rsidP="001844E8">
            <w:pPr>
              <w:pStyle w:val="TableText"/>
            </w:pPr>
          </w:p>
        </w:tc>
        <w:tc>
          <w:tcPr>
            <w:tcW w:w="1578" w:type="pct"/>
            <w:shd w:val="clear" w:color="auto" w:fill="FFFFFF" w:themeFill="background1"/>
            <w:vAlign w:val="center"/>
          </w:tcPr>
          <w:p w14:paraId="76DF240A" w14:textId="77777777" w:rsidR="00A517B5" w:rsidRPr="001844E8" w:rsidRDefault="00A517B5" w:rsidP="001844E8">
            <w:pPr>
              <w:pStyle w:val="TableText"/>
            </w:pPr>
            <w:r w:rsidRPr="001844E8">
              <w:t>Holding/administering NZUs on behalf of a client</w:t>
            </w:r>
          </w:p>
        </w:tc>
        <w:tc>
          <w:tcPr>
            <w:tcW w:w="1142" w:type="pct"/>
            <w:shd w:val="clear" w:color="auto" w:fill="FFFFFF" w:themeFill="background1"/>
            <w:vAlign w:val="center"/>
          </w:tcPr>
          <w:p w14:paraId="697688BE" w14:textId="77777777" w:rsidR="00A517B5" w:rsidRPr="001844E8" w:rsidRDefault="00A517B5" w:rsidP="001844E8">
            <w:pPr>
              <w:pStyle w:val="TableText"/>
            </w:pPr>
            <w:r w:rsidRPr="001844E8">
              <w:t xml:space="preserve">For consultation </w:t>
            </w:r>
          </w:p>
        </w:tc>
        <w:tc>
          <w:tcPr>
            <w:tcW w:w="1266" w:type="pct"/>
            <w:shd w:val="clear" w:color="auto" w:fill="FFFFFF" w:themeFill="background1"/>
            <w:vAlign w:val="center"/>
          </w:tcPr>
          <w:p w14:paraId="0368DDA2" w14:textId="77777777" w:rsidR="00A517B5" w:rsidRPr="001844E8" w:rsidRDefault="00A517B5" w:rsidP="001844E8">
            <w:pPr>
              <w:pStyle w:val="TableText"/>
            </w:pPr>
            <w:r w:rsidRPr="001844E8">
              <w:t>Regulate as client money and property service</w:t>
            </w:r>
          </w:p>
        </w:tc>
      </w:tr>
      <w:tr w:rsidR="00A517B5" w:rsidRPr="00747EF6" w14:paraId="5F4E1F7E" w14:textId="77777777" w:rsidTr="001844E8">
        <w:trPr>
          <w:trHeight w:val="20"/>
        </w:trPr>
        <w:tc>
          <w:tcPr>
            <w:tcW w:w="1014" w:type="pct"/>
            <w:shd w:val="clear" w:color="auto" w:fill="FFFFFF" w:themeFill="background1"/>
            <w:vAlign w:val="center"/>
          </w:tcPr>
          <w:p w14:paraId="70875AA9" w14:textId="77777777" w:rsidR="00A517B5" w:rsidRPr="001844E8" w:rsidRDefault="00A517B5" w:rsidP="001844E8">
            <w:pPr>
              <w:pStyle w:val="TableText"/>
            </w:pPr>
            <w:r w:rsidRPr="001844E8">
              <w:t>NZ ETS advice</w:t>
            </w:r>
          </w:p>
        </w:tc>
        <w:tc>
          <w:tcPr>
            <w:tcW w:w="1578" w:type="pct"/>
            <w:shd w:val="clear" w:color="auto" w:fill="FFFFFF" w:themeFill="background1"/>
            <w:vAlign w:val="center"/>
          </w:tcPr>
          <w:p w14:paraId="13ADE801" w14:textId="77777777" w:rsidR="00A517B5" w:rsidRPr="001844E8" w:rsidRDefault="00A517B5" w:rsidP="001844E8">
            <w:pPr>
              <w:pStyle w:val="TableText"/>
            </w:pPr>
            <w:r w:rsidRPr="001844E8">
              <w:t>Advice about ETS obligations, entitlements, or options</w:t>
            </w:r>
          </w:p>
        </w:tc>
        <w:tc>
          <w:tcPr>
            <w:tcW w:w="1142" w:type="pct"/>
            <w:shd w:val="clear" w:color="auto" w:fill="FFFFFF" w:themeFill="background1"/>
            <w:vAlign w:val="center"/>
          </w:tcPr>
          <w:p w14:paraId="11AA2357" w14:textId="77777777" w:rsidR="00A517B5" w:rsidRPr="001844E8" w:rsidRDefault="00A517B5" w:rsidP="001844E8">
            <w:pPr>
              <w:pStyle w:val="TableText"/>
            </w:pPr>
            <w:r w:rsidRPr="001844E8">
              <w:t>No</w:t>
            </w:r>
          </w:p>
        </w:tc>
        <w:tc>
          <w:tcPr>
            <w:tcW w:w="1266" w:type="pct"/>
            <w:shd w:val="clear" w:color="auto" w:fill="FFFFFF" w:themeFill="background1"/>
            <w:vAlign w:val="center"/>
          </w:tcPr>
          <w:p w14:paraId="471A8431" w14:textId="77777777" w:rsidR="00A517B5" w:rsidRPr="001844E8" w:rsidRDefault="00A517B5" w:rsidP="001844E8">
            <w:pPr>
              <w:pStyle w:val="TableText"/>
            </w:pPr>
            <w:r w:rsidRPr="001844E8">
              <w:t>Status quo – partly regulated as ‘forestry adviser service’</w:t>
            </w:r>
          </w:p>
        </w:tc>
      </w:tr>
      <w:tr w:rsidR="00A517B5" w:rsidRPr="00747EF6" w14:paraId="050FCF82" w14:textId="77777777" w:rsidTr="001844E8">
        <w:trPr>
          <w:trHeight w:val="20"/>
        </w:trPr>
        <w:tc>
          <w:tcPr>
            <w:tcW w:w="1014" w:type="pct"/>
            <w:shd w:val="clear" w:color="auto" w:fill="FFFFFF" w:themeFill="background1"/>
            <w:vAlign w:val="center"/>
            <w:hideMark/>
          </w:tcPr>
          <w:p w14:paraId="531B20DB" w14:textId="77777777" w:rsidR="00A517B5" w:rsidRPr="001844E8" w:rsidRDefault="00A517B5" w:rsidP="001844E8">
            <w:pPr>
              <w:pStyle w:val="TableText"/>
            </w:pPr>
            <w:r w:rsidRPr="001844E8">
              <w:t>Direct transactions</w:t>
            </w:r>
          </w:p>
        </w:tc>
        <w:tc>
          <w:tcPr>
            <w:tcW w:w="1578" w:type="pct"/>
            <w:shd w:val="clear" w:color="auto" w:fill="FFFFFF" w:themeFill="background1"/>
            <w:vAlign w:val="center"/>
            <w:hideMark/>
          </w:tcPr>
          <w:p w14:paraId="52C8439B" w14:textId="77777777" w:rsidR="00A517B5" w:rsidRPr="001844E8" w:rsidRDefault="00A517B5" w:rsidP="001844E8">
            <w:pPr>
              <w:pStyle w:val="TableText"/>
            </w:pPr>
            <w:r w:rsidRPr="001844E8">
              <w:t>Buying/selling NZUs on own behalf</w:t>
            </w:r>
          </w:p>
        </w:tc>
        <w:tc>
          <w:tcPr>
            <w:tcW w:w="1142" w:type="pct"/>
            <w:shd w:val="clear" w:color="auto" w:fill="FFFFFF" w:themeFill="background1"/>
            <w:vAlign w:val="center"/>
            <w:hideMark/>
          </w:tcPr>
          <w:p w14:paraId="67D6672D" w14:textId="77777777" w:rsidR="00A517B5" w:rsidRPr="001844E8" w:rsidRDefault="00A517B5" w:rsidP="001844E8">
            <w:pPr>
              <w:pStyle w:val="TableText"/>
            </w:pPr>
            <w:r w:rsidRPr="001844E8">
              <w:t>No</w:t>
            </w:r>
          </w:p>
        </w:tc>
        <w:tc>
          <w:tcPr>
            <w:tcW w:w="1266" w:type="pct"/>
            <w:shd w:val="clear" w:color="auto" w:fill="FFFFFF" w:themeFill="background1"/>
            <w:vAlign w:val="center"/>
            <w:hideMark/>
          </w:tcPr>
          <w:p w14:paraId="27410955" w14:textId="77777777" w:rsidR="00A517B5" w:rsidRPr="001844E8" w:rsidRDefault="00A517B5" w:rsidP="001844E8">
            <w:pPr>
              <w:pStyle w:val="TableText"/>
            </w:pPr>
            <w:r w:rsidRPr="001844E8">
              <w:t> Status quo – no limits</w:t>
            </w:r>
          </w:p>
        </w:tc>
      </w:tr>
    </w:tbl>
    <w:p w14:paraId="4A986898" w14:textId="14CDC8FE" w:rsidR="00A517B5" w:rsidRPr="00747EF6" w:rsidRDefault="004B169B" w:rsidP="001844E8">
      <w:pPr>
        <w:pStyle w:val="BodyText"/>
      </w:pPr>
      <w:r>
        <w:t>W</w:t>
      </w:r>
      <w:r w:rsidR="00A517B5" w:rsidRPr="00747EF6">
        <w:t xml:space="preserve">e set out </w:t>
      </w:r>
      <w:r>
        <w:t xml:space="preserve">below </w:t>
      </w:r>
      <w:r w:rsidR="00A517B5" w:rsidRPr="00747EF6">
        <w:t xml:space="preserve">some detailed examples to illustrate how this proposal would affect (or not affect) different </w:t>
      </w:r>
      <w:r w:rsidR="00A517B5" w:rsidRPr="00747EF6" w:rsidDel="00022A0B">
        <w:t xml:space="preserve">persons </w:t>
      </w:r>
      <w:r w:rsidR="00A517B5" w:rsidRPr="00747EF6">
        <w:t>interacting with the NZU market.</w:t>
      </w:r>
    </w:p>
    <w:p w14:paraId="53F17C2A" w14:textId="77777777" w:rsidR="00A517B5" w:rsidRPr="00747EF6" w:rsidRDefault="00A517B5" w:rsidP="001844E8">
      <w:pPr>
        <w:pStyle w:val="BodyText"/>
      </w:pPr>
      <w:r w:rsidRPr="00747EF6">
        <w:t xml:space="preserve">The Crown is broadly exempt from financial advice obligations. For example, </w:t>
      </w:r>
      <w:r>
        <w:t>the</w:t>
      </w:r>
      <w:r w:rsidRPr="00747EF6">
        <w:t xml:space="preserve"> FMC Act is not intended to include communications from or </w:t>
      </w:r>
      <w:r>
        <w:t>between representatives of</w:t>
      </w:r>
      <w:r w:rsidRPr="00747EF6">
        <w:t xml:space="preserve"> the Crown (such as </w:t>
      </w:r>
      <w:r>
        <w:t>Environmental Protection Authority</w:t>
      </w:r>
      <w:r w:rsidRPr="00747EF6">
        <w:t xml:space="preserve"> </w:t>
      </w:r>
      <w:r>
        <w:t xml:space="preserve">(EPA) </w:t>
      </w:r>
      <w:r w:rsidRPr="00747EF6">
        <w:t>staff) to help NZ</w:t>
      </w:r>
      <w:r>
        <w:t> </w:t>
      </w:r>
      <w:r w:rsidRPr="00747EF6">
        <w:t>ETS participants meet their obligations.</w:t>
      </w:r>
    </w:p>
    <w:p w14:paraId="72353524" w14:textId="77777777" w:rsidR="00A517B5" w:rsidRPr="00747EF6" w:rsidRDefault="00A517B5" w:rsidP="00A517B5">
      <w:pPr>
        <w:pStyle w:val="Heading3"/>
      </w:pPr>
      <w:r w:rsidRPr="00747EF6">
        <w:t>Option three: Applying FMC Act wholesale client settings</w:t>
      </w:r>
    </w:p>
    <w:p w14:paraId="20D3FA29" w14:textId="66328862" w:rsidR="00313139" w:rsidRPr="00747EF6" w:rsidRDefault="00A517B5" w:rsidP="00A517B5">
      <w:pPr>
        <w:pStyle w:val="BodyText"/>
      </w:pPr>
      <w:r w:rsidRPr="00747EF6">
        <w:t xml:space="preserve">We considered </w:t>
      </w:r>
      <w:r>
        <w:t>the option of</w:t>
      </w:r>
      <w:r w:rsidRPr="00747EF6">
        <w:t xml:space="preserve"> regulat</w:t>
      </w:r>
      <w:r>
        <w:t>ing</w:t>
      </w:r>
      <w:r w:rsidRPr="00747EF6">
        <w:t xml:space="preserve"> NZU financial advice by </w:t>
      </w:r>
      <w:r>
        <w:t>broadening the application of</w:t>
      </w:r>
      <w:r w:rsidRPr="00747EF6">
        <w:t xml:space="preserve"> the settings </w:t>
      </w:r>
      <w:r>
        <w:t xml:space="preserve">for </w:t>
      </w:r>
      <w:r w:rsidRPr="00747EF6">
        <w:t>wholesale</w:t>
      </w:r>
      <w:r>
        <w:t>-</w:t>
      </w:r>
      <w:r w:rsidRPr="00747EF6">
        <w:t xml:space="preserve">only clients in relation to other financial products. This alternative option </w:t>
      </w:r>
      <w:r w:rsidR="000711D8">
        <w:t>assumes</w:t>
      </w:r>
      <w:r w:rsidRPr="00747EF6">
        <w:t xml:space="preserve"> </w:t>
      </w:r>
      <w:r>
        <w:t>the likelihood that a</w:t>
      </w:r>
      <w:r w:rsidRPr="00747EF6">
        <w:t xml:space="preserve"> larger proportion of those </w:t>
      </w:r>
      <w:r>
        <w:t>receiving</w:t>
      </w:r>
      <w:r w:rsidRPr="00747EF6">
        <w:t xml:space="preserve"> NZU financial advice would have a higher degree of experience</w:t>
      </w:r>
      <w:r>
        <w:t>,</w:t>
      </w:r>
      <w:r w:rsidRPr="00747EF6">
        <w:t xml:space="preserve"> compared to clients </w:t>
      </w:r>
      <w:r w:rsidR="0014692F">
        <w:t>receiving</w:t>
      </w:r>
      <w:r w:rsidR="0014692F" w:rsidRPr="00747EF6" w:rsidDel="0014692F">
        <w:t xml:space="preserve"> </w:t>
      </w:r>
      <w:r w:rsidRPr="00747EF6">
        <w:t>advice about other financial product</w:t>
      </w:r>
      <w:r>
        <w:t>s</w:t>
      </w:r>
      <w:r w:rsidRPr="00747EF6">
        <w:t>.</w:t>
      </w:r>
      <w:r w:rsidR="000D3DBC">
        <w:rPr>
          <w:rStyle w:val="FootnoteReference"/>
        </w:rPr>
        <w:footnoteReference w:id="29"/>
      </w:r>
      <w:r w:rsidRPr="00747EF6" w:rsidDel="00304B67">
        <w:t xml:space="preserve"> </w:t>
      </w:r>
      <w:r w:rsidRPr="00747EF6">
        <w:t>Given uncertain evidence of a problem, regulators can better monitor the level of problems in the market and</w:t>
      </w:r>
      <w:r>
        <w:t>,</w:t>
      </w:r>
      <w:r w:rsidRPr="00747EF6">
        <w:t xml:space="preserve"> if justified, the </w:t>
      </w:r>
      <w:r>
        <w:t>G</w:t>
      </w:r>
      <w:r w:rsidRPr="00747EF6">
        <w:t xml:space="preserve">overnment can look to increase the level of regulation at a later stage. </w:t>
      </w:r>
    </w:p>
    <w:p w14:paraId="2858E49A" w14:textId="7900FF2F" w:rsidR="00A517B5" w:rsidRPr="00747EF6" w:rsidRDefault="00A517B5" w:rsidP="00A517B5">
      <w:pPr>
        <w:pStyle w:val="BodyText"/>
      </w:pPr>
      <w:r w:rsidRPr="00747EF6">
        <w:t xml:space="preserve">Under this option, </w:t>
      </w:r>
      <w:r w:rsidRPr="00747EF6" w:rsidDel="0014692F">
        <w:t xml:space="preserve">persons </w:t>
      </w:r>
      <w:r>
        <w:t>who</w:t>
      </w:r>
      <w:r w:rsidRPr="00747EF6">
        <w:t xml:space="preserve"> provide NZU financial advice could be required to:</w:t>
      </w:r>
    </w:p>
    <w:p w14:paraId="7546A41C" w14:textId="77777777" w:rsidR="00A517B5" w:rsidRPr="00747EF6" w:rsidRDefault="00A517B5" w:rsidP="00A517B5">
      <w:pPr>
        <w:pStyle w:val="Bullet"/>
        <w:tabs>
          <w:tab w:val="num" w:pos="397"/>
        </w:tabs>
        <w:spacing w:line="280" w:lineRule="exact"/>
      </w:pPr>
      <w:r w:rsidRPr="00747EF6">
        <w:t>register on the FSPR to provide that type of service</w:t>
      </w:r>
    </w:p>
    <w:p w14:paraId="3212C0E8" w14:textId="3BA7181B" w:rsidR="00A517B5" w:rsidRPr="00747EF6" w:rsidRDefault="00A517B5" w:rsidP="00A517B5">
      <w:pPr>
        <w:pStyle w:val="Bullet"/>
        <w:tabs>
          <w:tab w:val="num" w:pos="397"/>
        </w:tabs>
        <w:spacing w:line="280" w:lineRule="exact"/>
      </w:pPr>
      <w:r w:rsidRPr="00747EF6">
        <w:t xml:space="preserve">comply with FMC </w:t>
      </w:r>
      <w:r>
        <w:t xml:space="preserve">Act </w:t>
      </w:r>
      <w:r w:rsidRPr="00747EF6">
        <w:t>fair</w:t>
      </w:r>
      <w:r w:rsidR="00256091">
        <w:t>-</w:t>
      </w:r>
      <w:r w:rsidRPr="00747EF6">
        <w:t>dealing standards</w:t>
      </w:r>
    </w:p>
    <w:p w14:paraId="147F4C24" w14:textId="14548AFE" w:rsidR="00A517B5" w:rsidRPr="00747EF6" w:rsidRDefault="00A517B5" w:rsidP="00A517B5">
      <w:pPr>
        <w:pStyle w:val="Bullet"/>
        <w:tabs>
          <w:tab w:val="num" w:pos="397"/>
        </w:tabs>
        <w:spacing w:line="280" w:lineRule="exact"/>
      </w:pPr>
      <w:r w:rsidRPr="00747EF6">
        <w:t xml:space="preserve">meet advice duties to put </w:t>
      </w:r>
      <w:r>
        <w:t xml:space="preserve">their </w:t>
      </w:r>
      <w:r w:rsidRPr="00747EF6">
        <w:t xml:space="preserve">client’s interests first and to exercise care, </w:t>
      </w:r>
      <w:proofErr w:type="gramStart"/>
      <w:r w:rsidRPr="00747EF6">
        <w:t>skill</w:t>
      </w:r>
      <w:proofErr w:type="gramEnd"/>
      <w:r w:rsidRPr="00747EF6">
        <w:t xml:space="preserve"> and diligence.</w:t>
      </w:r>
    </w:p>
    <w:p w14:paraId="7298BBF8" w14:textId="77777777" w:rsidR="00A517B5" w:rsidRPr="00747EF6" w:rsidRDefault="00A517B5" w:rsidP="00A517B5">
      <w:pPr>
        <w:pStyle w:val="BodyText"/>
      </w:pPr>
      <w:r w:rsidRPr="00747EF6">
        <w:t>The objectives in proposing this option are intended to recognise that:</w:t>
      </w:r>
    </w:p>
    <w:p w14:paraId="68701074" w14:textId="603C66FF" w:rsidR="00A517B5" w:rsidRPr="00747EF6" w:rsidRDefault="00A517B5" w:rsidP="00A517B5">
      <w:pPr>
        <w:pStyle w:val="Bullet"/>
        <w:tabs>
          <w:tab w:val="num" w:pos="397"/>
        </w:tabs>
        <w:spacing w:line="280" w:lineRule="exact"/>
      </w:pPr>
      <w:r w:rsidRPr="00747EF6" w:rsidDel="00BF0B44">
        <w:lastRenderedPageBreak/>
        <w:t>persons</w:t>
      </w:r>
      <w:r w:rsidR="00BF0B44" w:rsidRPr="00747EF6">
        <w:t xml:space="preserve"> </w:t>
      </w:r>
      <w:r>
        <w:t>who</w:t>
      </w:r>
      <w:r w:rsidRPr="00747EF6">
        <w:t xml:space="preserve"> engage </w:t>
      </w:r>
      <w:r>
        <w:t xml:space="preserve">with </w:t>
      </w:r>
      <w:r w:rsidRPr="00747EF6">
        <w:t>the NZU market</w:t>
      </w:r>
      <w:r>
        <w:t>, as opposed to other types of financial products,</w:t>
      </w:r>
      <w:r w:rsidRPr="00747EF6">
        <w:t xml:space="preserve"> are much more likely to </w:t>
      </w:r>
      <w:r w:rsidR="00D2409B">
        <w:t>be as</w:t>
      </w:r>
      <w:r w:rsidR="00D2409B" w:rsidRPr="00747EF6">
        <w:t xml:space="preserve"> </w:t>
      </w:r>
      <w:r w:rsidRPr="00747EF6">
        <w:t>sophisticat</w:t>
      </w:r>
      <w:r w:rsidR="00D2409B">
        <w:t>ed</w:t>
      </w:r>
      <w:r w:rsidRPr="00747EF6">
        <w:t xml:space="preserve"> and experience</w:t>
      </w:r>
      <w:r w:rsidR="00D2409B">
        <w:t>d</w:t>
      </w:r>
      <w:r w:rsidRPr="00747EF6">
        <w:t xml:space="preserve"> </w:t>
      </w:r>
      <w:r w:rsidR="00D2409B">
        <w:t>as</w:t>
      </w:r>
      <w:r w:rsidRPr="00747EF6">
        <w:t xml:space="preserve"> a wholesale investor under the FMC Act (</w:t>
      </w:r>
      <w:proofErr w:type="spellStart"/>
      <w:r w:rsidR="00C34070">
        <w:t>eg</w:t>
      </w:r>
      <w:proofErr w:type="spellEnd"/>
      <w:r w:rsidR="00C34070">
        <w:t xml:space="preserve">, </w:t>
      </w:r>
      <w:r w:rsidRPr="00747EF6">
        <w:t>because they own a forestry block)</w:t>
      </w:r>
    </w:p>
    <w:p w14:paraId="2E34199E" w14:textId="77777777" w:rsidR="00A517B5" w:rsidRPr="00747EF6" w:rsidRDefault="00A517B5" w:rsidP="00A517B5">
      <w:pPr>
        <w:pStyle w:val="Bullet"/>
        <w:tabs>
          <w:tab w:val="num" w:pos="397"/>
        </w:tabs>
        <w:spacing w:line="280" w:lineRule="exact"/>
      </w:pPr>
      <w:r w:rsidRPr="00747EF6">
        <w:t xml:space="preserve">the regulatory burden of complying with the obligations for services provided to clients that include retail clients (including mandatory dispute resolution and additional advice duties </w:t>
      </w:r>
      <w:r>
        <w:t xml:space="preserve"> as </w:t>
      </w:r>
      <w:r w:rsidRPr="00747EF6">
        <w:t xml:space="preserve">outlined </w:t>
      </w:r>
      <w:hyperlink w:anchor="_What_regulatory_settings" w:history="1">
        <w:r w:rsidRPr="00325C0B">
          <w:rPr>
            <w:rStyle w:val="Hyperlink"/>
          </w:rPr>
          <w:t>below</w:t>
        </w:r>
      </w:hyperlink>
      <w:r>
        <w:t>)</w:t>
      </w:r>
      <w:r w:rsidRPr="00747EF6">
        <w:t xml:space="preserve"> is likely to be disproportionate to the benefits intended to be achieved, including </w:t>
      </w:r>
      <w:r>
        <w:t>reducing</w:t>
      </w:r>
      <w:r w:rsidRPr="00747EF6">
        <w:t xml:space="preserve"> the availability of providers willing to provide this type of service</w:t>
      </w:r>
    </w:p>
    <w:p w14:paraId="1FC79652" w14:textId="77777777" w:rsidR="00A517B5" w:rsidRPr="00747EF6" w:rsidRDefault="00A517B5" w:rsidP="00A517B5">
      <w:pPr>
        <w:pStyle w:val="Bullet"/>
        <w:tabs>
          <w:tab w:val="num" w:pos="397"/>
        </w:tabs>
        <w:spacing w:line="280" w:lineRule="exact"/>
      </w:pPr>
      <w:r w:rsidRPr="00747EF6">
        <w:t>regulators can better monitor the level of problems in the market and</w:t>
      </w:r>
      <w:r>
        <w:t>,</w:t>
      </w:r>
      <w:r w:rsidRPr="00747EF6">
        <w:t xml:space="preserve"> if justified, the </w:t>
      </w:r>
      <w:r>
        <w:t>G</w:t>
      </w:r>
      <w:r w:rsidRPr="00747EF6">
        <w:t xml:space="preserve">overnment can look to increase the level of regulation at a later stage. </w:t>
      </w:r>
    </w:p>
    <w:p w14:paraId="46DE8C0C" w14:textId="77777777" w:rsidR="00A517B5" w:rsidRPr="00747EF6" w:rsidRDefault="00A517B5" w:rsidP="00A517B5">
      <w:pPr>
        <w:pStyle w:val="BodyText"/>
      </w:pPr>
      <w:r w:rsidRPr="00747EF6">
        <w:t>In more detail, these components involve the following key features:</w:t>
      </w:r>
    </w:p>
    <w:p w14:paraId="62AF9467" w14:textId="52A0762A" w:rsidR="00A517B5" w:rsidRPr="00747EF6" w:rsidRDefault="00A517B5" w:rsidP="00A517B5">
      <w:pPr>
        <w:pStyle w:val="Bullet"/>
        <w:tabs>
          <w:tab w:val="num" w:pos="397"/>
        </w:tabs>
        <w:spacing w:line="280" w:lineRule="exact"/>
      </w:pPr>
      <w:r w:rsidRPr="00747EF6">
        <w:rPr>
          <w:b/>
          <w:bCs/>
        </w:rPr>
        <w:t>FSPR registration</w:t>
      </w:r>
      <w:r w:rsidRPr="00C13F2B">
        <w:rPr>
          <w:b/>
          <w:bCs/>
        </w:rPr>
        <w:t>:</w:t>
      </w:r>
      <w:r>
        <w:t xml:space="preserve"> </w:t>
      </w:r>
      <w:r w:rsidRPr="00747EF6" w:rsidDel="00912FE9">
        <w:t xml:space="preserve">Persons </w:t>
      </w:r>
      <w:r>
        <w:t>who</w:t>
      </w:r>
      <w:r w:rsidRPr="00747EF6">
        <w:t xml:space="preserve"> provide NZU advice must register on the FSPR and pay levies. This </w:t>
      </w:r>
      <w:r>
        <w:t>would allow</w:t>
      </w:r>
      <w:r w:rsidRPr="00747EF6">
        <w:t xml:space="preserve"> regulatory oversight </w:t>
      </w:r>
      <w:r w:rsidR="00EC68AD">
        <w:t>of those registered</w:t>
      </w:r>
      <w:r w:rsidRPr="00747EF6">
        <w:t xml:space="preserve"> and minimum character requirements of </w:t>
      </w:r>
      <w:r w:rsidRPr="00747EF6" w:rsidDel="0051287C">
        <w:t xml:space="preserve">persons </w:t>
      </w:r>
      <w:r w:rsidRPr="00747EF6">
        <w:t>providing this type of advice.</w:t>
      </w:r>
    </w:p>
    <w:p w14:paraId="04DD30C7" w14:textId="70E1FC5A" w:rsidR="00A517B5" w:rsidRPr="00747EF6" w:rsidRDefault="00A517B5" w:rsidP="00A517B5">
      <w:pPr>
        <w:pStyle w:val="Bullet"/>
        <w:tabs>
          <w:tab w:val="num" w:pos="397"/>
        </w:tabs>
        <w:spacing w:line="280" w:lineRule="exact"/>
      </w:pPr>
      <w:r w:rsidRPr="00747EF6">
        <w:rPr>
          <w:b/>
          <w:bCs/>
        </w:rPr>
        <w:t>FMC Act fair dealing</w:t>
      </w:r>
      <w:r w:rsidRPr="00C13F2B">
        <w:rPr>
          <w:b/>
          <w:bCs/>
        </w:rPr>
        <w:t>:</w:t>
      </w:r>
      <w:r>
        <w:t xml:space="preserve"> </w:t>
      </w:r>
      <w:r w:rsidRPr="00747EF6">
        <w:t xml:space="preserve">This aligns the NZU advice service with other types of financial advice (and </w:t>
      </w:r>
      <w:r>
        <w:t xml:space="preserve">with </w:t>
      </w:r>
      <w:r w:rsidRPr="00747EF6">
        <w:t>the</w:t>
      </w:r>
      <w:r>
        <w:t>ir</w:t>
      </w:r>
      <w:r w:rsidRPr="00747EF6">
        <w:t xml:space="preserve"> penalties and offences) but does not materially change the standards currently expected under the FTA.</w:t>
      </w:r>
      <w:r>
        <w:t xml:space="preserve"> </w:t>
      </w:r>
      <w:r w:rsidRPr="00747EF6">
        <w:t>It does allow the FMA to intervene in behaviour that appears to contravene the FMC Act standards.</w:t>
      </w:r>
    </w:p>
    <w:p w14:paraId="34A4F159" w14:textId="370381A6" w:rsidR="00A517B5" w:rsidRPr="00747EF6" w:rsidRDefault="00A517B5" w:rsidP="00A517B5">
      <w:pPr>
        <w:pStyle w:val="Bullet"/>
        <w:tabs>
          <w:tab w:val="num" w:pos="397"/>
        </w:tabs>
        <w:spacing w:line="280" w:lineRule="exact"/>
      </w:pPr>
      <w:r w:rsidRPr="00747EF6">
        <w:rPr>
          <w:b/>
          <w:bCs/>
        </w:rPr>
        <w:t>FMC Act advice duties</w:t>
      </w:r>
      <w:r>
        <w:rPr>
          <w:b/>
          <w:bCs/>
        </w:rPr>
        <w:t>:</w:t>
      </w:r>
      <w:r>
        <w:t xml:space="preserve"> </w:t>
      </w:r>
      <w:r w:rsidRPr="00747EF6" w:rsidDel="00D0738C">
        <w:t xml:space="preserve">Persons </w:t>
      </w:r>
      <w:r>
        <w:t>who</w:t>
      </w:r>
      <w:r w:rsidRPr="00747EF6">
        <w:t xml:space="preserve"> give NZU financial advice are required to:</w:t>
      </w:r>
    </w:p>
    <w:p w14:paraId="36CBBFDF" w14:textId="77777777" w:rsidR="00A517B5" w:rsidRPr="00747EF6" w:rsidRDefault="00A517B5" w:rsidP="00A517B5">
      <w:pPr>
        <w:pStyle w:val="Sub-list"/>
        <w:tabs>
          <w:tab w:val="num" w:pos="397"/>
        </w:tabs>
      </w:pPr>
      <w:r w:rsidRPr="00747EF6">
        <w:t>give priority to their client’s interests where they know</w:t>
      </w:r>
      <w:r>
        <w:t>,</w:t>
      </w:r>
      <w:r w:rsidRPr="00747EF6">
        <w:t xml:space="preserve"> or ought reasonably to know</w:t>
      </w:r>
      <w:r>
        <w:t>,</w:t>
      </w:r>
      <w:r w:rsidRPr="00747EF6">
        <w:t xml:space="preserve"> there is a conflict between the client’s interests and the advice-giver’s interest</w:t>
      </w:r>
      <w:r>
        <w:t>s,</w:t>
      </w:r>
      <w:r w:rsidRPr="00747EF6">
        <w:t xml:space="preserve"> by taking all reasonable steps to ensure that the advice is not materially influenced by the adviser’s or firm’s own interests</w:t>
      </w:r>
    </w:p>
    <w:p w14:paraId="418C8E00" w14:textId="77777777" w:rsidR="00A517B5" w:rsidRPr="00747EF6" w:rsidRDefault="00A517B5" w:rsidP="00A517B5">
      <w:pPr>
        <w:pStyle w:val="Sub-list"/>
        <w:tabs>
          <w:tab w:val="num" w:pos="397"/>
        </w:tabs>
      </w:pPr>
      <w:r w:rsidRPr="00747EF6">
        <w:t xml:space="preserve">exercise the care, </w:t>
      </w:r>
      <w:proofErr w:type="gramStart"/>
      <w:r w:rsidRPr="00747EF6">
        <w:t>diligence</w:t>
      </w:r>
      <w:proofErr w:type="gramEnd"/>
      <w:r w:rsidRPr="00747EF6">
        <w:t xml:space="preserve"> and skill that a prudent person engaged in the occupation of giving regulated financial advice would exercise in the same circumstances.</w:t>
      </w:r>
    </w:p>
    <w:p w14:paraId="4830747C" w14:textId="77777777" w:rsidR="00A517B5" w:rsidRPr="00747EF6" w:rsidRDefault="00A517B5" w:rsidP="00A517B5">
      <w:pPr>
        <w:pStyle w:val="BodyText"/>
      </w:pPr>
      <w:r w:rsidRPr="00747EF6">
        <w:t>For completeness, this option would not require:</w:t>
      </w:r>
    </w:p>
    <w:p w14:paraId="05F194C3" w14:textId="289AF365" w:rsidR="00A517B5" w:rsidRPr="00747EF6" w:rsidRDefault="00A517B5" w:rsidP="00A517B5">
      <w:pPr>
        <w:pStyle w:val="Bullet"/>
        <w:tabs>
          <w:tab w:val="num" w:pos="397"/>
        </w:tabs>
        <w:spacing w:line="280" w:lineRule="exact"/>
      </w:pPr>
      <w:r w:rsidRPr="00747EF6">
        <w:t>mandatory membership of an approved dispute</w:t>
      </w:r>
      <w:r w:rsidR="00B374C9">
        <w:t>-</w:t>
      </w:r>
      <w:r w:rsidRPr="00747EF6">
        <w:t>resolution scheme</w:t>
      </w:r>
    </w:p>
    <w:p w14:paraId="1FE4BCE8" w14:textId="77777777" w:rsidR="00A517B5" w:rsidRPr="00747EF6" w:rsidRDefault="00A517B5" w:rsidP="00A517B5">
      <w:pPr>
        <w:pStyle w:val="Bullet"/>
        <w:tabs>
          <w:tab w:val="num" w:pos="397"/>
        </w:tabs>
        <w:spacing w:line="280" w:lineRule="exact"/>
      </w:pPr>
      <w:r w:rsidRPr="00747EF6">
        <w:t>licensing by the FMA</w:t>
      </w:r>
    </w:p>
    <w:p w14:paraId="252FCF5F" w14:textId="77777777" w:rsidR="00A517B5" w:rsidRPr="00747EF6" w:rsidRDefault="00A517B5" w:rsidP="00A517B5">
      <w:pPr>
        <w:pStyle w:val="Bullet"/>
        <w:tabs>
          <w:tab w:val="num" w:pos="397"/>
        </w:tabs>
        <w:spacing w:line="280" w:lineRule="exact"/>
      </w:pPr>
      <w:r w:rsidRPr="00747EF6">
        <w:t>complying with the FMC Act advice duties for retail clients, including:</w:t>
      </w:r>
    </w:p>
    <w:p w14:paraId="3633471B" w14:textId="5B783657" w:rsidR="00A517B5" w:rsidRPr="00747EF6" w:rsidRDefault="00A517B5" w:rsidP="00A517B5">
      <w:pPr>
        <w:pStyle w:val="Sub-list"/>
        <w:tabs>
          <w:tab w:val="num" w:pos="397"/>
        </w:tabs>
      </w:pPr>
      <w:r w:rsidRPr="00747EF6">
        <w:t xml:space="preserve">meeting standards of competence, </w:t>
      </w:r>
      <w:proofErr w:type="gramStart"/>
      <w:r w:rsidRPr="00747EF6">
        <w:t>knowledge</w:t>
      </w:r>
      <w:proofErr w:type="gramEnd"/>
      <w:r w:rsidRPr="00747EF6">
        <w:t xml:space="preserve"> and skill</w:t>
      </w:r>
    </w:p>
    <w:p w14:paraId="683B973F" w14:textId="2B2C2DE6" w:rsidR="00A517B5" w:rsidRPr="00747EF6" w:rsidRDefault="00A517B5" w:rsidP="00A517B5">
      <w:pPr>
        <w:pStyle w:val="Sub-list"/>
        <w:tabs>
          <w:tab w:val="num" w:pos="397"/>
        </w:tabs>
      </w:pPr>
      <w:r w:rsidRPr="00747EF6">
        <w:t xml:space="preserve">complying with the </w:t>
      </w:r>
      <w:hyperlink r:id="rId44" w:anchor="Financial%20advice%20code%20website" w:history="1">
        <w:r w:rsidRPr="00DC33A5">
          <w:rPr>
            <w:rStyle w:val="Hyperlink"/>
          </w:rPr>
          <w:t>Code of Professional Conduct for Financial Advice Services</w:t>
        </w:r>
      </w:hyperlink>
      <w:r w:rsidRPr="00747EF6">
        <w:t xml:space="preserve"> (including, where the service includes retail clients, having capabilities equivalent to the NZ Certificate of Financial Services (L</w:t>
      </w:r>
      <w:r>
        <w:t xml:space="preserve">evel </w:t>
      </w:r>
      <w:r w:rsidRPr="00747EF6">
        <w:t>5)</w:t>
      </w:r>
      <w:r>
        <w:t>,</w:t>
      </w:r>
      <w:r w:rsidRPr="00747EF6">
        <w:t xml:space="preserve"> v</w:t>
      </w:r>
      <w:r>
        <w:t xml:space="preserve">ersion </w:t>
      </w:r>
      <w:r w:rsidRPr="00747EF6">
        <w:t>2</w:t>
      </w:r>
    </w:p>
    <w:p w14:paraId="51262DD1" w14:textId="71DD7B18" w:rsidR="00A517B5" w:rsidRPr="00747EF6" w:rsidRDefault="00A517B5" w:rsidP="00A517B5">
      <w:pPr>
        <w:pStyle w:val="Sub-list"/>
        <w:tabs>
          <w:tab w:val="num" w:pos="397"/>
        </w:tabs>
      </w:pPr>
      <w:r w:rsidRPr="00747EF6">
        <w:t>ensuring the client understand</w:t>
      </w:r>
      <w:r w:rsidR="004470B4">
        <w:t>s</w:t>
      </w:r>
      <w:r w:rsidRPr="00747EF6">
        <w:t xml:space="preserve"> the nature and scope of advice being provided.</w:t>
      </w:r>
    </w:p>
    <w:tbl>
      <w:tblPr>
        <w:tblStyle w:val="TableGrid"/>
        <w:tblW w:w="493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8400"/>
      </w:tblGrid>
      <w:tr w:rsidR="00A517B5" w:rsidRPr="00747EF6" w14:paraId="09C1CD68" w14:textId="77777777" w:rsidTr="001844E8">
        <w:tc>
          <w:tcPr>
            <w:tcW w:w="5000" w:type="pct"/>
            <w:shd w:val="clear" w:color="auto" w:fill="D2DDE2"/>
          </w:tcPr>
          <w:p w14:paraId="041D2A1C" w14:textId="77777777" w:rsidR="001844E8" w:rsidRPr="00AA51A6" w:rsidRDefault="001844E8" w:rsidP="001844E8">
            <w:pPr>
              <w:pStyle w:val="Blueboxtext"/>
              <w:spacing w:after="0"/>
              <w:rPr>
                <w:b/>
                <w:bCs/>
              </w:rPr>
            </w:pPr>
            <w:r w:rsidRPr="00AA51A6">
              <w:rPr>
                <w:b/>
                <w:bCs/>
              </w:rPr>
              <w:t>Question 23</w:t>
            </w:r>
          </w:p>
          <w:p w14:paraId="6DE51E21" w14:textId="056C5A62" w:rsidR="001844E8" w:rsidRPr="00747EF6" w:rsidRDefault="00C779FD" w:rsidP="001844E8">
            <w:pPr>
              <w:pStyle w:val="Blueboxtext"/>
              <w:rPr>
                <w:bCs/>
              </w:rPr>
            </w:pPr>
            <w:r>
              <w:t>Can you suggest</w:t>
            </w:r>
            <w:r w:rsidR="001844E8" w:rsidRPr="00AA51A6">
              <w:t xml:space="preserve"> </w:t>
            </w:r>
            <w:r w:rsidR="001844E8" w:rsidRPr="00AA51A6">
              <w:rPr>
                <w:lang w:eastAsia="en-US"/>
              </w:rPr>
              <w:t>alternative</w:t>
            </w:r>
            <w:r w:rsidR="001844E8" w:rsidRPr="00AA51A6">
              <w:t xml:space="preserve"> options that would achieve the stated policy objectives?</w:t>
            </w:r>
          </w:p>
        </w:tc>
      </w:tr>
    </w:tbl>
    <w:p w14:paraId="6AF1B42B" w14:textId="77777777" w:rsidR="001844E8" w:rsidRDefault="001844E8" w:rsidP="00A517B5">
      <w:pPr>
        <w:pStyle w:val="Heading2"/>
        <w:sectPr w:rsidR="001844E8" w:rsidSect="008A7498">
          <w:pgSz w:w="11907" w:h="16840" w:code="9"/>
          <w:pgMar w:top="1134" w:right="1701" w:bottom="1134" w:left="1701" w:header="567" w:footer="567" w:gutter="0"/>
          <w:cols w:space="720"/>
          <w:docGrid w:linePitch="299"/>
        </w:sectPr>
      </w:pPr>
      <w:bookmarkStart w:id="100" w:name="_Toc118703539"/>
    </w:p>
    <w:p w14:paraId="5599C7F6" w14:textId="77777777" w:rsidR="00A517B5" w:rsidRPr="00747EF6" w:rsidRDefault="00A517B5" w:rsidP="00A517B5">
      <w:pPr>
        <w:pStyle w:val="Heading2"/>
      </w:pPr>
      <w:bookmarkStart w:id="101" w:name="_Toc118953592"/>
      <w:r w:rsidRPr="00747EF6">
        <w:lastRenderedPageBreak/>
        <w:t>Option</w:t>
      </w:r>
      <w:r>
        <w:t>s</w:t>
      </w:r>
      <w:r w:rsidRPr="00747EF6">
        <w:t xml:space="preserve"> analysis</w:t>
      </w:r>
      <w:bookmarkEnd w:id="100"/>
      <w:bookmarkEnd w:id="101"/>
    </w:p>
    <w:p w14:paraId="07990967" w14:textId="77777777" w:rsidR="00A517B5" w:rsidRPr="00747EF6" w:rsidRDefault="008A6D82" w:rsidP="00A517B5">
      <w:pPr>
        <w:pStyle w:val="BodyText"/>
      </w:pPr>
      <w:hyperlink w:anchor="_Appendix_C:_Topic" w:history="1">
        <w:r w:rsidR="00A517B5" w:rsidRPr="00C505D2">
          <w:rPr>
            <w:rStyle w:val="Hyperlink"/>
          </w:rPr>
          <w:t>Appendix C</w:t>
        </w:r>
      </w:hyperlink>
      <w:r w:rsidR="00A517B5" w:rsidRPr="00747EF6">
        <w:t xml:space="preserve"> of this discussion document provides the </w:t>
      </w:r>
      <w:r w:rsidR="00A517B5">
        <w:t>option</w:t>
      </w:r>
      <w:r w:rsidR="00A517B5" w:rsidRPr="00747EF6">
        <w:t xml:space="preserve"> and risk analys</w:t>
      </w:r>
      <w:r w:rsidR="00A517B5">
        <w:t>i</w:t>
      </w:r>
      <w:r w:rsidR="00A517B5" w:rsidRPr="00747EF6">
        <w:t xml:space="preserve">s tables for </w:t>
      </w:r>
      <w:r w:rsidR="00A517B5">
        <w:t>t</w:t>
      </w:r>
      <w:r w:rsidR="00A517B5" w:rsidRPr="00747EF6">
        <w:t xml:space="preserve">opic 2. </w:t>
      </w:r>
    </w:p>
    <w:p w14:paraId="150A7083" w14:textId="7A5A7362" w:rsidR="00A517B5" w:rsidRPr="00747EF6" w:rsidRDefault="00A517B5" w:rsidP="00A517B5">
      <w:pPr>
        <w:pStyle w:val="BodyText"/>
      </w:pPr>
      <w:r>
        <w:t xml:space="preserve">Option one, the </w:t>
      </w:r>
      <w:r w:rsidRPr="00747EF6">
        <w:t>existing legislation</w:t>
      </w:r>
      <w:r>
        <w:t xml:space="preserve">, </w:t>
      </w:r>
      <w:r w:rsidRPr="00747EF6">
        <w:t>relies on a patchwork of existing regulation</w:t>
      </w:r>
      <w:r w:rsidR="002748F7">
        <w:t>,</w:t>
      </w:r>
      <w:r w:rsidRPr="00747EF6">
        <w:t xml:space="preserve"> which provides limited protection to market users. The status quo does not improve on the risks of poor advice and credit</w:t>
      </w:r>
      <w:r>
        <w:t xml:space="preserve"> </w:t>
      </w:r>
      <w:r w:rsidRPr="00747EF6">
        <w:t xml:space="preserve">and counterparty risks in the NZU </w:t>
      </w:r>
      <w:proofErr w:type="gramStart"/>
      <w:r w:rsidRPr="00747EF6">
        <w:t>market</w:t>
      </w:r>
      <w:r>
        <w:t xml:space="preserve">, </w:t>
      </w:r>
      <w:r w:rsidRPr="00747EF6">
        <w:t>or</w:t>
      </w:r>
      <w:proofErr w:type="gramEnd"/>
      <w:r w:rsidRPr="00747EF6">
        <w:t xml:space="preserve"> provide any positive effect to the impact analysis criteria. </w:t>
      </w:r>
    </w:p>
    <w:p w14:paraId="4C8B1EFE" w14:textId="28D40558" w:rsidR="00A517B5" w:rsidRPr="00747EF6" w:rsidRDefault="00A517B5" w:rsidP="00A517B5">
      <w:pPr>
        <w:pStyle w:val="BodyText"/>
      </w:pPr>
      <w:r w:rsidRPr="00747EF6">
        <w:t>Option two, regulating NZU financial advice</w:t>
      </w:r>
      <w:r>
        <w:t>,</w:t>
      </w:r>
      <w:r w:rsidRPr="00747EF6">
        <w:t xml:space="preserve"> provides a comprehensive protection framework for misleading and deceptive conduct in relation to </w:t>
      </w:r>
      <w:r w:rsidRPr="004A748B">
        <w:t>NZU financial advice.</w:t>
      </w:r>
      <w:r w:rsidRPr="00747EF6">
        <w:t xml:space="preserve"> Retail clients receive a high level of protection</w:t>
      </w:r>
      <w:r w:rsidR="000756E1">
        <w:t>,</w:t>
      </w:r>
      <w:r w:rsidRPr="00747EF6">
        <w:t xml:space="preserve"> while wholesale clients are covered by statutory obligations. This option is more proportional</w:t>
      </w:r>
      <w:r>
        <w:t>,</w:t>
      </w:r>
      <w:r w:rsidRPr="00747EF6">
        <w:t xml:space="preserve"> considering the risk of poor advice compared to the status quo.</w:t>
      </w:r>
      <w:r>
        <w:t xml:space="preserve"> </w:t>
      </w:r>
      <w:r w:rsidRPr="00D64B78">
        <w:t xml:space="preserve">However, </w:t>
      </w:r>
      <w:r>
        <w:t xml:space="preserve">there is a </w:t>
      </w:r>
      <w:r w:rsidRPr="00D64B78">
        <w:t xml:space="preserve">risk that some providers will choose not to provide NZU financial advice to avoid the costs of regulation (or provide advice to wholesale clients only to avoid </w:t>
      </w:r>
      <w:r w:rsidR="009E7007">
        <w:t>having</w:t>
      </w:r>
      <w:r w:rsidRPr="00D64B78">
        <w:t xml:space="preserve"> to be licensed). </w:t>
      </w:r>
    </w:p>
    <w:p w14:paraId="1030C21B" w14:textId="77777777" w:rsidR="00A517B5" w:rsidRPr="00747EF6" w:rsidRDefault="00A517B5" w:rsidP="00A517B5">
      <w:pPr>
        <w:pStyle w:val="BodyText"/>
      </w:pPr>
      <w:r w:rsidRPr="00747EF6">
        <w:t>Option two addresses the market risks much better than the status quo and minimises the risks of poor advice and conflict of interest in the NZ</w:t>
      </w:r>
      <w:r>
        <w:t>U market</w:t>
      </w:r>
      <w:r w:rsidRPr="00747EF6">
        <w:t>.</w:t>
      </w:r>
    </w:p>
    <w:p w14:paraId="39933264" w14:textId="68DDCD18" w:rsidR="00A517B5" w:rsidRPr="00747EF6" w:rsidRDefault="00A517B5" w:rsidP="00A517B5">
      <w:pPr>
        <w:pStyle w:val="BodyText"/>
      </w:pPr>
      <w:r w:rsidRPr="00747EF6">
        <w:t>Option three, applying FMC Act wholesale client settings</w:t>
      </w:r>
      <w:r>
        <w:t>,</w:t>
      </w:r>
      <w:r w:rsidRPr="00747EF6">
        <w:t xml:space="preserve"> would apply only wholesale protections to both wholesale and retail clients. </w:t>
      </w:r>
      <w:r w:rsidRPr="002A10F2">
        <w:t xml:space="preserve">Retail clients are considered to need additional protections as they generally make up smaller businesses. A disadvantage of option three is that it provides retail and wholesale clients (larger businesses who are </w:t>
      </w:r>
      <w:r w:rsidR="00E36E01">
        <w:t xml:space="preserve">better </w:t>
      </w:r>
      <w:r w:rsidRPr="002A10F2">
        <w:t>equipped to deal with the risk of poor or misleading advice) with the same level of protection.</w:t>
      </w:r>
    </w:p>
    <w:p w14:paraId="5F010316" w14:textId="77777777" w:rsidR="00A517B5" w:rsidRPr="00747EF6" w:rsidRDefault="00A517B5" w:rsidP="00A517B5">
      <w:pPr>
        <w:pStyle w:val="BodyText"/>
      </w:pPr>
      <w:r w:rsidRPr="00747EF6">
        <w:t xml:space="preserve">This option provides some level of </w:t>
      </w:r>
      <w:r>
        <w:t>protection</w:t>
      </w:r>
      <w:r w:rsidRPr="00747EF6">
        <w:t xml:space="preserve"> </w:t>
      </w:r>
      <w:r>
        <w:t>for</w:t>
      </w:r>
      <w:r w:rsidRPr="00747EF6">
        <w:t xml:space="preserve"> large businesses but is insufficient for small businesses. The obligations are clear for both parties but </w:t>
      </w:r>
      <w:r>
        <w:t xml:space="preserve">are </w:t>
      </w:r>
      <w:r w:rsidRPr="00747EF6">
        <w:t>not proportional to retail clients. To some degree this is better than the status quo</w:t>
      </w:r>
      <w:r>
        <w:t>,</w:t>
      </w:r>
      <w:r w:rsidRPr="00747EF6">
        <w:t xml:space="preserve"> as it provides </w:t>
      </w:r>
      <w:r>
        <w:t xml:space="preserve">some </w:t>
      </w:r>
      <w:r w:rsidRPr="00747EF6">
        <w:t>limited protections to clients</w:t>
      </w:r>
      <w:r>
        <w:t>,</w:t>
      </w:r>
      <w:r w:rsidRPr="00747EF6">
        <w:t xml:space="preserve"> but </w:t>
      </w:r>
      <w:r>
        <w:t xml:space="preserve">it </w:t>
      </w:r>
      <w:r w:rsidRPr="00747EF6">
        <w:t xml:space="preserve">is not suitable or fair to retail clients. </w:t>
      </w:r>
    </w:p>
    <w:p w14:paraId="44E05E40" w14:textId="77777777" w:rsidR="00A517B5" w:rsidRPr="00747EF6" w:rsidRDefault="00A517B5" w:rsidP="00A517B5">
      <w:pPr>
        <w:pStyle w:val="BodyText"/>
      </w:pPr>
      <w:r>
        <w:t>Option three</w:t>
      </w:r>
      <w:r w:rsidRPr="00747EF6">
        <w:t xml:space="preserve"> provide</w:t>
      </w:r>
      <w:r>
        <w:t>s</w:t>
      </w:r>
      <w:r w:rsidRPr="00747EF6">
        <w:t xml:space="preserve"> much lower complexity than the status quo through clearer and lighter obligations on parties and lower cost through no licensing.</w:t>
      </w:r>
      <w:r>
        <w:t xml:space="preserve"> T</w:t>
      </w:r>
      <w:r w:rsidRPr="00747EF6">
        <w:t xml:space="preserve">his option </w:t>
      </w:r>
      <w:r>
        <w:t xml:space="preserve">also </w:t>
      </w:r>
      <w:r w:rsidRPr="00747EF6">
        <w:t>addresses the market risks better than the status quo</w:t>
      </w:r>
      <w:r>
        <w:t>,</w:t>
      </w:r>
      <w:r w:rsidRPr="00747EF6">
        <w:t xml:space="preserve"> as it provides minimum statutory obligations for wholesale and retail clients.</w:t>
      </w:r>
    </w:p>
    <w:p w14:paraId="6E8C8F5E" w14:textId="77777777" w:rsidR="00A517B5" w:rsidRPr="00747EF6" w:rsidRDefault="00A517B5" w:rsidP="00A517B5">
      <w:pPr>
        <w:pStyle w:val="Heading2"/>
      </w:pPr>
      <w:bookmarkStart w:id="102" w:name="_Toc118703540"/>
      <w:bookmarkStart w:id="103" w:name="_Toc118953593"/>
      <w:r w:rsidRPr="00747EF6">
        <w:t>Option two</w:t>
      </w:r>
      <w:r>
        <w:t xml:space="preserve"> is preferred at this stage</w:t>
      </w:r>
      <w:r w:rsidRPr="00747EF6">
        <w:t>: Regulating NZU financial advice, transaction and/or custodial services</w:t>
      </w:r>
      <w:bookmarkEnd w:id="102"/>
      <w:bookmarkEnd w:id="103"/>
      <w:r w:rsidRPr="00747EF6">
        <w:t xml:space="preserve"> </w:t>
      </w:r>
    </w:p>
    <w:p w14:paraId="21650C5A" w14:textId="77777777" w:rsidR="00A517B5" w:rsidRPr="00747EF6" w:rsidRDefault="00A517B5" w:rsidP="00A517B5">
      <w:pPr>
        <w:pStyle w:val="BodyText"/>
      </w:pPr>
      <w:r w:rsidRPr="0017334F">
        <w:t xml:space="preserve">We currently consider that </w:t>
      </w:r>
      <w:r>
        <w:t xml:space="preserve">the </w:t>
      </w:r>
      <w:r w:rsidRPr="00747EF6">
        <w:t xml:space="preserve">proposed option aligns with </w:t>
      </w:r>
      <w:r>
        <w:t xml:space="preserve">the </w:t>
      </w:r>
      <w:r w:rsidRPr="00747EF6">
        <w:t xml:space="preserve">objective for </w:t>
      </w:r>
      <w:r>
        <w:t>t</w:t>
      </w:r>
      <w:r w:rsidRPr="00747EF6">
        <w:t>opic 2</w:t>
      </w:r>
      <w:r>
        <w:t>,</w:t>
      </w:r>
      <w:r w:rsidRPr="00747EF6">
        <w:t xml:space="preserve"> in that it satisfies the criteria much better than the status quo for integrity, consistency and proportionality, and market efficiency.</w:t>
      </w:r>
      <w:r>
        <w:t xml:space="preserve"> </w:t>
      </w:r>
    </w:p>
    <w:p w14:paraId="3C978E45" w14:textId="77777777" w:rsidR="00A517B5" w:rsidRPr="00747EF6" w:rsidRDefault="00A517B5" w:rsidP="00A517B5">
      <w:pPr>
        <w:pStyle w:val="Heading2"/>
      </w:pPr>
      <w:bookmarkStart w:id="104" w:name="_What_this_proposal"/>
      <w:bookmarkStart w:id="105" w:name="_Ref118455514"/>
      <w:bookmarkStart w:id="106" w:name="_Toc118703541"/>
      <w:bookmarkStart w:id="107" w:name="_Toc118953594"/>
      <w:bookmarkStart w:id="108" w:name="_Toc116391417"/>
      <w:bookmarkEnd w:id="104"/>
      <w:r w:rsidRPr="00747EF6">
        <w:lastRenderedPageBreak/>
        <w:t>What this proposal means in practice</w:t>
      </w:r>
      <w:bookmarkEnd w:id="105"/>
      <w:bookmarkEnd w:id="106"/>
      <w:bookmarkEnd w:id="107"/>
    </w:p>
    <w:bookmarkEnd w:id="108"/>
    <w:p w14:paraId="1D39C20A" w14:textId="77777777" w:rsidR="00A517B5" w:rsidRPr="00747EF6" w:rsidRDefault="00A517B5" w:rsidP="00A517B5">
      <w:pPr>
        <w:pStyle w:val="Heading3"/>
      </w:pPr>
      <w:r w:rsidRPr="00747EF6">
        <w:t>What advice about NZUs is already regulated as ‘financial advice’?</w:t>
      </w:r>
    </w:p>
    <w:p w14:paraId="4BD5AC5C" w14:textId="7EE30056" w:rsidR="00A517B5" w:rsidRPr="00747EF6" w:rsidRDefault="00A517B5" w:rsidP="00A517B5">
      <w:r w:rsidRPr="00747EF6">
        <w:t xml:space="preserve">Under </w:t>
      </w:r>
      <w:hyperlink r:id="rId45" w:history="1">
        <w:r w:rsidRPr="004D52A5">
          <w:rPr>
            <w:rStyle w:val="Hyperlink"/>
          </w:rPr>
          <w:t>section 431C(1)</w:t>
        </w:r>
        <w:r w:rsidRPr="004D52A5" w:rsidDel="006C35BC">
          <w:rPr>
            <w:rStyle w:val="Hyperlink"/>
          </w:rPr>
          <w:t>(c</w:t>
        </w:r>
        <w:r w:rsidRPr="004D52A5">
          <w:rPr>
            <w:rStyle w:val="Hyperlink"/>
          </w:rPr>
          <w:t>)</w:t>
        </w:r>
      </w:hyperlink>
      <w:r>
        <w:t xml:space="preserve"> of </w:t>
      </w:r>
      <w:r w:rsidRPr="00747EF6">
        <w:t>the FMC Act, financial advice includes where a person designs an investment plan for a person that:</w:t>
      </w:r>
    </w:p>
    <w:p w14:paraId="5F421E23" w14:textId="77777777" w:rsidR="00A517B5" w:rsidRPr="00747EF6" w:rsidRDefault="00A517B5" w:rsidP="00A517B5">
      <w:pPr>
        <w:pStyle w:val="Bullet"/>
        <w:tabs>
          <w:tab w:val="num" w:pos="397"/>
        </w:tabs>
        <w:spacing w:line="280" w:lineRule="exact"/>
        <w:rPr>
          <w:i/>
        </w:rPr>
      </w:pPr>
      <w:r w:rsidRPr="00747EF6">
        <w:t>purports to be based on an analysis of the person’s current and future overall financial situation (including investment needs) and the identification of the person’s investment goals</w:t>
      </w:r>
    </w:p>
    <w:p w14:paraId="068B00F5" w14:textId="77777777" w:rsidR="00A517B5" w:rsidRPr="00747EF6" w:rsidRDefault="00A517B5" w:rsidP="00A517B5">
      <w:pPr>
        <w:pStyle w:val="Bullet"/>
        <w:tabs>
          <w:tab w:val="num" w:pos="397"/>
        </w:tabs>
        <w:spacing w:line="280" w:lineRule="exact"/>
        <w:rPr>
          <w:i/>
        </w:rPr>
      </w:pPr>
      <w:r w:rsidRPr="00747EF6">
        <w:t xml:space="preserve">includes </w:t>
      </w:r>
      <w:r>
        <w:t xml:space="preserve">one </w:t>
      </w:r>
      <w:r w:rsidRPr="00747EF6">
        <w:t xml:space="preserve">or more recommendations or opinions on how to realise </w:t>
      </w:r>
      <w:r>
        <w:t>one</w:t>
      </w:r>
      <w:r w:rsidRPr="00747EF6">
        <w:t xml:space="preserve"> or more of those goals.</w:t>
      </w:r>
    </w:p>
    <w:p w14:paraId="1DB05B1F" w14:textId="535224E1" w:rsidR="00A517B5" w:rsidRPr="00747EF6" w:rsidRDefault="00A517B5" w:rsidP="00A517B5">
      <w:pPr>
        <w:pStyle w:val="Bullet"/>
        <w:numPr>
          <w:ilvl w:val="0"/>
          <w:numId w:val="0"/>
        </w:numPr>
        <w:tabs>
          <w:tab w:val="left" w:pos="2595"/>
        </w:tabs>
      </w:pPr>
      <w:r w:rsidRPr="00747EF6">
        <w:t xml:space="preserve">This part of the definition already applies </w:t>
      </w:r>
      <w:r>
        <w:t xml:space="preserve">to NZUs in some situations – for example, </w:t>
      </w:r>
      <w:r w:rsidRPr="00747EF6">
        <w:t xml:space="preserve">where a person, as part of designing an investment plan, includes recommendations to acquire and hold NZUs as an asset within a diversified portfolio </w:t>
      </w:r>
      <w:proofErr w:type="gramStart"/>
      <w:r w:rsidRPr="00747EF6">
        <w:t>in order to</w:t>
      </w:r>
      <w:proofErr w:type="gramEnd"/>
      <w:r w:rsidRPr="00747EF6">
        <w:t xml:space="preserve"> achieve future income aspirations.</w:t>
      </w:r>
    </w:p>
    <w:p w14:paraId="11A47CDF" w14:textId="77777777" w:rsidR="00A517B5" w:rsidRPr="00747EF6" w:rsidRDefault="00A517B5" w:rsidP="00A517B5">
      <w:pPr>
        <w:pStyle w:val="Bullet"/>
        <w:numPr>
          <w:ilvl w:val="0"/>
          <w:numId w:val="0"/>
        </w:numPr>
        <w:tabs>
          <w:tab w:val="left" w:pos="2595"/>
        </w:tabs>
      </w:pPr>
      <w:r w:rsidRPr="00747EF6">
        <w:t>This proposal is not intended to change how this part of the definition currently applies to the design of an investment plan that includes NZUs.</w:t>
      </w:r>
    </w:p>
    <w:p w14:paraId="6E572ADC" w14:textId="2012008A" w:rsidR="00A517B5" w:rsidRPr="00747EF6" w:rsidRDefault="00A517B5" w:rsidP="00A517B5">
      <w:pPr>
        <w:pStyle w:val="Bullet"/>
        <w:numPr>
          <w:ilvl w:val="0"/>
          <w:numId w:val="0"/>
        </w:numPr>
        <w:tabs>
          <w:tab w:val="left" w:pos="2595"/>
        </w:tabs>
      </w:pPr>
      <w:r w:rsidRPr="00747EF6">
        <w:t>In the examples set out below, we illustrate the narrow scope of investment</w:t>
      </w:r>
      <w:r>
        <w:t>-</w:t>
      </w:r>
      <w:r w:rsidRPr="00747EF6">
        <w:t xml:space="preserve">planning services in the context of </w:t>
      </w:r>
      <w:r w:rsidR="005710A9">
        <w:t>those</w:t>
      </w:r>
      <w:r w:rsidRPr="00747EF6">
        <w:t xml:space="preserve"> buying, </w:t>
      </w:r>
      <w:proofErr w:type="gramStart"/>
      <w:r w:rsidRPr="00747EF6">
        <w:t>selling</w:t>
      </w:r>
      <w:proofErr w:type="gramEnd"/>
      <w:r w:rsidRPr="00747EF6">
        <w:t xml:space="preserve"> or holding NZUs. We expect </w:t>
      </w:r>
      <w:r>
        <w:t>this to</w:t>
      </w:r>
      <w:r w:rsidRPr="00747EF6">
        <w:t xml:space="preserve"> only appl</w:t>
      </w:r>
      <w:r>
        <w:t>y</w:t>
      </w:r>
      <w:r w:rsidRPr="00747EF6">
        <w:t xml:space="preserve"> to a small range of persons.</w:t>
      </w:r>
    </w:p>
    <w:p w14:paraId="21142E70" w14:textId="77777777" w:rsidR="00A517B5" w:rsidRPr="00747EF6" w:rsidRDefault="00A517B5" w:rsidP="00A517B5">
      <w:pPr>
        <w:pStyle w:val="Heading3"/>
        <w:rPr>
          <w:rFonts w:ascii="Calibri" w:hAnsi="Calibri"/>
        </w:rPr>
      </w:pPr>
      <w:bookmarkStart w:id="109" w:name="_Ref118463047"/>
      <w:r w:rsidRPr="00747EF6">
        <w:t>What is intended to be ‘NZU financial advice’?</w:t>
      </w:r>
      <w:bookmarkEnd w:id="109"/>
    </w:p>
    <w:p w14:paraId="1E46438D" w14:textId="77777777" w:rsidR="00A517B5" w:rsidRPr="00747EF6" w:rsidRDefault="00A517B5" w:rsidP="00A517B5">
      <w:r w:rsidRPr="00747EF6">
        <w:t>The activities we are intending to regulate are where, in the ordinary course of business</w:t>
      </w:r>
      <w:r>
        <w:t xml:space="preserve"> and as a financial advice product</w:t>
      </w:r>
      <w:r w:rsidRPr="00747EF6">
        <w:t xml:space="preserve">, a person </w:t>
      </w:r>
      <w:r>
        <w:t xml:space="preserve">is </w:t>
      </w:r>
      <w:r w:rsidRPr="00747EF6">
        <w:t>providing opinions or recommendations about acquiring or disposing of (or not acquiring or disposing of) NZUs. In practice, the main type of advice regulated would be advice about whether to buy, sell, or hold NZUs</w:t>
      </w:r>
      <w:r>
        <w:t>,</w:t>
      </w:r>
      <w:r w:rsidRPr="00747EF6">
        <w:t xml:space="preserve"> given the price that is being or may be offered.</w:t>
      </w:r>
    </w:p>
    <w:p w14:paraId="089A28EE" w14:textId="77777777" w:rsidR="00A517B5" w:rsidRPr="00747EF6" w:rsidRDefault="00A517B5" w:rsidP="00A517B5">
      <w:r w:rsidRPr="00747EF6">
        <w:t>This is envisaged to include advice provided to others based on the adviser’s own research and analysis of matters like:</w:t>
      </w:r>
    </w:p>
    <w:p w14:paraId="1D20E87D" w14:textId="77777777" w:rsidR="00A517B5" w:rsidRPr="00747EF6" w:rsidRDefault="00A517B5" w:rsidP="00A517B5">
      <w:pPr>
        <w:pStyle w:val="Bullet"/>
        <w:tabs>
          <w:tab w:val="num" w:pos="397"/>
        </w:tabs>
        <w:spacing w:line="280" w:lineRule="exact"/>
      </w:pPr>
      <w:r w:rsidRPr="00747EF6">
        <w:t>NZU market activity (</w:t>
      </w:r>
      <w:proofErr w:type="spellStart"/>
      <w:r w:rsidRPr="00747EF6">
        <w:t>eg</w:t>
      </w:r>
      <w:proofErr w:type="spellEnd"/>
      <w:r>
        <w:t>,</w:t>
      </w:r>
      <w:r w:rsidRPr="00747EF6">
        <w:t xml:space="preserve"> buying and selling activity)</w:t>
      </w:r>
    </w:p>
    <w:p w14:paraId="1283B577" w14:textId="77777777" w:rsidR="00A517B5" w:rsidRPr="00747EF6" w:rsidRDefault="00A517B5" w:rsidP="00A517B5">
      <w:pPr>
        <w:pStyle w:val="Bullet"/>
        <w:tabs>
          <w:tab w:val="num" w:pos="397"/>
        </w:tabs>
        <w:spacing w:line="280" w:lineRule="exact"/>
      </w:pPr>
      <w:r w:rsidRPr="00747EF6">
        <w:t>NZU price forecasts and modelling (</w:t>
      </w:r>
      <w:proofErr w:type="spellStart"/>
      <w:r w:rsidRPr="00747EF6">
        <w:t>ie</w:t>
      </w:r>
      <w:proofErr w:type="spellEnd"/>
      <w:r>
        <w:t>,</w:t>
      </w:r>
      <w:r w:rsidRPr="00747EF6">
        <w:t xml:space="preserve"> based on the adviser’s own assumptions and inputs about expected changes in supply and demand for NZUs)</w:t>
      </w:r>
    </w:p>
    <w:p w14:paraId="61D55698" w14:textId="77777777" w:rsidR="00A517B5" w:rsidRPr="00747EF6" w:rsidRDefault="00A517B5" w:rsidP="00A517B5">
      <w:pPr>
        <w:pStyle w:val="Bullet"/>
        <w:numPr>
          <w:ilvl w:val="0"/>
          <w:numId w:val="0"/>
        </w:numPr>
      </w:pPr>
      <w:r>
        <w:t>This</w:t>
      </w:r>
      <w:r w:rsidRPr="00747EF6">
        <w:t xml:space="preserve"> would </w:t>
      </w:r>
      <w:r>
        <w:t xml:space="preserve">also </w:t>
      </w:r>
      <w:r w:rsidRPr="00747EF6">
        <w:t>include advice relating to:</w:t>
      </w:r>
    </w:p>
    <w:p w14:paraId="5067E02E" w14:textId="77777777" w:rsidR="00A517B5" w:rsidRPr="00747EF6" w:rsidRDefault="00A517B5" w:rsidP="00A517B5">
      <w:pPr>
        <w:pStyle w:val="Bullet"/>
        <w:tabs>
          <w:tab w:val="num" w:pos="397"/>
        </w:tabs>
        <w:spacing w:line="280" w:lineRule="exact"/>
      </w:pPr>
      <w:r w:rsidRPr="00747EF6">
        <w:t>how to trade NZUs (</w:t>
      </w:r>
      <w:proofErr w:type="spellStart"/>
      <w:r w:rsidRPr="00747EF6">
        <w:t>eg</w:t>
      </w:r>
      <w:proofErr w:type="spellEnd"/>
      <w:r>
        <w:t>,</w:t>
      </w:r>
      <w:r w:rsidRPr="00747EF6">
        <w:t xml:space="preserve"> trading on a licensed market or over</w:t>
      </w:r>
      <w:r>
        <w:t xml:space="preserve"> </w:t>
      </w:r>
      <w:r w:rsidRPr="00747EF6">
        <w:t>the</w:t>
      </w:r>
      <w:r>
        <w:t xml:space="preserve"> </w:t>
      </w:r>
      <w:r w:rsidRPr="00747EF6">
        <w:t>counter to achieve a better purchase or sale price</w:t>
      </w:r>
      <w:r>
        <w:t>,</w:t>
      </w:r>
      <w:r w:rsidRPr="00747EF6">
        <w:t xml:space="preserve"> or trading in blocks or a series of smaller trades over time)</w:t>
      </w:r>
    </w:p>
    <w:p w14:paraId="3C10322F" w14:textId="77777777" w:rsidR="00A517B5" w:rsidRPr="00747EF6" w:rsidRDefault="00A517B5" w:rsidP="00A517B5">
      <w:pPr>
        <w:pStyle w:val="Bullet"/>
        <w:tabs>
          <w:tab w:val="num" w:pos="397"/>
        </w:tabs>
        <w:spacing w:line="280" w:lineRule="exact"/>
      </w:pPr>
      <w:r w:rsidRPr="00747EF6">
        <w:t>whether the client should trade on a licensed market or over</w:t>
      </w:r>
      <w:r>
        <w:t xml:space="preserve"> </w:t>
      </w:r>
      <w:r w:rsidRPr="00747EF6">
        <w:t>the</w:t>
      </w:r>
      <w:r>
        <w:t xml:space="preserve"> </w:t>
      </w:r>
      <w:r w:rsidRPr="00747EF6">
        <w:t>counter to achieve a better purchase or sale price.</w:t>
      </w:r>
    </w:p>
    <w:p w14:paraId="5461F703" w14:textId="77777777" w:rsidR="00A517B5" w:rsidRPr="00747EF6" w:rsidRDefault="00A517B5" w:rsidP="00A517B5">
      <w:pPr>
        <w:pStyle w:val="Bullet"/>
        <w:numPr>
          <w:ilvl w:val="0"/>
          <w:numId w:val="0"/>
        </w:numPr>
        <w:rPr>
          <w:szCs w:val="22"/>
        </w:rPr>
      </w:pPr>
      <w:r w:rsidRPr="00747EF6">
        <w:rPr>
          <w:szCs w:val="22"/>
        </w:rPr>
        <w:t xml:space="preserve">The proposal is also intended to maintain the same or similar exclusions to the definition of financial advice and regulated financial advice </w:t>
      </w:r>
      <w:r>
        <w:rPr>
          <w:szCs w:val="22"/>
        </w:rPr>
        <w:t>as those provided</w:t>
      </w:r>
      <w:r w:rsidRPr="00747EF6">
        <w:rPr>
          <w:szCs w:val="22"/>
        </w:rPr>
        <w:t xml:space="preserve"> under the FMC Act. </w:t>
      </w:r>
    </w:p>
    <w:p w14:paraId="4D4E01EF" w14:textId="77777777" w:rsidR="00A517B5" w:rsidRPr="00747EF6" w:rsidRDefault="00A517B5" w:rsidP="00A517B5">
      <w:pPr>
        <w:pStyle w:val="Bullet"/>
        <w:numPr>
          <w:ilvl w:val="0"/>
          <w:numId w:val="0"/>
        </w:numPr>
        <w:rPr>
          <w:szCs w:val="22"/>
        </w:rPr>
      </w:pPr>
      <w:r w:rsidRPr="00747EF6">
        <w:rPr>
          <w:szCs w:val="22"/>
        </w:rPr>
        <w:t xml:space="preserve">For example, </w:t>
      </w:r>
      <w:hyperlink r:id="rId46" w:history="1">
        <w:r w:rsidRPr="00064D3C">
          <w:rPr>
            <w:rStyle w:val="Hyperlink"/>
            <w:szCs w:val="22"/>
          </w:rPr>
          <w:t>clause 7 of Schedule 5</w:t>
        </w:r>
      </w:hyperlink>
      <w:r w:rsidRPr="00747EF6">
        <w:rPr>
          <w:szCs w:val="22"/>
        </w:rPr>
        <w:t xml:space="preserve"> of the FMC Act provides exclusions from what is ‘financial advice’ for matters that include:</w:t>
      </w:r>
    </w:p>
    <w:p w14:paraId="44AD117B" w14:textId="77777777" w:rsidR="00A517B5" w:rsidRPr="00747EF6" w:rsidRDefault="00A517B5" w:rsidP="00A517B5">
      <w:pPr>
        <w:pStyle w:val="Bullet"/>
        <w:tabs>
          <w:tab w:val="num" w:pos="397"/>
        </w:tabs>
        <w:spacing w:line="280" w:lineRule="exact"/>
        <w:rPr>
          <w:szCs w:val="22"/>
        </w:rPr>
      </w:pPr>
      <w:r w:rsidRPr="00747EF6">
        <w:rPr>
          <w:szCs w:val="22"/>
        </w:rPr>
        <w:lastRenderedPageBreak/>
        <w:t xml:space="preserve">providing </w:t>
      </w:r>
      <w:proofErr w:type="gramStart"/>
      <w:r w:rsidRPr="00747EF6">
        <w:rPr>
          <w:szCs w:val="22"/>
        </w:rPr>
        <w:t>factual information</w:t>
      </w:r>
      <w:proofErr w:type="gramEnd"/>
      <w:r w:rsidRPr="00747EF6">
        <w:rPr>
          <w:szCs w:val="22"/>
        </w:rPr>
        <w:t xml:space="preserve"> (</w:t>
      </w:r>
      <w:proofErr w:type="spellStart"/>
      <w:r>
        <w:rPr>
          <w:szCs w:val="22"/>
        </w:rPr>
        <w:t>eg</w:t>
      </w:r>
      <w:proofErr w:type="spellEnd"/>
      <w:r w:rsidRPr="00747EF6">
        <w:rPr>
          <w:szCs w:val="22"/>
        </w:rPr>
        <w:t>, information about the cost or terms and conditions of a financial advice product, or about the procedure for acquiring or disposing of a financial advice product)</w:t>
      </w:r>
    </w:p>
    <w:p w14:paraId="3E84657D" w14:textId="77777777" w:rsidR="00A517B5" w:rsidRPr="00747EF6" w:rsidRDefault="00A517B5" w:rsidP="00A517B5">
      <w:pPr>
        <w:pStyle w:val="Bullet"/>
        <w:tabs>
          <w:tab w:val="num" w:pos="397"/>
        </w:tabs>
        <w:spacing w:line="280" w:lineRule="exact"/>
        <w:rPr>
          <w:szCs w:val="22"/>
        </w:rPr>
      </w:pPr>
      <w:r w:rsidRPr="00747EF6">
        <w:rPr>
          <w:szCs w:val="22"/>
        </w:rPr>
        <w:t>carrying out an instruction from a person to acquire or dispose of, or not to acquire or dispose of, a financial advice product for that person.</w:t>
      </w:r>
    </w:p>
    <w:p w14:paraId="78364306" w14:textId="77777777" w:rsidR="00A517B5" w:rsidRPr="00747EF6" w:rsidRDefault="00A517B5" w:rsidP="00A517B5">
      <w:pPr>
        <w:pStyle w:val="Bullet"/>
        <w:numPr>
          <w:ilvl w:val="0"/>
          <w:numId w:val="0"/>
        </w:numPr>
        <w:rPr>
          <w:szCs w:val="22"/>
        </w:rPr>
      </w:pPr>
      <w:r w:rsidRPr="00747EF6">
        <w:rPr>
          <w:szCs w:val="22"/>
        </w:rPr>
        <w:t>Schedule 5 also provides 11 exclusions from regulated financial advice that include, for example, Crown entities and public sector departments giving financial advice in the ordinary course of business.</w:t>
      </w:r>
    </w:p>
    <w:p w14:paraId="54B63C7B" w14:textId="6DAB7A68" w:rsidR="00A517B5" w:rsidRPr="00747EF6" w:rsidRDefault="00A517B5" w:rsidP="00A517B5">
      <w:pPr>
        <w:pStyle w:val="Bullet"/>
        <w:numPr>
          <w:ilvl w:val="0"/>
          <w:numId w:val="0"/>
        </w:numPr>
        <w:rPr>
          <w:szCs w:val="22"/>
        </w:rPr>
      </w:pPr>
      <w:r w:rsidRPr="00747EF6">
        <w:rPr>
          <w:szCs w:val="22"/>
        </w:rPr>
        <w:t xml:space="preserve">In the financial advice regime, a recommendation </w:t>
      </w:r>
      <w:r w:rsidR="009464B2">
        <w:rPr>
          <w:szCs w:val="22"/>
        </w:rPr>
        <w:t xml:space="preserve">relating </w:t>
      </w:r>
      <w:r w:rsidRPr="00747EF6">
        <w:rPr>
          <w:szCs w:val="22"/>
        </w:rPr>
        <w:t>to a kind of financial advice product in general</w:t>
      </w:r>
      <w:r>
        <w:rPr>
          <w:szCs w:val="22"/>
        </w:rPr>
        <w:t>,</w:t>
      </w:r>
      <w:r w:rsidRPr="00747EF6">
        <w:rPr>
          <w:szCs w:val="22"/>
        </w:rPr>
        <w:t xml:space="preserve"> rather than a particular financial advice product (</w:t>
      </w:r>
      <w:proofErr w:type="spellStart"/>
      <w:r>
        <w:rPr>
          <w:szCs w:val="22"/>
        </w:rPr>
        <w:t>eg</w:t>
      </w:r>
      <w:proofErr w:type="spellEnd"/>
      <w:r w:rsidRPr="00747EF6">
        <w:rPr>
          <w:szCs w:val="22"/>
        </w:rPr>
        <w:t>, an opinion about shares generally rather than shares of a particular company), would not be financial advice.</w:t>
      </w:r>
    </w:p>
    <w:tbl>
      <w:tblPr>
        <w:tblStyle w:val="TableGrid"/>
        <w:tblW w:w="493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8400"/>
      </w:tblGrid>
      <w:tr w:rsidR="00A517B5" w:rsidRPr="00747EF6" w14:paraId="5CD6D14C" w14:textId="77777777" w:rsidTr="001844E8">
        <w:trPr>
          <w:cantSplit/>
        </w:trPr>
        <w:tc>
          <w:tcPr>
            <w:tcW w:w="5000" w:type="pct"/>
            <w:shd w:val="clear" w:color="auto" w:fill="D2DDE2"/>
          </w:tcPr>
          <w:p w14:paraId="6F100200" w14:textId="77777777" w:rsidR="001844E8" w:rsidRPr="00FB6809" w:rsidRDefault="001844E8" w:rsidP="001844E8">
            <w:pPr>
              <w:pStyle w:val="Blueboxtext"/>
              <w:spacing w:after="0"/>
              <w:rPr>
                <w:b/>
                <w:bCs/>
              </w:rPr>
            </w:pPr>
            <w:r w:rsidRPr="00FB6809">
              <w:rPr>
                <w:b/>
                <w:bCs/>
              </w:rPr>
              <w:t>Question 24</w:t>
            </w:r>
          </w:p>
          <w:p w14:paraId="5429A61F" w14:textId="660A96A2" w:rsidR="001844E8" w:rsidRPr="00747EF6" w:rsidRDefault="001844E8" w:rsidP="001844E8">
            <w:pPr>
              <w:pStyle w:val="Blueboxtext"/>
              <w:rPr>
                <w:bCs/>
              </w:rPr>
            </w:pPr>
            <w:r w:rsidRPr="00FB6809">
              <w:rPr>
                <w:lang w:eastAsia="en-US"/>
              </w:rPr>
              <w:t xml:space="preserve">What are your views on whether these exclusions </w:t>
            </w:r>
            <w:r w:rsidR="006C35BC">
              <w:rPr>
                <w:lang w:eastAsia="en-US"/>
              </w:rPr>
              <w:t>should</w:t>
            </w:r>
            <w:r w:rsidRPr="00FB6809">
              <w:rPr>
                <w:lang w:eastAsia="en-US"/>
              </w:rPr>
              <w:t>, in principle, apply to NZU financial advice? If not appropriate, what modifications or changes do you think are necessary?</w:t>
            </w:r>
          </w:p>
        </w:tc>
      </w:tr>
    </w:tbl>
    <w:p w14:paraId="382828E0" w14:textId="77777777" w:rsidR="00A517B5" w:rsidRPr="00747EF6" w:rsidRDefault="00A517B5" w:rsidP="00A517B5">
      <w:pPr>
        <w:pStyle w:val="Heading3"/>
        <w:rPr>
          <w:rFonts w:ascii="Calibri" w:hAnsi="Calibri"/>
        </w:rPr>
      </w:pPr>
      <w:r w:rsidRPr="00747EF6">
        <w:t>What is proposed to be excluded from being ‘NZU financial advice’?</w:t>
      </w:r>
    </w:p>
    <w:p w14:paraId="77B4F229" w14:textId="3F41A416" w:rsidR="00A517B5" w:rsidRPr="00747EF6" w:rsidRDefault="00A517B5" w:rsidP="00A517B5">
      <w:pPr>
        <w:pStyle w:val="BodyText"/>
      </w:pPr>
      <w:r w:rsidRPr="00747EF6">
        <w:t xml:space="preserve">This proposal is </w:t>
      </w:r>
      <w:r w:rsidRPr="007708BC">
        <w:t>not</w:t>
      </w:r>
      <w:r w:rsidRPr="00747EF6">
        <w:t xml:space="preserve"> intended to regulate advice about current or prospective </w:t>
      </w:r>
      <w:r>
        <w:t>NZ </w:t>
      </w:r>
      <w:r w:rsidRPr="00747EF6">
        <w:t xml:space="preserve">ETS participants’ obligations or entitlements under the </w:t>
      </w:r>
      <w:r w:rsidR="00BF034B">
        <w:t xml:space="preserve">Climate Change Response Act 2002 </w:t>
      </w:r>
      <w:r w:rsidRPr="00747EF6">
        <w:t>(</w:t>
      </w:r>
      <w:r>
        <w:t>NZ </w:t>
      </w:r>
      <w:r w:rsidRPr="00747EF6">
        <w:t xml:space="preserve">ETS advice). This general </w:t>
      </w:r>
      <w:r>
        <w:t>NZ </w:t>
      </w:r>
      <w:r w:rsidRPr="00747EF6">
        <w:t>ETS advice includes advice that relates to:</w:t>
      </w:r>
    </w:p>
    <w:p w14:paraId="73BB1876" w14:textId="77777777" w:rsidR="00A517B5" w:rsidRPr="00747EF6" w:rsidRDefault="00A517B5" w:rsidP="00A517B5">
      <w:pPr>
        <w:pStyle w:val="Bullet"/>
        <w:tabs>
          <w:tab w:val="num" w:pos="397"/>
        </w:tabs>
        <w:spacing w:line="280" w:lineRule="exact"/>
      </w:pPr>
      <w:r w:rsidRPr="00747EF6">
        <w:t>current or prospective allocations, entitlements and/or surrender obligations in respect of NZUs</w:t>
      </w:r>
    </w:p>
    <w:p w14:paraId="6BA65396" w14:textId="77777777" w:rsidR="00A517B5" w:rsidRPr="00747EF6" w:rsidRDefault="00A517B5" w:rsidP="00A517B5">
      <w:pPr>
        <w:pStyle w:val="Bullet"/>
        <w:tabs>
          <w:tab w:val="num" w:pos="397"/>
        </w:tabs>
        <w:spacing w:line="280" w:lineRule="exact"/>
      </w:pPr>
      <w:r w:rsidRPr="00747EF6">
        <w:t>whether or not a participant should register under the NZ</w:t>
      </w:r>
      <w:r>
        <w:t> </w:t>
      </w:r>
      <w:r w:rsidRPr="00747EF6">
        <w:t>ETS in respect to an activity (</w:t>
      </w:r>
      <w:proofErr w:type="spellStart"/>
      <w:r w:rsidRPr="00747EF6">
        <w:t>eg</w:t>
      </w:r>
      <w:proofErr w:type="spellEnd"/>
      <w:r>
        <w:t>,</w:t>
      </w:r>
      <w:r w:rsidRPr="00747EF6" w:rsidDel="00331435">
        <w:t xml:space="preserve"> </w:t>
      </w:r>
      <w:r w:rsidRPr="00747EF6">
        <w:t xml:space="preserve">registering </w:t>
      </w:r>
      <w:r>
        <w:t xml:space="preserve">a </w:t>
      </w:r>
      <w:r w:rsidRPr="00747EF6">
        <w:t>post-1989 forest for a removal activity)</w:t>
      </w:r>
    </w:p>
    <w:p w14:paraId="66E190E9" w14:textId="77777777" w:rsidR="00A517B5" w:rsidRPr="00747EF6" w:rsidRDefault="00A517B5" w:rsidP="00A517B5">
      <w:pPr>
        <w:pStyle w:val="Bullet"/>
        <w:tabs>
          <w:tab w:val="num" w:pos="397"/>
        </w:tabs>
        <w:spacing w:line="280" w:lineRule="exact"/>
      </w:pPr>
      <w:r w:rsidRPr="00747EF6">
        <w:t>complying with obligations in the NZ</w:t>
      </w:r>
      <w:r>
        <w:t> </w:t>
      </w:r>
      <w:r w:rsidRPr="00747EF6">
        <w:t>ETS as a participant or recipient (as defined in the CCRA)</w:t>
      </w:r>
    </w:p>
    <w:p w14:paraId="76811860" w14:textId="77777777" w:rsidR="00A517B5" w:rsidRPr="00747EF6" w:rsidRDefault="00A517B5" w:rsidP="00A517B5">
      <w:pPr>
        <w:pStyle w:val="Bullet"/>
        <w:tabs>
          <w:tab w:val="num" w:pos="397"/>
        </w:tabs>
        <w:spacing w:line="280" w:lineRule="exact"/>
      </w:pPr>
      <w:r w:rsidRPr="00747EF6">
        <w:t>activities required to calculate NZU surrender obligations</w:t>
      </w:r>
    </w:p>
    <w:p w14:paraId="519123FE" w14:textId="77777777" w:rsidR="00A517B5" w:rsidRPr="00747EF6" w:rsidRDefault="00A517B5" w:rsidP="00A517B5">
      <w:pPr>
        <w:pStyle w:val="Bullet"/>
        <w:tabs>
          <w:tab w:val="num" w:pos="397"/>
        </w:tabs>
        <w:spacing w:line="280" w:lineRule="exact"/>
      </w:pPr>
      <w:r w:rsidRPr="00747EF6">
        <w:t>activities that indirectly result in NZUs being acquired (such as the purchase of a forestry business)</w:t>
      </w:r>
    </w:p>
    <w:p w14:paraId="481EB0B3" w14:textId="77777777" w:rsidR="00A517B5" w:rsidRPr="00747EF6" w:rsidRDefault="00A517B5" w:rsidP="00A517B5">
      <w:pPr>
        <w:pStyle w:val="Bullet"/>
        <w:tabs>
          <w:tab w:val="num" w:pos="397"/>
        </w:tabs>
        <w:spacing w:line="280" w:lineRule="exact"/>
      </w:pPr>
      <w:r w:rsidRPr="00747EF6">
        <w:t>land encumbrances relating to the NZ</w:t>
      </w:r>
      <w:r>
        <w:t> </w:t>
      </w:r>
      <w:r w:rsidRPr="00747EF6">
        <w:t>ETS</w:t>
      </w:r>
    </w:p>
    <w:p w14:paraId="5C6D8C4E" w14:textId="77777777" w:rsidR="00A517B5" w:rsidRPr="00747EF6" w:rsidRDefault="00A517B5" w:rsidP="00A517B5">
      <w:pPr>
        <w:pStyle w:val="Bullet"/>
        <w:tabs>
          <w:tab w:val="num" w:pos="397"/>
        </w:tabs>
        <w:spacing w:line="280" w:lineRule="exact"/>
      </w:pPr>
      <w:r w:rsidRPr="00747EF6">
        <w:t>exiting the NZ</w:t>
      </w:r>
      <w:r>
        <w:t> </w:t>
      </w:r>
      <w:r w:rsidRPr="00747EF6">
        <w:t>ETS.</w:t>
      </w:r>
    </w:p>
    <w:p w14:paraId="71AC7EE6" w14:textId="77777777" w:rsidR="00A517B5" w:rsidRPr="00747EF6" w:rsidRDefault="00A517B5" w:rsidP="00A517B5">
      <w:pPr>
        <w:pStyle w:val="Heading5"/>
      </w:pPr>
      <w:r>
        <w:t>NZ </w:t>
      </w:r>
      <w:r w:rsidRPr="00747EF6">
        <w:t>ETS advice generally</w:t>
      </w:r>
    </w:p>
    <w:p w14:paraId="018D3359" w14:textId="2BC082B0" w:rsidR="00A517B5" w:rsidRPr="00747EF6" w:rsidRDefault="00A517B5" w:rsidP="00A517B5">
      <w:pPr>
        <w:pStyle w:val="BodyText"/>
      </w:pPr>
      <w:r w:rsidRPr="00747EF6">
        <w:t xml:space="preserve">While we are aware that there is presently no targeted occupational regulation of </w:t>
      </w:r>
      <w:r>
        <w:t>NZ </w:t>
      </w:r>
      <w:r w:rsidRPr="00747EF6">
        <w:t xml:space="preserve">ETS advice for persons </w:t>
      </w:r>
      <w:r>
        <w:t>who</w:t>
      </w:r>
      <w:r w:rsidRPr="00747EF6">
        <w:t xml:space="preserve"> undertake eligible </w:t>
      </w:r>
      <w:r w:rsidRPr="00251BEA">
        <w:t>industrial</w:t>
      </w:r>
      <w:r w:rsidRPr="00747EF6">
        <w:t xml:space="preserve"> activities or persons that have surrender or repayment obligations for NZUs, we are not intending to include these areas in this proposal.</w:t>
      </w:r>
    </w:p>
    <w:p w14:paraId="20F77F20" w14:textId="5440B4A9" w:rsidR="00A517B5" w:rsidRPr="00747EF6" w:rsidRDefault="00A517B5" w:rsidP="00A517B5">
      <w:pPr>
        <w:pStyle w:val="Heading5"/>
      </w:pPr>
      <w:r w:rsidRPr="00747EF6">
        <w:t xml:space="preserve">Forestry </w:t>
      </w:r>
      <w:r>
        <w:t>advis</w:t>
      </w:r>
      <w:r w:rsidR="00235002">
        <w:t>e</w:t>
      </w:r>
      <w:r>
        <w:t>r</w:t>
      </w:r>
      <w:r w:rsidRPr="00747EF6">
        <w:t xml:space="preserve"> services</w:t>
      </w:r>
    </w:p>
    <w:p w14:paraId="51D4C564" w14:textId="5BC92BA8" w:rsidR="00A517B5" w:rsidRPr="00747EF6" w:rsidRDefault="00A517B5" w:rsidP="00A517B5">
      <w:pPr>
        <w:pStyle w:val="BodyText"/>
      </w:pPr>
      <w:r w:rsidRPr="00747EF6">
        <w:t xml:space="preserve">Forestry </w:t>
      </w:r>
      <w:r>
        <w:t>advis</w:t>
      </w:r>
      <w:r w:rsidR="00235002">
        <w:t>e</w:t>
      </w:r>
      <w:r>
        <w:t>r</w:t>
      </w:r>
      <w:r w:rsidRPr="00747EF6">
        <w:t xml:space="preserve"> services have, in part, been addressed by the occupational regulation of forestry </w:t>
      </w:r>
      <w:r>
        <w:t>advis</w:t>
      </w:r>
      <w:r w:rsidR="00564D6F">
        <w:t>e</w:t>
      </w:r>
      <w:r>
        <w:t>r</w:t>
      </w:r>
      <w:r w:rsidRPr="00747EF6">
        <w:t xml:space="preserve"> services under the Forest</w:t>
      </w:r>
      <w:r>
        <w:t>s</w:t>
      </w:r>
      <w:r w:rsidRPr="00747EF6">
        <w:t xml:space="preserve"> </w:t>
      </w:r>
      <w:r w:rsidRPr="00251BEA">
        <w:t>Act</w:t>
      </w:r>
      <w:r w:rsidRPr="00747EF6">
        <w:t xml:space="preserve"> 1949.</w:t>
      </w:r>
      <w:r>
        <w:t xml:space="preserve"> </w:t>
      </w:r>
    </w:p>
    <w:p w14:paraId="6AA57FB4" w14:textId="77777777" w:rsidR="00A517B5" w:rsidRPr="00747EF6" w:rsidRDefault="00A517B5" w:rsidP="00A517B5">
      <w:pPr>
        <w:pStyle w:val="Heading5"/>
      </w:pPr>
      <w:r w:rsidRPr="00747EF6">
        <w:lastRenderedPageBreak/>
        <w:t>Ancillary services or financial advice provided via other occupations</w:t>
      </w:r>
    </w:p>
    <w:p w14:paraId="6A2113F9" w14:textId="77777777" w:rsidR="00A517B5" w:rsidRPr="00747EF6" w:rsidRDefault="00A517B5" w:rsidP="00A517B5">
      <w:pPr>
        <w:pStyle w:val="BodyText"/>
      </w:pPr>
      <w:r w:rsidRPr="00747EF6">
        <w:t xml:space="preserve">Financial advice is not regulated financial advice if </w:t>
      </w:r>
      <w:r>
        <w:t xml:space="preserve">it is </w:t>
      </w:r>
      <w:r w:rsidRPr="00747EF6">
        <w:t xml:space="preserve">an ancillary service or provided via other occupations </w:t>
      </w:r>
      <w:r>
        <w:t>(</w:t>
      </w:r>
      <w:proofErr w:type="spellStart"/>
      <w:r>
        <w:t>eg</w:t>
      </w:r>
      <w:proofErr w:type="spellEnd"/>
      <w:r w:rsidRPr="00747EF6">
        <w:t xml:space="preserve">, advice provided by an incorporated law firm </w:t>
      </w:r>
      <w:r>
        <w:t>or</w:t>
      </w:r>
      <w:r w:rsidRPr="00747EF6">
        <w:t xml:space="preserve"> if the person giving advice carries on one of the defined occupations in the FMC Act</w:t>
      </w:r>
      <w:r>
        <w:t>)</w:t>
      </w:r>
      <w:r w:rsidRPr="00747EF6">
        <w:t>.</w:t>
      </w:r>
      <w:r w:rsidRPr="00747EF6">
        <w:rPr>
          <w:rStyle w:val="FootnoteReference"/>
        </w:rPr>
        <w:footnoteReference w:id="30"/>
      </w:r>
    </w:p>
    <w:p w14:paraId="120833C4" w14:textId="77777777" w:rsidR="00A517B5" w:rsidRPr="00747EF6" w:rsidRDefault="00A517B5" w:rsidP="00A517B5">
      <w:pPr>
        <w:pStyle w:val="Heading4"/>
      </w:pPr>
      <w:r w:rsidRPr="00747EF6">
        <w:t xml:space="preserve">Examples of NZU financial advice and </w:t>
      </w:r>
      <w:r>
        <w:t>NZ </w:t>
      </w:r>
      <w:r w:rsidRPr="00747EF6">
        <w:t>ETS advice</w:t>
      </w:r>
    </w:p>
    <w:p w14:paraId="5FB6A6CA" w14:textId="580C7041" w:rsidR="00A517B5" w:rsidRPr="00747EF6" w:rsidRDefault="0073037F" w:rsidP="00A517B5">
      <w:pPr>
        <w:pStyle w:val="BodyText"/>
        <w:spacing w:after="240"/>
      </w:pPr>
      <w:r>
        <w:t xml:space="preserve">Table </w:t>
      </w:r>
      <w:r w:rsidR="00A517B5">
        <w:fldChar w:fldCharType="begin"/>
      </w:r>
      <w:r w:rsidR="00A517B5">
        <w:instrText xml:space="preserve"> REF _Ref118462599 \h </w:instrText>
      </w:r>
      <w:r w:rsidR="00A517B5">
        <w:fldChar w:fldCharType="separate"/>
      </w:r>
      <w:r w:rsidR="00C67DAB">
        <w:rPr>
          <w:noProof/>
        </w:rPr>
        <w:t>11</w:t>
      </w:r>
      <w:r w:rsidR="00A517B5">
        <w:fldChar w:fldCharType="end"/>
      </w:r>
      <w:r w:rsidR="00A517B5">
        <w:t xml:space="preserve"> </w:t>
      </w:r>
      <w:r w:rsidR="00A517B5" w:rsidRPr="00747EF6">
        <w:t xml:space="preserve">and the scenarios below are intended to indicate how this proposal would apply in practice for persons </w:t>
      </w:r>
      <w:r w:rsidR="00A517B5">
        <w:t>who</w:t>
      </w:r>
      <w:r w:rsidR="00A517B5" w:rsidRPr="00747EF6">
        <w:t xml:space="preserve"> may deal in NZUs on the supply</w:t>
      </w:r>
      <w:r w:rsidR="00A517B5">
        <w:t xml:space="preserve"> </w:t>
      </w:r>
      <w:r w:rsidR="00A517B5" w:rsidRPr="00747EF6">
        <w:t>side and demand</w:t>
      </w:r>
      <w:r w:rsidR="00A517B5">
        <w:t xml:space="preserve"> </w:t>
      </w:r>
      <w:r w:rsidR="00A517B5" w:rsidRPr="00747EF6">
        <w:t>side in the NZU market.</w:t>
      </w:r>
    </w:p>
    <w:p w14:paraId="7D29833F" w14:textId="77777777" w:rsidR="00A517B5" w:rsidRDefault="00A517B5" w:rsidP="00A517B5">
      <w:pPr>
        <w:pStyle w:val="Tableheading"/>
      </w:pPr>
      <w:bookmarkStart w:id="110" w:name="_Toc118953829"/>
      <w:r w:rsidDel="00123E48">
        <w:t xml:space="preserve">Table </w:t>
      </w:r>
      <w:bookmarkStart w:id="111" w:name="_Ref118462599"/>
      <w:r>
        <w:fldChar w:fldCharType="begin"/>
      </w:r>
      <w:r>
        <w:instrText xml:space="preserve"> SEQ Table \* ARABIC </w:instrText>
      </w:r>
      <w:r>
        <w:fldChar w:fldCharType="separate"/>
      </w:r>
      <w:r w:rsidR="00C67DAB">
        <w:rPr>
          <w:noProof/>
        </w:rPr>
        <w:t>11</w:t>
      </w:r>
      <w:r>
        <w:fldChar w:fldCharType="end"/>
      </w:r>
      <w:bookmarkEnd w:id="111"/>
      <w:r>
        <w:t xml:space="preserve">: </w:t>
      </w:r>
      <w:r>
        <w:tab/>
      </w:r>
      <w:r w:rsidRPr="00DE3686">
        <w:t>Examples of advice included (or partly included) in the proposed definition of NZU financial advice</w:t>
      </w:r>
      <w:bookmarkEnd w:id="110"/>
    </w:p>
    <w:tbl>
      <w:tblPr>
        <w:tblStyle w:val="MinistryfortheEnvironment"/>
        <w:tblW w:w="4938" w:type="pct"/>
        <w:tblInd w:w="108" w:type="dxa"/>
        <w:tblLook w:val="04A0" w:firstRow="1" w:lastRow="0" w:firstColumn="1" w:lastColumn="0" w:noHBand="0" w:noVBand="1"/>
      </w:tblPr>
      <w:tblGrid>
        <w:gridCol w:w="829"/>
        <w:gridCol w:w="3179"/>
        <w:gridCol w:w="4392"/>
      </w:tblGrid>
      <w:tr w:rsidR="00A517B5" w:rsidRPr="00F22F30" w14:paraId="326FBFDE" w14:textId="77777777" w:rsidTr="00AA51A6">
        <w:trPr>
          <w:cnfStyle w:val="100000000000" w:firstRow="1" w:lastRow="0" w:firstColumn="0" w:lastColumn="0" w:oddVBand="0" w:evenVBand="0" w:oddHBand="0" w:evenHBand="0" w:firstRowFirstColumn="0" w:firstRowLastColumn="0" w:lastRowFirstColumn="0" w:lastRowLastColumn="0"/>
          <w:tblHeader/>
        </w:trPr>
        <w:tc>
          <w:tcPr>
            <w:tcW w:w="494" w:type="pct"/>
            <w:shd w:val="clear" w:color="auto" w:fill="1C556C"/>
          </w:tcPr>
          <w:p w14:paraId="3C9D0F5C" w14:textId="77777777" w:rsidR="00A517B5" w:rsidRPr="00F22F30" w:rsidRDefault="00A517B5" w:rsidP="00A517B5">
            <w:pPr>
              <w:pStyle w:val="TableText"/>
              <w:rPr>
                <w:szCs w:val="18"/>
              </w:rPr>
            </w:pPr>
            <w:r w:rsidRPr="00F22F30">
              <w:rPr>
                <w:szCs w:val="18"/>
              </w:rPr>
              <w:t>Sector</w:t>
            </w:r>
          </w:p>
        </w:tc>
        <w:tc>
          <w:tcPr>
            <w:tcW w:w="1892" w:type="pct"/>
            <w:shd w:val="clear" w:color="auto" w:fill="1C556C"/>
          </w:tcPr>
          <w:p w14:paraId="7062FF7B" w14:textId="77777777" w:rsidR="00A517B5" w:rsidRPr="00F22F30" w:rsidRDefault="00A517B5" w:rsidP="00A517B5">
            <w:pPr>
              <w:pStyle w:val="TableText"/>
              <w:rPr>
                <w:szCs w:val="18"/>
              </w:rPr>
            </w:pPr>
            <w:r w:rsidRPr="00F22F30">
              <w:rPr>
                <w:szCs w:val="18"/>
              </w:rPr>
              <w:t>Activity</w:t>
            </w:r>
          </w:p>
        </w:tc>
        <w:tc>
          <w:tcPr>
            <w:tcW w:w="2613" w:type="pct"/>
            <w:shd w:val="clear" w:color="auto" w:fill="1C556C"/>
          </w:tcPr>
          <w:p w14:paraId="20F00154" w14:textId="77777777" w:rsidR="00A517B5" w:rsidRPr="00F22F30" w:rsidRDefault="00A517B5" w:rsidP="00A517B5">
            <w:pPr>
              <w:pStyle w:val="TableText"/>
              <w:rPr>
                <w:szCs w:val="18"/>
              </w:rPr>
            </w:pPr>
            <w:r w:rsidRPr="00F22F30">
              <w:rPr>
                <w:szCs w:val="18"/>
              </w:rPr>
              <w:t>Outcome</w:t>
            </w:r>
          </w:p>
        </w:tc>
      </w:tr>
      <w:tr w:rsidR="00A517B5" w:rsidRPr="00F22F30" w14:paraId="01032493" w14:textId="77777777" w:rsidTr="00AA51A6">
        <w:trPr>
          <w:cnfStyle w:val="000000100000" w:firstRow="0" w:lastRow="0" w:firstColumn="0" w:lastColumn="0" w:oddVBand="0" w:evenVBand="0" w:oddHBand="1" w:evenHBand="0" w:firstRowFirstColumn="0" w:firstRowLastColumn="0" w:lastRowFirstColumn="0" w:lastRowLastColumn="0"/>
        </w:trPr>
        <w:tc>
          <w:tcPr>
            <w:tcW w:w="494" w:type="pct"/>
          </w:tcPr>
          <w:p w14:paraId="04208503" w14:textId="77777777" w:rsidR="00A517B5" w:rsidRPr="00B343BB" w:rsidRDefault="00A517B5" w:rsidP="00A517B5">
            <w:pPr>
              <w:pStyle w:val="TableText"/>
              <w:rPr>
                <w:szCs w:val="18"/>
              </w:rPr>
            </w:pPr>
            <w:r w:rsidRPr="00B343BB">
              <w:rPr>
                <w:szCs w:val="18"/>
              </w:rPr>
              <w:t>Any</w:t>
            </w:r>
          </w:p>
        </w:tc>
        <w:tc>
          <w:tcPr>
            <w:tcW w:w="1892" w:type="pct"/>
          </w:tcPr>
          <w:p w14:paraId="6E9B8400" w14:textId="77777777" w:rsidR="00A517B5" w:rsidRPr="00B343BB" w:rsidRDefault="00A517B5" w:rsidP="00A517B5">
            <w:pPr>
              <w:pStyle w:val="TableText"/>
              <w:rPr>
                <w:szCs w:val="18"/>
              </w:rPr>
            </w:pPr>
            <w:r w:rsidRPr="00B343BB">
              <w:rPr>
                <w:szCs w:val="18"/>
              </w:rPr>
              <w:t>Advising a client to buy, sell, or hold NZUs based on desktop studies into emitters’ emissions profiles and devising custom forward NZU price modelling</w:t>
            </w:r>
          </w:p>
        </w:tc>
        <w:tc>
          <w:tcPr>
            <w:tcW w:w="2613" w:type="pct"/>
          </w:tcPr>
          <w:p w14:paraId="5F23F1E1" w14:textId="77777777" w:rsidR="00A517B5" w:rsidRPr="00B343BB" w:rsidRDefault="00A517B5" w:rsidP="00A517B5">
            <w:pPr>
              <w:pStyle w:val="TableText"/>
              <w:rPr>
                <w:szCs w:val="18"/>
              </w:rPr>
            </w:pPr>
            <w:r w:rsidRPr="00B343BB">
              <w:rPr>
                <w:szCs w:val="18"/>
              </w:rPr>
              <w:t>Regulated as NZU financial advice</w:t>
            </w:r>
          </w:p>
        </w:tc>
      </w:tr>
      <w:tr w:rsidR="00A517B5" w:rsidRPr="00F22F30" w14:paraId="58E2F9BD" w14:textId="77777777" w:rsidTr="00AA51A6">
        <w:trPr>
          <w:cnfStyle w:val="000000010000" w:firstRow="0" w:lastRow="0" w:firstColumn="0" w:lastColumn="0" w:oddVBand="0" w:evenVBand="0" w:oddHBand="0" w:evenHBand="1" w:firstRowFirstColumn="0" w:firstRowLastColumn="0" w:lastRowFirstColumn="0" w:lastRowLastColumn="0"/>
        </w:trPr>
        <w:tc>
          <w:tcPr>
            <w:tcW w:w="494" w:type="pct"/>
          </w:tcPr>
          <w:p w14:paraId="709EDB17" w14:textId="77777777" w:rsidR="00A517B5" w:rsidRPr="003E291C" w:rsidRDefault="00A517B5" w:rsidP="00A517B5">
            <w:pPr>
              <w:pStyle w:val="TableText"/>
              <w:rPr>
                <w:szCs w:val="18"/>
              </w:rPr>
            </w:pPr>
            <w:r w:rsidRPr="003E291C">
              <w:rPr>
                <w:szCs w:val="18"/>
              </w:rPr>
              <w:t>Any</w:t>
            </w:r>
          </w:p>
        </w:tc>
        <w:tc>
          <w:tcPr>
            <w:tcW w:w="1892" w:type="pct"/>
          </w:tcPr>
          <w:p w14:paraId="1947EA55" w14:textId="4F9CA6C5" w:rsidR="00A517B5" w:rsidRPr="003E291C" w:rsidRDefault="00A517B5" w:rsidP="00A517B5">
            <w:pPr>
              <w:pStyle w:val="TableText"/>
              <w:rPr>
                <w:szCs w:val="18"/>
              </w:rPr>
            </w:pPr>
            <w:r w:rsidRPr="003E291C">
              <w:rPr>
                <w:szCs w:val="18"/>
              </w:rPr>
              <w:t>Providing advice about NZU market activity to inform when a client should decide to buy NZUs on</w:t>
            </w:r>
            <w:r w:rsidR="000E5662">
              <w:rPr>
                <w:szCs w:val="18"/>
              </w:rPr>
              <w:t>-</w:t>
            </w:r>
            <w:r w:rsidRPr="003E291C">
              <w:rPr>
                <w:szCs w:val="18"/>
              </w:rPr>
              <w:t>market, and that acquiring units on-market is likely to yield the best price</w:t>
            </w:r>
          </w:p>
        </w:tc>
        <w:tc>
          <w:tcPr>
            <w:tcW w:w="2613" w:type="pct"/>
          </w:tcPr>
          <w:p w14:paraId="76F59053" w14:textId="77777777" w:rsidR="00A517B5" w:rsidRPr="003E291C" w:rsidRDefault="00A517B5" w:rsidP="00A517B5">
            <w:pPr>
              <w:pStyle w:val="TableText"/>
              <w:rPr>
                <w:szCs w:val="18"/>
              </w:rPr>
            </w:pPr>
            <w:r w:rsidRPr="003E291C">
              <w:rPr>
                <w:szCs w:val="18"/>
              </w:rPr>
              <w:t>Regulated as NZU financial advice</w:t>
            </w:r>
          </w:p>
          <w:p w14:paraId="45AEAB00" w14:textId="77777777" w:rsidR="00A517B5" w:rsidRPr="003E291C" w:rsidRDefault="00A517B5" w:rsidP="00A517B5">
            <w:pPr>
              <w:pStyle w:val="TableBullet"/>
              <w:numPr>
                <w:ilvl w:val="0"/>
                <w:numId w:val="0"/>
              </w:numPr>
              <w:ind w:left="284" w:hanging="284"/>
              <w:rPr>
                <w:szCs w:val="18"/>
              </w:rPr>
            </w:pPr>
          </w:p>
        </w:tc>
      </w:tr>
      <w:tr w:rsidR="00A517B5" w:rsidRPr="00F22F30" w14:paraId="0E9516BD" w14:textId="77777777" w:rsidTr="00AA51A6">
        <w:trPr>
          <w:cnfStyle w:val="000000100000" w:firstRow="0" w:lastRow="0" w:firstColumn="0" w:lastColumn="0" w:oddVBand="0" w:evenVBand="0" w:oddHBand="1" w:evenHBand="0" w:firstRowFirstColumn="0" w:firstRowLastColumn="0" w:lastRowFirstColumn="0" w:lastRowLastColumn="0"/>
        </w:trPr>
        <w:tc>
          <w:tcPr>
            <w:tcW w:w="494" w:type="pct"/>
          </w:tcPr>
          <w:p w14:paraId="1693A03A" w14:textId="77777777" w:rsidR="00A517B5" w:rsidRPr="003E291C" w:rsidRDefault="00A517B5" w:rsidP="00A517B5">
            <w:pPr>
              <w:pStyle w:val="TableText"/>
              <w:rPr>
                <w:szCs w:val="18"/>
              </w:rPr>
            </w:pPr>
            <w:r w:rsidRPr="003E291C">
              <w:rPr>
                <w:szCs w:val="18"/>
              </w:rPr>
              <w:t>Any</w:t>
            </w:r>
          </w:p>
        </w:tc>
        <w:tc>
          <w:tcPr>
            <w:tcW w:w="1892" w:type="pct"/>
          </w:tcPr>
          <w:p w14:paraId="38769F5F" w14:textId="77777777" w:rsidR="00A517B5" w:rsidRPr="003E291C" w:rsidRDefault="00A517B5" w:rsidP="00A517B5">
            <w:pPr>
              <w:pStyle w:val="TableText"/>
              <w:rPr>
                <w:szCs w:val="18"/>
              </w:rPr>
            </w:pPr>
            <w:r w:rsidRPr="003E291C">
              <w:rPr>
                <w:szCs w:val="18"/>
              </w:rPr>
              <w:t>Preparing recommendations for a client about how to manage and sequence acquisition of NZUs to meet their upcoming NZU surrender obligations</w:t>
            </w:r>
          </w:p>
        </w:tc>
        <w:tc>
          <w:tcPr>
            <w:tcW w:w="2613" w:type="pct"/>
          </w:tcPr>
          <w:p w14:paraId="39CCD23C" w14:textId="77777777" w:rsidR="00A517B5" w:rsidRPr="00F22F30" w:rsidRDefault="00A517B5" w:rsidP="00A517B5">
            <w:pPr>
              <w:pStyle w:val="TableText"/>
              <w:rPr>
                <w:szCs w:val="18"/>
              </w:rPr>
            </w:pPr>
            <w:r w:rsidRPr="00F22F30">
              <w:rPr>
                <w:szCs w:val="18"/>
              </w:rPr>
              <w:t xml:space="preserve">Regulated as NZU financial advice to the extent that the advice relates to buying, </w:t>
            </w:r>
            <w:proofErr w:type="gramStart"/>
            <w:r w:rsidRPr="00F22F30">
              <w:rPr>
                <w:szCs w:val="18"/>
              </w:rPr>
              <w:t>selling</w:t>
            </w:r>
            <w:proofErr w:type="gramEnd"/>
            <w:r w:rsidRPr="00F22F30">
              <w:rPr>
                <w:szCs w:val="18"/>
              </w:rPr>
              <w:t xml:space="preserve"> or holding NZUs</w:t>
            </w:r>
          </w:p>
          <w:p w14:paraId="01AA0FA8" w14:textId="77777777" w:rsidR="00A517B5" w:rsidRPr="00F22F30" w:rsidRDefault="00A517B5" w:rsidP="00A517B5">
            <w:pPr>
              <w:pStyle w:val="TableBullet"/>
              <w:rPr>
                <w:szCs w:val="18"/>
              </w:rPr>
            </w:pPr>
            <w:r w:rsidRPr="00F22F30">
              <w:rPr>
                <w:szCs w:val="18"/>
              </w:rPr>
              <w:t>Any advice about how many units the client is required to surrender is out of scope of this proposal</w:t>
            </w:r>
          </w:p>
          <w:p w14:paraId="74275AEC" w14:textId="45F662A7" w:rsidR="00A517B5" w:rsidRDefault="00A517B5" w:rsidP="00A517B5">
            <w:pPr>
              <w:pStyle w:val="TableBullet"/>
              <w:rPr>
                <w:szCs w:val="18"/>
              </w:rPr>
            </w:pPr>
            <w:r w:rsidRPr="003E291C">
              <w:rPr>
                <w:szCs w:val="18"/>
              </w:rPr>
              <w:t xml:space="preserve">As part of preparing NZU financial advice, the adviser would </w:t>
            </w:r>
            <w:r w:rsidR="00A959FF" w:rsidRPr="003E291C">
              <w:rPr>
                <w:szCs w:val="18"/>
              </w:rPr>
              <w:t>consider</w:t>
            </w:r>
            <w:r w:rsidRPr="003E291C">
              <w:rPr>
                <w:szCs w:val="18"/>
              </w:rPr>
              <w:t xml:space="preserve"> information (which might be communicated by the client) about how many units the client is required to surrender</w:t>
            </w:r>
          </w:p>
          <w:p w14:paraId="24D80719" w14:textId="18337364" w:rsidR="00A517B5" w:rsidRPr="003E291C" w:rsidRDefault="00A517B5" w:rsidP="00A517B5">
            <w:pPr>
              <w:pStyle w:val="TableBullet"/>
              <w:rPr>
                <w:szCs w:val="18"/>
              </w:rPr>
            </w:pPr>
            <w:r w:rsidRPr="003E291C">
              <w:rPr>
                <w:szCs w:val="18"/>
              </w:rPr>
              <w:t xml:space="preserve">How the adviser </w:t>
            </w:r>
            <w:r w:rsidR="00A72112" w:rsidRPr="003E291C">
              <w:rPr>
                <w:szCs w:val="18"/>
              </w:rPr>
              <w:t>considers</w:t>
            </w:r>
            <w:r w:rsidRPr="003E291C">
              <w:rPr>
                <w:szCs w:val="18"/>
              </w:rPr>
              <w:t xml:space="preserve"> that information to reach recommendations about when to buy NZUs would be regulated as NZU financial advice</w:t>
            </w:r>
          </w:p>
        </w:tc>
      </w:tr>
      <w:tr w:rsidR="00A517B5" w:rsidRPr="00F22F30" w14:paraId="0E76856E" w14:textId="77777777" w:rsidTr="00AA51A6">
        <w:trPr>
          <w:cnfStyle w:val="000000010000" w:firstRow="0" w:lastRow="0" w:firstColumn="0" w:lastColumn="0" w:oddVBand="0" w:evenVBand="0" w:oddHBand="0" w:evenHBand="1" w:firstRowFirstColumn="0" w:firstRowLastColumn="0" w:lastRowFirstColumn="0" w:lastRowLastColumn="0"/>
        </w:trPr>
        <w:tc>
          <w:tcPr>
            <w:tcW w:w="494" w:type="pct"/>
          </w:tcPr>
          <w:p w14:paraId="0895FD2C" w14:textId="77777777" w:rsidR="00A517B5" w:rsidRPr="003E291C" w:rsidRDefault="00A517B5" w:rsidP="00A517B5">
            <w:pPr>
              <w:pStyle w:val="TableText"/>
              <w:rPr>
                <w:szCs w:val="18"/>
              </w:rPr>
            </w:pPr>
            <w:r w:rsidRPr="003E291C">
              <w:rPr>
                <w:szCs w:val="18"/>
              </w:rPr>
              <w:t>Any</w:t>
            </w:r>
          </w:p>
        </w:tc>
        <w:tc>
          <w:tcPr>
            <w:tcW w:w="1892" w:type="pct"/>
          </w:tcPr>
          <w:p w14:paraId="7D1E3069" w14:textId="77777777" w:rsidR="00A517B5" w:rsidRPr="003E291C" w:rsidRDefault="00A517B5" w:rsidP="00A517B5">
            <w:pPr>
              <w:pStyle w:val="TableText"/>
              <w:rPr>
                <w:szCs w:val="18"/>
              </w:rPr>
            </w:pPr>
            <w:r w:rsidRPr="003E291C">
              <w:rPr>
                <w:szCs w:val="18"/>
              </w:rPr>
              <w:t>Preparing an investment plan for a client that includes holding NZUs as part of a diversified investment portfolio, or providing advice about a managed investment product that includes holding NZUs</w:t>
            </w:r>
          </w:p>
        </w:tc>
        <w:tc>
          <w:tcPr>
            <w:tcW w:w="2613" w:type="pct"/>
          </w:tcPr>
          <w:p w14:paraId="0A342B87" w14:textId="77777777" w:rsidR="00A517B5" w:rsidRPr="00F22F30" w:rsidRDefault="00A517B5" w:rsidP="00A517B5">
            <w:pPr>
              <w:pStyle w:val="TableText"/>
              <w:rPr>
                <w:szCs w:val="18"/>
              </w:rPr>
            </w:pPr>
            <w:r w:rsidRPr="00F22F30">
              <w:rPr>
                <w:szCs w:val="18"/>
              </w:rPr>
              <w:t xml:space="preserve">Already </w:t>
            </w:r>
            <w:r w:rsidRPr="003E291C">
              <w:rPr>
                <w:szCs w:val="18"/>
              </w:rPr>
              <w:t>regulated</w:t>
            </w:r>
            <w:r w:rsidRPr="00F22F30">
              <w:rPr>
                <w:szCs w:val="18"/>
              </w:rPr>
              <w:t xml:space="preserve"> as ‘financial advice’</w:t>
            </w:r>
          </w:p>
        </w:tc>
      </w:tr>
      <w:tr w:rsidR="00A517B5" w:rsidRPr="00F22F30" w14:paraId="2992D521" w14:textId="77777777" w:rsidTr="00AA51A6">
        <w:trPr>
          <w:cnfStyle w:val="000000100000" w:firstRow="0" w:lastRow="0" w:firstColumn="0" w:lastColumn="0" w:oddVBand="0" w:evenVBand="0" w:oddHBand="1" w:evenHBand="0" w:firstRowFirstColumn="0" w:firstRowLastColumn="0" w:lastRowFirstColumn="0" w:lastRowLastColumn="0"/>
        </w:trPr>
        <w:tc>
          <w:tcPr>
            <w:tcW w:w="494" w:type="pct"/>
          </w:tcPr>
          <w:p w14:paraId="73E986F4" w14:textId="77777777" w:rsidR="00A517B5" w:rsidRPr="003E291C" w:rsidRDefault="00A517B5" w:rsidP="00A517B5">
            <w:pPr>
              <w:pStyle w:val="TableText"/>
              <w:rPr>
                <w:szCs w:val="18"/>
              </w:rPr>
            </w:pPr>
            <w:r w:rsidRPr="003E291C">
              <w:rPr>
                <w:szCs w:val="18"/>
              </w:rPr>
              <w:t>Any</w:t>
            </w:r>
          </w:p>
        </w:tc>
        <w:tc>
          <w:tcPr>
            <w:tcW w:w="1892" w:type="pct"/>
          </w:tcPr>
          <w:p w14:paraId="60EB2F1B" w14:textId="77777777" w:rsidR="00A517B5" w:rsidRPr="003E291C" w:rsidRDefault="00A517B5" w:rsidP="00A517B5">
            <w:pPr>
              <w:pStyle w:val="TableText"/>
              <w:rPr>
                <w:szCs w:val="18"/>
              </w:rPr>
            </w:pPr>
            <w:r w:rsidRPr="003E291C">
              <w:rPr>
                <w:szCs w:val="18"/>
              </w:rPr>
              <w:t>Analysis of a company’s emissions profile, developing estimates for future NZU surrender obligations, and the design of a strategy to buy and sell NZUs to mitigate financial risk</w:t>
            </w:r>
          </w:p>
        </w:tc>
        <w:tc>
          <w:tcPr>
            <w:tcW w:w="2613" w:type="pct"/>
          </w:tcPr>
          <w:p w14:paraId="397B1160" w14:textId="77777777" w:rsidR="00A517B5" w:rsidRPr="003E291C" w:rsidRDefault="00A517B5" w:rsidP="00A517B5">
            <w:pPr>
              <w:pStyle w:val="TableText"/>
              <w:rPr>
                <w:szCs w:val="18"/>
              </w:rPr>
            </w:pPr>
            <w:r w:rsidRPr="003E291C">
              <w:rPr>
                <w:szCs w:val="18"/>
              </w:rPr>
              <w:t>Partly regulated as NZU financial advice</w:t>
            </w:r>
          </w:p>
          <w:p w14:paraId="41565F4D" w14:textId="77777777" w:rsidR="00A517B5" w:rsidRPr="003E291C" w:rsidRDefault="00A517B5" w:rsidP="00A517B5">
            <w:pPr>
              <w:pStyle w:val="TableBullet"/>
            </w:pPr>
            <w:r w:rsidRPr="003E291C">
              <w:t>The advice that applies CCRA obligations to calculate surrender obligations is out of scope of this proposal</w:t>
            </w:r>
            <w:r>
              <w:t>, but t</w:t>
            </w:r>
            <w:r w:rsidRPr="003E291C">
              <w:t>he strategy to buy and sell NZUs is regulated as NZU financial advice</w:t>
            </w:r>
          </w:p>
        </w:tc>
      </w:tr>
    </w:tbl>
    <w:p w14:paraId="010729C2" w14:textId="77777777" w:rsidR="00A517B5" w:rsidRPr="00747EF6" w:rsidRDefault="00A517B5" w:rsidP="00FB6809">
      <w:pPr>
        <w:pStyle w:val="BodyText"/>
        <w:rPr>
          <w:b/>
          <w:bCs/>
        </w:rPr>
      </w:pPr>
    </w:p>
    <w:tbl>
      <w:tblPr>
        <w:tblStyle w:val="TableGrid"/>
        <w:tblW w:w="493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8400"/>
      </w:tblGrid>
      <w:tr w:rsidR="00A517B5" w:rsidRPr="00747EF6" w14:paraId="68DD5C42" w14:textId="77777777" w:rsidTr="00AA51A6">
        <w:tc>
          <w:tcPr>
            <w:tcW w:w="5000" w:type="pct"/>
            <w:shd w:val="clear" w:color="auto" w:fill="D2DDE2"/>
          </w:tcPr>
          <w:p w14:paraId="51D9EEEE" w14:textId="77777777" w:rsidR="00A517B5" w:rsidRPr="00AA51A6" w:rsidRDefault="00A517B5" w:rsidP="00AA51A6">
            <w:pPr>
              <w:pStyle w:val="Blueboxtext"/>
              <w:spacing w:after="0"/>
              <w:rPr>
                <w:b/>
                <w:bCs/>
              </w:rPr>
            </w:pPr>
            <w:r w:rsidRPr="00AA51A6">
              <w:rPr>
                <w:b/>
                <w:bCs/>
              </w:rPr>
              <w:t>Question 25</w:t>
            </w:r>
          </w:p>
          <w:p w14:paraId="30AFF1D6" w14:textId="624FD56C" w:rsidR="00A517B5" w:rsidRPr="00AA51A6" w:rsidRDefault="00A517B5" w:rsidP="00AA51A6">
            <w:pPr>
              <w:pStyle w:val="Blueboxtext"/>
            </w:pPr>
            <w:r w:rsidRPr="009F244B">
              <w:rPr>
                <w:lang w:eastAsia="en-US"/>
              </w:rPr>
              <w:t xml:space="preserve">Do you agree that the </w:t>
            </w:r>
            <w:r w:rsidRPr="00AA51A6">
              <w:rPr>
                <w:lang w:eastAsia="en-US"/>
              </w:rPr>
              <w:t>‘</w:t>
            </w:r>
            <w:r w:rsidRPr="009F244B">
              <w:rPr>
                <w:lang w:eastAsia="en-US"/>
              </w:rPr>
              <w:t>NZU financial advice</w:t>
            </w:r>
            <w:r w:rsidRPr="00AA51A6">
              <w:rPr>
                <w:lang w:eastAsia="en-US"/>
              </w:rPr>
              <w:t>’</w:t>
            </w:r>
            <w:r w:rsidRPr="009F244B">
              <w:rPr>
                <w:lang w:eastAsia="en-US"/>
              </w:rPr>
              <w:t xml:space="preserve"> described </w:t>
            </w:r>
            <w:r w:rsidRPr="00AA51A6">
              <w:rPr>
                <w:lang w:eastAsia="en-US"/>
              </w:rPr>
              <w:t xml:space="preserve">in the section </w:t>
            </w:r>
            <w:r w:rsidRPr="009F244B">
              <w:rPr>
                <w:lang w:eastAsia="en-US"/>
              </w:rPr>
              <w:t>‘</w:t>
            </w:r>
            <w:r w:rsidRPr="00AA51A6">
              <w:rPr>
                <w:lang w:eastAsia="en-US"/>
              </w:rPr>
              <w:fldChar w:fldCharType="begin"/>
            </w:r>
            <w:r w:rsidRPr="00AA51A6">
              <w:rPr>
                <w:lang w:eastAsia="en-US"/>
              </w:rPr>
              <w:instrText xml:space="preserve"> REF _Ref118463047 \h  \* MERGEFORMAT </w:instrText>
            </w:r>
            <w:r w:rsidRPr="00AA51A6">
              <w:rPr>
                <w:lang w:eastAsia="en-US"/>
              </w:rPr>
            </w:r>
            <w:r w:rsidRPr="00AA51A6">
              <w:rPr>
                <w:lang w:eastAsia="en-US"/>
              </w:rPr>
              <w:fldChar w:fldCharType="separate"/>
            </w:r>
            <w:r w:rsidR="00C67DAB" w:rsidRPr="00747EF6">
              <w:t>What is intended to be ‘NZU financial advice’?</w:t>
            </w:r>
            <w:r w:rsidRPr="00AA51A6">
              <w:rPr>
                <w:lang w:eastAsia="en-US"/>
              </w:rPr>
              <w:fldChar w:fldCharType="end"/>
            </w:r>
            <w:r w:rsidRPr="00AA51A6">
              <w:rPr>
                <w:lang w:eastAsia="en-US"/>
              </w:rPr>
              <w:t>’</w:t>
            </w:r>
            <w:r w:rsidRPr="009F244B" w:rsidDel="001B3F6E">
              <w:rPr>
                <w:lang w:eastAsia="en-US"/>
              </w:rPr>
              <w:t xml:space="preserve"> </w:t>
            </w:r>
            <w:r w:rsidRPr="009F244B">
              <w:rPr>
                <w:lang w:eastAsia="en-US"/>
              </w:rPr>
              <w:t>is the type of advice that should be regulated?</w:t>
            </w:r>
            <w:r w:rsidRPr="00AA51A6">
              <w:rPr>
                <w:lang w:eastAsia="en-US"/>
              </w:rPr>
              <w:t xml:space="preserve"> (</w:t>
            </w:r>
            <w:r w:rsidR="00DD1318">
              <w:rPr>
                <w:lang w:eastAsia="en-US"/>
              </w:rPr>
              <w:t xml:space="preserve">Table </w:t>
            </w:r>
            <w:r w:rsidRPr="00AA51A6">
              <w:rPr>
                <w:lang w:eastAsia="en-US"/>
              </w:rPr>
              <w:fldChar w:fldCharType="begin"/>
            </w:r>
            <w:r w:rsidRPr="00AA51A6">
              <w:rPr>
                <w:lang w:eastAsia="en-US"/>
              </w:rPr>
              <w:instrText xml:space="preserve"> REF _Ref118462599 \h  \* MERGEFORMAT </w:instrText>
            </w:r>
            <w:r w:rsidRPr="00AA51A6">
              <w:rPr>
                <w:lang w:eastAsia="en-US"/>
              </w:rPr>
            </w:r>
            <w:r w:rsidRPr="00AA51A6">
              <w:rPr>
                <w:lang w:eastAsia="en-US"/>
              </w:rPr>
              <w:fldChar w:fldCharType="separate"/>
            </w:r>
            <w:r w:rsidR="00C67DAB">
              <w:t>11</w:t>
            </w:r>
            <w:r w:rsidRPr="00AA51A6">
              <w:rPr>
                <w:lang w:eastAsia="en-US"/>
              </w:rPr>
              <w:fldChar w:fldCharType="end"/>
            </w:r>
            <w:r w:rsidRPr="00AA51A6">
              <w:rPr>
                <w:lang w:eastAsia="en-US"/>
              </w:rPr>
              <w:t xml:space="preserve"> provides examples.)</w:t>
            </w:r>
          </w:p>
        </w:tc>
      </w:tr>
    </w:tbl>
    <w:p w14:paraId="0F292EB0" w14:textId="5C528572" w:rsidR="00A517B5" w:rsidRPr="00747EF6" w:rsidRDefault="00FA0B3D" w:rsidP="00A517B5">
      <w:pPr>
        <w:pStyle w:val="BodyText"/>
        <w:rPr>
          <w:rFonts w:ascii="Arial" w:hAnsi="Arial"/>
          <w:sz w:val="20"/>
          <w:szCs w:val="20"/>
          <w:lang w:eastAsia="en-GB"/>
        </w:rPr>
      </w:pPr>
      <w:r>
        <w:t xml:space="preserve">Table </w:t>
      </w:r>
      <w:r w:rsidR="00A517B5">
        <w:fldChar w:fldCharType="begin"/>
      </w:r>
      <w:r w:rsidR="00A517B5">
        <w:instrText xml:space="preserve"> REF _Ref118463399 \h </w:instrText>
      </w:r>
      <w:r w:rsidR="00A517B5">
        <w:fldChar w:fldCharType="separate"/>
      </w:r>
      <w:r w:rsidR="00C67DAB">
        <w:rPr>
          <w:noProof/>
        </w:rPr>
        <w:t>12</w:t>
      </w:r>
      <w:r w:rsidR="00A517B5">
        <w:fldChar w:fldCharType="end"/>
      </w:r>
      <w:r w:rsidR="00A517B5">
        <w:t xml:space="preserve"> </w:t>
      </w:r>
      <w:r w:rsidR="00A517B5" w:rsidRPr="00747EF6">
        <w:t xml:space="preserve">and its scenarios </w:t>
      </w:r>
      <w:r w:rsidR="00A517B5">
        <w:t>are</w:t>
      </w:r>
      <w:r w:rsidR="00A517B5" w:rsidRPr="00747EF6">
        <w:t xml:space="preserve"> examples of advice we do not intend to regulate as NZU financial advice.</w:t>
      </w:r>
    </w:p>
    <w:p w14:paraId="39F0E031" w14:textId="77777777" w:rsidR="00A517B5" w:rsidRDefault="00A517B5" w:rsidP="00A517B5">
      <w:pPr>
        <w:pStyle w:val="Tableheading"/>
      </w:pPr>
      <w:bookmarkStart w:id="112" w:name="_Toc118953830"/>
      <w:r w:rsidDel="003253B3">
        <w:t xml:space="preserve">Table </w:t>
      </w:r>
      <w:bookmarkStart w:id="113" w:name="_Ref118463399"/>
      <w:r>
        <w:fldChar w:fldCharType="begin"/>
      </w:r>
      <w:r>
        <w:instrText xml:space="preserve"> SEQ Table \* ARABIC </w:instrText>
      </w:r>
      <w:r>
        <w:fldChar w:fldCharType="separate"/>
      </w:r>
      <w:r w:rsidR="00C67DAB">
        <w:rPr>
          <w:noProof/>
        </w:rPr>
        <w:t>12</w:t>
      </w:r>
      <w:r>
        <w:fldChar w:fldCharType="end"/>
      </w:r>
      <w:bookmarkEnd w:id="113"/>
      <w:r>
        <w:t xml:space="preserve">: </w:t>
      </w:r>
      <w:r>
        <w:tab/>
        <w:t>Examples of advice excluded from the proposed definition of NZU financial advice</w:t>
      </w:r>
      <w:bookmarkEnd w:id="112"/>
    </w:p>
    <w:tbl>
      <w:tblPr>
        <w:tblStyle w:val="MinistryfortheEnvironment"/>
        <w:tblW w:w="4938" w:type="pct"/>
        <w:tblInd w:w="108" w:type="dxa"/>
        <w:tblLook w:val="04A0" w:firstRow="1" w:lastRow="0" w:firstColumn="1" w:lastColumn="0" w:noHBand="0" w:noVBand="1"/>
      </w:tblPr>
      <w:tblGrid>
        <w:gridCol w:w="1438"/>
        <w:gridCol w:w="3419"/>
        <w:gridCol w:w="3543"/>
      </w:tblGrid>
      <w:tr w:rsidR="00A517B5" w:rsidRPr="00747EF6" w14:paraId="0032246A" w14:textId="77777777" w:rsidTr="00AA51A6">
        <w:trPr>
          <w:cnfStyle w:val="100000000000" w:firstRow="1" w:lastRow="0" w:firstColumn="0" w:lastColumn="0" w:oddVBand="0" w:evenVBand="0" w:oddHBand="0" w:evenHBand="0" w:firstRowFirstColumn="0" w:firstRowLastColumn="0" w:lastRowFirstColumn="0" w:lastRowLastColumn="0"/>
        </w:trPr>
        <w:tc>
          <w:tcPr>
            <w:tcW w:w="835" w:type="pct"/>
            <w:shd w:val="clear" w:color="auto" w:fill="1C556C"/>
          </w:tcPr>
          <w:p w14:paraId="68D591DD" w14:textId="77777777" w:rsidR="00A517B5" w:rsidRPr="00747EF6" w:rsidRDefault="00A517B5" w:rsidP="00A517B5">
            <w:pPr>
              <w:pStyle w:val="TableText"/>
            </w:pPr>
            <w:r w:rsidRPr="00747EF6">
              <w:t>Sector</w:t>
            </w:r>
          </w:p>
        </w:tc>
        <w:tc>
          <w:tcPr>
            <w:tcW w:w="2046" w:type="pct"/>
            <w:shd w:val="clear" w:color="auto" w:fill="1C556C"/>
          </w:tcPr>
          <w:p w14:paraId="6449B1DC" w14:textId="77777777" w:rsidR="00A517B5" w:rsidRPr="00747EF6" w:rsidRDefault="00A517B5" w:rsidP="00A517B5">
            <w:pPr>
              <w:pStyle w:val="TableText"/>
            </w:pPr>
            <w:r w:rsidRPr="00747EF6">
              <w:t>Activity</w:t>
            </w:r>
          </w:p>
        </w:tc>
        <w:tc>
          <w:tcPr>
            <w:tcW w:w="2119" w:type="pct"/>
            <w:shd w:val="clear" w:color="auto" w:fill="1C556C"/>
          </w:tcPr>
          <w:p w14:paraId="7A39384F" w14:textId="77777777" w:rsidR="00A517B5" w:rsidRPr="00747EF6" w:rsidRDefault="00A517B5" w:rsidP="00A517B5">
            <w:pPr>
              <w:pStyle w:val="TableText"/>
            </w:pPr>
            <w:r w:rsidRPr="00747EF6">
              <w:t>Outcome</w:t>
            </w:r>
          </w:p>
        </w:tc>
      </w:tr>
      <w:tr w:rsidR="00A517B5" w:rsidRPr="00747EF6" w14:paraId="5809FA00" w14:textId="77777777" w:rsidTr="00AA51A6">
        <w:trPr>
          <w:cnfStyle w:val="000000100000" w:firstRow="0" w:lastRow="0" w:firstColumn="0" w:lastColumn="0" w:oddVBand="0" w:evenVBand="0" w:oddHBand="1" w:evenHBand="0" w:firstRowFirstColumn="0" w:firstRowLastColumn="0" w:lastRowFirstColumn="0" w:lastRowLastColumn="0"/>
        </w:trPr>
        <w:tc>
          <w:tcPr>
            <w:tcW w:w="835" w:type="pct"/>
            <w:vMerge w:val="restart"/>
            <w:vAlign w:val="center"/>
          </w:tcPr>
          <w:p w14:paraId="1EABB7C6" w14:textId="77777777" w:rsidR="00A517B5" w:rsidRPr="00747EF6" w:rsidRDefault="00A517B5" w:rsidP="00A517B5">
            <w:pPr>
              <w:pStyle w:val="TableText"/>
            </w:pPr>
            <w:r w:rsidRPr="00747EF6">
              <w:t>Forestry</w:t>
            </w:r>
          </w:p>
        </w:tc>
        <w:tc>
          <w:tcPr>
            <w:tcW w:w="2046" w:type="pct"/>
          </w:tcPr>
          <w:p w14:paraId="3CB5E26D" w14:textId="77777777" w:rsidR="00A517B5" w:rsidRPr="00747EF6" w:rsidRDefault="00A517B5" w:rsidP="00A517B5">
            <w:pPr>
              <w:pStyle w:val="TableText"/>
            </w:pPr>
            <w:r w:rsidRPr="00747EF6">
              <w:t>Providing advice about NZU entitlement and surrender obligations for a post-1989 forestry block</w:t>
            </w:r>
          </w:p>
        </w:tc>
        <w:tc>
          <w:tcPr>
            <w:tcW w:w="2119" w:type="pct"/>
          </w:tcPr>
          <w:p w14:paraId="28BC3A01" w14:textId="6B68D9AF" w:rsidR="00A517B5" w:rsidRPr="00747EF6" w:rsidRDefault="00A517B5" w:rsidP="00A517B5">
            <w:pPr>
              <w:pStyle w:val="TableText"/>
            </w:pPr>
            <w:r w:rsidRPr="00747EF6">
              <w:t>Regulated as a forestry adviser service under the Forest</w:t>
            </w:r>
            <w:r>
              <w:t>s</w:t>
            </w:r>
            <w:r w:rsidRPr="00747EF6">
              <w:t xml:space="preserve"> Act 1949 and not intended to be regulated as NZU financial advice</w:t>
            </w:r>
          </w:p>
        </w:tc>
      </w:tr>
      <w:tr w:rsidR="00A517B5" w:rsidRPr="00747EF6" w14:paraId="71705AF6" w14:textId="77777777" w:rsidTr="00AA51A6">
        <w:trPr>
          <w:cnfStyle w:val="000000010000" w:firstRow="0" w:lastRow="0" w:firstColumn="0" w:lastColumn="0" w:oddVBand="0" w:evenVBand="0" w:oddHBand="0" w:evenHBand="1" w:firstRowFirstColumn="0" w:firstRowLastColumn="0" w:lastRowFirstColumn="0" w:lastRowLastColumn="0"/>
        </w:trPr>
        <w:tc>
          <w:tcPr>
            <w:tcW w:w="835" w:type="pct"/>
            <w:vMerge/>
          </w:tcPr>
          <w:p w14:paraId="11C8B056" w14:textId="77777777" w:rsidR="00A517B5" w:rsidRPr="00747EF6" w:rsidRDefault="00A517B5" w:rsidP="00A517B5">
            <w:pPr>
              <w:pStyle w:val="TableText"/>
            </w:pPr>
          </w:p>
        </w:tc>
        <w:tc>
          <w:tcPr>
            <w:tcW w:w="2046" w:type="pct"/>
          </w:tcPr>
          <w:p w14:paraId="5B21A104" w14:textId="77777777" w:rsidR="00A517B5" w:rsidRPr="00747EF6" w:rsidRDefault="00A517B5" w:rsidP="00A517B5">
            <w:pPr>
              <w:pStyle w:val="TableText"/>
            </w:pPr>
            <w:r w:rsidRPr="00747EF6">
              <w:t>Calculating and modelling the economic potential of different tree species, or future revenue from timber and NZUs</w:t>
            </w:r>
          </w:p>
        </w:tc>
        <w:tc>
          <w:tcPr>
            <w:tcW w:w="2119" w:type="pct"/>
          </w:tcPr>
          <w:p w14:paraId="342B0520" w14:textId="3073FD3F" w:rsidR="00A517B5" w:rsidRPr="00747EF6" w:rsidRDefault="00A517B5" w:rsidP="00A517B5">
            <w:pPr>
              <w:pStyle w:val="TableText"/>
            </w:pPr>
            <w:r w:rsidRPr="00747EF6">
              <w:t>Regulated as a forestry adviser service under the Forest</w:t>
            </w:r>
            <w:r>
              <w:t>s</w:t>
            </w:r>
            <w:r w:rsidRPr="00747EF6">
              <w:t xml:space="preserve"> Act 1949 and not intended to be regulated as NZU financial advice</w:t>
            </w:r>
          </w:p>
        </w:tc>
      </w:tr>
      <w:tr w:rsidR="00A517B5" w:rsidRPr="00747EF6" w14:paraId="5C53D49A" w14:textId="77777777" w:rsidTr="00AA51A6">
        <w:trPr>
          <w:cnfStyle w:val="000000100000" w:firstRow="0" w:lastRow="0" w:firstColumn="0" w:lastColumn="0" w:oddVBand="0" w:evenVBand="0" w:oddHBand="1" w:evenHBand="0" w:firstRowFirstColumn="0" w:firstRowLastColumn="0" w:lastRowFirstColumn="0" w:lastRowLastColumn="0"/>
        </w:trPr>
        <w:tc>
          <w:tcPr>
            <w:tcW w:w="835" w:type="pct"/>
          </w:tcPr>
          <w:p w14:paraId="7E5E945D" w14:textId="77777777" w:rsidR="00A517B5" w:rsidRPr="00747EF6" w:rsidRDefault="00A517B5" w:rsidP="00A517B5">
            <w:pPr>
              <w:pStyle w:val="TableText"/>
            </w:pPr>
            <w:r w:rsidRPr="00747EF6">
              <w:t>Forestry/emitter</w:t>
            </w:r>
          </w:p>
        </w:tc>
        <w:tc>
          <w:tcPr>
            <w:tcW w:w="2046" w:type="pct"/>
          </w:tcPr>
          <w:p w14:paraId="0D6E9D83" w14:textId="0D9F4A1C" w:rsidR="00A517B5" w:rsidRPr="00747EF6" w:rsidRDefault="00A517B5" w:rsidP="00A517B5">
            <w:pPr>
              <w:pStyle w:val="TableText"/>
            </w:pPr>
            <w:r w:rsidRPr="00747EF6">
              <w:t xml:space="preserve">Giving advice that a person does not hold </w:t>
            </w:r>
            <w:proofErr w:type="gramStart"/>
            <w:r w:rsidRPr="00747EF6">
              <w:t>a sufficient number of</w:t>
            </w:r>
            <w:proofErr w:type="gramEnd"/>
            <w:r w:rsidRPr="00747EF6">
              <w:t xml:space="preserve"> NZUs to meet their surrender obligation</w:t>
            </w:r>
          </w:p>
        </w:tc>
        <w:tc>
          <w:tcPr>
            <w:tcW w:w="2119" w:type="pct"/>
          </w:tcPr>
          <w:p w14:paraId="679D6974" w14:textId="77777777" w:rsidR="00A517B5" w:rsidRPr="00747EF6" w:rsidRDefault="00A517B5" w:rsidP="00A517B5">
            <w:pPr>
              <w:pStyle w:val="TableText"/>
            </w:pPr>
            <w:r w:rsidRPr="00747EF6">
              <w:t>Not intended to be NZU financial advice</w:t>
            </w:r>
          </w:p>
          <w:p w14:paraId="1CE37031" w14:textId="77777777" w:rsidR="00A517B5" w:rsidRPr="00747EF6" w:rsidRDefault="00A517B5" w:rsidP="00A517B5">
            <w:pPr>
              <w:pStyle w:val="TableBullet"/>
            </w:pPr>
            <w:r w:rsidRPr="00747EF6">
              <w:t>However, any advice regarding a strategy to buy and sell NZUs is intended to be regulated as NZU financial advice</w:t>
            </w:r>
          </w:p>
        </w:tc>
      </w:tr>
      <w:tr w:rsidR="00A517B5" w:rsidRPr="00747EF6" w14:paraId="3CAED01D" w14:textId="77777777" w:rsidTr="00AA51A6">
        <w:trPr>
          <w:cnfStyle w:val="000000010000" w:firstRow="0" w:lastRow="0" w:firstColumn="0" w:lastColumn="0" w:oddVBand="0" w:evenVBand="0" w:oddHBand="0" w:evenHBand="1" w:firstRowFirstColumn="0" w:firstRowLastColumn="0" w:lastRowFirstColumn="0" w:lastRowLastColumn="0"/>
        </w:trPr>
        <w:tc>
          <w:tcPr>
            <w:tcW w:w="835" w:type="pct"/>
          </w:tcPr>
          <w:p w14:paraId="170FF8C1" w14:textId="77777777" w:rsidR="00A517B5" w:rsidRPr="00747EF6" w:rsidRDefault="00A517B5" w:rsidP="00A517B5">
            <w:pPr>
              <w:pStyle w:val="TableText"/>
            </w:pPr>
            <w:r w:rsidRPr="00747EF6">
              <w:t>Emitter</w:t>
            </w:r>
          </w:p>
        </w:tc>
        <w:tc>
          <w:tcPr>
            <w:tcW w:w="2046" w:type="pct"/>
          </w:tcPr>
          <w:p w14:paraId="5AC6D1AA" w14:textId="77777777" w:rsidR="00A517B5" w:rsidRPr="00747EF6" w:rsidRDefault="00A517B5" w:rsidP="00A517B5">
            <w:pPr>
              <w:pStyle w:val="TableText"/>
            </w:pPr>
            <w:r w:rsidRPr="00747EF6">
              <w:t xml:space="preserve">Carrying out an assessment of </w:t>
            </w:r>
            <w:r>
              <w:t xml:space="preserve">a </w:t>
            </w:r>
            <w:r w:rsidRPr="00747EF6">
              <w:t xml:space="preserve">future emissions profile and devising an estimate of the required number of NZUs to meet surrender obligations over </w:t>
            </w:r>
            <w:proofErr w:type="gramStart"/>
            <w:r w:rsidRPr="00747EF6">
              <w:t>a period of time</w:t>
            </w:r>
            <w:proofErr w:type="gramEnd"/>
          </w:p>
        </w:tc>
        <w:tc>
          <w:tcPr>
            <w:tcW w:w="2119" w:type="pct"/>
          </w:tcPr>
          <w:p w14:paraId="18664086" w14:textId="77777777" w:rsidR="00A517B5" w:rsidRDefault="00A517B5" w:rsidP="00A517B5">
            <w:pPr>
              <w:pStyle w:val="TableText"/>
            </w:pPr>
            <w:r w:rsidRPr="00747EF6">
              <w:t>Not intended to be NZU financial advice</w:t>
            </w:r>
          </w:p>
          <w:p w14:paraId="25C61F63" w14:textId="77777777" w:rsidR="00A517B5" w:rsidRPr="00747EF6" w:rsidRDefault="00A517B5" w:rsidP="00A517B5">
            <w:pPr>
              <w:pStyle w:val="TableBullet"/>
            </w:pPr>
            <w:r w:rsidRPr="00747EF6">
              <w:t>This activity does not relate to making an ‘investment’ in NZUs</w:t>
            </w:r>
          </w:p>
        </w:tc>
      </w:tr>
      <w:tr w:rsidR="00A517B5" w:rsidRPr="00747EF6" w14:paraId="6AB30408" w14:textId="77777777" w:rsidTr="00AA51A6">
        <w:trPr>
          <w:cnfStyle w:val="000000100000" w:firstRow="0" w:lastRow="0" w:firstColumn="0" w:lastColumn="0" w:oddVBand="0" w:evenVBand="0" w:oddHBand="1" w:evenHBand="0" w:firstRowFirstColumn="0" w:firstRowLastColumn="0" w:lastRowFirstColumn="0" w:lastRowLastColumn="0"/>
        </w:trPr>
        <w:tc>
          <w:tcPr>
            <w:tcW w:w="835" w:type="pct"/>
          </w:tcPr>
          <w:p w14:paraId="1972B663" w14:textId="77777777" w:rsidR="00A517B5" w:rsidRPr="00747EF6" w:rsidRDefault="00A517B5" w:rsidP="00A517B5">
            <w:pPr>
              <w:pStyle w:val="TableText"/>
            </w:pPr>
            <w:r w:rsidRPr="00747EF6">
              <w:t>Investor/trader</w:t>
            </w:r>
          </w:p>
        </w:tc>
        <w:tc>
          <w:tcPr>
            <w:tcW w:w="2046" w:type="pct"/>
          </w:tcPr>
          <w:p w14:paraId="60CBC33D" w14:textId="77777777" w:rsidR="00A517B5" w:rsidRPr="00747EF6" w:rsidRDefault="00A517B5" w:rsidP="00A517B5">
            <w:pPr>
              <w:pStyle w:val="TableText"/>
            </w:pPr>
            <w:r w:rsidRPr="00747EF6">
              <w:t>Providing information about how to access the primary or secondary market to trade NZUs</w:t>
            </w:r>
          </w:p>
        </w:tc>
        <w:tc>
          <w:tcPr>
            <w:tcW w:w="2119" w:type="pct"/>
          </w:tcPr>
          <w:p w14:paraId="040DDBBF" w14:textId="77777777" w:rsidR="00A517B5" w:rsidRDefault="00A517B5" w:rsidP="00A517B5">
            <w:pPr>
              <w:pStyle w:val="TableText"/>
            </w:pPr>
            <w:r w:rsidRPr="00747EF6">
              <w:t>Not intended to be NZU financial advice</w:t>
            </w:r>
          </w:p>
          <w:p w14:paraId="22B3E709" w14:textId="77777777" w:rsidR="00A517B5" w:rsidRPr="00747EF6" w:rsidRDefault="00A517B5" w:rsidP="00A517B5">
            <w:pPr>
              <w:pStyle w:val="TableBullet"/>
            </w:pPr>
            <w:r w:rsidRPr="00747EF6">
              <w:t xml:space="preserve">It is </w:t>
            </w:r>
            <w:proofErr w:type="gramStart"/>
            <w:r w:rsidRPr="00747EF6">
              <w:t>factual information</w:t>
            </w:r>
            <w:proofErr w:type="gramEnd"/>
            <w:r w:rsidRPr="00747EF6">
              <w:t xml:space="preserve"> and </w:t>
            </w:r>
            <w:r>
              <w:t xml:space="preserve">is </w:t>
            </w:r>
            <w:r w:rsidRPr="00747EF6">
              <w:t>therefore excluded from the FMC Act scope of financial advice</w:t>
            </w:r>
          </w:p>
        </w:tc>
      </w:tr>
      <w:tr w:rsidR="00A517B5" w:rsidRPr="00747EF6" w14:paraId="4599BB3F" w14:textId="77777777" w:rsidTr="00AA51A6">
        <w:trPr>
          <w:cnfStyle w:val="000000010000" w:firstRow="0" w:lastRow="0" w:firstColumn="0" w:lastColumn="0" w:oddVBand="0" w:evenVBand="0" w:oddHBand="0" w:evenHBand="1" w:firstRowFirstColumn="0" w:firstRowLastColumn="0" w:lastRowFirstColumn="0" w:lastRowLastColumn="0"/>
        </w:trPr>
        <w:tc>
          <w:tcPr>
            <w:tcW w:w="835" w:type="pct"/>
          </w:tcPr>
          <w:p w14:paraId="70AE96D9" w14:textId="77777777" w:rsidR="00A517B5" w:rsidRPr="00747EF6" w:rsidRDefault="00A517B5" w:rsidP="00A517B5">
            <w:pPr>
              <w:pStyle w:val="TableText"/>
            </w:pPr>
            <w:r w:rsidRPr="00747EF6">
              <w:t>Any</w:t>
            </w:r>
          </w:p>
        </w:tc>
        <w:tc>
          <w:tcPr>
            <w:tcW w:w="2046" w:type="pct"/>
          </w:tcPr>
          <w:p w14:paraId="74DDEAE8" w14:textId="77777777" w:rsidR="00A517B5" w:rsidRPr="00747EF6" w:rsidRDefault="00A517B5" w:rsidP="00A517B5">
            <w:pPr>
              <w:pStyle w:val="TableText"/>
            </w:pPr>
            <w:r w:rsidRPr="00747EF6">
              <w:t>Summarising price forecasts and information about NZUs from Climate Change Commission reports</w:t>
            </w:r>
          </w:p>
        </w:tc>
        <w:tc>
          <w:tcPr>
            <w:tcW w:w="2119" w:type="pct"/>
          </w:tcPr>
          <w:p w14:paraId="0089ABAA" w14:textId="77777777" w:rsidR="00A517B5" w:rsidRDefault="00A517B5" w:rsidP="00A517B5">
            <w:pPr>
              <w:pStyle w:val="TableText"/>
            </w:pPr>
            <w:r w:rsidRPr="00747EF6">
              <w:t>Not intended to be NZU financial advice</w:t>
            </w:r>
          </w:p>
          <w:p w14:paraId="3C8B4318" w14:textId="77777777" w:rsidR="00A517B5" w:rsidRPr="00747EF6" w:rsidRDefault="00A517B5" w:rsidP="00A517B5">
            <w:pPr>
              <w:pStyle w:val="TableBullet"/>
            </w:pPr>
            <w:r w:rsidRPr="00747EF6">
              <w:t xml:space="preserve">This is publicly available information and </w:t>
            </w:r>
            <w:r>
              <w:t xml:space="preserve">is </w:t>
            </w:r>
            <w:r w:rsidRPr="00747EF6">
              <w:t>therefore excluded from the FMC Act scope of financial advice</w:t>
            </w:r>
          </w:p>
        </w:tc>
      </w:tr>
    </w:tbl>
    <w:p w14:paraId="35B148CA" w14:textId="77777777" w:rsidR="00AA51A6" w:rsidRPr="00747EF6" w:rsidRDefault="00AA51A6" w:rsidP="00A517B5">
      <w:pPr>
        <w:pStyle w:val="BodyText"/>
      </w:pPr>
    </w:p>
    <w:tbl>
      <w:tblPr>
        <w:tblStyle w:val="TableGrid"/>
        <w:tblW w:w="493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8400"/>
      </w:tblGrid>
      <w:tr w:rsidR="00A517B5" w:rsidRPr="00747EF6" w14:paraId="7CCD1E75" w14:textId="77777777" w:rsidTr="00AA51A6">
        <w:tc>
          <w:tcPr>
            <w:tcW w:w="5000" w:type="pct"/>
            <w:shd w:val="clear" w:color="auto" w:fill="D2DDE2"/>
          </w:tcPr>
          <w:p w14:paraId="1EA855F0" w14:textId="77777777" w:rsidR="00AA51A6" w:rsidRPr="00AA51A6" w:rsidRDefault="00AA51A6" w:rsidP="00AA51A6">
            <w:pPr>
              <w:pStyle w:val="Blueboxtext"/>
              <w:spacing w:after="0"/>
              <w:rPr>
                <w:b/>
                <w:bCs/>
              </w:rPr>
            </w:pPr>
            <w:r w:rsidRPr="00AA51A6">
              <w:rPr>
                <w:b/>
                <w:bCs/>
              </w:rPr>
              <w:t>Question 26</w:t>
            </w:r>
          </w:p>
          <w:p w14:paraId="3AF5A524" w14:textId="5C8E6B54" w:rsidR="00AA51A6" w:rsidRPr="00BB53E3" w:rsidRDefault="00AA51A6" w:rsidP="00AA51A6">
            <w:pPr>
              <w:pStyle w:val="Blueboxtext"/>
              <w:rPr>
                <w:bCs/>
              </w:rPr>
            </w:pPr>
            <w:r w:rsidRPr="00AA51A6">
              <w:t>Do you agree that the advice excluded from the proposed definition of NZU financial advice is the type of advice that should not be regulated? (</w:t>
            </w:r>
            <w:r w:rsidR="00867D15">
              <w:t>Table</w:t>
            </w:r>
            <w:r w:rsidR="00886AFF">
              <w:t xml:space="preserve"> 12</w:t>
            </w:r>
            <w:r w:rsidR="00867D15">
              <w:t xml:space="preserve"> </w:t>
            </w:r>
            <w:r w:rsidRPr="00AA51A6">
              <w:t>provides examples.)</w:t>
            </w:r>
          </w:p>
        </w:tc>
      </w:tr>
    </w:tbl>
    <w:p w14:paraId="64165A2D" w14:textId="77777777" w:rsidR="00A517B5" w:rsidRPr="00747EF6" w:rsidRDefault="00A517B5" w:rsidP="00A517B5">
      <w:pPr>
        <w:pStyle w:val="Heading4"/>
        <w:rPr>
          <w:rFonts w:cs="Calibri"/>
          <w:color w:val="000000"/>
          <w:shd w:val="clear" w:color="auto" w:fill="FFFFFF"/>
        </w:rPr>
      </w:pPr>
      <w:r w:rsidRPr="00747EF6">
        <w:t>A ‘forestry adviser service’ and ‘NZU financial advice’ do not overlap</w:t>
      </w:r>
    </w:p>
    <w:p w14:paraId="488E4AF0" w14:textId="77777777" w:rsidR="00A517B5" w:rsidRPr="00747EF6" w:rsidRDefault="00A517B5" w:rsidP="00A517B5">
      <w:pPr>
        <w:pStyle w:val="BodyText"/>
      </w:pPr>
      <w:r w:rsidRPr="00747EF6">
        <w:t>The proposal to make financial advice relating to NZUs a form of financial advice would mean that only financial advisers could give financial advice relating to NZUs</w:t>
      </w:r>
      <w:r>
        <w:t>,</w:t>
      </w:r>
      <w:r w:rsidRPr="00747EF6">
        <w:t xml:space="preserve"> and only forestry advisers could continue to provide a forestry advice service</w:t>
      </w:r>
      <w:r>
        <w:t>.</w:t>
      </w:r>
      <w:r w:rsidRPr="00747EF6">
        <w:rPr>
          <w:rStyle w:val="FootnoteReference"/>
        </w:rPr>
        <w:footnoteReference w:id="31"/>
      </w:r>
      <w:r w:rsidRPr="00747EF6">
        <w:t xml:space="preserve"> </w:t>
      </w:r>
    </w:p>
    <w:p w14:paraId="15DDA3D2" w14:textId="6435B4C6" w:rsidR="00A517B5" w:rsidRPr="00747EF6" w:rsidRDefault="00A517B5" w:rsidP="00A517B5">
      <w:pPr>
        <w:pStyle w:val="BodyText"/>
      </w:pPr>
      <w:r w:rsidRPr="00747EF6">
        <w:lastRenderedPageBreak/>
        <w:t xml:space="preserve">The intention is that there is no overlap between the types of advice regulated by the Forests Act and this proposal. </w:t>
      </w:r>
      <w:r w:rsidR="007F52A9">
        <w:t>Table</w:t>
      </w:r>
      <w:r w:rsidR="00886AFF">
        <w:t xml:space="preserve"> 12</w:t>
      </w:r>
      <w:r w:rsidR="007F52A9">
        <w:t xml:space="preserve"> </w:t>
      </w:r>
      <w:r w:rsidRPr="00747EF6">
        <w:t>above</w:t>
      </w:r>
      <w:r w:rsidRPr="00747EF6" w:rsidDel="00C73927">
        <w:t xml:space="preserve"> </w:t>
      </w:r>
      <w:r>
        <w:t>provides</w:t>
      </w:r>
      <w:r w:rsidRPr="00747EF6">
        <w:t xml:space="preserve"> examples of advice included (or partly included) </w:t>
      </w:r>
      <w:r>
        <w:t xml:space="preserve">and excluded, in </w:t>
      </w:r>
      <w:r w:rsidRPr="00747EF6">
        <w:t xml:space="preserve">the proposed definition of NZU financial advice. </w:t>
      </w:r>
    </w:p>
    <w:p w14:paraId="72E25F77" w14:textId="77777777" w:rsidR="00A517B5" w:rsidRDefault="00A517B5" w:rsidP="00A517B5">
      <w:pPr>
        <w:pStyle w:val="BodyText"/>
        <w:rPr>
          <w:bdr w:val="none" w:sz="0" w:space="0" w:color="auto" w:frame="1"/>
        </w:rPr>
      </w:pPr>
      <w:r w:rsidRPr="00747EF6">
        <w:rPr>
          <w:bdr w:val="none" w:sz="0" w:space="0" w:color="auto" w:frame="1"/>
        </w:rPr>
        <w:t>Forestry advisers and NZU advisers would be obliged to</w:t>
      </w:r>
      <w:r>
        <w:rPr>
          <w:bdr w:val="none" w:sz="0" w:space="0" w:color="auto" w:frame="1"/>
        </w:rPr>
        <w:t>:</w:t>
      </w:r>
    </w:p>
    <w:p w14:paraId="71755090" w14:textId="77777777" w:rsidR="00A517B5" w:rsidRDefault="00A517B5" w:rsidP="00A517B5">
      <w:pPr>
        <w:pStyle w:val="Bullet"/>
        <w:tabs>
          <w:tab w:val="num" w:pos="397"/>
        </w:tabs>
        <w:spacing w:line="280" w:lineRule="exact"/>
        <w:rPr>
          <w:bdr w:val="none" w:sz="0" w:space="0" w:color="auto" w:frame="1"/>
        </w:rPr>
      </w:pPr>
      <w:r w:rsidRPr="00747EF6">
        <w:rPr>
          <w:bdr w:val="none" w:sz="0" w:space="0" w:color="auto" w:frame="1"/>
        </w:rPr>
        <w:t>make the boundaries of their regulated advice clear</w:t>
      </w:r>
    </w:p>
    <w:p w14:paraId="3CA099BA" w14:textId="77777777" w:rsidR="00A517B5" w:rsidRPr="00747EF6" w:rsidRDefault="00A517B5" w:rsidP="00A517B5">
      <w:pPr>
        <w:pStyle w:val="Bullet"/>
        <w:tabs>
          <w:tab w:val="num" w:pos="397"/>
        </w:tabs>
        <w:spacing w:line="280" w:lineRule="exact"/>
        <w:rPr>
          <w:bdr w:val="none" w:sz="0" w:space="0" w:color="auto" w:frame="1"/>
        </w:rPr>
      </w:pPr>
      <w:r w:rsidRPr="00747EF6">
        <w:rPr>
          <w:bdr w:val="none" w:sz="0" w:space="0" w:color="auto" w:frame="1"/>
        </w:rPr>
        <w:t>understand where each type of regulated advice begins, and when they should recommend a differently qualified adviser, if a client seeks it.</w:t>
      </w:r>
    </w:p>
    <w:p w14:paraId="78364052" w14:textId="6D3A5044" w:rsidR="00A517B5" w:rsidRPr="00747EF6" w:rsidRDefault="00A517B5" w:rsidP="00A517B5">
      <w:pPr>
        <w:pStyle w:val="BodyText"/>
        <w:rPr>
          <w:bdr w:val="none" w:sz="0" w:space="0" w:color="auto" w:frame="1"/>
        </w:rPr>
      </w:pPr>
      <w:r w:rsidRPr="00747EF6">
        <w:rPr>
          <w:bdr w:val="none" w:sz="0" w:space="0" w:color="auto" w:frame="1"/>
        </w:rPr>
        <w:t>If</w:t>
      </w:r>
      <w:r w:rsidRPr="00747EF6" w:rsidDel="00DC50FC">
        <w:rPr>
          <w:bdr w:val="none" w:sz="0" w:space="0" w:color="auto" w:frame="1"/>
        </w:rPr>
        <w:t xml:space="preserve"> </w:t>
      </w:r>
      <w:r>
        <w:rPr>
          <w:bdr w:val="none" w:sz="0" w:space="0" w:color="auto" w:frame="1"/>
        </w:rPr>
        <w:t>any</w:t>
      </w:r>
      <w:r w:rsidRPr="00747EF6">
        <w:rPr>
          <w:bdr w:val="none" w:sz="0" w:space="0" w:color="auto" w:frame="1"/>
        </w:rPr>
        <w:t xml:space="preserve"> adviser (forestry advisers or NZU adviser want</w:t>
      </w:r>
      <w:r>
        <w:rPr>
          <w:bdr w:val="none" w:sz="0" w:space="0" w:color="auto" w:frame="1"/>
        </w:rPr>
        <w:t>s</w:t>
      </w:r>
      <w:r w:rsidRPr="00747EF6">
        <w:rPr>
          <w:bdr w:val="none" w:sz="0" w:space="0" w:color="auto" w:frame="1"/>
        </w:rPr>
        <w:t xml:space="preserve"> to be able to provide both advice services, the adviser may seek to acquire the relevant forestry adviser and </w:t>
      </w:r>
      <w:r>
        <w:rPr>
          <w:bdr w:val="none" w:sz="0" w:space="0" w:color="auto" w:frame="1"/>
        </w:rPr>
        <w:t xml:space="preserve">NZU </w:t>
      </w:r>
      <w:r w:rsidRPr="00747EF6">
        <w:rPr>
          <w:bdr w:val="none" w:sz="0" w:space="0" w:color="auto" w:frame="1"/>
        </w:rPr>
        <w:t>financial adviser qualification and be registered and licensed (if applicable) under both schemes.</w:t>
      </w:r>
      <w:r w:rsidR="00301FEE" w:rsidDel="00301FEE">
        <w:rPr>
          <w:bdr w:val="none" w:sz="0" w:space="0" w:color="auto" w:frame="1"/>
        </w:rPr>
        <w:t xml:space="preserve"> </w:t>
      </w:r>
    </w:p>
    <w:p w14:paraId="544E7C21" w14:textId="3FCE7EEB" w:rsidR="00A517B5" w:rsidRPr="00747EF6" w:rsidRDefault="00A517B5" w:rsidP="00B711D1">
      <w:pPr>
        <w:pStyle w:val="BodyText"/>
      </w:pPr>
      <w:bookmarkStart w:id="114" w:name="_What_regulatory_settings"/>
      <w:bookmarkEnd w:id="114"/>
      <w:r w:rsidRPr="00747EF6">
        <w:t>What regulatory settings would apply to persons providing NZU financial advice?</w:t>
      </w:r>
    </w:p>
    <w:p w14:paraId="61FCDF05" w14:textId="77E1BD58" w:rsidR="00A517B5" w:rsidRPr="00747EF6" w:rsidRDefault="00A517B5" w:rsidP="00A517B5">
      <w:pPr>
        <w:pStyle w:val="BodyText"/>
      </w:pPr>
      <w:r w:rsidRPr="00747EF6">
        <w:t xml:space="preserve">In general terms, persons </w:t>
      </w:r>
      <w:r>
        <w:t>who</w:t>
      </w:r>
      <w:r w:rsidRPr="00747EF6">
        <w:t xml:space="preserve"> provide a financial advice service must:</w:t>
      </w:r>
    </w:p>
    <w:p w14:paraId="3D04A546" w14:textId="71262C86" w:rsidR="00A517B5" w:rsidRPr="00747EF6" w:rsidRDefault="00A517B5" w:rsidP="00A517B5">
      <w:pPr>
        <w:pStyle w:val="Bullet"/>
        <w:tabs>
          <w:tab w:val="num" w:pos="397"/>
        </w:tabs>
        <w:spacing w:line="280" w:lineRule="exact"/>
      </w:pPr>
      <w:r w:rsidRPr="00747EF6">
        <w:t>comply with fair</w:t>
      </w:r>
      <w:r w:rsidR="00847E78">
        <w:t>-</w:t>
      </w:r>
      <w:r w:rsidRPr="00747EF6">
        <w:t>dealing rules</w:t>
      </w:r>
    </w:p>
    <w:p w14:paraId="76453BD4" w14:textId="77777777" w:rsidR="00A517B5" w:rsidRPr="00747EF6" w:rsidRDefault="00A517B5" w:rsidP="00A517B5">
      <w:pPr>
        <w:pStyle w:val="Bullet"/>
        <w:tabs>
          <w:tab w:val="num" w:pos="397"/>
        </w:tabs>
        <w:spacing w:line="280" w:lineRule="exact"/>
      </w:pPr>
      <w:r w:rsidRPr="00747EF6">
        <w:t>comply with certain statutory financial advice duties</w:t>
      </w:r>
    </w:p>
    <w:p w14:paraId="59152635" w14:textId="77777777" w:rsidR="00A517B5" w:rsidRPr="00747EF6" w:rsidRDefault="00A517B5" w:rsidP="00A517B5">
      <w:pPr>
        <w:pStyle w:val="Bullet"/>
        <w:tabs>
          <w:tab w:val="num" w:pos="397"/>
        </w:tabs>
        <w:spacing w:line="280" w:lineRule="exact"/>
      </w:pPr>
      <w:r w:rsidRPr="00747EF6">
        <w:t>if they provide a service to retail clients:</w:t>
      </w:r>
    </w:p>
    <w:p w14:paraId="1B679234" w14:textId="77777777" w:rsidR="00A517B5" w:rsidRPr="00747EF6" w:rsidRDefault="00A517B5" w:rsidP="00A517B5">
      <w:pPr>
        <w:pStyle w:val="Sub-list"/>
        <w:tabs>
          <w:tab w:val="num" w:pos="397"/>
        </w:tabs>
      </w:pPr>
      <w:r w:rsidRPr="00747EF6">
        <w:t>comply with additional statutory duties about the provision of financial advice</w:t>
      </w:r>
    </w:p>
    <w:p w14:paraId="6F608B49" w14:textId="77777777" w:rsidR="00A517B5" w:rsidRPr="00747EF6" w:rsidRDefault="00A517B5" w:rsidP="00A517B5">
      <w:pPr>
        <w:pStyle w:val="Sub-list"/>
        <w:tabs>
          <w:tab w:val="num" w:pos="397"/>
        </w:tabs>
      </w:pPr>
      <w:r w:rsidRPr="00747EF6">
        <w:t>hold or operate under a licence</w:t>
      </w:r>
    </w:p>
    <w:p w14:paraId="65CC6AC6" w14:textId="6086F934" w:rsidR="00A517B5" w:rsidRPr="00747EF6" w:rsidRDefault="00A517B5" w:rsidP="00A517B5">
      <w:pPr>
        <w:pStyle w:val="Sub-list"/>
        <w:tabs>
          <w:tab w:val="num" w:pos="397"/>
        </w:tabs>
      </w:pPr>
      <w:r w:rsidRPr="00747EF6">
        <w:t>belong to a mandatory dispute</w:t>
      </w:r>
      <w:r w:rsidR="00B374C9">
        <w:t>-</w:t>
      </w:r>
      <w:r w:rsidRPr="00747EF6">
        <w:t>resolution scheme</w:t>
      </w:r>
    </w:p>
    <w:p w14:paraId="6E29267D" w14:textId="77777777" w:rsidR="00A517B5" w:rsidRPr="00747EF6" w:rsidRDefault="00A517B5" w:rsidP="00A517B5">
      <w:pPr>
        <w:pStyle w:val="Bullet"/>
        <w:tabs>
          <w:tab w:val="num" w:pos="397"/>
        </w:tabs>
        <w:spacing w:line="280" w:lineRule="exact"/>
      </w:pPr>
      <w:r w:rsidRPr="00747EF6">
        <w:t xml:space="preserve">register on the </w:t>
      </w:r>
      <w:r>
        <w:t>FSPR</w:t>
      </w:r>
    </w:p>
    <w:p w14:paraId="3BB66D37" w14:textId="77777777" w:rsidR="00A517B5" w:rsidRPr="00747EF6" w:rsidRDefault="00A517B5" w:rsidP="00A517B5">
      <w:pPr>
        <w:pStyle w:val="Bullet"/>
        <w:tabs>
          <w:tab w:val="num" w:pos="397"/>
        </w:tabs>
        <w:spacing w:line="280" w:lineRule="exact"/>
      </w:pPr>
      <w:r w:rsidRPr="00747EF6">
        <w:t>pay fees and levies to the FMA.</w:t>
      </w:r>
    </w:p>
    <w:p w14:paraId="6088AEB8" w14:textId="77777777" w:rsidR="00A517B5" w:rsidRPr="00747EF6" w:rsidRDefault="00A517B5" w:rsidP="00A517B5">
      <w:pPr>
        <w:pStyle w:val="Heading4"/>
      </w:pPr>
      <w:r w:rsidRPr="00747EF6">
        <w:t>Fair dealing</w:t>
      </w:r>
    </w:p>
    <w:p w14:paraId="76A3BD94" w14:textId="351328B7" w:rsidR="00A517B5" w:rsidRPr="00747EF6" w:rsidRDefault="00A517B5" w:rsidP="00A517B5">
      <w:pPr>
        <w:pStyle w:val="Bullet"/>
        <w:numPr>
          <w:ilvl w:val="0"/>
          <w:numId w:val="0"/>
        </w:numPr>
        <w:spacing w:before="120"/>
      </w:pPr>
      <w:r w:rsidRPr="00747EF6">
        <w:t>This proposal adopts the same requirements as the fair</w:t>
      </w:r>
      <w:r w:rsidR="00B46E21">
        <w:t>-</w:t>
      </w:r>
      <w:r w:rsidRPr="00747EF6">
        <w:t>dealing</w:t>
      </w:r>
      <w:r>
        <w:t xml:space="preserve"> standards</w:t>
      </w:r>
      <w:r w:rsidRPr="00747EF6">
        <w:t xml:space="preserve"> under the FMC Act in relation to financial services, including:</w:t>
      </w:r>
    </w:p>
    <w:p w14:paraId="02ACD6D2" w14:textId="77777777" w:rsidR="00A517B5" w:rsidRPr="00747EF6" w:rsidRDefault="00A517B5" w:rsidP="00A517B5">
      <w:pPr>
        <w:pStyle w:val="Bullet"/>
        <w:tabs>
          <w:tab w:val="num" w:pos="397"/>
        </w:tabs>
        <w:spacing w:line="280" w:lineRule="exact"/>
      </w:pPr>
      <w:r w:rsidRPr="00747EF6">
        <w:t>not engaging in misleading or deceptive conduct</w:t>
      </w:r>
    </w:p>
    <w:p w14:paraId="3BB9FA1A" w14:textId="77777777" w:rsidR="00A517B5" w:rsidRPr="00747EF6" w:rsidRDefault="00A517B5" w:rsidP="00A517B5">
      <w:pPr>
        <w:pStyle w:val="Bullet"/>
        <w:tabs>
          <w:tab w:val="num" w:pos="397"/>
        </w:tabs>
        <w:spacing w:line="280" w:lineRule="exact"/>
      </w:pPr>
      <w:r w:rsidRPr="00747EF6">
        <w:t>not making false or misleading representations</w:t>
      </w:r>
    </w:p>
    <w:p w14:paraId="68BC79AF" w14:textId="77777777" w:rsidR="00A517B5" w:rsidRPr="00747EF6" w:rsidRDefault="00A517B5" w:rsidP="00A517B5">
      <w:pPr>
        <w:pStyle w:val="Bullet"/>
        <w:tabs>
          <w:tab w:val="num" w:pos="397"/>
        </w:tabs>
        <w:spacing w:line="280" w:lineRule="exact"/>
      </w:pPr>
      <w:r w:rsidRPr="00747EF6">
        <w:t>not making unsubstantiated representations.</w:t>
      </w:r>
    </w:p>
    <w:p w14:paraId="21950EEF" w14:textId="1C5A89D5" w:rsidR="00A517B5" w:rsidRPr="00747EF6" w:rsidRDefault="00A517B5" w:rsidP="00A517B5">
      <w:pPr>
        <w:pStyle w:val="BodyText"/>
      </w:pPr>
      <w:r w:rsidRPr="00747EF6">
        <w:t>These obligations are broadly the same as the FTA fair</w:t>
      </w:r>
      <w:r w:rsidR="00E63948">
        <w:t>-</w:t>
      </w:r>
      <w:r w:rsidRPr="00747EF6">
        <w:t>dealing provisions. However, applying the same concepts as the FMC Act means that the FMA can take enforcement action</w:t>
      </w:r>
      <w:r>
        <w:t>,</w:t>
      </w:r>
      <w:r w:rsidRPr="00747EF6">
        <w:t xml:space="preserve"> and higher maximum penalties would apply. It ensures that ‘NZU financial advice’ is treated on a like-for-like basis with ‘financial advice’</w:t>
      </w:r>
      <w:r>
        <w:t>,</w:t>
      </w:r>
      <w:r w:rsidRPr="00747EF6">
        <w:t xml:space="preserve"> </w:t>
      </w:r>
      <w:r w:rsidR="00E51EB0" w:rsidRPr="00747EF6">
        <w:t>to</w:t>
      </w:r>
      <w:r w:rsidRPr="00747EF6">
        <w:t xml:space="preserve"> enhance the integrity and confidence of the NZU market in a fair and transparent manner. </w:t>
      </w:r>
    </w:p>
    <w:p w14:paraId="6E6AB0ED" w14:textId="77777777" w:rsidR="00A517B5" w:rsidRPr="00747EF6" w:rsidRDefault="00A517B5" w:rsidP="00A517B5">
      <w:pPr>
        <w:pStyle w:val="Heading4"/>
      </w:pPr>
      <w:r w:rsidRPr="00747EF6">
        <w:t>Licensing</w:t>
      </w:r>
    </w:p>
    <w:p w14:paraId="0E126697" w14:textId="77777777" w:rsidR="00A517B5" w:rsidRPr="00747EF6" w:rsidRDefault="00A517B5" w:rsidP="00A517B5">
      <w:pPr>
        <w:pStyle w:val="BodyText"/>
      </w:pPr>
      <w:r w:rsidRPr="00747EF6">
        <w:t xml:space="preserve">Under the financial advice regime, anyone </w:t>
      </w:r>
      <w:r>
        <w:t>who</w:t>
      </w:r>
      <w:r w:rsidRPr="00747EF6">
        <w:t xml:space="preserve"> gives regulated financial advice to retail clients must hold or operate under a licence granted by the FMA.</w:t>
      </w:r>
      <w:r>
        <w:t xml:space="preserve"> </w:t>
      </w:r>
    </w:p>
    <w:p w14:paraId="72F6774F" w14:textId="58667CCE" w:rsidR="00A517B5" w:rsidRPr="00747EF6" w:rsidRDefault="00A517B5" w:rsidP="00A517B5">
      <w:pPr>
        <w:pStyle w:val="BodyText"/>
      </w:pPr>
      <w:r w:rsidRPr="00747EF6">
        <w:lastRenderedPageBreak/>
        <w:t xml:space="preserve">However, providers are exempt from the licensing requirement in respect </w:t>
      </w:r>
      <w:r w:rsidR="006047E8">
        <w:t>of</w:t>
      </w:r>
      <w:r w:rsidR="006047E8" w:rsidRPr="00747EF6">
        <w:t xml:space="preserve"> </w:t>
      </w:r>
      <w:r w:rsidRPr="00747EF6">
        <w:t>a service that is not provided to any retail clients (</w:t>
      </w:r>
      <w:proofErr w:type="spellStart"/>
      <w:r w:rsidRPr="00747EF6">
        <w:t>ie</w:t>
      </w:r>
      <w:proofErr w:type="spellEnd"/>
      <w:r>
        <w:t>, provided to</w:t>
      </w:r>
      <w:r w:rsidRPr="00747EF6">
        <w:t xml:space="preserve"> wholesale clients only)</w:t>
      </w:r>
      <w:r>
        <w:t>,</w:t>
      </w:r>
      <w:r w:rsidRPr="00747EF6" w:rsidDel="000F1040">
        <w:t xml:space="preserve"> </w:t>
      </w:r>
      <w:r>
        <w:t>although</w:t>
      </w:r>
      <w:r w:rsidRPr="00747EF6">
        <w:t xml:space="preserve"> </w:t>
      </w:r>
      <w:r>
        <w:t xml:space="preserve">they </w:t>
      </w:r>
      <w:r w:rsidRPr="00747EF6">
        <w:t>may opt for voluntary licensing.</w:t>
      </w:r>
    </w:p>
    <w:p w14:paraId="744C0456" w14:textId="69F59A8C" w:rsidR="00A517B5" w:rsidRPr="00747EF6" w:rsidRDefault="00A517B5" w:rsidP="00A517B5">
      <w:pPr>
        <w:pStyle w:val="BodyText"/>
      </w:pPr>
      <w:r w:rsidRPr="00747EF6">
        <w:t xml:space="preserve">The distinction between retail and wholesale clients also affects the duties </w:t>
      </w:r>
      <w:r>
        <w:t xml:space="preserve">that </w:t>
      </w:r>
      <w:r w:rsidRPr="00747EF6">
        <w:t>financial advice providers must comply with to give financial advice</w:t>
      </w:r>
      <w:r>
        <w:t>,</w:t>
      </w:r>
      <w:r w:rsidRPr="00747EF6">
        <w:t xml:space="preserve"> and </w:t>
      </w:r>
      <w:proofErr w:type="gramStart"/>
      <w:r w:rsidRPr="00747EF6">
        <w:t>whether or not</w:t>
      </w:r>
      <w:proofErr w:type="gramEnd"/>
      <w:r w:rsidRPr="00747EF6">
        <w:t xml:space="preserve"> belonging to a dispute</w:t>
      </w:r>
      <w:r w:rsidR="002B5B8C">
        <w:t>-</w:t>
      </w:r>
      <w:r w:rsidRPr="00747EF6">
        <w:t>resolution scheme is mandatory</w:t>
      </w:r>
      <w:r w:rsidR="00B56817">
        <w:t>.</w:t>
      </w:r>
      <w:r w:rsidRPr="00747EF6">
        <w:t xml:space="preserve"> </w:t>
      </w:r>
      <w:r w:rsidR="00B56817">
        <w:t>T</w:t>
      </w:r>
      <w:r w:rsidRPr="00747EF6">
        <w:t xml:space="preserve">hese definitions are </w:t>
      </w:r>
      <w:r>
        <w:t>expanded</w:t>
      </w:r>
      <w:r w:rsidRPr="00747EF6">
        <w:t xml:space="preserve"> further </w:t>
      </w:r>
      <w:hyperlink w:anchor="_Duties_in_providing" w:history="1">
        <w:r w:rsidRPr="00D41C88">
          <w:rPr>
            <w:rStyle w:val="Hyperlink"/>
          </w:rPr>
          <w:t>below</w:t>
        </w:r>
      </w:hyperlink>
      <w:r w:rsidRPr="00747EF6">
        <w:t>.</w:t>
      </w:r>
    </w:p>
    <w:p w14:paraId="234F5426" w14:textId="77777777" w:rsidR="00A517B5" w:rsidRPr="00747EF6" w:rsidRDefault="00A517B5" w:rsidP="00A517B5">
      <w:pPr>
        <w:pStyle w:val="BodyText"/>
      </w:pPr>
      <w:r w:rsidRPr="00747EF6">
        <w:t xml:space="preserve">Licensing can be at the firm level </w:t>
      </w:r>
      <w:r>
        <w:t>– that is,</w:t>
      </w:r>
      <w:r w:rsidRPr="00747EF6">
        <w:t xml:space="preserve"> if a </w:t>
      </w:r>
      <w:proofErr w:type="gramStart"/>
      <w:r w:rsidRPr="00747EF6">
        <w:t>firm employs individuals</w:t>
      </w:r>
      <w:proofErr w:type="gramEnd"/>
      <w:r w:rsidRPr="00747EF6">
        <w:t xml:space="preserve"> to give advice on its behalf, then it is the firm that needs to be licensed by the FMA. The firm must take all reasonable steps to ensure its advisers comply with obligations.</w:t>
      </w:r>
    </w:p>
    <w:p w14:paraId="355C07DA" w14:textId="68E71660" w:rsidR="00A517B5" w:rsidRDefault="00A517B5" w:rsidP="00A517B5">
      <w:pPr>
        <w:pStyle w:val="BodyText"/>
      </w:pPr>
      <w:r w:rsidRPr="00747EF6">
        <w:t xml:space="preserve">Before granting a licence, the FMA must be satisfied </w:t>
      </w:r>
      <w:r w:rsidR="00A55E72">
        <w:t>about</w:t>
      </w:r>
      <w:r w:rsidRPr="00747EF6">
        <w:t xml:space="preserve"> various matters, including that</w:t>
      </w:r>
      <w:r>
        <w:t>:</w:t>
      </w:r>
    </w:p>
    <w:p w14:paraId="26A60C11" w14:textId="783B812A" w:rsidR="00A517B5" w:rsidRDefault="00A517B5" w:rsidP="00A517B5">
      <w:pPr>
        <w:pStyle w:val="Bullet"/>
        <w:tabs>
          <w:tab w:val="num" w:pos="397"/>
        </w:tabs>
        <w:spacing w:line="280" w:lineRule="exact"/>
      </w:pPr>
      <w:r w:rsidRPr="00747EF6">
        <w:t>directors and senior managers are fit and proper persons</w:t>
      </w:r>
    </w:p>
    <w:p w14:paraId="4B29A1CC" w14:textId="77777777" w:rsidR="00A517B5" w:rsidRDefault="00A517B5" w:rsidP="00A517B5">
      <w:pPr>
        <w:pStyle w:val="Bullet"/>
        <w:tabs>
          <w:tab w:val="num" w:pos="397"/>
        </w:tabs>
        <w:spacing w:line="280" w:lineRule="exact"/>
      </w:pPr>
      <w:r w:rsidRPr="00747EF6">
        <w:t>the applicant is capable of effectively performing the service</w:t>
      </w:r>
    </w:p>
    <w:p w14:paraId="1730DCBD" w14:textId="77777777" w:rsidR="00A517B5" w:rsidRPr="00747EF6" w:rsidRDefault="00A517B5" w:rsidP="00A517B5">
      <w:pPr>
        <w:pStyle w:val="Bullet"/>
        <w:tabs>
          <w:tab w:val="num" w:pos="397"/>
        </w:tabs>
        <w:spacing w:line="280" w:lineRule="exact"/>
      </w:pPr>
      <w:r w:rsidRPr="00747EF6">
        <w:t xml:space="preserve">there is no reason to believe that the applicant is likely to breach its obligations. </w:t>
      </w:r>
    </w:p>
    <w:p w14:paraId="4890F907" w14:textId="77777777" w:rsidR="00A517B5" w:rsidRPr="00747EF6" w:rsidRDefault="00A517B5" w:rsidP="00A517B5">
      <w:pPr>
        <w:pStyle w:val="BodyText"/>
      </w:pPr>
      <w:r>
        <w:t xml:space="preserve">Similar requirements for </w:t>
      </w:r>
      <w:r w:rsidRPr="00747EF6">
        <w:t>licens</w:t>
      </w:r>
      <w:r>
        <w:t>ing</w:t>
      </w:r>
      <w:r w:rsidRPr="00747EF6">
        <w:t xml:space="preserve"> NZU advice businesses would: </w:t>
      </w:r>
    </w:p>
    <w:p w14:paraId="7CAE6E7C" w14:textId="77777777" w:rsidR="00A517B5" w:rsidRPr="00747EF6" w:rsidRDefault="00A517B5" w:rsidP="00A517B5">
      <w:pPr>
        <w:pStyle w:val="Bullet"/>
        <w:tabs>
          <w:tab w:val="num" w:pos="397"/>
        </w:tabs>
        <w:spacing w:line="280" w:lineRule="exact"/>
      </w:pPr>
      <w:r w:rsidRPr="00747EF6">
        <w:t>give clients confidence that licensed firms have been through checks conducted by the FMA</w:t>
      </w:r>
    </w:p>
    <w:p w14:paraId="4AD18F4C" w14:textId="77777777" w:rsidR="00A517B5" w:rsidRPr="00747EF6" w:rsidRDefault="00A517B5" w:rsidP="00A517B5">
      <w:pPr>
        <w:pStyle w:val="Bullet"/>
        <w:tabs>
          <w:tab w:val="num" w:pos="397"/>
        </w:tabs>
        <w:spacing w:line="280" w:lineRule="exact"/>
      </w:pPr>
      <w:r w:rsidRPr="00747EF6">
        <w:t>give the FMA further information to assist its monitoring of NZU advisers</w:t>
      </w:r>
    </w:p>
    <w:p w14:paraId="64732103" w14:textId="6876C9A4" w:rsidR="00A517B5" w:rsidRPr="00747EF6" w:rsidRDefault="00A517B5" w:rsidP="00A517B5">
      <w:pPr>
        <w:pStyle w:val="Bullet"/>
        <w:tabs>
          <w:tab w:val="num" w:pos="397"/>
        </w:tabs>
        <w:spacing w:line="280" w:lineRule="exact"/>
      </w:pPr>
      <w:r w:rsidRPr="00747EF6">
        <w:t>add financial and non-financial compliance costs due to FMA levies, as licence application fees vary based on the class of licence.</w:t>
      </w:r>
      <w:r w:rsidRPr="009B7123">
        <w:rPr>
          <w:rStyle w:val="FootnoteReference"/>
        </w:rPr>
        <w:footnoteReference w:id="32"/>
      </w:r>
      <w:r w:rsidRPr="00747EF6">
        <w:t xml:space="preserve"> Applicants also need to </w:t>
      </w:r>
      <w:r w:rsidR="007B42B7">
        <w:t>spend</w:t>
      </w:r>
      <w:r w:rsidR="007B42B7" w:rsidRPr="00747EF6">
        <w:t xml:space="preserve"> </w:t>
      </w:r>
      <w:r w:rsidRPr="00747EF6">
        <w:t>time and resourc</w:t>
      </w:r>
      <w:r w:rsidR="007B42B7">
        <w:t>es</w:t>
      </w:r>
      <w:r w:rsidRPr="00747EF6">
        <w:t xml:space="preserve"> to put in place the policies and processes necessary to meet the </w:t>
      </w:r>
      <w:r w:rsidR="007B42B7">
        <w:t xml:space="preserve">licensing </w:t>
      </w:r>
      <w:r w:rsidRPr="00747EF6">
        <w:t xml:space="preserve">standard. </w:t>
      </w:r>
    </w:p>
    <w:p w14:paraId="2FC65817" w14:textId="77777777" w:rsidR="00A517B5" w:rsidRPr="00747EF6" w:rsidRDefault="00A517B5" w:rsidP="00A517B5">
      <w:pPr>
        <w:pStyle w:val="BodyText"/>
      </w:pPr>
      <w:r w:rsidRPr="00747EF6">
        <w:t>The FMA</w:t>
      </w:r>
      <w:r>
        <w:t xml:space="preserve"> sets out its expectations around licensing requirements in its </w:t>
      </w:r>
      <w:hyperlink r:id="rId47" w:history="1">
        <w:r w:rsidRPr="00747EF6">
          <w:rPr>
            <w:color w:val="32809C"/>
          </w:rPr>
          <w:t>Guide to Financial Advice Provider</w:t>
        </w:r>
      </w:hyperlink>
      <w:r>
        <w:rPr>
          <w:color w:val="32809C"/>
        </w:rPr>
        <w:t xml:space="preserve"> licence requirements and application kit</w:t>
      </w:r>
      <w:r w:rsidRPr="00747EF6">
        <w:rPr>
          <w:color w:val="32809C"/>
        </w:rPr>
        <w:t>.</w:t>
      </w:r>
      <w:r w:rsidRPr="00747EF6">
        <w:t xml:space="preserve"> </w:t>
      </w:r>
    </w:p>
    <w:p w14:paraId="672E48B0" w14:textId="3A5D418E" w:rsidR="00A517B5" w:rsidRPr="00747EF6" w:rsidRDefault="00A517B5" w:rsidP="00A517B5">
      <w:pPr>
        <w:pStyle w:val="BodyText"/>
      </w:pPr>
      <w:r w:rsidRPr="00747EF6">
        <w:t xml:space="preserve">Financial advice licences also have standard conditions relating </w:t>
      </w:r>
      <w:proofErr w:type="gramStart"/>
      <w:r w:rsidRPr="00747EF6">
        <w:t>to:</w:t>
      </w:r>
      <w:proofErr w:type="gramEnd"/>
      <w:r w:rsidRPr="00747EF6">
        <w:t xml:space="preserve"> record</w:t>
      </w:r>
      <w:r w:rsidR="0056318C">
        <w:t>-</w:t>
      </w:r>
      <w:r w:rsidRPr="00747EF6">
        <w:t>keeping, internal complaints process</w:t>
      </w:r>
      <w:r>
        <w:t>es</w:t>
      </w:r>
      <w:r w:rsidRPr="00747EF6">
        <w:t>, regulatory returns, outsourcing, business continuity and technology systems, ongoing requirements and notification of material changes.</w:t>
      </w:r>
      <w:r w:rsidRPr="00204E43">
        <w:rPr>
          <w:rStyle w:val="FootnoteReference"/>
        </w:rPr>
        <w:footnoteReference w:id="33"/>
      </w:r>
      <w:r w:rsidRPr="00747EF6">
        <w:t xml:space="preserve"> </w:t>
      </w:r>
    </w:p>
    <w:p w14:paraId="75A77C13" w14:textId="77777777" w:rsidR="00A517B5" w:rsidRPr="00747EF6" w:rsidRDefault="00A517B5" w:rsidP="00A517B5">
      <w:pPr>
        <w:pStyle w:val="Heading4"/>
      </w:pPr>
      <w:bookmarkStart w:id="115" w:name="_Duties_in_providing"/>
      <w:bookmarkEnd w:id="115"/>
      <w:r w:rsidRPr="00747EF6">
        <w:t>Duties in providing financial advice</w:t>
      </w:r>
    </w:p>
    <w:p w14:paraId="354FD393" w14:textId="77777777" w:rsidR="00A517B5" w:rsidRPr="00747EF6" w:rsidRDefault="00A517B5" w:rsidP="00A517B5">
      <w:pPr>
        <w:pStyle w:val="Heading5"/>
      </w:pPr>
      <w:r w:rsidRPr="00747EF6">
        <w:t>All advice providers</w:t>
      </w:r>
    </w:p>
    <w:p w14:paraId="52746CD1" w14:textId="77777777" w:rsidR="00A517B5" w:rsidRPr="00747EF6" w:rsidRDefault="00A517B5" w:rsidP="00A517B5">
      <w:pPr>
        <w:pStyle w:val="BodyText"/>
      </w:pPr>
      <w:r w:rsidRPr="00747EF6">
        <w:t>All providers of financial advice must comply with minimum statutory duties that include:</w:t>
      </w:r>
    </w:p>
    <w:p w14:paraId="577F7387" w14:textId="77777777" w:rsidR="00A517B5" w:rsidRPr="00747EF6" w:rsidRDefault="00A517B5" w:rsidP="00A517B5">
      <w:pPr>
        <w:pStyle w:val="Bullet"/>
        <w:tabs>
          <w:tab w:val="num" w:pos="397"/>
        </w:tabs>
        <w:spacing w:line="280" w:lineRule="exact"/>
      </w:pPr>
      <w:r w:rsidRPr="00747EF6">
        <w:t xml:space="preserve">exercising care, </w:t>
      </w:r>
      <w:proofErr w:type="gramStart"/>
      <w:r w:rsidRPr="00747EF6">
        <w:t>diligence</w:t>
      </w:r>
      <w:proofErr w:type="gramEnd"/>
      <w:r w:rsidRPr="00747EF6">
        <w:t xml:space="preserve"> and skill that a prudent person engaged in the occupation of giving regulated financial advice would exercise in the same circumstances</w:t>
      </w:r>
    </w:p>
    <w:p w14:paraId="4F7FE792" w14:textId="77777777" w:rsidR="00A517B5" w:rsidRPr="00747EF6" w:rsidRDefault="00A517B5" w:rsidP="00A517B5">
      <w:pPr>
        <w:pStyle w:val="Bullet"/>
        <w:tabs>
          <w:tab w:val="num" w:pos="397"/>
        </w:tabs>
        <w:spacing w:line="280" w:lineRule="exact"/>
      </w:pPr>
      <w:r w:rsidRPr="00747EF6">
        <w:t xml:space="preserve">giving priority to </w:t>
      </w:r>
      <w:r>
        <w:t xml:space="preserve">a </w:t>
      </w:r>
      <w:r w:rsidRPr="00747EF6">
        <w:t>client’s interests where the provider knows, or ought to reasonably know, there is a conflict between the provider</w:t>
      </w:r>
      <w:r>
        <w:t>’s</w:t>
      </w:r>
      <w:r w:rsidRPr="00747EF6">
        <w:t xml:space="preserve"> and the client’s interests.</w:t>
      </w:r>
    </w:p>
    <w:p w14:paraId="78E3AA98" w14:textId="77777777" w:rsidR="00A517B5" w:rsidRPr="00747EF6" w:rsidRDefault="00A517B5" w:rsidP="00A517B5">
      <w:pPr>
        <w:pStyle w:val="Heading5"/>
      </w:pPr>
      <w:r w:rsidRPr="00747EF6">
        <w:lastRenderedPageBreak/>
        <w:t>Advice to retail clients</w:t>
      </w:r>
    </w:p>
    <w:p w14:paraId="51149243" w14:textId="77777777" w:rsidR="00A517B5" w:rsidRPr="00747EF6" w:rsidRDefault="00A517B5" w:rsidP="00A517B5">
      <w:pPr>
        <w:pStyle w:val="BodyText"/>
      </w:pPr>
      <w:r w:rsidRPr="00747EF6">
        <w:t>Providers who give regulated financial advice to a retail client must comply with additional statutory duties, including:</w:t>
      </w:r>
    </w:p>
    <w:p w14:paraId="1D3BF6B9" w14:textId="26A8A540" w:rsidR="00A517B5" w:rsidRPr="00747EF6" w:rsidRDefault="00A517B5" w:rsidP="00252238">
      <w:pPr>
        <w:pStyle w:val="Bullet"/>
        <w:tabs>
          <w:tab w:val="num" w:pos="397"/>
        </w:tabs>
        <w:spacing w:line="280" w:lineRule="exact"/>
      </w:pPr>
      <w:r w:rsidRPr="00747EF6">
        <w:t xml:space="preserve">complying with the standards of ethical behaviour, conduct and client care required by the </w:t>
      </w:r>
      <w:hyperlink r:id="rId48" w:anchor="Financial%20advice%20code%20website" w:history="1">
        <w:r w:rsidRPr="003C7B83">
          <w:rPr>
            <w:rStyle w:val="Hyperlink"/>
          </w:rPr>
          <w:t>Code of Professional Conduct for Financial Advice Services</w:t>
        </w:r>
      </w:hyperlink>
    </w:p>
    <w:p w14:paraId="2074DDA4" w14:textId="2ED858B9" w:rsidR="00A517B5" w:rsidRPr="00747EF6" w:rsidRDefault="00A517B5" w:rsidP="00A517B5">
      <w:pPr>
        <w:pStyle w:val="Bullet"/>
        <w:tabs>
          <w:tab w:val="num" w:pos="397"/>
        </w:tabs>
        <w:spacing w:line="280" w:lineRule="exact"/>
      </w:pPr>
      <w:r w:rsidRPr="00747EF6">
        <w:t xml:space="preserve">meeting the standards </w:t>
      </w:r>
      <w:r>
        <w:t xml:space="preserve">provided in the code </w:t>
      </w:r>
      <w:r w:rsidRPr="00747EF6">
        <w:t xml:space="preserve">of competence, </w:t>
      </w:r>
      <w:proofErr w:type="gramStart"/>
      <w:r w:rsidRPr="00747EF6">
        <w:t>knowledge</w:t>
      </w:r>
      <w:proofErr w:type="gramEnd"/>
      <w:r w:rsidRPr="00747EF6">
        <w:t xml:space="preserve"> and skill </w:t>
      </w:r>
      <w:r>
        <w:t>in</w:t>
      </w:r>
      <w:r w:rsidRPr="00747EF6">
        <w:t xml:space="preserve"> giving advice</w:t>
      </w:r>
      <w:r>
        <w:t>,</w:t>
      </w:r>
      <w:r w:rsidRPr="00747EF6">
        <w:t xml:space="preserve"> and </w:t>
      </w:r>
      <w:r>
        <w:t xml:space="preserve">meeting </w:t>
      </w:r>
      <w:r w:rsidRPr="00747EF6">
        <w:t>any prescribed eligibility criteria to give advice</w:t>
      </w:r>
    </w:p>
    <w:p w14:paraId="3E67AC87" w14:textId="77777777" w:rsidR="00A517B5" w:rsidRPr="00747EF6" w:rsidRDefault="00A517B5" w:rsidP="00A517B5">
      <w:pPr>
        <w:pStyle w:val="Bullet"/>
        <w:tabs>
          <w:tab w:val="num" w:pos="397"/>
        </w:tabs>
        <w:spacing w:line="280" w:lineRule="exact"/>
      </w:pPr>
      <w:r w:rsidRPr="00747EF6">
        <w:t>taking reasonable steps to ensure the client understands the nature and scope of the advice being given, including any limitations on the nature and scope of the advice</w:t>
      </w:r>
    </w:p>
    <w:p w14:paraId="2A52899E" w14:textId="77777777" w:rsidR="00A517B5" w:rsidRPr="00747EF6" w:rsidRDefault="00A517B5" w:rsidP="00A517B5">
      <w:pPr>
        <w:pStyle w:val="Bullet"/>
        <w:tabs>
          <w:tab w:val="num" w:pos="397"/>
        </w:tabs>
        <w:spacing w:line="280" w:lineRule="exact"/>
      </w:pPr>
      <w:r w:rsidRPr="00747EF6">
        <w:t>making prescribed disclosure information available, including</w:t>
      </w:r>
    </w:p>
    <w:p w14:paraId="3B762C52" w14:textId="77777777" w:rsidR="00A517B5" w:rsidRPr="00747EF6" w:rsidRDefault="00A517B5" w:rsidP="00A517B5">
      <w:pPr>
        <w:pStyle w:val="Sub-list"/>
        <w:tabs>
          <w:tab w:val="num" w:pos="397"/>
        </w:tabs>
      </w:pPr>
      <w:r w:rsidRPr="00747EF6">
        <w:t xml:space="preserve">making certain information publicly available (to help the public with choosing an adviser) </w:t>
      </w:r>
    </w:p>
    <w:p w14:paraId="3F8F08ED" w14:textId="77777777" w:rsidR="00A517B5" w:rsidRPr="00747EF6" w:rsidRDefault="00A517B5" w:rsidP="00A517B5">
      <w:pPr>
        <w:pStyle w:val="Sub-list"/>
        <w:tabs>
          <w:tab w:val="num" w:pos="397"/>
        </w:tabs>
      </w:pPr>
      <w:r w:rsidRPr="00747EF6">
        <w:t>disclos</w:t>
      </w:r>
      <w:r>
        <w:t>ing</w:t>
      </w:r>
      <w:r w:rsidRPr="00747EF6">
        <w:t xml:space="preserve"> certain information to the client (to help potential clients decide whether to obtain advice from that adviser, and to help clients decide whether to follow the advice given)</w:t>
      </w:r>
    </w:p>
    <w:p w14:paraId="6D563C58" w14:textId="77777777" w:rsidR="00A517B5" w:rsidRPr="00747EF6" w:rsidRDefault="00A517B5" w:rsidP="00A517B5">
      <w:pPr>
        <w:pStyle w:val="Sub-list"/>
        <w:tabs>
          <w:tab w:val="num" w:pos="397"/>
        </w:tabs>
      </w:pPr>
      <w:r>
        <w:t xml:space="preserve">providing, </w:t>
      </w:r>
      <w:r w:rsidRPr="00747EF6">
        <w:t>at prescribed times (such as when the provider knows the nature and scope of the advice service the client is seeking), information about the firm’s licence, the scope of advice, fees, commissions, conflicts, disciplinary history, and conduct obligations and complaints process.</w:t>
      </w:r>
    </w:p>
    <w:p w14:paraId="2055EA6A" w14:textId="3CD08E32" w:rsidR="00A517B5" w:rsidRPr="00747EF6" w:rsidRDefault="00A517B5" w:rsidP="00A517B5">
      <w:pPr>
        <w:pStyle w:val="BodyText"/>
      </w:pPr>
      <w:r w:rsidRPr="00747EF6">
        <w:t xml:space="preserve">The </w:t>
      </w:r>
      <w:r w:rsidRPr="004E4EE5">
        <w:t>Code of Professional Conduct for Financial Advice Services</w:t>
      </w:r>
      <w:r>
        <w:t xml:space="preserve"> </w:t>
      </w:r>
      <w:r w:rsidRPr="00747EF6">
        <w:t>contains nine standards</w:t>
      </w:r>
      <w:r>
        <w:t xml:space="preserve"> and, among other matters,</w:t>
      </w:r>
      <w:r w:rsidRPr="00747EF6">
        <w:t xml:space="preserve"> sets out</w:t>
      </w:r>
      <w:r>
        <w:t xml:space="preserve"> the following</w:t>
      </w:r>
      <w:r w:rsidR="00657074">
        <w:t>:</w:t>
      </w:r>
    </w:p>
    <w:p w14:paraId="1B0EB475" w14:textId="4C6AFCFE" w:rsidR="00A517B5" w:rsidRPr="00747EF6" w:rsidRDefault="00A517B5" w:rsidP="00A517B5">
      <w:pPr>
        <w:pStyle w:val="Bullet"/>
        <w:tabs>
          <w:tab w:val="num" w:pos="397"/>
        </w:tabs>
        <w:spacing w:line="280" w:lineRule="exact"/>
      </w:pPr>
      <w:r>
        <w:t>T</w:t>
      </w:r>
      <w:r w:rsidRPr="00747EF6">
        <w:t xml:space="preserve">he standard of general competence, knowledge and skill </w:t>
      </w:r>
      <w:r w:rsidR="004E375D">
        <w:t>means</w:t>
      </w:r>
      <w:r w:rsidR="004E375D" w:rsidRPr="00747EF6">
        <w:t xml:space="preserve"> </w:t>
      </w:r>
      <w:r w:rsidRPr="00747EF6">
        <w:t>that the person has capabilities </w:t>
      </w:r>
      <w:r w:rsidRPr="00747EF6">
        <w:rPr>
          <w:i/>
          <w:iCs/>
        </w:rPr>
        <w:t>equivalent</w:t>
      </w:r>
      <w:r w:rsidRPr="00747EF6">
        <w:t xml:space="preserve"> to the New Zealand Certificate in Financial Services (Level 5)</w:t>
      </w:r>
      <w:r>
        <w:t>,</w:t>
      </w:r>
      <w:r w:rsidRPr="00747EF6">
        <w:t xml:space="preserve"> version 2</w:t>
      </w:r>
      <w:r>
        <w:t>.</w:t>
      </w:r>
      <w:r>
        <w:rPr>
          <w:rStyle w:val="FootnoteReference"/>
        </w:rPr>
        <w:footnoteReference w:id="34"/>
      </w:r>
      <w:r w:rsidRPr="00747EF6">
        <w:t xml:space="preserve"> </w:t>
      </w:r>
    </w:p>
    <w:p w14:paraId="1E2DBF14" w14:textId="0BCDE2E8" w:rsidR="00A517B5" w:rsidRPr="00747EF6" w:rsidRDefault="00A517B5" w:rsidP="00A517B5">
      <w:pPr>
        <w:pStyle w:val="Bullet"/>
        <w:tabs>
          <w:tab w:val="num" w:pos="397"/>
        </w:tabs>
        <w:spacing w:line="280" w:lineRule="exact"/>
      </w:pPr>
      <w:r>
        <w:t>I</w:t>
      </w:r>
      <w:r w:rsidRPr="00747EF6">
        <w:t xml:space="preserve">ndividuals </w:t>
      </w:r>
      <w:r>
        <w:t>are required</w:t>
      </w:r>
      <w:r w:rsidRPr="00747EF6">
        <w:t>, at least annually,</w:t>
      </w:r>
      <w:r w:rsidR="00C72006">
        <w:t xml:space="preserve"> </w:t>
      </w:r>
      <w:r w:rsidR="00C72006" w:rsidRPr="00747EF6">
        <w:t>to</w:t>
      </w:r>
      <w:r w:rsidRPr="00747EF6">
        <w:t xml:space="preserve"> plan for and progressively complete learning activities designed to ensure they maintain the competence, </w:t>
      </w:r>
      <w:proofErr w:type="gramStart"/>
      <w:r w:rsidRPr="00747EF6">
        <w:t>knowledge</w:t>
      </w:r>
      <w:proofErr w:type="gramEnd"/>
      <w:r w:rsidRPr="00747EF6">
        <w:t xml:space="preserve"> and skill for the financial advice they give, </w:t>
      </w:r>
      <w:r>
        <w:t>as well as</w:t>
      </w:r>
      <w:r w:rsidRPr="00747EF6">
        <w:t xml:space="preserve"> an up-to-date understanding of the regulatory framework for financial advice in </w:t>
      </w:r>
      <w:r>
        <w:t xml:space="preserve">Aotearoa </w:t>
      </w:r>
      <w:r w:rsidRPr="00747EF6">
        <w:t>New Zealand.</w:t>
      </w:r>
    </w:p>
    <w:p w14:paraId="5C081C2F" w14:textId="6CEE0A7A" w:rsidR="00A517B5" w:rsidRPr="00747EF6" w:rsidRDefault="00A20B88" w:rsidP="00A517B5">
      <w:pPr>
        <w:pStyle w:val="Bullet"/>
        <w:numPr>
          <w:ilvl w:val="0"/>
          <w:numId w:val="0"/>
        </w:numPr>
        <w:ind w:left="397" w:hanging="397"/>
      </w:pPr>
      <w:r>
        <w:t>It is proposed that t</w:t>
      </w:r>
      <w:r w:rsidR="00A517B5" w:rsidRPr="00747EF6">
        <w:t xml:space="preserve">hese obligations </w:t>
      </w:r>
      <w:r w:rsidR="00A517B5">
        <w:t xml:space="preserve">also </w:t>
      </w:r>
      <w:r w:rsidR="00A517B5" w:rsidRPr="00747EF6">
        <w:t>apply to persons that provide NZU financial advice.</w:t>
      </w:r>
    </w:p>
    <w:p w14:paraId="3E2E2093" w14:textId="77777777" w:rsidR="00A517B5" w:rsidRPr="00747EF6" w:rsidRDefault="00A517B5" w:rsidP="00A517B5">
      <w:pPr>
        <w:pStyle w:val="Heading4"/>
      </w:pPr>
      <w:r w:rsidRPr="00747EF6">
        <w:t>Registration and dispute resolution</w:t>
      </w:r>
    </w:p>
    <w:p w14:paraId="0AA477A7" w14:textId="77777777" w:rsidR="00A517B5" w:rsidRPr="00747EF6" w:rsidRDefault="00A517B5" w:rsidP="00A517B5">
      <w:pPr>
        <w:pStyle w:val="BodyText"/>
      </w:pPr>
      <w:r w:rsidRPr="00747EF6">
        <w:t xml:space="preserve">All financial service providers are required to register on the </w:t>
      </w:r>
      <w:r>
        <w:t>FSPR</w:t>
      </w:r>
      <w:r>
        <w:rPr>
          <w:rStyle w:val="FootnoteReference"/>
        </w:rPr>
        <w:footnoteReference w:id="35"/>
      </w:r>
      <w:r w:rsidRPr="00747EF6">
        <w:t xml:space="preserve"> under the Financial Service Providers (Registration and Dispute Resolution) Act 2008.</w:t>
      </w:r>
    </w:p>
    <w:p w14:paraId="628F09BF" w14:textId="52A18B55" w:rsidR="00A517B5" w:rsidRPr="00747EF6" w:rsidRDefault="00A517B5" w:rsidP="00A517B5">
      <w:pPr>
        <w:pStyle w:val="BodyText"/>
      </w:pPr>
      <w:r w:rsidRPr="00747EF6">
        <w:t>In practice</w:t>
      </w:r>
      <w:r>
        <w:t>, the following would apply under the NZU financial advice proposal:</w:t>
      </w:r>
    </w:p>
    <w:p w14:paraId="2475DA8D" w14:textId="273980F5" w:rsidR="00A517B5" w:rsidRPr="00747EF6" w:rsidRDefault="00A517B5" w:rsidP="00A517B5">
      <w:pPr>
        <w:pStyle w:val="Bullet"/>
        <w:widowControl w:val="0"/>
        <w:tabs>
          <w:tab w:val="num" w:pos="397"/>
        </w:tabs>
        <w:spacing w:line="280" w:lineRule="exact"/>
      </w:pPr>
      <w:r w:rsidRPr="00747EF6">
        <w:t>For advice to retail clients</w:t>
      </w:r>
      <w:r>
        <w:t>,</w:t>
      </w:r>
      <w:r w:rsidRPr="00747EF6">
        <w:t xml:space="preserve"> </w:t>
      </w:r>
      <w:r>
        <w:t>b</w:t>
      </w:r>
      <w:r w:rsidRPr="00747EF6">
        <w:t>oth the financial advice provider and individual advisers</w:t>
      </w:r>
      <w:r w:rsidRPr="00D00A9A">
        <w:rPr>
          <w:rStyle w:val="FootnoteReference"/>
        </w:rPr>
        <w:footnoteReference w:id="36"/>
      </w:r>
      <w:r w:rsidRPr="00747EF6">
        <w:t xml:space="preserve"> would be required to register on the </w:t>
      </w:r>
      <w:r>
        <w:t>FSPR.</w:t>
      </w:r>
      <w:r w:rsidRPr="00747EF6">
        <w:t xml:space="preserve"> Registration and annual confirmation fees </w:t>
      </w:r>
      <w:r w:rsidRPr="00747EF6">
        <w:lastRenderedPageBreak/>
        <w:t>would be payable.</w:t>
      </w:r>
      <w:r w:rsidRPr="00747EF6">
        <w:rPr>
          <w:sz w:val="16"/>
          <w:vertAlign w:val="superscript"/>
        </w:rPr>
        <w:footnoteReference w:id="37"/>
      </w:r>
    </w:p>
    <w:p w14:paraId="584E17DB" w14:textId="0314E595" w:rsidR="00A517B5" w:rsidRPr="00747EF6" w:rsidRDefault="00A517B5" w:rsidP="00A517B5">
      <w:pPr>
        <w:pStyle w:val="Bullet"/>
        <w:tabs>
          <w:tab w:val="num" w:pos="397"/>
        </w:tabs>
        <w:spacing w:line="280" w:lineRule="exact"/>
      </w:pPr>
      <w:r w:rsidRPr="00747EF6">
        <w:t xml:space="preserve">Where a provider gives advice </w:t>
      </w:r>
      <w:r w:rsidR="00FF253A">
        <w:t xml:space="preserve">only </w:t>
      </w:r>
      <w:r w:rsidRPr="00747EF6">
        <w:t>to wholesale clients</w:t>
      </w:r>
      <w:r>
        <w:t>,</w:t>
      </w:r>
      <w:r w:rsidRPr="00747EF6">
        <w:t xml:space="preserve"> only the provider/firm needs to register.</w:t>
      </w:r>
    </w:p>
    <w:p w14:paraId="46F61515" w14:textId="77777777" w:rsidR="00A517B5" w:rsidRPr="00747EF6" w:rsidRDefault="00A517B5" w:rsidP="00A517B5">
      <w:pPr>
        <w:pStyle w:val="BodyText"/>
      </w:pPr>
      <w:r w:rsidRPr="00747EF6">
        <w:t xml:space="preserve">Registration enables government agencies and the public to know who is providing financial advice services and includes criminal history checks on the applicant and its directors/senior managers/controlling owners. </w:t>
      </w:r>
    </w:p>
    <w:p w14:paraId="6993AF60" w14:textId="53B830F6" w:rsidR="00A517B5" w:rsidRPr="00747EF6" w:rsidRDefault="00A517B5" w:rsidP="00A517B5">
      <w:pPr>
        <w:pStyle w:val="BodyText"/>
      </w:pPr>
      <w:r w:rsidRPr="00747EF6">
        <w:t>Where financial services are provided to a retail client, the provider must belong to an approved dispute</w:t>
      </w:r>
      <w:r w:rsidR="002B5B8C">
        <w:t>-</w:t>
      </w:r>
      <w:r w:rsidRPr="00747EF6">
        <w:t>resolution scheme. This requirement does not apply to financial services provided to a wholesale client.</w:t>
      </w:r>
    </w:p>
    <w:p w14:paraId="61BBF387" w14:textId="76EAA8DA" w:rsidR="00A517B5" w:rsidRPr="00747EF6" w:rsidRDefault="00A517B5" w:rsidP="00A517B5">
      <w:pPr>
        <w:pStyle w:val="BodyText"/>
      </w:pPr>
      <w:r w:rsidRPr="00747EF6">
        <w:t>If a provider gives poor or misleading advice, the retail client can bring a complaint to the</w:t>
      </w:r>
      <w:r>
        <w:t xml:space="preserve"> provider’s</w:t>
      </w:r>
      <w:r w:rsidRPr="00747EF6">
        <w:t xml:space="preserve"> internal complaints</w:t>
      </w:r>
      <w:r>
        <w:t>-</w:t>
      </w:r>
      <w:r w:rsidRPr="00747EF6">
        <w:t>handling process. If the internal complaints</w:t>
      </w:r>
      <w:r>
        <w:t>-</w:t>
      </w:r>
      <w:r w:rsidRPr="00747EF6">
        <w:t xml:space="preserve">handling process does not resolve the complaint, it can be forwarded to the provider’s </w:t>
      </w:r>
      <w:r w:rsidR="00707BB4">
        <w:t>dispute-</w:t>
      </w:r>
      <w:r w:rsidRPr="00747EF6">
        <w:t>resolution scheme at no cost to the client.</w:t>
      </w:r>
    </w:p>
    <w:p w14:paraId="027A7357" w14:textId="77777777" w:rsidR="00A517B5" w:rsidRPr="00747EF6" w:rsidRDefault="00A517B5" w:rsidP="00A517B5">
      <w:pPr>
        <w:pStyle w:val="BodyText"/>
      </w:pPr>
      <w:r w:rsidRPr="00747EF6">
        <w:t>The scheme can consider breach of contract, industry codes and legal obligations. Depending on the severity of the complaint, the findings of the scheme can result in a range of orders, including compensation.</w:t>
      </w:r>
      <w:r w:rsidRPr="0061416B">
        <w:rPr>
          <w:rStyle w:val="FootnoteReference"/>
        </w:rPr>
        <w:footnoteReference w:id="38"/>
      </w:r>
      <w:r w:rsidRPr="00747EF6">
        <w:t xml:space="preserve"> Providers are required to pay an annual fee to belong to a scheme</w:t>
      </w:r>
      <w:r w:rsidRPr="00747EF6" w:rsidDel="00825B62">
        <w:t xml:space="preserve"> </w:t>
      </w:r>
      <w:r w:rsidRPr="00747EF6">
        <w:t>and an investigation fee per complaint (</w:t>
      </w:r>
      <w:r>
        <w:t xml:space="preserve">the </w:t>
      </w:r>
      <w:r w:rsidRPr="00747EF6">
        <w:t xml:space="preserve">fee varies by scheme). </w:t>
      </w:r>
    </w:p>
    <w:p w14:paraId="2EA7764C" w14:textId="77777777" w:rsidR="00A517B5" w:rsidRPr="00747EF6" w:rsidRDefault="00A517B5" w:rsidP="00A517B5">
      <w:pPr>
        <w:pStyle w:val="Heading4"/>
      </w:pPr>
      <w:r w:rsidRPr="00747EF6">
        <w:t>Meaning of wholesale and retail clients</w:t>
      </w:r>
    </w:p>
    <w:p w14:paraId="69720319" w14:textId="65DA53BA" w:rsidR="00A517B5" w:rsidRPr="00747EF6" w:rsidRDefault="00A517B5" w:rsidP="00A517B5">
      <w:pPr>
        <w:pStyle w:val="BodyText"/>
      </w:pPr>
      <w:r w:rsidRPr="00747EF6">
        <w:t xml:space="preserve">The regulation that applies to services provided to retail clients is significantly higher than for wholesale clients. This is because wholesale clients are </w:t>
      </w:r>
      <w:r w:rsidR="001966D8">
        <w:t>ge</w:t>
      </w:r>
      <w:r w:rsidR="004706CF">
        <w:t xml:space="preserve">nerally </w:t>
      </w:r>
      <w:r w:rsidRPr="00747EF6">
        <w:t xml:space="preserve">considered to have greater experience in investing, financial </w:t>
      </w:r>
      <w:proofErr w:type="gramStart"/>
      <w:r w:rsidRPr="00747EF6">
        <w:t>expertise</w:t>
      </w:r>
      <w:proofErr w:type="gramEnd"/>
      <w:r w:rsidRPr="00747EF6">
        <w:t xml:space="preserve"> and wealth</w:t>
      </w:r>
      <w:r>
        <w:t xml:space="preserve">. </w:t>
      </w:r>
      <w:proofErr w:type="gramStart"/>
      <w:r>
        <w:t>T</w:t>
      </w:r>
      <w:r w:rsidR="004706CF">
        <w:t>ypically</w:t>
      </w:r>
      <w:proofErr w:type="gramEnd"/>
      <w:r w:rsidR="004706CF">
        <w:t xml:space="preserve"> t</w:t>
      </w:r>
      <w:r>
        <w:t xml:space="preserve">hey </w:t>
      </w:r>
      <w:r w:rsidRPr="00747EF6">
        <w:t xml:space="preserve">are </w:t>
      </w:r>
      <w:r>
        <w:t xml:space="preserve">also </w:t>
      </w:r>
      <w:r w:rsidRPr="00747EF6">
        <w:t>better placed than retail investors to assess risks and seek additional information (including financial advice) where required, and therefore need less protection.</w:t>
      </w:r>
    </w:p>
    <w:p w14:paraId="55EDBD7B" w14:textId="03CAF23F" w:rsidR="00A517B5" w:rsidRPr="00747EF6" w:rsidRDefault="00A517B5" w:rsidP="00A517B5">
      <w:pPr>
        <w:pStyle w:val="Bullet"/>
        <w:numPr>
          <w:ilvl w:val="0"/>
          <w:numId w:val="0"/>
        </w:numPr>
      </w:pPr>
      <w:r w:rsidRPr="00747EF6">
        <w:t xml:space="preserve">The meaning of </w:t>
      </w:r>
      <w:r>
        <w:t>‘</w:t>
      </w:r>
      <w:r w:rsidRPr="00747EF6">
        <w:t>wholesale client</w:t>
      </w:r>
      <w:r>
        <w:t>’</w:t>
      </w:r>
      <w:r w:rsidRPr="00747EF6">
        <w:t xml:space="preserve"> is set out under clauses 37</w:t>
      </w:r>
      <w:r>
        <w:t>–</w:t>
      </w:r>
      <w:r w:rsidRPr="00747EF6">
        <w:t xml:space="preserve">41 of </w:t>
      </w:r>
      <w:hyperlink r:id="rId49" w:anchor="DLM4092365" w:history="1">
        <w:r>
          <w:rPr>
            <w:rStyle w:val="Hyperlink"/>
          </w:rPr>
          <w:t>Schedule 1 of the FMC Act</w:t>
        </w:r>
      </w:hyperlink>
      <w:r w:rsidRPr="00747EF6" w:rsidDel="00A76D59">
        <w:t xml:space="preserve"> </w:t>
      </w:r>
      <w:r w:rsidRPr="00747EF6">
        <w:t>as a person</w:t>
      </w:r>
      <w:r>
        <w:t xml:space="preserve"> </w:t>
      </w:r>
      <w:r w:rsidRPr="00747EF6">
        <w:t xml:space="preserve">(including entities controlled by the person and, as relevant, on a consolidated basis) </w:t>
      </w:r>
      <w:r>
        <w:t>who</w:t>
      </w:r>
      <w:r w:rsidRPr="00747EF6">
        <w:t xml:space="preserve"> meets any </w:t>
      </w:r>
      <w:r>
        <w:t>one</w:t>
      </w:r>
      <w:r w:rsidRPr="00747EF6">
        <w:t xml:space="preserve"> of the following summarised criteria</w:t>
      </w:r>
      <w:r w:rsidR="00294F4B">
        <w:t>:</w:t>
      </w:r>
    </w:p>
    <w:p w14:paraId="1C8B0B00" w14:textId="77777777" w:rsidR="00A517B5" w:rsidRPr="00747EF6" w:rsidRDefault="00A517B5" w:rsidP="00A517B5">
      <w:pPr>
        <w:pStyle w:val="Bullet"/>
        <w:tabs>
          <w:tab w:val="num" w:pos="397"/>
        </w:tabs>
        <w:spacing w:line="280" w:lineRule="exact"/>
      </w:pPr>
      <w:r w:rsidRPr="00747EF6">
        <w:rPr>
          <w:b/>
          <w:bCs/>
        </w:rPr>
        <w:t>Investment</w:t>
      </w:r>
      <w:r w:rsidRPr="00747EF6">
        <w:t xml:space="preserve"> </w:t>
      </w:r>
      <w:r w:rsidRPr="00747EF6">
        <w:rPr>
          <w:b/>
          <w:bCs/>
        </w:rPr>
        <w:t>business</w:t>
      </w:r>
      <w:r w:rsidRPr="00747EF6">
        <w:t>:</w:t>
      </w:r>
      <w:r>
        <w:t xml:space="preserve"> A person who is, for</w:t>
      </w:r>
      <w:r w:rsidDel="00D62395">
        <w:t xml:space="preserve"> </w:t>
      </w:r>
      <w:r w:rsidRPr="00747EF6">
        <w:t xml:space="preserve">example, </w:t>
      </w:r>
      <w:r>
        <w:t xml:space="preserve">a </w:t>
      </w:r>
      <w:r w:rsidRPr="00747EF6">
        <w:t xml:space="preserve">principal business investing in financial products, a registered bank, a financial </w:t>
      </w:r>
      <w:proofErr w:type="gramStart"/>
      <w:r w:rsidRPr="00747EF6">
        <w:t>adviser</w:t>
      </w:r>
      <w:proofErr w:type="gramEnd"/>
      <w:r>
        <w:t xml:space="preserve"> or</w:t>
      </w:r>
      <w:r w:rsidRPr="00747EF6">
        <w:t xml:space="preserve"> issuer of derivatives.</w:t>
      </w:r>
    </w:p>
    <w:p w14:paraId="1D31C762" w14:textId="77777777" w:rsidR="00A517B5" w:rsidRPr="00747EF6" w:rsidRDefault="00A517B5" w:rsidP="00A517B5">
      <w:pPr>
        <w:pStyle w:val="Bullet"/>
        <w:tabs>
          <w:tab w:val="num" w:pos="397"/>
        </w:tabs>
        <w:spacing w:line="280" w:lineRule="exact"/>
      </w:pPr>
      <w:r w:rsidRPr="00747EF6">
        <w:rPr>
          <w:b/>
          <w:bCs/>
        </w:rPr>
        <w:t>Investment activity criteria</w:t>
      </w:r>
      <w:r w:rsidRPr="00747EF6">
        <w:t>:</w:t>
      </w:r>
      <w:r>
        <w:t xml:space="preserve"> A person who has, within</w:t>
      </w:r>
      <w:r w:rsidRPr="00747EF6">
        <w:t xml:space="preserve"> the previous </w:t>
      </w:r>
      <w:r>
        <w:t xml:space="preserve">two </w:t>
      </w:r>
      <w:r w:rsidRPr="00747EF6">
        <w:t xml:space="preserve">years, owned a portfolio of (or carried out </w:t>
      </w:r>
      <w:r>
        <w:t>one</w:t>
      </w:r>
      <w:r w:rsidRPr="00747EF6">
        <w:t xml:space="preserve"> or more transactions to acquire) specified financial products</w:t>
      </w:r>
      <w:r w:rsidRPr="00747EF6">
        <w:rPr>
          <w:rStyle w:val="FootnoteReference"/>
        </w:rPr>
        <w:footnoteReference w:id="39"/>
      </w:r>
      <w:r w:rsidRPr="00747EF6">
        <w:t xml:space="preserve"> of a value of (or where the amount payable under those transactions was) at least $1 million (in aggregate).</w:t>
      </w:r>
    </w:p>
    <w:p w14:paraId="19BABFEA" w14:textId="5F116DB0" w:rsidR="00A517B5" w:rsidRPr="00747EF6" w:rsidRDefault="00A517B5" w:rsidP="00A517B5">
      <w:pPr>
        <w:pStyle w:val="Bullet"/>
        <w:tabs>
          <w:tab w:val="num" w:pos="397"/>
        </w:tabs>
        <w:spacing w:line="280" w:lineRule="exact"/>
      </w:pPr>
      <w:r w:rsidRPr="00747EF6">
        <w:rPr>
          <w:b/>
          <w:bCs/>
        </w:rPr>
        <w:t xml:space="preserve">A </w:t>
      </w:r>
      <w:r w:rsidRPr="00747EF6">
        <w:rPr>
          <w:b/>
        </w:rPr>
        <w:t>large person</w:t>
      </w:r>
      <w:r>
        <w:rPr>
          <w:b/>
        </w:rPr>
        <w:t>:</w:t>
      </w:r>
      <w:r w:rsidRPr="00747EF6" w:rsidDel="00EC6C1A">
        <w:t xml:space="preserve"> </w:t>
      </w:r>
      <w:r>
        <w:t>A</w:t>
      </w:r>
      <w:r w:rsidRPr="00747EF6">
        <w:t xml:space="preserve"> person </w:t>
      </w:r>
      <w:r>
        <w:t xml:space="preserve">who </w:t>
      </w:r>
      <w:r w:rsidRPr="00747EF6" w:rsidDel="00D62395">
        <w:t xml:space="preserve">(including entities controlled by the person and, as relevant, on a consolidated basis) </w:t>
      </w:r>
      <w:r w:rsidRPr="00747EF6">
        <w:t xml:space="preserve">had net assets </w:t>
      </w:r>
      <w:proofErr w:type="gramStart"/>
      <w:r w:rsidRPr="00747EF6">
        <w:t>in excess of</w:t>
      </w:r>
      <w:proofErr w:type="gramEnd"/>
      <w:r w:rsidRPr="00747EF6">
        <w:t xml:space="preserve"> $5 million as at the last day of each of the </w:t>
      </w:r>
      <w:r>
        <w:t>two</w:t>
      </w:r>
      <w:r w:rsidRPr="00747EF6">
        <w:t xml:space="preserve"> most recently completed financial years.</w:t>
      </w:r>
    </w:p>
    <w:p w14:paraId="2C612829" w14:textId="1BBC0F0A" w:rsidR="00A517B5" w:rsidRPr="00747EF6" w:rsidRDefault="00A517B5" w:rsidP="00A517B5">
      <w:pPr>
        <w:pStyle w:val="BodyText"/>
      </w:pPr>
      <w:r w:rsidRPr="00747EF6">
        <w:lastRenderedPageBreak/>
        <w:t xml:space="preserve">It may be </w:t>
      </w:r>
      <w:r w:rsidR="00E41D2E">
        <w:t>simpler</w:t>
      </w:r>
      <w:r w:rsidRPr="00747EF6">
        <w:t xml:space="preserve"> for our proposal to adopt the same wholesale/retail distinction above for NZU financial advice. Using different wholesale/retail thresholds could introduce complexity, particularly if it leads to the same person being a retail client for one purpose (getting NZU financial advice) but a wholesale client for another purpose (getting financial advice about NZU derivatives or about any other financial product). </w:t>
      </w:r>
    </w:p>
    <w:p w14:paraId="1DC10AEF" w14:textId="1899B64C" w:rsidR="002E4ABF" w:rsidRDefault="00A517B5" w:rsidP="00A517B5">
      <w:pPr>
        <w:pStyle w:val="BodyText"/>
      </w:pPr>
      <w:r w:rsidRPr="00747EF6">
        <w:t xml:space="preserve">If adopting the same definitions </w:t>
      </w:r>
      <w:r>
        <w:t>(</w:t>
      </w:r>
      <w:proofErr w:type="spellStart"/>
      <w:r>
        <w:t>eg</w:t>
      </w:r>
      <w:proofErr w:type="spellEnd"/>
      <w:r>
        <w:t xml:space="preserve">, </w:t>
      </w:r>
      <w:r w:rsidRPr="00747EF6">
        <w:t>if NZUs were a specified financial product for the purpose of the investment activity criteria described above</w:t>
      </w:r>
      <w:r>
        <w:t>,</w:t>
      </w:r>
      <w:r w:rsidRPr="00747EF6">
        <w:t xml:space="preserve"> and thresholds </w:t>
      </w:r>
      <w:r w:rsidR="000716B2">
        <w:t>were</w:t>
      </w:r>
      <w:r w:rsidR="000716B2" w:rsidRPr="00747EF6">
        <w:t xml:space="preserve"> </w:t>
      </w:r>
      <w:r w:rsidRPr="00747EF6">
        <w:t>otherwise unchanged</w:t>
      </w:r>
      <w:r>
        <w:t>)</w:t>
      </w:r>
      <w:r w:rsidRPr="00747EF6">
        <w:t xml:space="preserve">, that means a person </w:t>
      </w:r>
      <w:r>
        <w:t>who</w:t>
      </w:r>
      <w:r w:rsidRPr="00747EF6">
        <w:t xml:space="preserve"> held more than $1 million of NZUs at any point in the past </w:t>
      </w:r>
      <w:r>
        <w:t>two</w:t>
      </w:r>
      <w:r w:rsidRPr="00747EF6">
        <w:t xml:space="preserve"> years would be treated as a wholesale client. </w:t>
      </w:r>
    </w:p>
    <w:p w14:paraId="2A40D240" w14:textId="10CFE743" w:rsidR="00A517B5" w:rsidRPr="00747EF6" w:rsidRDefault="00A517B5" w:rsidP="00A517B5">
      <w:pPr>
        <w:pStyle w:val="BodyText"/>
      </w:pPr>
      <w:r w:rsidRPr="00747EF6">
        <w:t xml:space="preserve">We are conscious this could mean </w:t>
      </w:r>
      <w:proofErr w:type="gramStart"/>
      <w:r w:rsidRPr="00747EF6">
        <w:t>a number of</w:t>
      </w:r>
      <w:proofErr w:type="gramEnd"/>
      <w:r w:rsidRPr="00747EF6">
        <w:t xml:space="preserve"> small forestry participants </w:t>
      </w:r>
      <w:r w:rsidR="00CD2976">
        <w:t>would</w:t>
      </w:r>
      <w:r w:rsidR="00CD2976" w:rsidRPr="00747EF6">
        <w:t xml:space="preserve"> </w:t>
      </w:r>
      <w:r w:rsidRPr="00747EF6">
        <w:t>not benefit from the full protections of this proposal. We also note that the FMC Act thresholds were developed in the context of parties who buy or hold investment financial products generally by choice</w:t>
      </w:r>
      <w:r>
        <w:t>,</w:t>
      </w:r>
      <w:r w:rsidRPr="00747EF6">
        <w:t xml:space="preserve"> whereas in NZU markets </w:t>
      </w:r>
      <w:r w:rsidR="00E23DA4">
        <w:t>some</w:t>
      </w:r>
      <w:r w:rsidRPr="00747EF6">
        <w:t xml:space="preserve"> parties need to hold NZUs to meet surrender obligations.</w:t>
      </w:r>
    </w:p>
    <w:p w14:paraId="13CEB2DA" w14:textId="77777777" w:rsidR="00A517B5" w:rsidRPr="00747EF6" w:rsidRDefault="00A517B5" w:rsidP="00A517B5">
      <w:pPr>
        <w:pStyle w:val="BodyText"/>
      </w:pPr>
      <w:r w:rsidRPr="00747EF6">
        <w:t>We seek feedback on whether the existing FMC Act distinction is appropriate in the context of NZUs.</w:t>
      </w:r>
    </w:p>
    <w:tbl>
      <w:tblPr>
        <w:tblStyle w:val="TableGrid"/>
        <w:tblW w:w="493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8400"/>
      </w:tblGrid>
      <w:tr w:rsidR="008704B2" w:rsidRPr="00747EF6" w14:paraId="4606291F" w14:textId="77777777" w:rsidTr="008704B2">
        <w:tc>
          <w:tcPr>
            <w:tcW w:w="5000" w:type="pct"/>
            <w:shd w:val="clear" w:color="auto" w:fill="D2DDE2"/>
          </w:tcPr>
          <w:p w14:paraId="7BB00140" w14:textId="77777777" w:rsidR="008704B2" w:rsidRPr="008704B2" w:rsidRDefault="008704B2" w:rsidP="008704B2">
            <w:pPr>
              <w:pStyle w:val="Blueboxtext"/>
              <w:spacing w:after="0"/>
              <w:rPr>
                <w:b/>
                <w:bCs/>
              </w:rPr>
            </w:pPr>
            <w:r w:rsidRPr="008704B2">
              <w:rPr>
                <w:b/>
                <w:bCs/>
              </w:rPr>
              <w:t>Question 27</w:t>
            </w:r>
          </w:p>
          <w:p w14:paraId="2A2CECF6" w14:textId="77777777" w:rsidR="008704B2" w:rsidRPr="008704B2" w:rsidRDefault="008704B2" w:rsidP="008704B2">
            <w:pPr>
              <w:pStyle w:val="Blueboxtext"/>
            </w:pPr>
            <w:r w:rsidRPr="008704B2">
              <w:t>Do you consider that applying the wholesale client definition to NZU financial advice is appropriate? Why or why not?</w:t>
            </w:r>
          </w:p>
          <w:p w14:paraId="188B64D3" w14:textId="77777777" w:rsidR="008704B2" w:rsidRPr="008704B2" w:rsidRDefault="008704B2" w:rsidP="008704B2">
            <w:pPr>
              <w:pStyle w:val="Blueboxtext"/>
              <w:spacing w:after="0"/>
              <w:rPr>
                <w:b/>
                <w:bCs/>
              </w:rPr>
            </w:pPr>
            <w:r w:rsidRPr="008704B2">
              <w:rPr>
                <w:b/>
                <w:bCs/>
              </w:rPr>
              <w:t>Question 28</w:t>
            </w:r>
          </w:p>
          <w:p w14:paraId="36A7A2C2" w14:textId="12E7C0B9" w:rsidR="008704B2" w:rsidRPr="008704B2" w:rsidRDefault="008704B2" w:rsidP="008704B2">
            <w:pPr>
              <w:pStyle w:val="Blueboxtext"/>
            </w:pPr>
            <w:r w:rsidRPr="008704B2">
              <w:t xml:space="preserve">What changes (if any) would you have to make to your business </w:t>
            </w:r>
            <w:r w:rsidR="00E23DA4" w:rsidRPr="008704B2">
              <w:t>to</w:t>
            </w:r>
            <w:r w:rsidRPr="008704B2">
              <w:t xml:space="preserve"> accommodate the difference in the obligations between these two classes of clients?</w:t>
            </w:r>
          </w:p>
          <w:p w14:paraId="581BB77B" w14:textId="77777777" w:rsidR="008704B2" w:rsidRPr="008704B2" w:rsidRDefault="008704B2" w:rsidP="008704B2">
            <w:pPr>
              <w:pStyle w:val="Blueboxtext"/>
              <w:spacing w:after="0"/>
              <w:rPr>
                <w:b/>
                <w:bCs/>
              </w:rPr>
            </w:pPr>
            <w:r w:rsidRPr="008704B2">
              <w:rPr>
                <w:b/>
                <w:bCs/>
              </w:rPr>
              <w:t>Question 29</w:t>
            </w:r>
          </w:p>
          <w:p w14:paraId="3A5ABCB4" w14:textId="77777777" w:rsidR="008704B2" w:rsidRPr="00747EF6" w:rsidRDefault="008704B2" w:rsidP="008704B2">
            <w:pPr>
              <w:pStyle w:val="Blueboxtext"/>
              <w:rPr>
                <w:bCs/>
              </w:rPr>
            </w:pPr>
            <w:r w:rsidRPr="008704B2">
              <w:t>What are the expected costs and benefits to your business of the proposed new obligations in relation to regulating NZU financial advice, transactional and/or custodial services?</w:t>
            </w:r>
          </w:p>
        </w:tc>
      </w:tr>
    </w:tbl>
    <w:p w14:paraId="75645B08" w14:textId="77777777" w:rsidR="00A517B5" w:rsidRPr="00747EF6" w:rsidRDefault="00A517B5" w:rsidP="00A517B5">
      <w:pPr>
        <w:pStyle w:val="Heading4"/>
      </w:pPr>
      <w:r w:rsidRPr="00747EF6">
        <w:t>Professional training and qualifications about the NZ ETS</w:t>
      </w:r>
    </w:p>
    <w:p w14:paraId="26053AC4" w14:textId="77777777" w:rsidR="00A517B5" w:rsidRPr="00747EF6" w:rsidRDefault="00A517B5" w:rsidP="00A517B5">
      <w:pPr>
        <w:pStyle w:val="BodyText"/>
      </w:pPr>
      <w:r w:rsidRPr="00747EF6">
        <w:t xml:space="preserve">There is a current gap between those who provide NZU advice and their qualification credentials. For example: </w:t>
      </w:r>
    </w:p>
    <w:p w14:paraId="31AC4A98" w14:textId="77777777" w:rsidR="00A517B5" w:rsidRPr="00747EF6" w:rsidRDefault="00A517B5" w:rsidP="00A517B5">
      <w:pPr>
        <w:pStyle w:val="Bullet"/>
        <w:tabs>
          <w:tab w:val="num" w:pos="397"/>
        </w:tabs>
        <w:spacing w:line="280" w:lineRule="exact"/>
      </w:pPr>
      <w:r>
        <w:t>f</w:t>
      </w:r>
      <w:r w:rsidRPr="00747EF6">
        <w:t>orestry advisers do not explicitly have NZ</w:t>
      </w:r>
      <w:r>
        <w:t> </w:t>
      </w:r>
      <w:r w:rsidRPr="00747EF6">
        <w:t>ETS, NZU market or financial training in their qualifications</w:t>
      </w:r>
    </w:p>
    <w:p w14:paraId="39B67772" w14:textId="77777777" w:rsidR="00A517B5" w:rsidRPr="00747EF6" w:rsidRDefault="00A517B5" w:rsidP="00A517B5">
      <w:pPr>
        <w:pStyle w:val="Bullet"/>
        <w:tabs>
          <w:tab w:val="num" w:pos="397"/>
        </w:tabs>
        <w:spacing w:line="280" w:lineRule="exact"/>
      </w:pPr>
      <w:r w:rsidRPr="00747EF6">
        <w:t>financial adviser qualifications do not entail NZ</w:t>
      </w:r>
      <w:r>
        <w:t> </w:t>
      </w:r>
      <w:r w:rsidRPr="00747EF6">
        <w:t>ETS or NZU market training</w:t>
      </w:r>
    </w:p>
    <w:p w14:paraId="28111C2B" w14:textId="77777777" w:rsidR="00A517B5" w:rsidRPr="00747EF6" w:rsidRDefault="00A517B5" w:rsidP="00A517B5">
      <w:pPr>
        <w:pStyle w:val="Bullet"/>
        <w:tabs>
          <w:tab w:val="num" w:pos="397"/>
        </w:tabs>
        <w:spacing w:line="280" w:lineRule="exact"/>
      </w:pPr>
      <w:r w:rsidRPr="00747EF6">
        <w:t>there is a general lack of formal NZ</w:t>
      </w:r>
      <w:r>
        <w:t> </w:t>
      </w:r>
      <w:r w:rsidRPr="00747EF6">
        <w:t>ETS or NZU market training across NZ</w:t>
      </w:r>
      <w:r>
        <w:t> </w:t>
      </w:r>
      <w:r w:rsidRPr="00747EF6">
        <w:t>ETS information providers.</w:t>
      </w:r>
    </w:p>
    <w:p w14:paraId="33726999" w14:textId="77777777" w:rsidR="00A517B5" w:rsidRDefault="00A517B5" w:rsidP="00A517B5">
      <w:pPr>
        <w:pStyle w:val="BodyText"/>
      </w:pPr>
      <w:r w:rsidRPr="00747EF6">
        <w:t xml:space="preserve">A standardised qualification providing targeted professional modules would bridge the gap between the advice currently given to clients on how to manage NZUs and its financial implications. </w:t>
      </w:r>
    </w:p>
    <w:tbl>
      <w:tblPr>
        <w:tblStyle w:val="TableGrid"/>
        <w:tblpPr w:leftFromText="180" w:rightFromText="180" w:vertAnchor="text" w:horzAnchor="margin" w:tblpX="108" w:tblpY="179"/>
        <w:tblW w:w="4938"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8400"/>
      </w:tblGrid>
      <w:tr w:rsidR="00FB6809" w:rsidRPr="00747EF6" w14:paraId="1E5CACD9" w14:textId="77777777" w:rsidTr="00FB6809">
        <w:trPr>
          <w:cantSplit/>
        </w:trPr>
        <w:tc>
          <w:tcPr>
            <w:tcW w:w="5000" w:type="pct"/>
            <w:shd w:val="clear" w:color="auto" w:fill="D2DDE2"/>
          </w:tcPr>
          <w:p w14:paraId="7B0DF0BF" w14:textId="77777777" w:rsidR="00FB6809" w:rsidRPr="008704B2" w:rsidRDefault="00FB6809" w:rsidP="00FB6809">
            <w:pPr>
              <w:pStyle w:val="Blueboxtext"/>
              <w:spacing w:after="0"/>
              <w:rPr>
                <w:b/>
                <w:bCs/>
                <w:szCs w:val="22"/>
              </w:rPr>
            </w:pPr>
            <w:r w:rsidRPr="008704B2">
              <w:rPr>
                <w:b/>
                <w:bCs/>
                <w:szCs w:val="22"/>
              </w:rPr>
              <w:t>Question 30</w:t>
            </w:r>
          </w:p>
          <w:p w14:paraId="60D9CB64" w14:textId="3CF1C05D" w:rsidR="00FB6809" w:rsidRPr="0015142D" w:rsidRDefault="00FB6809" w:rsidP="00FB6809">
            <w:pPr>
              <w:pStyle w:val="Blueboxtext"/>
              <w:rPr>
                <w:bCs/>
              </w:rPr>
            </w:pPr>
            <w:r w:rsidRPr="00FB6809">
              <w:rPr>
                <w:szCs w:val="18"/>
              </w:rPr>
              <w:t xml:space="preserve">What are your views about whether </w:t>
            </w:r>
            <w:r w:rsidR="00BC487F">
              <w:rPr>
                <w:szCs w:val="18"/>
              </w:rPr>
              <w:t>requiring</w:t>
            </w:r>
            <w:r w:rsidR="00BC487F" w:rsidRPr="00FB6809">
              <w:rPr>
                <w:szCs w:val="18"/>
              </w:rPr>
              <w:t xml:space="preserve"> </w:t>
            </w:r>
            <w:r w:rsidRPr="00FB6809">
              <w:rPr>
                <w:szCs w:val="18"/>
              </w:rPr>
              <w:t>a minimum qualification would help improve the quality of NZU financial advice, given the types of activities involved in that advice?</w:t>
            </w:r>
          </w:p>
        </w:tc>
      </w:tr>
    </w:tbl>
    <w:p w14:paraId="645FBB6D" w14:textId="77777777" w:rsidR="00A517B5" w:rsidRPr="00747EF6" w:rsidRDefault="00A517B5" w:rsidP="00A517B5">
      <w:pPr>
        <w:pStyle w:val="Heading4"/>
      </w:pPr>
      <w:r w:rsidRPr="00747EF6">
        <w:lastRenderedPageBreak/>
        <w:t>Fees and levies</w:t>
      </w:r>
    </w:p>
    <w:p w14:paraId="47A62016" w14:textId="77777777" w:rsidR="00A517B5" w:rsidRPr="00747EF6" w:rsidRDefault="00A517B5" w:rsidP="00A517B5">
      <w:pPr>
        <w:pStyle w:val="BodyText"/>
      </w:pPr>
      <w:r w:rsidRPr="00747EF6">
        <w:t xml:space="preserve">The FMA is funded through a combination of levies charged to financial markets participants, Crown </w:t>
      </w:r>
      <w:r>
        <w:t>f</w:t>
      </w:r>
      <w:r w:rsidRPr="00747EF6">
        <w:t xml:space="preserve">unding, and licensing fees. </w:t>
      </w:r>
    </w:p>
    <w:p w14:paraId="4B29BD84" w14:textId="216D970A" w:rsidR="00A517B5" w:rsidRPr="00747EF6" w:rsidRDefault="00A517B5" w:rsidP="00A517B5">
      <w:pPr>
        <w:pStyle w:val="BodyText"/>
      </w:pPr>
      <w:r w:rsidRPr="00747EF6">
        <w:t xml:space="preserve">The FMA has a cost-recovery model for the licensing and regulatory oversight </w:t>
      </w:r>
      <w:r w:rsidR="00D86AF5">
        <w:t>of</w:t>
      </w:r>
      <w:r w:rsidR="00D86AF5" w:rsidRPr="00747EF6">
        <w:t xml:space="preserve"> </w:t>
      </w:r>
      <w:r w:rsidRPr="00747EF6">
        <w:t xml:space="preserve">the financial advice sector. Under this proposal, </w:t>
      </w:r>
      <w:r>
        <w:t>no change is intended</w:t>
      </w:r>
      <w:r w:rsidRPr="00747EF6">
        <w:t xml:space="preserve"> to the </w:t>
      </w:r>
      <w:r>
        <w:t>way</w:t>
      </w:r>
      <w:r w:rsidRPr="00747EF6">
        <w:t xml:space="preserve"> FMA currently collects fees and levies for this sector.</w:t>
      </w:r>
    </w:p>
    <w:p w14:paraId="1B583C69" w14:textId="77777777" w:rsidR="00A517B5" w:rsidRPr="00747EF6" w:rsidRDefault="00A517B5" w:rsidP="00A517B5">
      <w:pPr>
        <w:pStyle w:val="BodyText"/>
      </w:pPr>
      <w:r w:rsidRPr="00747EF6">
        <w:t>The size of any levies for NZU financial advice providers would be considered later. If NZU advisers and financial advisers are subject to similar levels of regulation by the FMA, it may be appropriate that NZU advisers pay similar FMA levies.</w:t>
      </w:r>
      <w:r w:rsidRPr="00747EF6">
        <w:rPr>
          <w:rStyle w:val="FootnoteReference"/>
        </w:rPr>
        <w:footnoteReference w:id="40"/>
      </w:r>
    </w:p>
    <w:p w14:paraId="23123840" w14:textId="77777777" w:rsidR="00A517B5" w:rsidRPr="00747EF6" w:rsidRDefault="00A517B5" w:rsidP="00A517B5">
      <w:pPr>
        <w:pStyle w:val="BodyText"/>
      </w:pPr>
      <w:r w:rsidRPr="00747EF6">
        <w:t>For these financial advice providers that require a licence, the minimum application fees</w:t>
      </w:r>
      <w:r w:rsidRPr="00747EF6">
        <w:rPr>
          <w:bCs/>
        </w:rPr>
        <w:t xml:space="preserve"> </w:t>
      </w:r>
      <w:r w:rsidRPr="00747EF6">
        <w:t xml:space="preserve">are: </w:t>
      </w:r>
    </w:p>
    <w:p w14:paraId="0D04BA42" w14:textId="77777777" w:rsidR="00A517B5" w:rsidRPr="00747EF6" w:rsidRDefault="00A517B5" w:rsidP="00A517B5">
      <w:pPr>
        <w:pStyle w:val="Bullet"/>
        <w:tabs>
          <w:tab w:val="num" w:pos="397"/>
        </w:tabs>
        <w:spacing w:line="280" w:lineRule="exact"/>
      </w:pPr>
      <w:r w:rsidRPr="00E427E6">
        <w:rPr>
          <w:b/>
          <w:bCs/>
        </w:rPr>
        <w:t>Class 1 licence (sole-advisers):</w:t>
      </w:r>
      <w:r w:rsidRPr="00747EF6">
        <w:t xml:space="preserve"> $703.80 (includes up to </w:t>
      </w:r>
      <w:r>
        <w:t>two</w:t>
      </w:r>
      <w:r w:rsidRPr="00747EF6">
        <w:t xml:space="preserve"> hours’ assessment time)</w:t>
      </w:r>
    </w:p>
    <w:p w14:paraId="096A22A3" w14:textId="77777777" w:rsidR="00A517B5" w:rsidRPr="00747EF6" w:rsidRDefault="00A517B5" w:rsidP="00A517B5">
      <w:pPr>
        <w:pStyle w:val="Bullet"/>
        <w:tabs>
          <w:tab w:val="num" w:pos="397"/>
        </w:tabs>
        <w:spacing w:line="280" w:lineRule="exact"/>
      </w:pPr>
      <w:r w:rsidRPr="0057045C">
        <w:rPr>
          <w:b/>
        </w:rPr>
        <w:t>Class 2 licence (businesses that engage more than one adviser):</w:t>
      </w:r>
      <w:r w:rsidRPr="00747EF6">
        <w:t xml:space="preserve"> $882.05 (includes up to </w:t>
      </w:r>
      <w:r>
        <w:t>three</w:t>
      </w:r>
      <w:r w:rsidRPr="00747EF6">
        <w:t xml:space="preserve"> hours’ assessment time)</w:t>
      </w:r>
    </w:p>
    <w:p w14:paraId="47BF8495" w14:textId="77777777" w:rsidR="00A517B5" w:rsidRPr="00747EF6" w:rsidRDefault="00A517B5" w:rsidP="00A517B5">
      <w:pPr>
        <w:pStyle w:val="Bullet"/>
        <w:tabs>
          <w:tab w:val="num" w:pos="397"/>
        </w:tabs>
        <w:spacing w:line="280" w:lineRule="exact"/>
      </w:pPr>
      <w:r w:rsidRPr="0057045C">
        <w:rPr>
          <w:b/>
        </w:rPr>
        <w:t xml:space="preserve">Class 3 licence (large organisations with nominated representatives): </w:t>
      </w:r>
      <w:r w:rsidRPr="00747EF6">
        <w:t xml:space="preserve">$1,060.30 (includes up to </w:t>
      </w:r>
      <w:r>
        <w:t>four</w:t>
      </w:r>
      <w:r w:rsidRPr="00747EF6">
        <w:t xml:space="preserve"> hours</w:t>
      </w:r>
      <w:r>
        <w:t>’</w:t>
      </w:r>
      <w:r w:rsidRPr="00747EF6">
        <w:t xml:space="preserve"> assessment time).</w:t>
      </w:r>
    </w:p>
    <w:p w14:paraId="194E18E7" w14:textId="77777777" w:rsidR="00FB6809" w:rsidRDefault="00A517B5" w:rsidP="00A517B5">
      <w:pPr>
        <w:pStyle w:val="BodyText"/>
        <w:sectPr w:rsidR="00FB6809" w:rsidSect="008A7498">
          <w:pgSz w:w="11907" w:h="16840" w:code="9"/>
          <w:pgMar w:top="1134" w:right="1701" w:bottom="1134" w:left="1701" w:header="567" w:footer="567" w:gutter="0"/>
          <w:cols w:space="720"/>
          <w:docGrid w:linePitch="299"/>
        </w:sectPr>
      </w:pPr>
      <w:r w:rsidRPr="00747EF6">
        <w:t>Additional fees may apply</w:t>
      </w:r>
      <w:r>
        <w:t>,</w:t>
      </w:r>
      <w:r w:rsidRPr="00747EF6">
        <w:t xml:space="preserve"> at a rate of $178.35 per </w:t>
      </w:r>
      <w:proofErr w:type="gramStart"/>
      <w:r w:rsidRPr="00747EF6">
        <w:t>hour</w:t>
      </w:r>
      <w:r>
        <w:t xml:space="preserve">, </w:t>
      </w:r>
      <w:r w:rsidRPr="00747EF6">
        <w:t>if</w:t>
      </w:r>
      <w:proofErr w:type="gramEnd"/>
      <w:r w:rsidRPr="00747EF6">
        <w:t xml:space="preserve"> the application assessment exceeds the allocated hours.</w:t>
      </w:r>
    </w:p>
    <w:tbl>
      <w:tblPr>
        <w:tblStyle w:val="TableGrid"/>
        <w:tblW w:w="493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8400"/>
      </w:tblGrid>
      <w:tr w:rsidR="00A517B5" w:rsidRPr="00747EF6" w14:paraId="2760508A" w14:textId="77777777" w:rsidTr="00FB6809">
        <w:tc>
          <w:tcPr>
            <w:tcW w:w="5000" w:type="pct"/>
            <w:shd w:val="clear" w:color="auto" w:fill="D2DDE2"/>
          </w:tcPr>
          <w:p w14:paraId="740143D2" w14:textId="77777777" w:rsidR="008704B2" w:rsidRPr="008704B2" w:rsidRDefault="008704B2" w:rsidP="008704B2">
            <w:pPr>
              <w:pStyle w:val="Blueboxtext"/>
              <w:spacing w:after="0"/>
              <w:rPr>
                <w:b/>
                <w:bCs/>
              </w:rPr>
            </w:pPr>
            <w:r w:rsidRPr="008704B2">
              <w:rPr>
                <w:b/>
                <w:bCs/>
              </w:rPr>
              <w:lastRenderedPageBreak/>
              <w:t>Question 31</w:t>
            </w:r>
          </w:p>
          <w:p w14:paraId="6F93BCE8" w14:textId="77777777" w:rsidR="008704B2" w:rsidRPr="000107EF" w:rsidRDefault="008704B2" w:rsidP="008704B2">
            <w:pPr>
              <w:pStyle w:val="Blueboxtext"/>
            </w:pPr>
            <w:r w:rsidRPr="00F84DB4">
              <w:rPr>
                <w:sz w:val="22"/>
              </w:rPr>
              <w:t xml:space="preserve">Are the costs of licensing and other obligations under the FMC Act appropriate for NZU financial advice? </w:t>
            </w:r>
          </w:p>
          <w:p w14:paraId="11C30699" w14:textId="77777777" w:rsidR="008704B2" w:rsidRPr="008704B2" w:rsidRDefault="008704B2" w:rsidP="008704B2">
            <w:pPr>
              <w:pStyle w:val="Blueboxtext"/>
              <w:spacing w:after="0"/>
              <w:rPr>
                <w:b/>
                <w:bCs/>
              </w:rPr>
            </w:pPr>
            <w:r w:rsidRPr="008704B2">
              <w:rPr>
                <w:b/>
                <w:bCs/>
              </w:rPr>
              <w:t>Question 32</w:t>
            </w:r>
          </w:p>
          <w:p w14:paraId="01E0C7DE" w14:textId="77777777" w:rsidR="008704B2" w:rsidRPr="00747EF6" w:rsidRDefault="008704B2" w:rsidP="008704B2">
            <w:pPr>
              <w:pStyle w:val="Blueboxtext"/>
              <w:rPr>
                <w:bCs/>
              </w:rPr>
            </w:pPr>
            <w:r w:rsidRPr="00F84DB4">
              <w:rPr>
                <w:sz w:val="22"/>
              </w:rPr>
              <w:t xml:space="preserve">Are there likely to be impacts on availability of advice? </w:t>
            </w:r>
            <w:r>
              <w:rPr>
                <w:sz w:val="22"/>
              </w:rPr>
              <w:t>For example,</w:t>
            </w:r>
            <w:r w:rsidRPr="00F84DB4">
              <w:rPr>
                <w:sz w:val="22"/>
              </w:rPr>
              <w:t xml:space="preserve"> if you are an NZU adviser, would you consider choosing not to provide NZU advice to avoid </w:t>
            </w:r>
            <w:r>
              <w:rPr>
                <w:sz w:val="22"/>
              </w:rPr>
              <w:t xml:space="preserve">the </w:t>
            </w:r>
            <w:r w:rsidRPr="00F84DB4">
              <w:rPr>
                <w:sz w:val="22"/>
              </w:rPr>
              <w:t>burden of licensing?</w:t>
            </w:r>
          </w:p>
        </w:tc>
      </w:tr>
    </w:tbl>
    <w:p w14:paraId="34FE7D27" w14:textId="77777777" w:rsidR="00A517B5" w:rsidRPr="00747EF6" w:rsidRDefault="00A517B5" w:rsidP="00A517B5">
      <w:pPr>
        <w:pStyle w:val="Heading3"/>
      </w:pPr>
      <w:r w:rsidRPr="00747EF6">
        <w:t>Should client money or property services apply to the NZU market?</w:t>
      </w:r>
    </w:p>
    <w:p w14:paraId="2214026F" w14:textId="77777777" w:rsidR="00A517B5" w:rsidRPr="00747EF6" w:rsidRDefault="00A517B5" w:rsidP="00A517B5">
      <w:pPr>
        <w:pStyle w:val="BodyText"/>
        <w:rPr>
          <w:rFonts w:eastAsia="Malgun Gothic"/>
          <w:lang w:eastAsia="ko-KR"/>
        </w:rPr>
      </w:pPr>
      <w:r w:rsidRPr="00747EF6">
        <w:rPr>
          <w:rFonts w:eastAsia="Malgun Gothic"/>
          <w:lang w:eastAsia="ko-KR"/>
        </w:rPr>
        <w:t xml:space="preserve">We have received complaints of NZETR account operators withholding access </w:t>
      </w:r>
      <w:r>
        <w:rPr>
          <w:rFonts w:eastAsia="Malgun Gothic"/>
          <w:lang w:eastAsia="ko-KR"/>
        </w:rPr>
        <w:t>to</w:t>
      </w:r>
      <w:r w:rsidRPr="00747EF6">
        <w:rPr>
          <w:rFonts w:eastAsia="Malgun Gothic"/>
          <w:lang w:eastAsia="ko-KR"/>
        </w:rPr>
        <w:t xml:space="preserve"> NZUs </w:t>
      </w:r>
      <w:r>
        <w:rPr>
          <w:rFonts w:eastAsia="Malgun Gothic"/>
          <w:lang w:eastAsia="ko-KR"/>
        </w:rPr>
        <w:t>from</w:t>
      </w:r>
      <w:r w:rsidRPr="00747EF6">
        <w:rPr>
          <w:rFonts w:eastAsia="Malgun Gothic"/>
          <w:lang w:eastAsia="ko-KR"/>
        </w:rPr>
        <w:t xml:space="preserve"> account holders. We want to understand the gravity of this risk in the NZU market and possible solutions to mitigate this risk. </w:t>
      </w:r>
    </w:p>
    <w:p w14:paraId="74AE17D0" w14:textId="044819A7" w:rsidR="00A517B5" w:rsidRPr="00747EF6" w:rsidRDefault="00A517B5" w:rsidP="00A517B5">
      <w:pPr>
        <w:pStyle w:val="BodyText"/>
        <w:rPr>
          <w:rFonts w:eastAsia="Malgun Gothic"/>
          <w:lang w:eastAsia="ko-KR"/>
        </w:rPr>
      </w:pPr>
      <w:r w:rsidRPr="00747EF6">
        <w:rPr>
          <w:rFonts w:eastAsia="Malgun Gothic"/>
          <w:lang w:eastAsia="ko-KR"/>
        </w:rPr>
        <w:t xml:space="preserve">Persons </w:t>
      </w:r>
      <w:r>
        <w:rPr>
          <w:rFonts w:eastAsia="Malgun Gothic"/>
          <w:lang w:eastAsia="ko-KR"/>
        </w:rPr>
        <w:t>who</w:t>
      </w:r>
      <w:r w:rsidRPr="00747EF6">
        <w:rPr>
          <w:rFonts w:eastAsia="Malgun Gothic"/>
          <w:lang w:eastAsia="ko-KR"/>
        </w:rPr>
        <w:t xml:space="preserve"> receive client money</w:t>
      </w:r>
      <w:r>
        <w:rPr>
          <w:rFonts w:eastAsia="Malgun Gothic"/>
          <w:lang w:eastAsia="ko-KR"/>
        </w:rPr>
        <w:t>,</w:t>
      </w:r>
      <w:r w:rsidRPr="00747EF6">
        <w:rPr>
          <w:rFonts w:eastAsia="Malgun Gothic"/>
          <w:lang w:eastAsia="ko-KR"/>
        </w:rPr>
        <w:t xml:space="preserve"> or client money in connection with a financial advice product</w:t>
      </w:r>
      <w:r>
        <w:rPr>
          <w:rFonts w:eastAsia="Malgun Gothic"/>
          <w:lang w:eastAsia="ko-KR"/>
        </w:rPr>
        <w:t>,</w:t>
      </w:r>
      <w:r w:rsidRPr="00747EF6">
        <w:rPr>
          <w:rFonts w:eastAsia="Malgun Gothic"/>
          <w:lang w:eastAsia="ko-KR"/>
        </w:rPr>
        <w:t xml:space="preserve"> are subject to the client money or property service regime under the FMC Act. This regime is not part of financial advice regulation. It imposes key duties and obligations to help ensure providers meet minimum conduct, </w:t>
      </w:r>
      <w:proofErr w:type="gramStart"/>
      <w:r w:rsidRPr="00747EF6">
        <w:rPr>
          <w:rFonts w:eastAsia="Malgun Gothic"/>
          <w:lang w:eastAsia="ko-KR"/>
        </w:rPr>
        <w:t>disclosure</w:t>
      </w:r>
      <w:proofErr w:type="gramEnd"/>
      <w:r w:rsidRPr="00747EF6">
        <w:rPr>
          <w:rFonts w:eastAsia="Malgun Gothic"/>
          <w:lang w:eastAsia="ko-KR"/>
        </w:rPr>
        <w:t xml:space="preserve"> and record-keeping standards (among other things).</w:t>
      </w:r>
    </w:p>
    <w:p w14:paraId="55D48F4E" w14:textId="77777777" w:rsidR="00A517B5" w:rsidRPr="00747EF6" w:rsidRDefault="00A517B5" w:rsidP="00A517B5">
      <w:pPr>
        <w:pStyle w:val="BodyText"/>
        <w:rPr>
          <w:rFonts w:eastAsia="Malgun Gothic"/>
          <w:lang w:eastAsia="ko-KR"/>
        </w:rPr>
      </w:pPr>
      <w:r w:rsidRPr="00747EF6">
        <w:rPr>
          <w:rFonts w:eastAsia="Malgun Gothic"/>
          <w:lang w:eastAsia="ko-KR"/>
        </w:rPr>
        <w:t>However, there are material differences between the holding of client money and client NZUs</w:t>
      </w:r>
      <w:r>
        <w:rPr>
          <w:rFonts w:eastAsia="Malgun Gothic"/>
          <w:lang w:eastAsia="ko-KR"/>
        </w:rPr>
        <w:t>,</w:t>
      </w:r>
      <w:r w:rsidRPr="00747EF6">
        <w:rPr>
          <w:rFonts w:eastAsia="Malgun Gothic"/>
          <w:lang w:eastAsia="ko-KR"/>
        </w:rPr>
        <w:t xml:space="preserve"> compared with other financial products under the FMA regime</w:t>
      </w:r>
      <w:r>
        <w:rPr>
          <w:rFonts w:eastAsia="Malgun Gothic"/>
          <w:lang w:eastAsia="ko-KR"/>
        </w:rPr>
        <w:t>,</w:t>
      </w:r>
      <w:r w:rsidRPr="00747EF6">
        <w:rPr>
          <w:rFonts w:eastAsia="Malgun Gothic"/>
          <w:lang w:eastAsia="ko-KR"/>
        </w:rPr>
        <w:t xml:space="preserve"> </w:t>
      </w:r>
      <w:r>
        <w:rPr>
          <w:rFonts w:eastAsia="Malgun Gothic"/>
          <w:lang w:eastAsia="ko-KR"/>
        </w:rPr>
        <w:t xml:space="preserve">which </w:t>
      </w:r>
      <w:r w:rsidRPr="00747EF6">
        <w:rPr>
          <w:rFonts w:eastAsia="Malgun Gothic"/>
          <w:lang w:eastAsia="ko-KR"/>
        </w:rPr>
        <w:t>require further thought. These differences are:</w:t>
      </w:r>
    </w:p>
    <w:p w14:paraId="568A9035" w14:textId="5D0CC5ED"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 xml:space="preserve">how ownership of NZUs </w:t>
      </w:r>
      <w:r>
        <w:rPr>
          <w:rFonts w:eastAsia="Malgun Gothic"/>
          <w:lang w:eastAsia="ko-KR"/>
        </w:rPr>
        <w:t>is</w:t>
      </w:r>
      <w:r w:rsidRPr="00747EF6">
        <w:rPr>
          <w:rFonts w:eastAsia="Malgun Gothic"/>
          <w:lang w:eastAsia="ko-KR"/>
        </w:rPr>
        <w:t xml:space="preserve"> recorded, </w:t>
      </w:r>
      <w:proofErr w:type="gramStart"/>
      <w:r w:rsidRPr="00747EF6">
        <w:rPr>
          <w:rFonts w:eastAsia="Malgun Gothic"/>
          <w:lang w:eastAsia="ko-KR"/>
        </w:rPr>
        <w:t>managed</w:t>
      </w:r>
      <w:proofErr w:type="gramEnd"/>
      <w:r w:rsidRPr="00747EF6">
        <w:rPr>
          <w:rFonts w:eastAsia="Malgun Gothic"/>
          <w:lang w:eastAsia="ko-KR"/>
        </w:rPr>
        <w:t xml:space="preserve"> and administered compared to other financial product markets</w:t>
      </w:r>
    </w:p>
    <w:p w14:paraId="1CCB182C" w14:textId="77777777"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the role of account operators in the NZETR.</w:t>
      </w:r>
    </w:p>
    <w:p w14:paraId="366B1E6F" w14:textId="749D7ACF" w:rsidR="00A517B5" w:rsidRPr="00747EF6" w:rsidRDefault="00A517B5" w:rsidP="00A517B5">
      <w:pPr>
        <w:pStyle w:val="BodyText"/>
        <w:rPr>
          <w:rFonts w:eastAsia="Malgun Gothic"/>
          <w:lang w:eastAsia="ko-KR"/>
        </w:rPr>
      </w:pPr>
      <w:r w:rsidRPr="00747EF6">
        <w:rPr>
          <w:rFonts w:eastAsia="Malgun Gothic"/>
          <w:lang w:eastAsia="ko-KR"/>
        </w:rPr>
        <w:t xml:space="preserve">While client money or property services for NZUs </w:t>
      </w:r>
      <w:r>
        <w:rPr>
          <w:rFonts w:eastAsia="Malgun Gothic"/>
          <w:lang w:eastAsia="ko-KR"/>
        </w:rPr>
        <w:t>were</w:t>
      </w:r>
      <w:r w:rsidRPr="00747EF6">
        <w:rPr>
          <w:rFonts w:eastAsia="Malgun Gothic"/>
          <w:lang w:eastAsia="ko-KR"/>
        </w:rPr>
        <w:t xml:space="preserve"> not proposed in the previous 2021 market governance consultation, the purpose of </w:t>
      </w:r>
      <w:r>
        <w:rPr>
          <w:rFonts w:eastAsia="Malgun Gothic"/>
          <w:lang w:eastAsia="ko-KR"/>
        </w:rPr>
        <w:t xml:space="preserve">looking at it </w:t>
      </w:r>
      <w:r w:rsidRPr="00747EF6">
        <w:rPr>
          <w:rFonts w:eastAsia="Malgun Gothic"/>
          <w:lang w:eastAsia="ko-KR"/>
        </w:rPr>
        <w:t xml:space="preserve">in this topic is to consider consistent treatment between persons </w:t>
      </w:r>
      <w:r>
        <w:rPr>
          <w:rFonts w:eastAsia="Malgun Gothic"/>
          <w:lang w:eastAsia="ko-KR"/>
        </w:rPr>
        <w:t>providing</w:t>
      </w:r>
      <w:r w:rsidRPr="00747EF6">
        <w:rPr>
          <w:rFonts w:eastAsia="Malgun Gothic"/>
          <w:lang w:eastAsia="ko-KR"/>
        </w:rPr>
        <w:t xml:space="preserve"> client money or property services in relation to financial advice products (</w:t>
      </w:r>
      <w:proofErr w:type="spellStart"/>
      <w:r w:rsidRPr="00747EF6">
        <w:rPr>
          <w:rFonts w:eastAsia="Malgun Gothic"/>
          <w:lang w:eastAsia="ko-KR"/>
        </w:rPr>
        <w:t>eg</w:t>
      </w:r>
      <w:proofErr w:type="spellEnd"/>
      <w:r w:rsidRPr="00747EF6">
        <w:rPr>
          <w:rFonts w:eastAsia="Malgun Gothic"/>
          <w:lang w:eastAsia="ko-KR"/>
        </w:rPr>
        <w:t xml:space="preserve">, shares) </w:t>
      </w:r>
      <w:r>
        <w:rPr>
          <w:rFonts w:eastAsia="Malgun Gothic"/>
          <w:lang w:eastAsia="ko-KR"/>
        </w:rPr>
        <w:t xml:space="preserve">and persons providing </w:t>
      </w:r>
      <w:r w:rsidRPr="00747EF6">
        <w:rPr>
          <w:rFonts w:eastAsia="Malgun Gothic"/>
          <w:lang w:eastAsia="ko-KR"/>
        </w:rPr>
        <w:t xml:space="preserve">equivalent services in the NZU market. </w:t>
      </w:r>
    </w:p>
    <w:p w14:paraId="467B68FB" w14:textId="77777777" w:rsidR="00A517B5" w:rsidRPr="00747EF6" w:rsidRDefault="00A517B5" w:rsidP="00A517B5">
      <w:pPr>
        <w:pStyle w:val="BodyText"/>
        <w:rPr>
          <w:lang w:eastAsia="en-US"/>
        </w:rPr>
      </w:pPr>
      <w:r w:rsidRPr="00747EF6">
        <w:rPr>
          <w:lang w:eastAsia="en-US"/>
        </w:rPr>
        <w:t>As part of this discussion document, we seek views on what role (if any) a client money and property regime should play in the NZU market.</w:t>
      </w:r>
    </w:p>
    <w:p w14:paraId="07774B2A" w14:textId="77777777" w:rsidR="00A517B5" w:rsidRPr="00747EF6" w:rsidRDefault="00A517B5" w:rsidP="00A517B5">
      <w:pPr>
        <w:pStyle w:val="Heading4"/>
        <w:rPr>
          <w:lang w:eastAsia="ko-KR"/>
        </w:rPr>
      </w:pPr>
      <w:bookmarkStart w:id="116" w:name="_What_is_a"/>
      <w:bookmarkEnd w:id="116"/>
      <w:r w:rsidRPr="00747EF6">
        <w:rPr>
          <w:lang w:eastAsia="ko-KR"/>
        </w:rPr>
        <w:t>What is a client money or property service?</w:t>
      </w:r>
    </w:p>
    <w:p w14:paraId="068B45E8" w14:textId="77777777" w:rsidR="00A517B5" w:rsidRPr="00747EF6" w:rsidRDefault="00A517B5" w:rsidP="00A517B5">
      <w:pPr>
        <w:jc w:val="left"/>
        <w:rPr>
          <w:rFonts w:eastAsia="Malgun Gothic" w:cs="Calibri"/>
          <w:lang w:eastAsia="ko-KR"/>
        </w:rPr>
      </w:pPr>
      <w:r w:rsidRPr="00747EF6">
        <w:rPr>
          <w:rFonts w:eastAsia="Malgun Gothic" w:cs="Calibri"/>
          <w:lang w:eastAsia="ko-KR"/>
        </w:rPr>
        <w:t>At a high</w:t>
      </w:r>
      <w:r>
        <w:rPr>
          <w:rFonts w:eastAsia="Malgun Gothic" w:cs="Calibri"/>
          <w:lang w:eastAsia="ko-KR"/>
        </w:rPr>
        <w:t xml:space="preserve"> </w:t>
      </w:r>
      <w:r w:rsidRPr="00747EF6">
        <w:rPr>
          <w:rFonts w:eastAsia="Malgun Gothic" w:cs="Calibri"/>
          <w:lang w:eastAsia="ko-KR"/>
        </w:rPr>
        <w:t>level, a person provides a client money or property service by:</w:t>
      </w:r>
    </w:p>
    <w:p w14:paraId="280578E0" w14:textId="4E120005"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 xml:space="preserve">receiving money from a client (or from a person on the client’s behalf) in connection with the acquiring, </w:t>
      </w:r>
      <w:proofErr w:type="gramStart"/>
      <w:r w:rsidRPr="00747EF6">
        <w:rPr>
          <w:rFonts w:eastAsia="Malgun Gothic"/>
          <w:lang w:eastAsia="ko-KR"/>
        </w:rPr>
        <w:t>holding</w:t>
      </w:r>
      <w:proofErr w:type="gramEnd"/>
      <w:r w:rsidRPr="00747EF6">
        <w:rPr>
          <w:rFonts w:eastAsia="Malgun Gothic"/>
          <w:lang w:eastAsia="ko-KR"/>
        </w:rPr>
        <w:t xml:space="preserve"> or disposing of a financial advice product</w:t>
      </w:r>
    </w:p>
    <w:p w14:paraId="74FAE790" w14:textId="77777777"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receiving property from a client (or from a person on the client’s behalf) that is a financial advice product, a beneficial interest in a financial advice product, or in connection with a financial advice product</w:t>
      </w:r>
    </w:p>
    <w:p w14:paraId="5892765F" w14:textId="77777777"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holding, paying, or transferring that client money or client property.</w:t>
      </w:r>
    </w:p>
    <w:p w14:paraId="05D40C7B" w14:textId="77777777" w:rsidR="00A517B5" w:rsidRPr="00747EF6" w:rsidRDefault="00A517B5" w:rsidP="00A517B5">
      <w:pPr>
        <w:pStyle w:val="BodyText"/>
        <w:rPr>
          <w:rFonts w:eastAsia="Malgun Gothic"/>
          <w:lang w:eastAsia="ko-KR"/>
        </w:rPr>
      </w:pPr>
      <w:r w:rsidRPr="00747EF6">
        <w:rPr>
          <w:rFonts w:eastAsia="Malgun Gothic"/>
          <w:lang w:eastAsia="ko-KR"/>
        </w:rPr>
        <w:lastRenderedPageBreak/>
        <w:t>It includes a custodial service</w:t>
      </w:r>
      <w:r>
        <w:rPr>
          <w:rFonts w:eastAsia="Malgun Gothic"/>
          <w:lang w:eastAsia="ko-KR"/>
        </w:rPr>
        <w:t xml:space="preserve">, </w:t>
      </w:r>
      <w:r w:rsidRPr="00747EF6">
        <w:rPr>
          <w:rFonts w:eastAsia="Malgun Gothic"/>
          <w:lang w:eastAsia="ko-KR"/>
        </w:rPr>
        <w:t>where</w:t>
      </w:r>
      <w:r>
        <w:rPr>
          <w:rFonts w:eastAsia="Malgun Gothic"/>
          <w:lang w:eastAsia="ko-KR"/>
        </w:rPr>
        <w:t>by</w:t>
      </w:r>
      <w:r w:rsidRPr="00747EF6">
        <w:rPr>
          <w:rFonts w:eastAsia="Malgun Gothic"/>
          <w:lang w:eastAsia="ko-KR"/>
        </w:rPr>
        <w:t xml:space="preserve"> a person holds the client money or client property on trust for, or on behalf of</w:t>
      </w:r>
      <w:r>
        <w:rPr>
          <w:rFonts w:eastAsia="Malgun Gothic"/>
          <w:lang w:eastAsia="ko-KR"/>
        </w:rPr>
        <w:t>,</w:t>
      </w:r>
      <w:r w:rsidRPr="00747EF6">
        <w:rPr>
          <w:rFonts w:eastAsia="Malgun Gothic"/>
          <w:lang w:eastAsia="ko-KR"/>
        </w:rPr>
        <w:t xml:space="preserve"> a client (or another person nominated by the client).</w:t>
      </w:r>
    </w:p>
    <w:p w14:paraId="32EF88BA" w14:textId="77777777" w:rsidR="00A517B5" w:rsidRPr="00747EF6" w:rsidRDefault="00A517B5" w:rsidP="00A517B5">
      <w:pPr>
        <w:pStyle w:val="BodyText"/>
        <w:rPr>
          <w:rFonts w:eastAsia="Malgun Gothic"/>
          <w:lang w:eastAsia="ko-KR"/>
        </w:rPr>
      </w:pPr>
      <w:r w:rsidRPr="00747EF6">
        <w:rPr>
          <w:rFonts w:eastAsia="Malgun Gothic"/>
          <w:lang w:eastAsia="ko-KR"/>
        </w:rPr>
        <w:t>Broadly speaking, under financial markets legislation, a custodian is a provider who holds money or property for clients, rather than someone who merely executes orders to pay or transfer money or property to another person.</w:t>
      </w:r>
      <w:r>
        <w:rPr>
          <w:rFonts w:eastAsia="Malgun Gothic"/>
          <w:lang w:eastAsia="ko-KR"/>
        </w:rPr>
        <w:t xml:space="preserve"> </w:t>
      </w:r>
      <w:r w:rsidRPr="00747EF6">
        <w:rPr>
          <w:rFonts w:eastAsia="Malgun Gothic"/>
          <w:lang w:eastAsia="ko-KR"/>
        </w:rPr>
        <w:t>Providing a custodial service is when a person:</w:t>
      </w:r>
    </w:p>
    <w:p w14:paraId="2A5D0A55" w14:textId="77777777"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holds client money or client property on trust for a client (</w:t>
      </w:r>
      <w:r>
        <w:rPr>
          <w:rFonts w:eastAsia="Malgun Gothic"/>
          <w:lang w:eastAsia="ko-KR"/>
        </w:rPr>
        <w:t>Person A</w:t>
      </w:r>
      <w:r w:rsidRPr="00747EF6">
        <w:rPr>
          <w:rFonts w:eastAsia="Malgun Gothic"/>
          <w:lang w:eastAsia="ko-KR"/>
        </w:rPr>
        <w:t xml:space="preserve">) or another person nominated by </w:t>
      </w:r>
      <w:r>
        <w:rPr>
          <w:rFonts w:eastAsia="Malgun Gothic"/>
          <w:lang w:eastAsia="ko-KR"/>
        </w:rPr>
        <w:t>Person A (Person B)</w:t>
      </w:r>
      <w:r w:rsidRPr="00747EF6">
        <w:rPr>
          <w:rFonts w:eastAsia="Malgun Gothic"/>
          <w:lang w:eastAsia="ko-KR"/>
        </w:rPr>
        <w:t xml:space="preserve"> under an arrangement between </w:t>
      </w:r>
      <w:r>
        <w:rPr>
          <w:rFonts w:eastAsia="Malgun Gothic"/>
          <w:lang w:eastAsia="ko-KR"/>
        </w:rPr>
        <w:t xml:space="preserve">Person </w:t>
      </w:r>
      <w:r w:rsidRPr="00747EF6">
        <w:rPr>
          <w:rFonts w:eastAsia="Malgun Gothic"/>
          <w:lang w:eastAsia="ko-KR"/>
        </w:rPr>
        <w:t xml:space="preserve">A and </w:t>
      </w:r>
      <w:r>
        <w:rPr>
          <w:rFonts w:eastAsia="Malgun Gothic"/>
          <w:lang w:eastAsia="ko-KR"/>
        </w:rPr>
        <w:t>Person B</w:t>
      </w:r>
      <w:r w:rsidRPr="00747EF6">
        <w:rPr>
          <w:rFonts w:eastAsia="Malgun Gothic"/>
          <w:lang w:eastAsia="ko-KR"/>
        </w:rPr>
        <w:t xml:space="preserve"> </w:t>
      </w:r>
    </w:p>
    <w:p w14:paraId="4E6232A6" w14:textId="77777777"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 xml:space="preserve">holds client money or client property on trust for another person with whom </w:t>
      </w:r>
      <w:r>
        <w:rPr>
          <w:rFonts w:eastAsia="Malgun Gothic"/>
          <w:lang w:eastAsia="ko-KR"/>
        </w:rPr>
        <w:t>Person A</w:t>
      </w:r>
      <w:r w:rsidRPr="00747EF6">
        <w:rPr>
          <w:rFonts w:eastAsia="Malgun Gothic"/>
          <w:lang w:eastAsia="ko-KR"/>
        </w:rPr>
        <w:t xml:space="preserve"> has an arrangement.</w:t>
      </w:r>
    </w:p>
    <w:p w14:paraId="283DE6FE" w14:textId="77777777" w:rsidR="00A517B5" w:rsidRPr="00747EF6" w:rsidRDefault="00A517B5" w:rsidP="00A517B5">
      <w:pPr>
        <w:pStyle w:val="BodyText"/>
        <w:rPr>
          <w:rFonts w:eastAsia="Malgun Gothic"/>
          <w:lang w:eastAsia="ko-KR"/>
        </w:rPr>
      </w:pPr>
      <w:r w:rsidRPr="00747EF6">
        <w:rPr>
          <w:rFonts w:eastAsia="Malgun Gothic"/>
          <w:lang w:eastAsia="ko-KR"/>
        </w:rPr>
        <w:t>In practical terms, if NZUs were to be included within the definition of a financial advice product, the</w:t>
      </w:r>
      <w:r>
        <w:rPr>
          <w:rFonts w:eastAsia="Malgun Gothic"/>
          <w:lang w:eastAsia="ko-KR"/>
        </w:rPr>
        <w:t>n</w:t>
      </w:r>
      <w:r w:rsidRPr="00747EF6">
        <w:rPr>
          <w:rFonts w:eastAsia="Malgun Gothic"/>
          <w:lang w:eastAsia="ko-KR"/>
        </w:rPr>
        <w:t xml:space="preserve"> client money or property services</w:t>
      </w:r>
      <w:r>
        <w:rPr>
          <w:rFonts w:eastAsia="Malgun Gothic"/>
          <w:lang w:eastAsia="ko-KR"/>
        </w:rPr>
        <w:t xml:space="preserve"> could include</w:t>
      </w:r>
      <w:r w:rsidRPr="00747EF6">
        <w:rPr>
          <w:rFonts w:eastAsia="Malgun Gothic"/>
          <w:lang w:eastAsia="ko-KR"/>
        </w:rPr>
        <w:t>:</w:t>
      </w:r>
    </w:p>
    <w:p w14:paraId="69D36C32" w14:textId="0B16A663"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receiving money or property in connection with the acquisition or disposition of a client’s NZU</w:t>
      </w:r>
      <w:r>
        <w:rPr>
          <w:rFonts w:eastAsia="Malgun Gothic"/>
          <w:lang w:eastAsia="ko-KR"/>
        </w:rPr>
        <w:t>s</w:t>
      </w:r>
      <w:r w:rsidRPr="00747EF6">
        <w:rPr>
          <w:rFonts w:eastAsia="Malgun Gothic"/>
          <w:lang w:eastAsia="ko-KR"/>
        </w:rPr>
        <w:t xml:space="preserve"> (</w:t>
      </w:r>
      <w:proofErr w:type="spellStart"/>
      <w:r w:rsidRPr="00747EF6">
        <w:rPr>
          <w:rFonts w:eastAsia="Malgun Gothic"/>
          <w:lang w:eastAsia="ko-KR"/>
        </w:rPr>
        <w:t>eg</w:t>
      </w:r>
      <w:proofErr w:type="spellEnd"/>
      <w:r w:rsidRPr="00747EF6">
        <w:rPr>
          <w:rFonts w:eastAsia="Malgun Gothic"/>
          <w:lang w:eastAsia="ko-KR"/>
        </w:rPr>
        <w:t xml:space="preserve">, </w:t>
      </w:r>
      <w:r>
        <w:rPr>
          <w:rFonts w:eastAsia="Malgun Gothic"/>
          <w:lang w:eastAsia="ko-KR"/>
        </w:rPr>
        <w:t xml:space="preserve">the </w:t>
      </w:r>
      <w:r w:rsidRPr="00747EF6">
        <w:rPr>
          <w:rFonts w:eastAsia="Malgun Gothic"/>
          <w:lang w:eastAsia="ko-KR"/>
        </w:rPr>
        <w:t xml:space="preserve">purchase, </w:t>
      </w:r>
      <w:proofErr w:type="gramStart"/>
      <w:r w:rsidRPr="00747EF6">
        <w:rPr>
          <w:rFonts w:eastAsia="Malgun Gothic"/>
          <w:lang w:eastAsia="ko-KR"/>
        </w:rPr>
        <w:t>sale</w:t>
      </w:r>
      <w:proofErr w:type="gramEnd"/>
      <w:r w:rsidRPr="00747EF6">
        <w:rPr>
          <w:rFonts w:eastAsia="Malgun Gothic"/>
          <w:lang w:eastAsia="ko-KR"/>
        </w:rPr>
        <w:t xml:space="preserve"> or transfer of NZU</w:t>
      </w:r>
      <w:r>
        <w:rPr>
          <w:rFonts w:eastAsia="Malgun Gothic"/>
          <w:lang w:eastAsia="ko-KR"/>
        </w:rPr>
        <w:t>s</w:t>
      </w:r>
      <w:r w:rsidRPr="00747EF6">
        <w:rPr>
          <w:rFonts w:eastAsia="Malgun Gothic"/>
          <w:lang w:eastAsia="ko-KR"/>
        </w:rPr>
        <w:t>), and holding, paying or transferring that money or property</w:t>
      </w:r>
    </w:p>
    <w:p w14:paraId="6EEAB6C4" w14:textId="7EF9D484"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 xml:space="preserve">receiving payment from a client </w:t>
      </w:r>
      <w:r w:rsidR="00A17004" w:rsidRPr="00747EF6">
        <w:rPr>
          <w:rFonts w:eastAsia="Malgun Gothic"/>
          <w:lang w:eastAsia="ko-KR"/>
        </w:rPr>
        <w:t>to</w:t>
      </w:r>
      <w:r w:rsidRPr="00747EF6">
        <w:rPr>
          <w:rFonts w:eastAsia="Malgun Gothic"/>
          <w:lang w:eastAsia="ko-KR"/>
        </w:rPr>
        <w:t xml:space="preserve"> acquire NZUs on their behalf</w:t>
      </w:r>
    </w:p>
    <w:p w14:paraId="3D728007" w14:textId="77777777"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holding and/or administering a portfolio of a client’s NZUs (where, for example, a firm holds legal title to the NZUs on trust for the client who owns the beneficial interest).</w:t>
      </w:r>
    </w:p>
    <w:p w14:paraId="6CA66C13" w14:textId="515AC0C4" w:rsidR="00A517B5" w:rsidRPr="00747EF6" w:rsidRDefault="00A517B5" w:rsidP="00A517B5">
      <w:pPr>
        <w:pStyle w:val="BodyText"/>
      </w:pPr>
      <w:r w:rsidRPr="00747EF6">
        <w:rPr>
          <w:rFonts w:eastAsia="Malgun Gothic" w:cs="Calibri"/>
          <w:lang w:eastAsia="ko-KR"/>
        </w:rPr>
        <w:t xml:space="preserve">A service is a regulated client money or property service if it is not excluded under </w:t>
      </w:r>
      <w:hyperlink r:id="rId50" w:history="1">
        <w:r w:rsidRPr="00B13905">
          <w:rPr>
            <w:rStyle w:val="Hyperlink"/>
            <w:rFonts w:eastAsia="Malgun Gothic" w:cs="Calibri"/>
            <w:lang w:eastAsia="ko-KR"/>
          </w:rPr>
          <w:t xml:space="preserve">Part </w:t>
        </w:r>
        <w:r w:rsidR="00E83C8B">
          <w:rPr>
            <w:rStyle w:val="Hyperlink"/>
            <w:rFonts w:eastAsia="Malgun Gothic" w:cs="Calibri"/>
            <w:lang w:eastAsia="ko-KR"/>
          </w:rPr>
          <w:t>3</w:t>
        </w:r>
        <w:r w:rsidR="00E83C8B" w:rsidRPr="00B13905">
          <w:rPr>
            <w:rStyle w:val="Hyperlink"/>
            <w:rFonts w:eastAsia="Malgun Gothic" w:cs="Calibri"/>
            <w:lang w:eastAsia="ko-KR"/>
          </w:rPr>
          <w:t xml:space="preserve"> </w:t>
        </w:r>
        <w:r w:rsidRPr="00B13905">
          <w:rPr>
            <w:rStyle w:val="Hyperlink"/>
            <w:rFonts w:eastAsia="Malgun Gothic" w:cs="Calibri"/>
            <w:lang w:eastAsia="ko-KR"/>
          </w:rPr>
          <w:t>of Schedule 5</w:t>
        </w:r>
      </w:hyperlink>
      <w:r w:rsidRPr="00747EF6">
        <w:rPr>
          <w:rFonts w:eastAsia="Malgun Gothic" w:cs="Calibri"/>
          <w:lang w:eastAsia="ko-KR"/>
        </w:rPr>
        <w:t xml:space="preserve"> of the FMC Act (which relate to, for example, the Crown or ancillary services such as conveyancing).</w:t>
      </w:r>
    </w:p>
    <w:p w14:paraId="478D0572" w14:textId="77777777" w:rsidR="00A517B5" w:rsidRPr="00747EF6" w:rsidRDefault="00A517B5" w:rsidP="00A517B5">
      <w:pPr>
        <w:pStyle w:val="Heading4"/>
        <w:rPr>
          <w:lang w:eastAsia="ko-KR"/>
        </w:rPr>
      </w:pPr>
      <w:r w:rsidRPr="00747EF6">
        <w:rPr>
          <w:lang w:eastAsia="ko-KR"/>
        </w:rPr>
        <w:t>What regulatory obligations would apply to a client money or property service?</w:t>
      </w:r>
    </w:p>
    <w:p w14:paraId="0816B9AA" w14:textId="77777777" w:rsidR="00A517B5" w:rsidRPr="00747EF6" w:rsidRDefault="00A517B5" w:rsidP="00A517B5">
      <w:pPr>
        <w:pStyle w:val="BodyText"/>
        <w:rPr>
          <w:rFonts w:eastAsia="Malgun Gothic"/>
          <w:lang w:eastAsia="ko-KR"/>
        </w:rPr>
      </w:pPr>
      <w:r w:rsidRPr="00747EF6">
        <w:rPr>
          <w:rFonts w:eastAsia="Malgun Gothic"/>
          <w:lang w:eastAsia="ko-KR"/>
        </w:rPr>
        <w:t xml:space="preserve">Client money or property service providers do not require a licence to operate. They must, however, comply with a set of statutory obligations and register on the </w:t>
      </w:r>
      <w:r>
        <w:rPr>
          <w:rFonts w:eastAsia="Malgun Gothic"/>
          <w:lang w:eastAsia="ko-KR"/>
        </w:rPr>
        <w:t>FSPR</w:t>
      </w:r>
      <w:r w:rsidRPr="00747EF6">
        <w:rPr>
          <w:rFonts w:eastAsia="Malgun Gothic"/>
          <w:lang w:eastAsia="ko-KR"/>
        </w:rPr>
        <w:t>.</w:t>
      </w:r>
    </w:p>
    <w:p w14:paraId="6ADD5AAA" w14:textId="77777777" w:rsidR="00A517B5" w:rsidRPr="00747EF6" w:rsidRDefault="00A517B5" w:rsidP="00A517B5">
      <w:pPr>
        <w:pStyle w:val="Heading5"/>
        <w:rPr>
          <w:rFonts w:eastAsia="Malgun Gothic"/>
          <w:lang w:eastAsia="ko-KR"/>
        </w:rPr>
      </w:pPr>
      <w:r w:rsidRPr="00747EF6">
        <w:rPr>
          <w:rFonts w:eastAsia="Malgun Gothic"/>
          <w:lang w:eastAsia="ko-KR"/>
        </w:rPr>
        <w:t>Conduct obligations</w:t>
      </w:r>
    </w:p>
    <w:p w14:paraId="48EC1688" w14:textId="77777777" w:rsidR="00A517B5" w:rsidRPr="00747EF6" w:rsidRDefault="00A517B5" w:rsidP="00A517B5">
      <w:pPr>
        <w:pStyle w:val="BodyText"/>
        <w:rPr>
          <w:rFonts w:eastAsia="Malgun Gothic"/>
          <w:lang w:eastAsia="ko-KR"/>
        </w:rPr>
      </w:pPr>
      <w:r w:rsidRPr="00747EF6">
        <w:rPr>
          <w:rFonts w:eastAsia="Malgun Gothic"/>
          <w:lang w:eastAsia="ko-KR"/>
        </w:rPr>
        <w:t>All providers of regulated client money or property services must:</w:t>
      </w:r>
    </w:p>
    <w:p w14:paraId="2429331A" w14:textId="77777777"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exercise</w:t>
      </w:r>
      <w:r>
        <w:rPr>
          <w:rFonts w:eastAsia="Malgun Gothic"/>
          <w:lang w:eastAsia="ko-KR"/>
        </w:rPr>
        <w:t xml:space="preserve"> the</w:t>
      </w:r>
      <w:r w:rsidRPr="00747EF6" w:rsidDel="00505AD2">
        <w:rPr>
          <w:rFonts w:eastAsia="Malgun Gothic"/>
          <w:lang w:eastAsia="ko-KR"/>
        </w:rPr>
        <w:t xml:space="preserve"> </w:t>
      </w:r>
      <w:r w:rsidRPr="00747EF6">
        <w:rPr>
          <w:rFonts w:eastAsia="Malgun Gothic"/>
          <w:lang w:eastAsia="ko-KR"/>
        </w:rPr>
        <w:t>care, diligence, and skill that a prudent person engaged in the business of providing the service would exercise in the same circumstances</w:t>
      </w:r>
    </w:p>
    <w:p w14:paraId="5B9A4229" w14:textId="77777777"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not receive client money or client property for the acquisition of a financial product if the provider knows, or ought to reasonably know, the product was made under an offer that contravenes the FMC Act.</w:t>
      </w:r>
    </w:p>
    <w:p w14:paraId="47E9174E" w14:textId="77777777" w:rsidR="00A517B5" w:rsidRPr="00747EF6" w:rsidRDefault="00A517B5" w:rsidP="00A517B5">
      <w:pPr>
        <w:pStyle w:val="BodyText"/>
        <w:rPr>
          <w:rFonts w:eastAsia="Malgun Gothic"/>
          <w:lang w:eastAsia="ko-KR"/>
        </w:rPr>
      </w:pPr>
      <w:r w:rsidRPr="00747EF6">
        <w:rPr>
          <w:rFonts w:eastAsia="Malgun Gothic"/>
          <w:lang w:eastAsia="ko-KR"/>
        </w:rPr>
        <w:t xml:space="preserve">Providers </w:t>
      </w:r>
      <w:r>
        <w:rPr>
          <w:rFonts w:eastAsia="Malgun Gothic"/>
          <w:lang w:eastAsia="ko-KR"/>
        </w:rPr>
        <w:t>of</w:t>
      </w:r>
      <w:r w:rsidRPr="00747EF6">
        <w:rPr>
          <w:rFonts w:eastAsia="Malgun Gothic"/>
          <w:lang w:eastAsia="ko-KR"/>
        </w:rPr>
        <w:t xml:space="preserve"> regulated client money or property services to retail clients (as defined </w:t>
      </w:r>
      <w:hyperlink w:anchor="_What_is_a" w:history="1">
        <w:r w:rsidRPr="00505AD2">
          <w:rPr>
            <w:rStyle w:val="Hyperlink"/>
            <w:rFonts w:eastAsia="Malgun Gothic"/>
            <w:lang w:eastAsia="ko-KR"/>
          </w:rPr>
          <w:t>above</w:t>
        </w:r>
      </w:hyperlink>
      <w:r w:rsidRPr="00747EF6">
        <w:rPr>
          <w:rFonts w:eastAsia="Malgun Gothic"/>
          <w:lang w:eastAsia="ko-KR"/>
        </w:rPr>
        <w:t>) have additional duties to:</w:t>
      </w:r>
    </w:p>
    <w:p w14:paraId="542FE134" w14:textId="77777777"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make prescribed disclosures to the retail client before receiving client money or property (or, if not practicable, as soon as practicable after receiving the same)</w:t>
      </w:r>
    </w:p>
    <w:p w14:paraId="4BDF67E0" w14:textId="77777777"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not make false or misleading statements or omissions in the prescribed disclosures.</w:t>
      </w:r>
    </w:p>
    <w:p w14:paraId="54A0CA00" w14:textId="77777777" w:rsidR="00A517B5" w:rsidRPr="00747EF6" w:rsidRDefault="00A517B5" w:rsidP="00A517B5">
      <w:pPr>
        <w:pStyle w:val="BodyText"/>
        <w:rPr>
          <w:rFonts w:eastAsia="Malgun Gothic"/>
          <w:lang w:eastAsia="ko-KR"/>
        </w:rPr>
      </w:pPr>
      <w:r w:rsidRPr="00747EF6">
        <w:rPr>
          <w:rFonts w:eastAsia="Malgun Gothic"/>
          <w:lang w:eastAsia="ko-KR"/>
        </w:rPr>
        <w:t>There are currently no prescribed disclosures.</w:t>
      </w:r>
    </w:p>
    <w:p w14:paraId="377242BC" w14:textId="77777777" w:rsidR="00A517B5" w:rsidRPr="00747EF6" w:rsidRDefault="00A517B5" w:rsidP="00A517B5">
      <w:pPr>
        <w:pStyle w:val="Heading5"/>
        <w:rPr>
          <w:rFonts w:eastAsia="Malgun Gothic"/>
          <w:lang w:eastAsia="ko-KR"/>
        </w:rPr>
      </w:pPr>
      <w:r w:rsidRPr="00747EF6">
        <w:rPr>
          <w:rFonts w:eastAsia="Malgun Gothic"/>
          <w:lang w:eastAsia="ko-KR"/>
        </w:rPr>
        <w:lastRenderedPageBreak/>
        <w:t>Handling obligations</w:t>
      </w:r>
    </w:p>
    <w:p w14:paraId="3576ECE1" w14:textId="77777777" w:rsidR="00A517B5" w:rsidRPr="00747EF6" w:rsidRDefault="00A517B5" w:rsidP="00A517B5">
      <w:pPr>
        <w:pStyle w:val="BodyText"/>
        <w:rPr>
          <w:rFonts w:eastAsia="Malgun Gothic"/>
          <w:lang w:eastAsia="ko-KR"/>
        </w:rPr>
      </w:pPr>
      <w:r w:rsidRPr="00747EF6">
        <w:rPr>
          <w:rFonts w:eastAsia="Malgun Gothic"/>
          <w:lang w:eastAsia="ko-KR"/>
        </w:rPr>
        <w:t>Some providers (such as those who provide these services to a retail client) must also comply with obligations for handling client money and client property, including:</w:t>
      </w:r>
    </w:p>
    <w:p w14:paraId="2E6A51A0" w14:textId="77777777"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paying client money into a separate trust account in</w:t>
      </w:r>
      <w:r>
        <w:rPr>
          <w:rFonts w:eastAsia="Malgun Gothic"/>
          <w:lang w:eastAsia="ko-KR"/>
        </w:rPr>
        <w:t xml:space="preserve"> Aotearoa</w:t>
      </w:r>
      <w:r w:rsidRPr="00747EF6">
        <w:rPr>
          <w:rFonts w:eastAsia="Malgun Gothic"/>
          <w:lang w:eastAsia="ko-KR"/>
        </w:rPr>
        <w:t xml:space="preserve"> New Zealand and ensur</w:t>
      </w:r>
      <w:r>
        <w:rPr>
          <w:rFonts w:eastAsia="Malgun Gothic"/>
          <w:lang w:eastAsia="ko-KR"/>
        </w:rPr>
        <w:t>ing</w:t>
      </w:r>
      <w:r w:rsidRPr="00747EF6">
        <w:rPr>
          <w:rFonts w:eastAsia="Malgun Gothic"/>
          <w:lang w:eastAsia="ko-KR"/>
        </w:rPr>
        <w:t xml:space="preserve"> the money or property is held on trust for the client</w:t>
      </w:r>
    </w:p>
    <w:p w14:paraId="3FCA3174" w14:textId="77777777"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account properly (or ensure the account is properly made) to the client for that client money</w:t>
      </w:r>
    </w:p>
    <w:p w14:paraId="4AD8102C" w14:textId="77777777"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keeping</w:t>
      </w:r>
      <w:r>
        <w:rPr>
          <w:rFonts w:eastAsia="Malgun Gothic"/>
          <w:lang w:eastAsia="ko-KR"/>
        </w:rPr>
        <w:t>,</w:t>
      </w:r>
      <w:r w:rsidRPr="00747EF6">
        <w:rPr>
          <w:rFonts w:eastAsia="Malgun Gothic"/>
          <w:lang w:eastAsia="ko-KR"/>
        </w:rPr>
        <w:t xml:space="preserve"> or ensuring there are kept</w:t>
      </w:r>
      <w:r>
        <w:rPr>
          <w:rFonts w:eastAsia="Malgun Gothic"/>
          <w:lang w:eastAsia="ko-KR"/>
        </w:rPr>
        <w:t>,</w:t>
      </w:r>
      <w:r w:rsidRPr="00747EF6">
        <w:rPr>
          <w:rFonts w:eastAsia="Malgun Gothic"/>
          <w:lang w:eastAsia="ko-KR"/>
        </w:rPr>
        <w:t xml:space="preserve"> trust account records that clearly disclose the position of the client money in the trust account (and</w:t>
      </w:r>
      <w:r>
        <w:rPr>
          <w:rFonts w:eastAsia="Malgun Gothic"/>
          <w:lang w:eastAsia="ko-KR"/>
        </w:rPr>
        <w:t>/or</w:t>
      </w:r>
      <w:r w:rsidRPr="00747EF6">
        <w:rPr>
          <w:rFonts w:eastAsia="Malgun Gothic"/>
          <w:lang w:eastAsia="ko-KR"/>
        </w:rPr>
        <w:t xml:space="preserve"> the equivalent records for client property)</w:t>
      </w:r>
    </w:p>
    <w:p w14:paraId="5DF14A70" w14:textId="77777777"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must not use client money or client property for any other purpose than as expressly directed by the client.</w:t>
      </w:r>
    </w:p>
    <w:p w14:paraId="0CC19E75" w14:textId="77777777" w:rsidR="00A517B5" w:rsidRPr="00747EF6" w:rsidRDefault="00A517B5" w:rsidP="00A517B5">
      <w:pPr>
        <w:pStyle w:val="Heading5"/>
        <w:rPr>
          <w:rFonts w:eastAsia="Malgun Gothic"/>
          <w:lang w:eastAsia="ko-KR"/>
        </w:rPr>
      </w:pPr>
      <w:r w:rsidRPr="00747EF6">
        <w:rPr>
          <w:rFonts w:eastAsia="Malgun Gothic"/>
          <w:lang w:eastAsia="ko-KR"/>
        </w:rPr>
        <w:t>Custodians</w:t>
      </w:r>
    </w:p>
    <w:p w14:paraId="7AE893F7" w14:textId="77777777" w:rsidR="00A517B5" w:rsidRDefault="00A517B5" w:rsidP="00A517B5">
      <w:pPr>
        <w:jc w:val="left"/>
        <w:rPr>
          <w:rFonts w:eastAsia="Malgun Gothic" w:cs="Calibri"/>
          <w:lang w:eastAsia="ko-KR"/>
        </w:rPr>
      </w:pPr>
      <w:r w:rsidRPr="00747EF6">
        <w:rPr>
          <w:rFonts w:eastAsia="Malgun Gothic" w:cs="Calibri"/>
          <w:lang w:eastAsia="ko-KR"/>
        </w:rPr>
        <w:t>Custodians also have obligations to</w:t>
      </w:r>
      <w:r>
        <w:rPr>
          <w:rFonts w:eastAsia="Malgun Gothic" w:cs="Calibri"/>
          <w:lang w:eastAsia="ko-KR"/>
        </w:rPr>
        <w:t>:</w:t>
      </w:r>
    </w:p>
    <w:p w14:paraId="4781640A" w14:textId="77777777" w:rsidR="00A517B5" w:rsidRDefault="00A517B5" w:rsidP="00A517B5">
      <w:pPr>
        <w:pStyle w:val="Bullet"/>
        <w:tabs>
          <w:tab w:val="num" w:pos="397"/>
        </w:tabs>
        <w:spacing w:line="280" w:lineRule="exact"/>
        <w:rPr>
          <w:rFonts w:eastAsia="Malgun Gothic"/>
          <w:lang w:eastAsia="ko-KR"/>
        </w:rPr>
      </w:pPr>
      <w:r w:rsidRPr="00747EF6">
        <w:rPr>
          <w:rFonts w:eastAsia="Malgun Gothic"/>
          <w:lang w:eastAsia="ko-KR"/>
        </w:rPr>
        <w:t>report to clients about their money and property held</w:t>
      </w:r>
    </w:p>
    <w:p w14:paraId="49E7B078" w14:textId="77777777" w:rsidR="00A517B5" w:rsidRDefault="00A517B5" w:rsidP="00A517B5">
      <w:pPr>
        <w:pStyle w:val="Bullet"/>
        <w:tabs>
          <w:tab w:val="num" w:pos="397"/>
        </w:tabs>
        <w:spacing w:line="280" w:lineRule="exact"/>
        <w:rPr>
          <w:rFonts w:eastAsia="Malgun Gothic"/>
          <w:lang w:eastAsia="ko-KR"/>
        </w:rPr>
      </w:pPr>
      <w:r w:rsidRPr="00747EF6">
        <w:rPr>
          <w:rFonts w:eastAsia="Malgun Gothic"/>
          <w:lang w:eastAsia="ko-KR"/>
        </w:rPr>
        <w:t>reconcile records</w:t>
      </w:r>
    </w:p>
    <w:p w14:paraId="5869C774" w14:textId="77777777"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 xml:space="preserve">obtain and submit to the FMA an annual assurance report from an auditor qualified to carry out audits under the FMC Act in relation to the custodian’s processes, </w:t>
      </w:r>
      <w:proofErr w:type="gramStart"/>
      <w:r w:rsidRPr="00747EF6">
        <w:rPr>
          <w:rFonts w:eastAsia="Malgun Gothic"/>
          <w:lang w:eastAsia="ko-KR"/>
        </w:rPr>
        <w:t>procedures</w:t>
      </w:r>
      <w:proofErr w:type="gramEnd"/>
      <w:r w:rsidRPr="00747EF6">
        <w:rPr>
          <w:rFonts w:eastAsia="Malgun Gothic"/>
          <w:lang w:eastAsia="ko-KR"/>
        </w:rPr>
        <w:t xml:space="preserve"> and controls.</w:t>
      </w:r>
      <w:r w:rsidRPr="00747EF6">
        <w:rPr>
          <w:rStyle w:val="FootnoteReference"/>
          <w:rFonts w:eastAsia="Malgun Gothic" w:cs="Calibri"/>
          <w:lang w:eastAsia="ko-KR"/>
        </w:rPr>
        <w:footnoteReference w:id="41"/>
      </w:r>
    </w:p>
    <w:p w14:paraId="6D15A180" w14:textId="77777777" w:rsidR="00A517B5" w:rsidRPr="00747EF6" w:rsidRDefault="00A517B5" w:rsidP="00A517B5">
      <w:pPr>
        <w:pStyle w:val="Heading5"/>
        <w:rPr>
          <w:rFonts w:eastAsia="Malgun Gothic"/>
          <w:lang w:eastAsia="ko-KR"/>
        </w:rPr>
      </w:pPr>
      <w:r w:rsidRPr="00747EF6">
        <w:rPr>
          <w:rFonts w:eastAsia="Malgun Gothic"/>
          <w:lang w:eastAsia="ko-KR"/>
        </w:rPr>
        <w:t xml:space="preserve">Registration costs </w:t>
      </w:r>
    </w:p>
    <w:p w14:paraId="71E1AF12" w14:textId="27C41D49" w:rsidR="00A517B5" w:rsidRPr="00747EF6" w:rsidRDefault="00A517B5" w:rsidP="00A517B5">
      <w:pPr>
        <w:pStyle w:val="BodyText"/>
        <w:rPr>
          <w:rFonts w:eastAsia="Malgun Gothic"/>
          <w:lang w:eastAsia="ko-KR"/>
        </w:rPr>
      </w:pPr>
      <w:r w:rsidRPr="00747EF6">
        <w:rPr>
          <w:rFonts w:eastAsia="Malgun Gothic"/>
          <w:lang w:eastAsia="ko-KR"/>
        </w:rPr>
        <w:t xml:space="preserve">All registered </w:t>
      </w:r>
      <w:r>
        <w:t>financial service providers</w:t>
      </w:r>
      <w:r w:rsidRPr="00747EF6">
        <w:rPr>
          <w:rFonts w:eastAsia="Malgun Gothic"/>
          <w:lang w:eastAsia="ko-KR"/>
        </w:rPr>
        <w:t xml:space="preserve"> must pay registration and annual fees and levies. </w:t>
      </w:r>
      <w:r w:rsidR="005341AF">
        <w:rPr>
          <w:rFonts w:eastAsia="Malgun Gothic"/>
          <w:lang w:eastAsia="ko-KR"/>
        </w:rPr>
        <w:t xml:space="preserve">Table </w:t>
      </w:r>
      <w:r>
        <w:rPr>
          <w:rFonts w:eastAsia="Malgun Gothic"/>
          <w:lang w:eastAsia="ko-KR"/>
        </w:rPr>
        <w:fldChar w:fldCharType="begin"/>
      </w:r>
      <w:r>
        <w:rPr>
          <w:rFonts w:eastAsia="Malgun Gothic"/>
          <w:lang w:eastAsia="ko-KR"/>
        </w:rPr>
        <w:instrText xml:space="preserve"> REF _Ref118482013 \h </w:instrText>
      </w:r>
      <w:r>
        <w:rPr>
          <w:rFonts w:eastAsia="Malgun Gothic"/>
          <w:lang w:eastAsia="ko-KR"/>
        </w:rPr>
      </w:r>
      <w:r>
        <w:rPr>
          <w:rFonts w:eastAsia="Malgun Gothic"/>
          <w:lang w:eastAsia="ko-KR"/>
        </w:rPr>
        <w:fldChar w:fldCharType="separate"/>
      </w:r>
      <w:r w:rsidR="00C67DAB">
        <w:rPr>
          <w:noProof/>
        </w:rPr>
        <w:t>13</w:t>
      </w:r>
      <w:r>
        <w:rPr>
          <w:rFonts w:eastAsia="Malgun Gothic"/>
          <w:lang w:eastAsia="ko-KR"/>
        </w:rPr>
        <w:fldChar w:fldCharType="end"/>
      </w:r>
      <w:r w:rsidRPr="00747EF6">
        <w:rPr>
          <w:rFonts w:eastAsia="Malgun Gothic"/>
          <w:lang w:eastAsia="ko-KR"/>
        </w:rPr>
        <w:t xml:space="preserve"> summarise</w:t>
      </w:r>
      <w:r>
        <w:rPr>
          <w:rFonts w:eastAsia="Malgun Gothic"/>
          <w:lang w:eastAsia="ko-KR"/>
        </w:rPr>
        <w:t>s</w:t>
      </w:r>
      <w:r w:rsidRPr="00747EF6">
        <w:rPr>
          <w:rFonts w:eastAsia="Malgun Gothic"/>
          <w:lang w:eastAsia="ko-KR"/>
        </w:rPr>
        <w:t xml:space="preserve"> the fees and levies for </w:t>
      </w:r>
      <w:r>
        <w:rPr>
          <w:rFonts w:eastAsia="Malgun Gothic"/>
          <w:lang w:eastAsia="ko-KR"/>
        </w:rPr>
        <w:t>financial service providers.</w:t>
      </w:r>
      <w:r w:rsidRPr="00747EF6">
        <w:rPr>
          <w:rFonts w:eastAsia="Malgun Gothic"/>
          <w:lang w:eastAsia="ko-KR"/>
        </w:rPr>
        <w:t xml:space="preserve"> </w:t>
      </w:r>
      <w:r w:rsidR="001F0A27">
        <w:rPr>
          <w:rFonts w:eastAsia="Malgun Gothic"/>
          <w:lang w:eastAsia="ko-KR"/>
        </w:rPr>
        <w:t xml:space="preserve">Table </w:t>
      </w:r>
      <w:r>
        <w:rPr>
          <w:rFonts w:eastAsia="Malgun Gothic"/>
          <w:lang w:eastAsia="ko-KR"/>
        </w:rPr>
        <w:fldChar w:fldCharType="begin"/>
      </w:r>
      <w:r>
        <w:rPr>
          <w:rFonts w:eastAsia="Malgun Gothic"/>
          <w:lang w:eastAsia="ko-KR"/>
        </w:rPr>
        <w:instrText xml:space="preserve"> REF _Ref118482008 \h </w:instrText>
      </w:r>
      <w:r>
        <w:rPr>
          <w:rFonts w:eastAsia="Malgun Gothic"/>
          <w:lang w:eastAsia="ko-KR"/>
        </w:rPr>
      </w:r>
      <w:r>
        <w:rPr>
          <w:rFonts w:eastAsia="Malgun Gothic"/>
          <w:lang w:eastAsia="ko-KR"/>
        </w:rPr>
        <w:fldChar w:fldCharType="separate"/>
      </w:r>
      <w:r w:rsidR="00C67DAB">
        <w:rPr>
          <w:noProof/>
        </w:rPr>
        <w:t>14</w:t>
      </w:r>
      <w:r>
        <w:rPr>
          <w:rFonts w:eastAsia="Malgun Gothic"/>
          <w:lang w:eastAsia="ko-KR"/>
        </w:rPr>
        <w:fldChar w:fldCharType="end"/>
      </w:r>
      <w:r>
        <w:rPr>
          <w:rFonts w:eastAsia="Malgun Gothic"/>
          <w:lang w:eastAsia="ko-KR"/>
        </w:rPr>
        <w:t xml:space="preserve"> details the fees and levies for </w:t>
      </w:r>
      <w:r w:rsidRPr="00747EF6">
        <w:rPr>
          <w:rFonts w:eastAsia="Malgun Gothic"/>
          <w:lang w:eastAsia="ko-KR"/>
        </w:rPr>
        <w:t>custodians and client money or property services. Additional administrative costs can</w:t>
      </w:r>
      <w:r>
        <w:rPr>
          <w:rFonts w:eastAsia="Malgun Gothic"/>
          <w:lang w:eastAsia="ko-KR"/>
        </w:rPr>
        <w:t xml:space="preserve"> be</w:t>
      </w:r>
      <w:r w:rsidRPr="00747EF6">
        <w:rPr>
          <w:rFonts w:eastAsia="Malgun Gothic"/>
          <w:lang w:eastAsia="ko-KR"/>
        </w:rPr>
        <w:t xml:space="preserve"> incur</w:t>
      </w:r>
      <w:r>
        <w:rPr>
          <w:rFonts w:eastAsia="Malgun Gothic"/>
          <w:lang w:eastAsia="ko-KR"/>
        </w:rPr>
        <w:t>red</w:t>
      </w:r>
      <w:r w:rsidRPr="00747EF6">
        <w:rPr>
          <w:rFonts w:eastAsia="Malgun Gothic"/>
          <w:lang w:eastAsia="ko-KR"/>
        </w:rPr>
        <w:t xml:space="preserve"> in the form of time spent to meet obligations. </w:t>
      </w:r>
    </w:p>
    <w:p w14:paraId="7A06443D" w14:textId="77777777" w:rsidR="00A517B5" w:rsidRDefault="00A517B5" w:rsidP="00A517B5">
      <w:pPr>
        <w:pStyle w:val="Tableheading"/>
      </w:pPr>
      <w:bookmarkStart w:id="117" w:name="_Toc118953831"/>
      <w:r w:rsidDel="006C6F77">
        <w:t xml:space="preserve">Table </w:t>
      </w:r>
      <w:bookmarkStart w:id="118" w:name="_Ref118482013"/>
      <w:r>
        <w:fldChar w:fldCharType="begin"/>
      </w:r>
      <w:r>
        <w:instrText xml:space="preserve"> SEQ Table \* ARABIC </w:instrText>
      </w:r>
      <w:r>
        <w:fldChar w:fldCharType="separate"/>
      </w:r>
      <w:r w:rsidR="00C67DAB">
        <w:rPr>
          <w:noProof/>
        </w:rPr>
        <w:t>13</w:t>
      </w:r>
      <w:r>
        <w:fldChar w:fldCharType="end"/>
      </w:r>
      <w:bookmarkEnd w:id="118"/>
      <w:r>
        <w:t xml:space="preserve">: </w:t>
      </w:r>
      <w:r>
        <w:tab/>
        <w:t>Registration fees and levies for financial service providers</w:t>
      </w:r>
      <w:bookmarkEnd w:id="117"/>
    </w:p>
    <w:tbl>
      <w:tblPr>
        <w:tblW w:w="4938" w:type="pct"/>
        <w:tblInd w:w="108" w:type="dxa"/>
        <w:tblBorders>
          <w:top w:val="single" w:sz="4" w:space="0" w:color="1B556B"/>
          <w:bottom w:val="single" w:sz="4" w:space="0" w:color="1B556B"/>
          <w:insideH w:val="single" w:sz="4" w:space="0" w:color="1B556B"/>
          <w:insideV w:val="single" w:sz="4" w:space="0" w:color="1B556B"/>
        </w:tblBorders>
        <w:tblCellMar>
          <w:left w:w="0" w:type="dxa"/>
          <w:right w:w="0" w:type="dxa"/>
        </w:tblCellMar>
        <w:tblLook w:val="04A0" w:firstRow="1" w:lastRow="0" w:firstColumn="1" w:lastColumn="0" w:noHBand="0" w:noVBand="1"/>
      </w:tblPr>
      <w:tblGrid>
        <w:gridCol w:w="5591"/>
        <w:gridCol w:w="2809"/>
      </w:tblGrid>
      <w:tr w:rsidR="00A517B5" w:rsidRPr="006C6F77" w14:paraId="2EB60E05" w14:textId="77777777" w:rsidTr="008704B2">
        <w:tc>
          <w:tcPr>
            <w:tcW w:w="3328" w:type="pct"/>
            <w:shd w:val="clear" w:color="auto" w:fill="1C556C"/>
            <w:tcMar>
              <w:top w:w="0" w:type="dxa"/>
              <w:left w:w="108" w:type="dxa"/>
              <w:bottom w:w="0" w:type="dxa"/>
              <w:right w:w="108" w:type="dxa"/>
            </w:tcMar>
            <w:hideMark/>
          </w:tcPr>
          <w:p w14:paraId="5D74DE5B" w14:textId="77777777" w:rsidR="00A517B5" w:rsidRPr="00296D94" w:rsidRDefault="00A517B5" w:rsidP="00A517B5">
            <w:pPr>
              <w:pStyle w:val="TableText"/>
              <w:rPr>
                <w:b/>
                <w:color w:val="FFFFFF" w:themeColor="background1"/>
              </w:rPr>
            </w:pPr>
            <w:r w:rsidRPr="00296D94">
              <w:rPr>
                <w:b/>
                <w:color w:val="FFFFFF" w:themeColor="background1"/>
              </w:rPr>
              <w:t>Service</w:t>
            </w:r>
          </w:p>
        </w:tc>
        <w:tc>
          <w:tcPr>
            <w:tcW w:w="1672" w:type="pct"/>
            <w:shd w:val="clear" w:color="auto" w:fill="1C556C"/>
            <w:tcMar>
              <w:top w:w="0" w:type="dxa"/>
              <w:left w:w="108" w:type="dxa"/>
              <w:bottom w:w="0" w:type="dxa"/>
              <w:right w:w="108" w:type="dxa"/>
            </w:tcMar>
            <w:hideMark/>
          </w:tcPr>
          <w:p w14:paraId="67832F2F" w14:textId="77777777" w:rsidR="00A517B5" w:rsidRPr="00296D94" w:rsidRDefault="00A517B5" w:rsidP="00A517B5">
            <w:pPr>
              <w:pStyle w:val="TableText"/>
              <w:rPr>
                <w:b/>
                <w:color w:val="FFFFFF" w:themeColor="background1"/>
              </w:rPr>
            </w:pPr>
            <w:r w:rsidRPr="00296D94">
              <w:rPr>
                <w:b/>
                <w:color w:val="FFFFFF" w:themeColor="background1"/>
              </w:rPr>
              <w:t>Total incl. GST</w:t>
            </w:r>
          </w:p>
        </w:tc>
      </w:tr>
      <w:tr w:rsidR="00A517B5" w:rsidRPr="00747EF6" w14:paraId="04384EFE" w14:textId="77777777" w:rsidTr="008704B2">
        <w:tc>
          <w:tcPr>
            <w:tcW w:w="3328" w:type="pct"/>
            <w:tcMar>
              <w:top w:w="0" w:type="dxa"/>
              <w:left w:w="108" w:type="dxa"/>
              <w:bottom w:w="0" w:type="dxa"/>
              <w:right w:w="108" w:type="dxa"/>
            </w:tcMar>
            <w:hideMark/>
          </w:tcPr>
          <w:p w14:paraId="19449788" w14:textId="77777777" w:rsidR="00A517B5" w:rsidRPr="00747EF6" w:rsidRDefault="00A517B5" w:rsidP="00A517B5">
            <w:pPr>
              <w:pStyle w:val="TableText"/>
            </w:pPr>
            <w:r w:rsidRPr="00747EF6">
              <w:t>Application fee</w:t>
            </w:r>
          </w:p>
        </w:tc>
        <w:tc>
          <w:tcPr>
            <w:tcW w:w="1672" w:type="pct"/>
            <w:tcMar>
              <w:top w:w="0" w:type="dxa"/>
              <w:left w:w="108" w:type="dxa"/>
              <w:bottom w:w="0" w:type="dxa"/>
              <w:right w:w="108" w:type="dxa"/>
            </w:tcMar>
            <w:hideMark/>
          </w:tcPr>
          <w:p w14:paraId="7775FB58" w14:textId="77777777" w:rsidR="00A517B5" w:rsidRPr="00747EF6" w:rsidRDefault="00A517B5" w:rsidP="00A517B5">
            <w:pPr>
              <w:pStyle w:val="TableText"/>
            </w:pPr>
            <w:r w:rsidRPr="00747EF6">
              <w:t>$345.00</w:t>
            </w:r>
          </w:p>
        </w:tc>
      </w:tr>
      <w:tr w:rsidR="00A517B5" w:rsidRPr="00747EF6" w14:paraId="1CC835B4" w14:textId="77777777" w:rsidTr="008704B2">
        <w:tc>
          <w:tcPr>
            <w:tcW w:w="3328" w:type="pct"/>
            <w:tcMar>
              <w:top w:w="0" w:type="dxa"/>
              <w:left w:w="108" w:type="dxa"/>
              <w:bottom w:w="0" w:type="dxa"/>
              <w:right w:w="108" w:type="dxa"/>
            </w:tcMar>
            <w:hideMark/>
          </w:tcPr>
          <w:p w14:paraId="7F3B08A9" w14:textId="77777777" w:rsidR="00A517B5" w:rsidRPr="00747EF6" w:rsidRDefault="00A517B5" w:rsidP="00A517B5">
            <w:pPr>
              <w:pStyle w:val="TableText"/>
            </w:pPr>
            <w:r w:rsidRPr="00747EF6">
              <w:t>Criminal history fee (per person)</w:t>
            </w:r>
          </w:p>
        </w:tc>
        <w:tc>
          <w:tcPr>
            <w:tcW w:w="1672" w:type="pct"/>
            <w:tcMar>
              <w:top w:w="0" w:type="dxa"/>
              <w:left w:w="108" w:type="dxa"/>
              <w:bottom w:w="0" w:type="dxa"/>
              <w:right w:w="108" w:type="dxa"/>
            </w:tcMar>
            <w:hideMark/>
          </w:tcPr>
          <w:p w14:paraId="16C849E9" w14:textId="77777777" w:rsidR="00A517B5" w:rsidRPr="00747EF6" w:rsidRDefault="00A517B5" w:rsidP="00A517B5">
            <w:pPr>
              <w:pStyle w:val="TableText"/>
            </w:pPr>
            <w:r w:rsidRPr="00747EF6">
              <w:t>$40.25</w:t>
            </w:r>
          </w:p>
        </w:tc>
      </w:tr>
      <w:tr w:rsidR="00A517B5" w:rsidRPr="00747EF6" w14:paraId="5A00D57E" w14:textId="77777777" w:rsidTr="008704B2">
        <w:tc>
          <w:tcPr>
            <w:tcW w:w="3328" w:type="pct"/>
            <w:tcMar>
              <w:top w:w="0" w:type="dxa"/>
              <w:left w:w="108" w:type="dxa"/>
              <w:bottom w:w="0" w:type="dxa"/>
              <w:right w:w="108" w:type="dxa"/>
            </w:tcMar>
            <w:hideMark/>
          </w:tcPr>
          <w:p w14:paraId="47C10DDC" w14:textId="77777777" w:rsidR="00A517B5" w:rsidRPr="00747EF6" w:rsidRDefault="00A517B5" w:rsidP="00A517B5">
            <w:pPr>
              <w:pStyle w:val="TableText"/>
            </w:pPr>
            <w:r w:rsidRPr="00747EF6">
              <w:t>FMA levy</w:t>
            </w:r>
          </w:p>
        </w:tc>
        <w:tc>
          <w:tcPr>
            <w:tcW w:w="1672" w:type="pct"/>
            <w:tcMar>
              <w:top w:w="0" w:type="dxa"/>
              <w:left w:w="108" w:type="dxa"/>
              <w:bottom w:w="0" w:type="dxa"/>
              <w:right w:w="108" w:type="dxa"/>
            </w:tcMar>
            <w:hideMark/>
          </w:tcPr>
          <w:p w14:paraId="543D9819" w14:textId="77777777" w:rsidR="00A517B5" w:rsidRPr="00747EF6" w:rsidRDefault="00A517B5" w:rsidP="00A517B5">
            <w:pPr>
              <w:pStyle w:val="TableText"/>
            </w:pPr>
            <w:r w:rsidRPr="00747EF6">
              <w:t>$690.00</w:t>
            </w:r>
          </w:p>
        </w:tc>
      </w:tr>
    </w:tbl>
    <w:p w14:paraId="6D0B1784" w14:textId="77777777" w:rsidR="00A517B5" w:rsidRDefault="00A517B5" w:rsidP="00A517B5">
      <w:pPr>
        <w:pStyle w:val="Tableheading"/>
      </w:pPr>
      <w:bookmarkStart w:id="119" w:name="_Toc118953832"/>
      <w:r w:rsidDel="00B72385">
        <w:t xml:space="preserve">Table </w:t>
      </w:r>
      <w:bookmarkStart w:id="120" w:name="_Ref118482008"/>
      <w:r>
        <w:fldChar w:fldCharType="begin"/>
      </w:r>
      <w:r>
        <w:instrText xml:space="preserve"> SEQ Table \* ARABIC </w:instrText>
      </w:r>
      <w:r>
        <w:fldChar w:fldCharType="separate"/>
      </w:r>
      <w:r w:rsidR="00C67DAB">
        <w:rPr>
          <w:noProof/>
        </w:rPr>
        <w:t>14</w:t>
      </w:r>
      <w:r>
        <w:fldChar w:fldCharType="end"/>
      </w:r>
      <w:bookmarkEnd w:id="120"/>
      <w:r>
        <w:t xml:space="preserve">: </w:t>
      </w:r>
      <w:r>
        <w:tab/>
        <w:t>Annual FMA levies for custodians and client money or property services</w:t>
      </w:r>
      <w:bookmarkEnd w:id="119"/>
    </w:p>
    <w:tbl>
      <w:tblPr>
        <w:tblW w:w="4938" w:type="pct"/>
        <w:tblInd w:w="108" w:type="dxa"/>
        <w:tblBorders>
          <w:top w:val="single" w:sz="4" w:space="0" w:color="1B556B"/>
          <w:bottom w:val="single" w:sz="4" w:space="0" w:color="1B556B"/>
          <w:insideH w:val="single" w:sz="4" w:space="0" w:color="1B556B"/>
          <w:insideV w:val="single" w:sz="4" w:space="0" w:color="1B556B"/>
        </w:tblBorders>
        <w:tblCellMar>
          <w:left w:w="0" w:type="dxa"/>
          <w:right w:w="0" w:type="dxa"/>
        </w:tblCellMar>
        <w:tblLook w:val="04A0" w:firstRow="1" w:lastRow="0" w:firstColumn="1" w:lastColumn="0" w:noHBand="0" w:noVBand="1"/>
      </w:tblPr>
      <w:tblGrid>
        <w:gridCol w:w="1759"/>
        <w:gridCol w:w="5089"/>
        <w:gridCol w:w="1552"/>
      </w:tblGrid>
      <w:tr w:rsidR="00A517B5" w:rsidRPr="006C6F77" w14:paraId="52DD7490" w14:textId="77777777" w:rsidTr="008704B2">
        <w:tc>
          <w:tcPr>
            <w:tcW w:w="1047" w:type="pct"/>
            <w:shd w:val="clear" w:color="auto" w:fill="1C556C"/>
            <w:tcMar>
              <w:top w:w="0" w:type="dxa"/>
              <w:left w:w="108" w:type="dxa"/>
              <w:bottom w:w="0" w:type="dxa"/>
              <w:right w:w="108" w:type="dxa"/>
            </w:tcMar>
            <w:hideMark/>
          </w:tcPr>
          <w:p w14:paraId="5D920D80" w14:textId="77777777" w:rsidR="00A517B5" w:rsidRPr="00296D94" w:rsidRDefault="00A517B5" w:rsidP="00A517B5">
            <w:pPr>
              <w:pStyle w:val="TableText"/>
              <w:rPr>
                <w:b/>
                <w:color w:val="FFFFFF" w:themeColor="background1"/>
                <w:lang w:eastAsia="ko-KR"/>
              </w:rPr>
            </w:pPr>
            <w:r w:rsidRPr="00296D94">
              <w:rPr>
                <w:b/>
                <w:color w:val="FFFFFF" w:themeColor="background1"/>
                <w:lang w:eastAsia="ko-KR"/>
              </w:rPr>
              <w:t>Financial service</w:t>
            </w:r>
          </w:p>
        </w:tc>
        <w:tc>
          <w:tcPr>
            <w:tcW w:w="3029" w:type="pct"/>
            <w:shd w:val="clear" w:color="auto" w:fill="1C556C"/>
            <w:tcMar>
              <w:top w:w="0" w:type="dxa"/>
              <w:left w:w="108" w:type="dxa"/>
              <w:bottom w:w="0" w:type="dxa"/>
              <w:right w:w="108" w:type="dxa"/>
            </w:tcMar>
            <w:hideMark/>
          </w:tcPr>
          <w:p w14:paraId="471CCCBA" w14:textId="77777777" w:rsidR="00A517B5" w:rsidRPr="00296D94" w:rsidRDefault="00A517B5" w:rsidP="00A517B5">
            <w:pPr>
              <w:pStyle w:val="TableText"/>
              <w:rPr>
                <w:b/>
                <w:color w:val="FFFFFF" w:themeColor="background1"/>
                <w:lang w:eastAsia="ko-KR"/>
              </w:rPr>
            </w:pPr>
            <w:r w:rsidRPr="00296D94">
              <w:rPr>
                <w:b/>
                <w:color w:val="FFFFFF" w:themeColor="background1"/>
                <w:lang w:eastAsia="ko-KR"/>
              </w:rPr>
              <w:t>Definition</w:t>
            </w:r>
          </w:p>
        </w:tc>
        <w:tc>
          <w:tcPr>
            <w:tcW w:w="924" w:type="pct"/>
            <w:shd w:val="clear" w:color="auto" w:fill="1C556C"/>
            <w:tcMar>
              <w:top w:w="0" w:type="dxa"/>
              <w:left w:w="108" w:type="dxa"/>
              <w:bottom w:w="0" w:type="dxa"/>
              <w:right w:w="108" w:type="dxa"/>
            </w:tcMar>
            <w:hideMark/>
          </w:tcPr>
          <w:p w14:paraId="36E6E49F" w14:textId="77777777" w:rsidR="00A517B5" w:rsidRPr="00296D94" w:rsidRDefault="00A517B5" w:rsidP="00A517B5">
            <w:pPr>
              <w:pStyle w:val="TableText"/>
              <w:rPr>
                <w:b/>
                <w:color w:val="FFFFFF" w:themeColor="background1"/>
                <w:lang w:eastAsia="ko-KR"/>
              </w:rPr>
            </w:pPr>
            <w:r w:rsidRPr="00296D94">
              <w:rPr>
                <w:b/>
                <w:color w:val="FFFFFF" w:themeColor="background1"/>
                <w:lang w:eastAsia="ko-KR"/>
              </w:rPr>
              <w:t>FMA levy incl. GST</w:t>
            </w:r>
          </w:p>
        </w:tc>
      </w:tr>
      <w:tr w:rsidR="00A517B5" w:rsidRPr="00747EF6" w14:paraId="553DB138" w14:textId="77777777" w:rsidTr="008704B2">
        <w:tc>
          <w:tcPr>
            <w:tcW w:w="1047" w:type="pct"/>
            <w:tcMar>
              <w:top w:w="0" w:type="dxa"/>
              <w:left w:w="108" w:type="dxa"/>
              <w:bottom w:w="0" w:type="dxa"/>
              <w:right w:w="108" w:type="dxa"/>
            </w:tcMar>
            <w:hideMark/>
          </w:tcPr>
          <w:p w14:paraId="14CD991F" w14:textId="77777777" w:rsidR="00A517B5" w:rsidRPr="00747EF6" w:rsidRDefault="00A517B5" w:rsidP="00A517B5">
            <w:pPr>
              <w:pStyle w:val="TableText"/>
              <w:rPr>
                <w:lang w:eastAsia="ko-KR"/>
              </w:rPr>
            </w:pPr>
            <w:r w:rsidRPr="00747EF6">
              <w:rPr>
                <w:lang w:eastAsia="ko-KR"/>
              </w:rPr>
              <w:t>Custodians</w:t>
            </w:r>
          </w:p>
        </w:tc>
        <w:tc>
          <w:tcPr>
            <w:tcW w:w="3029" w:type="pct"/>
            <w:tcMar>
              <w:top w:w="0" w:type="dxa"/>
              <w:left w:w="108" w:type="dxa"/>
              <w:bottom w:w="0" w:type="dxa"/>
              <w:right w:w="108" w:type="dxa"/>
            </w:tcMar>
            <w:hideMark/>
          </w:tcPr>
          <w:p w14:paraId="2E7807D0" w14:textId="77777777" w:rsidR="00A517B5" w:rsidRPr="00747EF6" w:rsidRDefault="00A517B5" w:rsidP="00A517B5">
            <w:pPr>
              <w:pStyle w:val="TableText"/>
              <w:rPr>
                <w:lang w:eastAsia="ko-KR"/>
              </w:rPr>
            </w:pPr>
            <w:r w:rsidRPr="00747EF6">
              <w:rPr>
                <w:lang w:eastAsia="ko-KR"/>
              </w:rPr>
              <w:t>Persons who act as a custodian or provide custodial services</w:t>
            </w:r>
          </w:p>
        </w:tc>
        <w:tc>
          <w:tcPr>
            <w:tcW w:w="924" w:type="pct"/>
            <w:tcMar>
              <w:top w:w="0" w:type="dxa"/>
              <w:left w:w="108" w:type="dxa"/>
              <w:bottom w:w="0" w:type="dxa"/>
              <w:right w:w="108" w:type="dxa"/>
            </w:tcMar>
            <w:hideMark/>
          </w:tcPr>
          <w:p w14:paraId="4DD09053" w14:textId="77777777" w:rsidR="00A517B5" w:rsidRPr="00747EF6" w:rsidRDefault="00A517B5" w:rsidP="00A517B5">
            <w:pPr>
              <w:pStyle w:val="TableText"/>
              <w:rPr>
                <w:lang w:eastAsia="ko-KR"/>
              </w:rPr>
            </w:pPr>
            <w:r w:rsidRPr="00747EF6">
              <w:rPr>
                <w:lang w:eastAsia="ko-KR"/>
              </w:rPr>
              <w:t>$13,685</w:t>
            </w:r>
          </w:p>
        </w:tc>
      </w:tr>
      <w:tr w:rsidR="00A517B5" w:rsidRPr="00747EF6" w14:paraId="16190575" w14:textId="77777777" w:rsidTr="008704B2">
        <w:tc>
          <w:tcPr>
            <w:tcW w:w="1047" w:type="pct"/>
            <w:tcMar>
              <w:top w:w="0" w:type="dxa"/>
              <w:left w:w="108" w:type="dxa"/>
              <w:bottom w:w="0" w:type="dxa"/>
              <w:right w:w="108" w:type="dxa"/>
            </w:tcMar>
            <w:hideMark/>
          </w:tcPr>
          <w:p w14:paraId="3AC48EDB" w14:textId="77777777" w:rsidR="00A517B5" w:rsidRPr="00747EF6" w:rsidRDefault="00A517B5" w:rsidP="00A517B5">
            <w:pPr>
              <w:pStyle w:val="TableText"/>
              <w:rPr>
                <w:lang w:eastAsia="ko-KR"/>
              </w:rPr>
            </w:pPr>
            <w:r w:rsidRPr="00747EF6">
              <w:rPr>
                <w:lang w:eastAsia="ko-KR"/>
              </w:rPr>
              <w:t>Client money or property services</w:t>
            </w:r>
          </w:p>
        </w:tc>
        <w:tc>
          <w:tcPr>
            <w:tcW w:w="3029" w:type="pct"/>
            <w:tcMar>
              <w:top w:w="0" w:type="dxa"/>
              <w:left w:w="108" w:type="dxa"/>
              <w:bottom w:w="0" w:type="dxa"/>
              <w:right w:w="108" w:type="dxa"/>
            </w:tcMar>
            <w:hideMark/>
          </w:tcPr>
          <w:p w14:paraId="21A93569" w14:textId="77777777" w:rsidR="00A517B5" w:rsidRPr="00747EF6" w:rsidRDefault="00A517B5" w:rsidP="00A517B5">
            <w:pPr>
              <w:pStyle w:val="TableText"/>
              <w:rPr>
                <w:lang w:eastAsia="ko-KR"/>
              </w:rPr>
            </w:pPr>
            <w:r w:rsidRPr="00747EF6">
              <w:rPr>
                <w:lang w:eastAsia="ko-KR"/>
              </w:rPr>
              <w:t>Providers of regulated client money or property services (other than custodians)</w:t>
            </w:r>
          </w:p>
        </w:tc>
        <w:tc>
          <w:tcPr>
            <w:tcW w:w="924" w:type="pct"/>
            <w:tcMar>
              <w:top w:w="0" w:type="dxa"/>
              <w:left w:w="108" w:type="dxa"/>
              <w:bottom w:w="0" w:type="dxa"/>
              <w:right w:w="108" w:type="dxa"/>
            </w:tcMar>
            <w:hideMark/>
          </w:tcPr>
          <w:p w14:paraId="7372CC6A" w14:textId="77777777" w:rsidR="00A517B5" w:rsidRPr="00747EF6" w:rsidRDefault="00A517B5" w:rsidP="00A517B5">
            <w:pPr>
              <w:pStyle w:val="TableText"/>
              <w:rPr>
                <w:lang w:eastAsia="ko-KR"/>
              </w:rPr>
            </w:pPr>
            <w:r w:rsidRPr="00747EF6">
              <w:rPr>
                <w:lang w:eastAsia="ko-KR"/>
              </w:rPr>
              <w:t>$4,140</w:t>
            </w:r>
          </w:p>
        </w:tc>
      </w:tr>
    </w:tbl>
    <w:p w14:paraId="58F31239" w14:textId="77777777" w:rsidR="008704B2" w:rsidRDefault="008704B2" w:rsidP="00A517B5">
      <w:pPr>
        <w:pStyle w:val="Heading4"/>
        <w:rPr>
          <w:lang w:eastAsia="ko-KR"/>
        </w:rPr>
        <w:sectPr w:rsidR="008704B2" w:rsidSect="008A7498">
          <w:pgSz w:w="11907" w:h="16840" w:code="9"/>
          <w:pgMar w:top="1134" w:right="1701" w:bottom="1134" w:left="1701" w:header="567" w:footer="567" w:gutter="0"/>
          <w:cols w:space="720"/>
          <w:docGrid w:linePitch="299"/>
        </w:sectPr>
      </w:pPr>
      <w:bookmarkStart w:id="121" w:name="_Toc116391419"/>
    </w:p>
    <w:p w14:paraId="000F01CF" w14:textId="77777777" w:rsidR="00A517B5" w:rsidRPr="00747EF6" w:rsidRDefault="00A517B5" w:rsidP="00A517B5">
      <w:pPr>
        <w:pStyle w:val="Heading4"/>
        <w:rPr>
          <w:lang w:eastAsia="ko-KR"/>
        </w:rPr>
      </w:pPr>
      <w:r w:rsidRPr="00747EF6">
        <w:rPr>
          <w:lang w:eastAsia="ko-KR"/>
        </w:rPr>
        <w:lastRenderedPageBreak/>
        <w:t xml:space="preserve">What types of services might </w:t>
      </w:r>
      <w:r>
        <w:rPr>
          <w:lang w:eastAsia="ko-KR"/>
        </w:rPr>
        <w:t xml:space="preserve">be impacted by </w:t>
      </w:r>
      <w:r w:rsidRPr="00747EF6">
        <w:rPr>
          <w:lang w:eastAsia="ko-KR"/>
        </w:rPr>
        <w:t>a proposal to regulate client money or property services in the NZU market?</w:t>
      </w:r>
    </w:p>
    <w:p w14:paraId="5AC5014B" w14:textId="77777777" w:rsidR="00A517B5" w:rsidRPr="00747EF6" w:rsidRDefault="00A517B5" w:rsidP="00A517B5">
      <w:pPr>
        <w:spacing w:line="240" w:lineRule="auto"/>
        <w:jc w:val="left"/>
        <w:rPr>
          <w:rFonts w:eastAsia="Malgun Gothic" w:cs="Calibri"/>
          <w:lang w:eastAsia="ko-KR"/>
        </w:rPr>
      </w:pPr>
      <w:r w:rsidRPr="00747EF6">
        <w:rPr>
          <w:rFonts w:eastAsia="Malgun Gothic" w:cs="Calibri"/>
          <w:sz w:val="2"/>
          <w:szCs w:val="2"/>
          <w:lang w:eastAsia="ko-KR"/>
        </w:rPr>
        <w:t> </w:t>
      </w:r>
    </w:p>
    <w:p w14:paraId="52CF82B2" w14:textId="21A1FFF0" w:rsidR="00A517B5" w:rsidRPr="00747EF6" w:rsidRDefault="00A517B5" w:rsidP="00A517B5">
      <w:pPr>
        <w:pStyle w:val="BodyText"/>
        <w:rPr>
          <w:rFonts w:eastAsia="Malgun Gothic"/>
          <w:lang w:eastAsia="ko-KR"/>
        </w:rPr>
      </w:pPr>
      <w:r w:rsidRPr="00747EF6">
        <w:rPr>
          <w:rFonts w:eastAsia="Malgun Gothic"/>
          <w:lang w:eastAsia="ko-KR"/>
        </w:rPr>
        <w:t xml:space="preserve">If this proposal is included for financial advice providers of NZUs, it is expected to relate to persons </w:t>
      </w:r>
      <w:r>
        <w:rPr>
          <w:rFonts w:eastAsia="Malgun Gothic"/>
          <w:lang w:eastAsia="ko-KR"/>
        </w:rPr>
        <w:t>who</w:t>
      </w:r>
      <w:r w:rsidRPr="00747EF6">
        <w:rPr>
          <w:rFonts w:eastAsia="Malgun Gothic"/>
          <w:lang w:eastAsia="ko-KR"/>
        </w:rPr>
        <w:t xml:space="preserve"> are in the business of receiving client money or NZUs</w:t>
      </w:r>
      <w:r>
        <w:rPr>
          <w:rFonts w:eastAsia="Malgun Gothic"/>
          <w:lang w:eastAsia="ko-KR"/>
        </w:rPr>
        <w:t>,</w:t>
      </w:r>
      <w:r w:rsidRPr="00747EF6">
        <w:rPr>
          <w:rFonts w:eastAsia="Malgun Gothic"/>
          <w:lang w:eastAsia="ko-KR"/>
        </w:rPr>
        <w:t xml:space="preserve"> and</w:t>
      </w:r>
      <w:r>
        <w:rPr>
          <w:rFonts w:eastAsia="Malgun Gothic"/>
          <w:lang w:eastAsia="ko-KR"/>
        </w:rPr>
        <w:t xml:space="preserve"> of</w:t>
      </w:r>
      <w:r w:rsidRPr="00747EF6">
        <w:rPr>
          <w:rFonts w:eastAsia="Malgun Gothic"/>
          <w:lang w:eastAsia="ko-KR"/>
        </w:rPr>
        <w:t xml:space="preserve"> the holding, </w:t>
      </w:r>
      <w:proofErr w:type="gramStart"/>
      <w:r w:rsidRPr="00747EF6">
        <w:rPr>
          <w:rFonts w:eastAsia="Malgun Gothic"/>
          <w:lang w:eastAsia="ko-KR"/>
        </w:rPr>
        <w:t>payment</w:t>
      </w:r>
      <w:proofErr w:type="gramEnd"/>
      <w:r w:rsidRPr="00747EF6">
        <w:rPr>
          <w:rFonts w:eastAsia="Malgun Gothic"/>
          <w:lang w:eastAsia="ko-KR"/>
        </w:rPr>
        <w:t xml:space="preserve"> or transfer of that client money or NZUs.</w:t>
      </w:r>
    </w:p>
    <w:p w14:paraId="7DD5D614" w14:textId="5EE460C5" w:rsidR="00A517B5" w:rsidRPr="00747EF6" w:rsidRDefault="00A517B5" w:rsidP="00A517B5">
      <w:pPr>
        <w:pStyle w:val="BodyText"/>
        <w:rPr>
          <w:rFonts w:eastAsia="Malgun Gothic"/>
          <w:lang w:eastAsia="ko-KR"/>
        </w:rPr>
      </w:pPr>
      <w:r w:rsidRPr="00747EF6">
        <w:rPr>
          <w:rFonts w:eastAsia="Malgun Gothic"/>
          <w:lang w:eastAsia="ko-KR"/>
        </w:rPr>
        <w:t>However, we are conscious the NZU market has material differences</w:t>
      </w:r>
      <w:r>
        <w:rPr>
          <w:rFonts w:eastAsia="Malgun Gothic"/>
          <w:lang w:eastAsia="ko-KR"/>
        </w:rPr>
        <w:t>, compared to other financial product markets,</w:t>
      </w:r>
      <w:r w:rsidRPr="00747EF6">
        <w:rPr>
          <w:rFonts w:eastAsia="Malgun Gothic"/>
          <w:lang w:eastAsia="ko-KR"/>
        </w:rPr>
        <w:t xml:space="preserve"> in how the ownership of NZUs </w:t>
      </w:r>
      <w:r>
        <w:rPr>
          <w:rFonts w:eastAsia="Malgun Gothic"/>
          <w:lang w:eastAsia="ko-KR"/>
        </w:rPr>
        <w:t>is</w:t>
      </w:r>
      <w:r w:rsidRPr="00747EF6">
        <w:rPr>
          <w:rFonts w:eastAsia="Malgun Gothic"/>
          <w:lang w:eastAsia="ko-KR"/>
        </w:rPr>
        <w:t xml:space="preserve"> recorded, </w:t>
      </w:r>
      <w:proofErr w:type="gramStart"/>
      <w:r w:rsidRPr="00747EF6">
        <w:rPr>
          <w:rFonts w:eastAsia="Malgun Gothic"/>
          <w:lang w:eastAsia="ko-KR"/>
        </w:rPr>
        <w:t>managed</w:t>
      </w:r>
      <w:proofErr w:type="gramEnd"/>
      <w:r w:rsidRPr="00747EF6">
        <w:rPr>
          <w:rFonts w:eastAsia="Malgun Gothic"/>
          <w:lang w:eastAsia="ko-KR"/>
        </w:rPr>
        <w:t xml:space="preserve"> and administered.</w:t>
      </w:r>
    </w:p>
    <w:p w14:paraId="0F82C14B" w14:textId="77777777" w:rsidR="00A517B5" w:rsidRPr="00747EF6" w:rsidRDefault="00A517B5" w:rsidP="00A517B5">
      <w:pPr>
        <w:pStyle w:val="Heading5"/>
        <w:rPr>
          <w:rFonts w:eastAsia="Malgun Gothic"/>
          <w:lang w:eastAsia="ko-KR"/>
        </w:rPr>
      </w:pPr>
      <w:r>
        <w:rPr>
          <w:rFonts w:eastAsia="Malgun Gothic"/>
          <w:lang w:eastAsia="ko-KR"/>
        </w:rPr>
        <w:t>NZ</w:t>
      </w:r>
      <w:r w:rsidRPr="00747EF6">
        <w:rPr>
          <w:rFonts w:eastAsia="Malgun Gothic"/>
          <w:lang w:eastAsia="ko-KR"/>
        </w:rPr>
        <w:t>ETR accounts and NZU transactions</w:t>
      </w:r>
    </w:p>
    <w:p w14:paraId="263E0FD2" w14:textId="367CD25A" w:rsidR="00A517B5" w:rsidRPr="00747EF6" w:rsidRDefault="00A517B5" w:rsidP="00A517B5">
      <w:pPr>
        <w:pStyle w:val="BodyText"/>
        <w:rPr>
          <w:rFonts w:eastAsia="Malgun Gothic"/>
          <w:lang w:eastAsia="ko-KR"/>
        </w:rPr>
      </w:pPr>
      <w:r w:rsidRPr="00747EF6">
        <w:rPr>
          <w:rFonts w:eastAsia="Malgun Gothic"/>
          <w:lang w:eastAsia="ko-KR"/>
        </w:rPr>
        <w:t>Persons are required to have an account in the NZETR to be able to own or trade NZUs. Different types of persons may hold an account, such as individuals, companies, incorporated trusts or unincorporated organisations of people and entities (</w:t>
      </w:r>
      <w:proofErr w:type="spellStart"/>
      <w:r w:rsidRPr="00747EF6">
        <w:rPr>
          <w:rFonts w:eastAsia="Malgun Gothic"/>
          <w:lang w:eastAsia="ko-KR"/>
        </w:rPr>
        <w:t>eg</w:t>
      </w:r>
      <w:proofErr w:type="spellEnd"/>
      <w:r>
        <w:rPr>
          <w:rFonts w:eastAsia="Malgun Gothic"/>
          <w:lang w:eastAsia="ko-KR"/>
        </w:rPr>
        <w:t>,</w:t>
      </w:r>
      <w:r w:rsidRPr="00747EF6">
        <w:rPr>
          <w:rFonts w:eastAsia="Malgun Gothic"/>
          <w:lang w:eastAsia="ko-KR"/>
        </w:rPr>
        <w:t xml:space="preserve"> joint ventures). </w:t>
      </w:r>
    </w:p>
    <w:p w14:paraId="35F1C042" w14:textId="77777777" w:rsidR="00A517B5" w:rsidRPr="00747EF6" w:rsidRDefault="00A517B5" w:rsidP="00A517B5">
      <w:pPr>
        <w:pStyle w:val="BodyText"/>
        <w:rPr>
          <w:rFonts w:eastAsia="Malgun Gothic"/>
          <w:lang w:eastAsia="ko-KR"/>
        </w:rPr>
      </w:pPr>
      <w:r w:rsidRPr="00747EF6">
        <w:rPr>
          <w:rFonts w:eastAsia="Malgun Gothic"/>
          <w:lang w:eastAsia="ko-KR"/>
        </w:rPr>
        <w:t>Account</w:t>
      </w:r>
      <w:r w:rsidRPr="00747EF6" w:rsidDel="00F13D62">
        <w:rPr>
          <w:rFonts w:eastAsia="Malgun Gothic"/>
          <w:lang w:eastAsia="ko-KR"/>
        </w:rPr>
        <w:t xml:space="preserve"> </w:t>
      </w:r>
      <w:r w:rsidRPr="00747EF6">
        <w:rPr>
          <w:rFonts w:eastAsia="Malgun Gothic"/>
          <w:lang w:eastAsia="ko-KR"/>
        </w:rPr>
        <w:t>holders may also appoint one or more people as account operators who may, independently and without supervision:</w:t>
      </w:r>
    </w:p>
    <w:p w14:paraId="16697D12" w14:textId="77777777"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manage the account</w:t>
      </w:r>
      <w:r>
        <w:rPr>
          <w:rFonts w:eastAsia="Malgun Gothic"/>
          <w:lang w:eastAsia="ko-KR"/>
        </w:rPr>
        <w:t xml:space="preserve"> </w:t>
      </w:r>
      <w:r w:rsidRPr="00747EF6">
        <w:rPr>
          <w:rFonts w:eastAsia="Malgun Gothic"/>
          <w:lang w:eastAsia="ko-KR"/>
        </w:rPr>
        <w:t>holder’s emissions units (transactions, surrenders or repayments of emission units)</w:t>
      </w:r>
    </w:p>
    <w:p w14:paraId="67EFCDE4" w14:textId="77777777"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complete applications for industrial allocations for emissions units</w:t>
      </w:r>
    </w:p>
    <w:p w14:paraId="75BA8010" w14:textId="77777777"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 xml:space="preserve">have an option for account operators to participate in </w:t>
      </w:r>
      <w:r>
        <w:rPr>
          <w:rFonts w:eastAsia="Malgun Gothic"/>
          <w:lang w:eastAsia="ko-KR"/>
        </w:rPr>
        <w:t>NZ </w:t>
      </w:r>
      <w:r w:rsidRPr="00747EF6">
        <w:rPr>
          <w:rFonts w:eastAsia="Malgun Gothic"/>
          <w:lang w:eastAsia="ko-KR"/>
        </w:rPr>
        <w:t>ETS auctions.</w:t>
      </w:r>
    </w:p>
    <w:p w14:paraId="0ECFD6A8" w14:textId="77777777" w:rsidR="00A517B5" w:rsidRPr="00747EF6" w:rsidRDefault="00A517B5" w:rsidP="00A517B5">
      <w:pPr>
        <w:pStyle w:val="BodyText"/>
        <w:rPr>
          <w:rFonts w:eastAsia="Malgun Gothic"/>
          <w:lang w:eastAsia="ko-KR"/>
        </w:rPr>
      </w:pPr>
      <w:r w:rsidRPr="00747EF6">
        <w:rPr>
          <w:rFonts w:eastAsia="Malgun Gothic"/>
          <w:lang w:eastAsia="ko-KR"/>
        </w:rPr>
        <w:t>These features, which have similarities to share registry services, separate the management of property from money (used, for example, to complete a transaction).</w:t>
      </w:r>
    </w:p>
    <w:p w14:paraId="566AB3C9" w14:textId="77777777" w:rsidR="00A517B5" w:rsidRPr="00747EF6" w:rsidRDefault="00A517B5" w:rsidP="00A517B5">
      <w:pPr>
        <w:pStyle w:val="Heading5"/>
        <w:rPr>
          <w:rFonts w:eastAsia="Malgun Gothic"/>
          <w:lang w:eastAsia="ko-KR"/>
        </w:rPr>
      </w:pPr>
      <w:r w:rsidRPr="00747EF6">
        <w:rPr>
          <w:rFonts w:eastAsia="Malgun Gothic"/>
          <w:lang w:eastAsia="ko-KR"/>
        </w:rPr>
        <w:t>Potential effect of client money or property services regulation</w:t>
      </w:r>
    </w:p>
    <w:p w14:paraId="56800E2B" w14:textId="6CC897CB" w:rsidR="00A517B5" w:rsidRPr="00747EF6" w:rsidRDefault="003230CF" w:rsidP="00A517B5">
      <w:pPr>
        <w:pStyle w:val="BodyText"/>
        <w:rPr>
          <w:rFonts w:eastAsia="Malgun Gothic"/>
          <w:lang w:eastAsia="ko-KR"/>
        </w:rPr>
      </w:pPr>
      <w:r>
        <w:rPr>
          <w:rFonts w:eastAsia="Malgun Gothic"/>
          <w:lang w:eastAsia="ko-KR"/>
        </w:rPr>
        <w:t xml:space="preserve">It is </w:t>
      </w:r>
      <w:r w:rsidR="00BC773D">
        <w:rPr>
          <w:rFonts w:eastAsia="Malgun Gothic"/>
          <w:lang w:eastAsia="ko-KR"/>
        </w:rPr>
        <w:t xml:space="preserve">currently </w:t>
      </w:r>
      <w:r>
        <w:rPr>
          <w:rFonts w:eastAsia="Malgun Gothic"/>
          <w:lang w:eastAsia="ko-KR"/>
        </w:rPr>
        <w:t xml:space="preserve">unclear how the </w:t>
      </w:r>
      <w:r w:rsidR="00BC773D">
        <w:rPr>
          <w:rFonts w:eastAsia="Malgun Gothic"/>
          <w:lang w:eastAsia="ko-KR"/>
        </w:rPr>
        <w:t xml:space="preserve">client money or property service provisions </w:t>
      </w:r>
      <w:r>
        <w:rPr>
          <w:rFonts w:eastAsia="Malgun Gothic"/>
          <w:lang w:eastAsia="ko-KR"/>
        </w:rPr>
        <w:t xml:space="preserve">will be structured </w:t>
      </w:r>
      <w:r w:rsidR="00BC773D">
        <w:rPr>
          <w:rFonts w:eastAsia="Malgun Gothic"/>
          <w:lang w:eastAsia="ko-KR"/>
        </w:rPr>
        <w:t>if they are applied to adviser framework for NZUs.</w:t>
      </w:r>
      <w:r w:rsidR="00A517B5" w:rsidRPr="00747EF6">
        <w:rPr>
          <w:rFonts w:eastAsia="Malgun Gothic"/>
          <w:lang w:eastAsia="ko-KR"/>
        </w:rPr>
        <w:t xml:space="preserve"> </w:t>
      </w:r>
    </w:p>
    <w:p w14:paraId="09AC73E5" w14:textId="667442AD" w:rsidR="00A517B5" w:rsidRPr="00747EF6" w:rsidRDefault="00A517B5" w:rsidP="00A517B5">
      <w:pPr>
        <w:pStyle w:val="BodyText"/>
        <w:rPr>
          <w:rFonts w:eastAsia="Malgun Gothic"/>
          <w:lang w:eastAsia="ko-KR"/>
        </w:rPr>
      </w:pPr>
      <w:r w:rsidRPr="00747EF6">
        <w:rPr>
          <w:rFonts w:eastAsia="Malgun Gothic"/>
          <w:lang w:eastAsia="ko-KR"/>
        </w:rPr>
        <w:t>Further, given the role of account operators, it is possible that these obligations may not be appropriate if NZUs were treated as financial products</w:t>
      </w:r>
      <w:r>
        <w:rPr>
          <w:rFonts w:eastAsia="Malgun Gothic"/>
          <w:lang w:eastAsia="ko-KR"/>
        </w:rPr>
        <w:t>,</w:t>
      </w:r>
      <w:r w:rsidRPr="00747EF6">
        <w:rPr>
          <w:rFonts w:eastAsia="Malgun Gothic"/>
          <w:lang w:eastAsia="ko-KR"/>
        </w:rPr>
        <w:t xml:space="preserve"> because those operators have authority to manage NZU holdings without holding legal title. </w:t>
      </w:r>
      <w:r w:rsidRPr="004F1695">
        <w:rPr>
          <w:rFonts w:eastAsia="Malgun Gothic"/>
          <w:lang w:eastAsia="ko-KR"/>
        </w:rPr>
        <w:t>However</w:t>
      </w:r>
      <w:r w:rsidRPr="00747EF6">
        <w:rPr>
          <w:rFonts w:eastAsia="Malgun Gothic"/>
          <w:lang w:eastAsia="ko-KR"/>
        </w:rPr>
        <w:t xml:space="preserve">, </w:t>
      </w:r>
      <w:r w:rsidR="00F342B3">
        <w:rPr>
          <w:rFonts w:eastAsia="Malgun Gothic"/>
          <w:lang w:eastAsia="ko-KR"/>
        </w:rPr>
        <w:t>the</w:t>
      </w:r>
      <w:r w:rsidR="00061D8D">
        <w:rPr>
          <w:rFonts w:eastAsia="Malgun Gothic"/>
          <w:lang w:eastAsia="ko-KR"/>
        </w:rPr>
        <w:t xml:space="preserve"> operators</w:t>
      </w:r>
      <w:r w:rsidRPr="00747EF6">
        <w:rPr>
          <w:rFonts w:eastAsia="Malgun Gothic"/>
          <w:lang w:eastAsia="ko-KR"/>
        </w:rPr>
        <w:t xml:space="preserve"> may be captured</w:t>
      </w:r>
      <w:r>
        <w:rPr>
          <w:rFonts w:eastAsia="Malgun Gothic"/>
          <w:lang w:eastAsia="ko-KR"/>
        </w:rPr>
        <w:t>,</w:t>
      </w:r>
      <w:r w:rsidRPr="00747EF6">
        <w:rPr>
          <w:rFonts w:eastAsia="Malgun Gothic"/>
          <w:lang w:eastAsia="ko-KR"/>
        </w:rPr>
        <w:t xml:space="preserve"> to the extent they receive client money and carry out payment </w:t>
      </w:r>
      <w:proofErr w:type="gramStart"/>
      <w:r w:rsidRPr="00747EF6">
        <w:rPr>
          <w:rFonts w:eastAsia="Malgun Gothic"/>
          <w:lang w:eastAsia="ko-KR"/>
        </w:rPr>
        <w:t>in order to</w:t>
      </w:r>
      <w:proofErr w:type="gramEnd"/>
      <w:r w:rsidRPr="00747EF6">
        <w:rPr>
          <w:rFonts w:eastAsia="Malgun Gothic"/>
          <w:lang w:eastAsia="ko-KR"/>
        </w:rPr>
        <w:t xml:space="preserve"> execute the transaction(s).</w:t>
      </w:r>
    </w:p>
    <w:p w14:paraId="37E6DDBA" w14:textId="77777777" w:rsidR="00A517B5" w:rsidRPr="00747EF6" w:rsidRDefault="00A517B5" w:rsidP="00A517B5">
      <w:pPr>
        <w:pStyle w:val="BodyText"/>
        <w:rPr>
          <w:rFonts w:eastAsia="Malgun Gothic"/>
          <w:lang w:eastAsia="ko-KR"/>
        </w:rPr>
      </w:pPr>
      <w:r w:rsidRPr="00747EF6">
        <w:rPr>
          <w:rFonts w:eastAsia="Malgun Gothic"/>
          <w:lang w:eastAsia="ko-KR"/>
        </w:rPr>
        <w:t>We therefore seek your feedback on:</w:t>
      </w:r>
    </w:p>
    <w:p w14:paraId="2ED4F1A0" w14:textId="77777777"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 xml:space="preserve">what role (if any) a client money and property regime should </w:t>
      </w:r>
      <w:r>
        <w:rPr>
          <w:rFonts w:eastAsia="Malgun Gothic"/>
          <w:lang w:eastAsia="ko-KR"/>
        </w:rPr>
        <w:t xml:space="preserve">play </w:t>
      </w:r>
      <w:r w:rsidRPr="00747EF6">
        <w:rPr>
          <w:rFonts w:eastAsia="Malgun Gothic"/>
          <w:lang w:eastAsia="ko-KR"/>
        </w:rPr>
        <w:t>in the NZU market</w:t>
      </w:r>
    </w:p>
    <w:p w14:paraId="3A4664C9" w14:textId="39458B7C" w:rsidR="00A517B5" w:rsidRPr="00747EF6" w:rsidRDefault="00A517B5" w:rsidP="00A517B5">
      <w:pPr>
        <w:pStyle w:val="Bullet"/>
        <w:tabs>
          <w:tab w:val="num" w:pos="397"/>
        </w:tabs>
        <w:spacing w:line="280" w:lineRule="exact"/>
        <w:rPr>
          <w:rFonts w:eastAsia="Malgun Gothic"/>
          <w:lang w:eastAsia="ko-KR"/>
        </w:rPr>
      </w:pPr>
      <w:r w:rsidRPr="00747EF6">
        <w:rPr>
          <w:rFonts w:eastAsia="Malgun Gothic"/>
          <w:lang w:eastAsia="ko-KR"/>
        </w:rPr>
        <w:t>whether and to what extent similar risks to persons handling client money and/or property exist in NZU markets</w:t>
      </w:r>
      <w:r>
        <w:rPr>
          <w:rFonts w:eastAsia="Malgun Gothic"/>
          <w:lang w:eastAsia="ko-KR"/>
        </w:rPr>
        <w:t>,</w:t>
      </w:r>
      <w:r w:rsidRPr="00747EF6">
        <w:rPr>
          <w:rFonts w:eastAsia="Malgun Gothic"/>
          <w:lang w:eastAsia="ko-KR"/>
        </w:rPr>
        <w:t xml:space="preserve"> as compared with financial products</w:t>
      </w:r>
    </w:p>
    <w:p w14:paraId="39954ECF" w14:textId="77777777" w:rsidR="00A517B5" w:rsidRDefault="00A517B5" w:rsidP="00A517B5">
      <w:pPr>
        <w:pStyle w:val="Bullet"/>
        <w:tabs>
          <w:tab w:val="num" w:pos="397"/>
        </w:tabs>
        <w:spacing w:line="280" w:lineRule="exact"/>
        <w:rPr>
          <w:rFonts w:eastAsia="Malgun Gothic"/>
          <w:lang w:eastAsia="ko-KR"/>
        </w:rPr>
      </w:pPr>
      <w:r w:rsidRPr="00747EF6">
        <w:rPr>
          <w:rFonts w:eastAsia="Malgun Gothic"/>
          <w:lang w:eastAsia="ko-KR"/>
        </w:rPr>
        <w:t>whether and to what extent client money or property services should be tailored to apply to NZU markets, particular</w:t>
      </w:r>
      <w:r>
        <w:rPr>
          <w:rFonts w:eastAsia="Malgun Gothic"/>
          <w:lang w:eastAsia="ko-KR"/>
        </w:rPr>
        <w:t>ly</w:t>
      </w:r>
      <w:r w:rsidRPr="00747EF6">
        <w:rPr>
          <w:rFonts w:eastAsia="Malgun Gothic"/>
          <w:lang w:eastAsia="ko-KR"/>
        </w:rPr>
        <w:t xml:space="preserve"> </w:t>
      </w:r>
      <w:proofErr w:type="gramStart"/>
      <w:r w:rsidRPr="00747EF6">
        <w:rPr>
          <w:rFonts w:eastAsia="Malgun Gothic"/>
          <w:lang w:eastAsia="ko-KR"/>
        </w:rPr>
        <w:t>in light of</w:t>
      </w:r>
      <w:proofErr w:type="gramEnd"/>
      <w:r w:rsidRPr="00747EF6">
        <w:rPr>
          <w:rFonts w:eastAsia="Malgun Gothic"/>
          <w:lang w:eastAsia="ko-KR"/>
        </w:rPr>
        <w:t xml:space="preserve"> the proposal to introduce licensed market operators.</w:t>
      </w:r>
    </w:p>
    <w:p w14:paraId="2FFD223C" w14:textId="77777777" w:rsidR="008704B2" w:rsidRPr="00747EF6" w:rsidRDefault="008704B2" w:rsidP="008704B2">
      <w:pPr>
        <w:pStyle w:val="BodyText"/>
        <w:rPr>
          <w:rFonts w:eastAsia="Malgun Gothic"/>
          <w:lang w:eastAsia="ko-KR"/>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8505"/>
      </w:tblGrid>
      <w:tr w:rsidR="00A517B5" w:rsidRPr="00747EF6" w14:paraId="041731C5" w14:textId="77777777" w:rsidTr="008704B2">
        <w:tc>
          <w:tcPr>
            <w:tcW w:w="5000" w:type="pct"/>
            <w:shd w:val="clear" w:color="auto" w:fill="D2DDE2"/>
          </w:tcPr>
          <w:p w14:paraId="1937C12C" w14:textId="77777777" w:rsidR="008704B2" w:rsidRPr="00FB6809" w:rsidRDefault="008704B2" w:rsidP="008704B2">
            <w:pPr>
              <w:pStyle w:val="Blueboxtext"/>
              <w:spacing w:after="0"/>
              <w:rPr>
                <w:b/>
                <w:bCs/>
              </w:rPr>
            </w:pPr>
            <w:r w:rsidRPr="00FB6809">
              <w:rPr>
                <w:b/>
                <w:bCs/>
              </w:rPr>
              <w:lastRenderedPageBreak/>
              <w:t>Question 33</w:t>
            </w:r>
          </w:p>
          <w:p w14:paraId="0AFA71E8" w14:textId="75C2E10A" w:rsidR="008704B2" w:rsidRPr="00FB6809" w:rsidRDefault="008704B2" w:rsidP="008704B2">
            <w:pPr>
              <w:pStyle w:val="Blueboxtext"/>
            </w:pPr>
            <w:r w:rsidRPr="00FB6809">
              <w:t xml:space="preserve">We have received complaints of NZETR account operators withholding access to NZUs from account holders. As an account holder, do you </w:t>
            </w:r>
            <w:r w:rsidR="007F56D2">
              <w:t>think there is</w:t>
            </w:r>
            <w:r w:rsidRPr="00FB6809">
              <w:t xml:space="preserve"> a risk of NZETR account operators withholding such access? Regulating NZETR account operators may not resolve this type of issue; however, </w:t>
            </w:r>
            <w:r w:rsidR="00400577">
              <w:t>is</w:t>
            </w:r>
            <w:r w:rsidRPr="00FB6809">
              <w:t xml:space="preserve"> it reasonable for NZETR operators to be regulated under </w:t>
            </w:r>
            <w:r w:rsidR="003729DB">
              <w:t xml:space="preserve">a </w:t>
            </w:r>
            <w:r w:rsidRPr="00FB6809">
              <w:t>client money and property services framework to ensure transparency and integrity when managing NZUs?</w:t>
            </w:r>
          </w:p>
          <w:p w14:paraId="44F0783E" w14:textId="77777777" w:rsidR="008704B2" w:rsidRPr="00FB6809" w:rsidRDefault="008704B2" w:rsidP="008704B2">
            <w:pPr>
              <w:pStyle w:val="Blueboxtext"/>
              <w:spacing w:after="0"/>
              <w:rPr>
                <w:b/>
                <w:bCs/>
              </w:rPr>
            </w:pPr>
            <w:r w:rsidRPr="00FB6809">
              <w:rPr>
                <w:b/>
                <w:bCs/>
              </w:rPr>
              <w:t>Question 34</w:t>
            </w:r>
          </w:p>
          <w:p w14:paraId="5841CDBF" w14:textId="504022FC" w:rsidR="008704B2" w:rsidRPr="00FB6809" w:rsidRDefault="001E016A" w:rsidP="008704B2">
            <w:pPr>
              <w:pStyle w:val="Blueboxtext"/>
            </w:pPr>
            <w:r>
              <w:t>Is</w:t>
            </w:r>
            <w:r w:rsidRPr="00FB6809">
              <w:t xml:space="preserve"> </w:t>
            </w:r>
            <w:r>
              <w:t>it</w:t>
            </w:r>
            <w:r w:rsidRPr="00FB6809">
              <w:t xml:space="preserve"> </w:t>
            </w:r>
            <w:r w:rsidR="008704B2" w:rsidRPr="00FB6809">
              <w:t>appropriate to consider applying client money and property service regulation to persons other than account operators in the NZ ETS? If so, what client money and property service obligations are appropriate in relation to NZUs?</w:t>
            </w:r>
          </w:p>
          <w:p w14:paraId="6F7EEF73" w14:textId="77777777" w:rsidR="008704B2" w:rsidRPr="00FB6809" w:rsidRDefault="008704B2" w:rsidP="008704B2">
            <w:pPr>
              <w:pStyle w:val="Blueboxtext"/>
              <w:spacing w:after="0"/>
              <w:rPr>
                <w:b/>
                <w:bCs/>
              </w:rPr>
            </w:pPr>
            <w:r w:rsidRPr="00FB6809">
              <w:rPr>
                <w:b/>
                <w:bCs/>
              </w:rPr>
              <w:t>Question 35</w:t>
            </w:r>
          </w:p>
          <w:p w14:paraId="73B51186" w14:textId="2AD67583" w:rsidR="008704B2" w:rsidRPr="00FB6809" w:rsidRDefault="009377A2" w:rsidP="008704B2">
            <w:pPr>
              <w:pStyle w:val="Blueboxtext"/>
            </w:pPr>
            <w:r>
              <w:t>Are</w:t>
            </w:r>
            <w:r w:rsidR="008704B2" w:rsidRPr="00FB6809">
              <w:t xml:space="preserve"> the existing protections (to the extent applicable) under the FTA and </w:t>
            </w:r>
            <w:hyperlink r:id="rId51" w:history="1">
              <w:r w:rsidR="008704B2" w:rsidRPr="00FB6809">
                <w:rPr>
                  <w:rStyle w:val="Hyperlink"/>
                </w:rPr>
                <w:t>Trusts Act 2019</w:t>
              </w:r>
            </w:hyperlink>
            <w:r w:rsidR="008704B2" w:rsidRPr="00FB6809">
              <w:t xml:space="preserve"> (</w:t>
            </w:r>
            <w:r>
              <w:t>including</w:t>
            </w:r>
            <w:r w:rsidR="008704B2" w:rsidRPr="00FB6809" w:rsidDel="00D36F26">
              <w:t xml:space="preserve"> </w:t>
            </w:r>
            <w:r w:rsidR="008704B2" w:rsidRPr="00FB6809">
              <w:t xml:space="preserve">obligations for those holding money or property on trust to act honestly and in good faith, and use powers for a proper purpose) sufficient </w:t>
            </w:r>
            <w:r w:rsidR="00AF0A04">
              <w:t xml:space="preserve">to address </w:t>
            </w:r>
            <w:r w:rsidR="008704B2" w:rsidRPr="00FB6809">
              <w:t>the risks in the NZU market?</w:t>
            </w:r>
          </w:p>
          <w:p w14:paraId="046E408A" w14:textId="77777777" w:rsidR="008704B2" w:rsidRPr="00FB6809" w:rsidRDefault="008704B2" w:rsidP="008704B2">
            <w:pPr>
              <w:pStyle w:val="Blueboxtext"/>
              <w:spacing w:after="0"/>
              <w:rPr>
                <w:b/>
                <w:bCs/>
              </w:rPr>
            </w:pPr>
            <w:r w:rsidRPr="00FB6809">
              <w:rPr>
                <w:b/>
                <w:bCs/>
              </w:rPr>
              <w:t>Question 36</w:t>
            </w:r>
          </w:p>
          <w:p w14:paraId="14AE8F2E" w14:textId="77777777" w:rsidR="008704B2" w:rsidRPr="00FB6809" w:rsidRDefault="008704B2" w:rsidP="008704B2">
            <w:pPr>
              <w:pStyle w:val="Blueboxtext"/>
            </w:pPr>
            <w:r w:rsidRPr="00FB6809">
              <w:t>If applied, would your business be covered by the definition of custodial service or otherwise by the meaning of client money or property service?</w:t>
            </w:r>
          </w:p>
          <w:p w14:paraId="07B78F29" w14:textId="77777777" w:rsidR="008704B2" w:rsidRPr="00FB6809" w:rsidRDefault="008704B2" w:rsidP="008704B2">
            <w:pPr>
              <w:pStyle w:val="Blueboxtext"/>
              <w:spacing w:after="0"/>
              <w:rPr>
                <w:b/>
                <w:bCs/>
              </w:rPr>
            </w:pPr>
            <w:r w:rsidRPr="00FB6809">
              <w:rPr>
                <w:b/>
                <w:bCs/>
              </w:rPr>
              <w:t>Question 37</w:t>
            </w:r>
          </w:p>
          <w:p w14:paraId="27FBDB42" w14:textId="77777777" w:rsidR="008704B2" w:rsidRPr="00747EF6" w:rsidRDefault="008704B2" w:rsidP="008704B2">
            <w:pPr>
              <w:pStyle w:val="Blueboxtext"/>
              <w:rPr>
                <w:bCs/>
              </w:rPr>
            </w:pPr>
            <w:r w:rsidRPr="00FB6809">
              <w:t>If you are currently an account operator in the NZETR, how would you be impacted (if at all) by the proposal to regulate client money or property services?</w:t>
            </w:r>
          </w:p>
        </w:tc>
      </w:tr>
      <w:bookmarkEnd w:id="121"/>
    </w:tbl>
    <w:p w14:paraId="08DD0E4A" w14:textId="77777777" w:rsidR="00A517B5" w:rsidRPr="00747EF6" w:rsidRDefault="00A517B5" w:rsidP="00A517B5">
      <w:pPr>
        <w:pStyle w:val="BodyText"/>
      </w:pPr>
      <w:r w:rsidRPr="00747EF6">
        <w:br w:type="page"/>
      </w:r>
    </w:p>
    <w:p w14:paraId="2379D772" w14:textId="77777777" w:rsidR="00E003DB" w:rsidRPr="00747EF6" w:rsidRDefault="00E003DB" w:rsidP="00E003DB">
      <w:pPr>
        <w:pStyle w:val="Heading1"/>
      </w:pPr>
      <w:bookmarkStart w:id="122" w:name="_Toc118703542"/>
      <w:bookmarkStart w:id="123" w:name="_Toc118953595"/>
      <w:r w:rsidRPr="00747EF6">
        <w:lastRenderedPageBreak/>
        <w:t>Topic 3: Improved transaction reporting</w:t>
      </w:r>
      <w:bookmarkEnd w:id="122"/>
      <w:bookmarkEnd w:id="12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8397"/>
      </w:tblGrid>
      <w:tr w:rsidR="00E003DB" w:rsidRPr="00747EF6" w14:paraId="26F280E5" w14:textId="77777777" w:rsidTr="00E003DB">
        <w:tc>
          <w:tcPr>
            <w:tcW w:w="8613" w:type="dxa"/>
            <w:shd w:val="clear" w:color="auto" w:fill="D2DDE2"/>
          </w:tcPr>
          <w:p w14:paraId="144AEA7D" w14:textId="77777777" w:rsidR="00E003DB" w:rsidRPr="00E003DB" w:rsidRDefault="00E003DB" w:rsidP="00E003DB">
            <w:pPr>
              <w:pStyle w:val="Blueboxtext"/>
              <w:rPr>
                <w:b/>
                <w:bCs/>
              </w:rPr>
            </w:pPr>
            <w:r w:rsidRPr="00E003DB">
              <w:rPr>
                <w:b/>
                <w:bCs/>
              </w:rPr>
              <w:t xml:space="preserve">Summary of options </w:t>
            </w:r>
          </w:p>
          <w:p w14:paraId="1912681F" w14:textId="0066F324" w:rsidR="00E003DB" w:rsidRPr="00E003DB" w:rsidRDefault="00E003DB" w:rsidP="005B0F5C">
            <w:pPr>
              <w:pStyle w:val="Blue-boxbullet"/>
              <w:numPr>
                <w:ilvl w:val="0"/>
                <w:numId w:val="26"/>
              </w:numPr>
            </w:pPr>
            <w:r w:rsidRPr="00E003DB">
              <w:rPr>
                <w:b/>
                <w:bCs/>
                <w:i/>
                <w:iCs/>
              </w:rPr>
              <w:t>Option one: Current reporting obligations (status quo).</w:t>
            </w:r>
            <w:r w:rsidRPr="00E003DB">
              <w:t xml:space="preserve"> This includes the collection and recording of activities that are reported to the EPA. The status quo currently provides no visibility on price and value information</w:t>
            </w:r>
            <w:r w:rsidR="005C0B32">
              <w:t>,</w:t>
            </w:r>
            <w:r w:rsidRPr="00E003DB">
              <w:t xml:space="preserve"> which </w:t>
            </w:r>
            <w:r w:rsidR="00745049">
              <w:t>would be</w:t>
            </w:r>
            <w:r w:rsidRPr="00E003DB">
              <w:t xml:space="preserve"> useful for market efficiency and investigating market misconduct.</w:t>
            </w:r>
          </w:p>
          <w:p w14:paraId="72313544" w14:textId="77777777" w:rsidR="00E003DB" w:rsidRPr="00E003DB" w:rsidRDefault="00E003DB" w:rsidP="005B0F5C">
            <w:pPr>
              <w:pStyle w:val="Blue-boxbullet"/>
              <w:numPr>
                <w:ilvl w:val="0"/>
                <w:numId w:val="26"/>
              </w:numPr>
            </w:pPr>
            <w:r w:rsidRPr="00E003DB">
              <w:rPr>
                <w:b/>
                <w:bCs/>
                <w:i/>
                <w:iCs/>
              </w:rPr>
              <w:t>Option two: Improved transaction reporting</w:t>
            </w:r>
            <w:r w:rsidRPr="00E003DB">
              <w:t>. This would involve adding additional reporting fields on:</w:t>
            </w:r>
          </w:p>
          <w:p w14:paraId="64D560E5" w14:textId="77777777" w:rsidR="00E003DB" w:rsidRPr="00E003DB" w:rsidRDefault="00E003DB" w:rsidP="00E003DB">
            <w:pPr>
              <w:pStyle w:val="Sub-list"/>
              <w:tabs>
                <w:tab w:val="clear" w:pos="794"/>
                <w:tab w:val="num" w:pos="397"/>
                <w:tab w:val="left" w:pos="1455"/>
              </w:tabs>
              <w:ind w:left="1313" w:hanging="284"/>
              <w:rPr>
                <w:color w:val="1B556B"/>
              </w:rPr>
            </w:pPr>
            <w:r w:rsidRPr="00E003DB">
              <w:rPr>
                <w:color w:val="1B556B"/>
              </w:rPr>
              <w:t>price of NZUs or total value of the transaction</w:t>
            </w:r>
          </w:p>
          <w:p w14:paraId="68F3204F" w14:textId="77777777" w:rsidR="00E003DB" w:rsidRPr="00E003DB" w:rsidRDefault="00E003DB" w:rsidP="00E003DB">
            <w:pPr>
              <w:pStyle w:val="Sub-list"/>
              <w:tabs>
                <w:tab w:val="clear" w:pos="794"/>
                <w:tab w:val="num" w:pos="397"/>
                <w:tab w:val="left" w:pos="1455"/>
              </w:tabs>
              <w:ind w:left="1313" w:hanging="284"/>
              <w:rPr>
                <w:color w:val="1B556B"/>
              </w:rPr>
            </w:pPr>
            <w:r w:rsidRPr="00E003DB">
              <w:rPr>
                <w:color w:val="1B556B"/>
              </w:rPr>
              <w:t>whether the trade is with someone else or between the transactor’s own accounts</w:t>
            </w:r>
          </w:p>
          <w:p w14:paraId="522B5ED9" w14:textId="77777777" w:rsidR="00E003DB" w:rsidRPr="00E003DB" w:rsidRDefault="00E003DB" w:rsidP="00E003DB">
            <w:pPr>
              <w:pStyle w:val="Sub-list"/>
              <w:tabs>
                <w:tab w:val="clear" w:pos="794"/>
                <w:tab w:val="num" w:pos="397"/>
                <w:tab w:val="left" w:pos="1455"/>
              </w:tabs>
              <w:ind w:left="1313" w:hanging="284"/>
              <w:rPr>
                <w:color w:val="1B556B"/>
              </w:rPr>
            </w:pPr>
            <w:r w:rsidRPr="00E003DB">
              <w:rPr>
                <w:color w:val="1B556B"/>
              </w:rPr>
              <w:t xml:space="preserve">the transactor’s primary reason for holding an account. </w:t>
            </w:r>
          </w:p>
          <w:p w14:paraId="64E2971A" w14:textId="77777777" w:rsidR="00E003DB" w:rsidRPr="00747EF6" w:rsidRDefault="00E003DB" w:rsidP="00E003DB">
            <w:pPr>
              <w:pStyle w:val="Blueboxtext"/>
              <w:ind w:left="1029"/>
            </w:pPr>
            <w:r w:rsidRPr="00747EF6">
              <w:t xml:space="preserve">Collecting this additional transaction </w:t>
            </w:r>
            <w:r w:rsidRPr="00AF4C8E">
              <w:t>information</w:t>
            </w:r>
            <w:r w:rsidRPr="00747EF6">
              <w:t xml:space="preserve"> </w:t>
            </w:r>
            <w:r>
              <w:t>would provide</w:t>
            </w:r>
            <w:r w:rsidRPr="00747EF6">
              <w:t xml:space="preserve"> greater access to useful data.</w:t>
            </w:r>
          </w:p>
          <w:p w14:paraId="63CBAC57" w14:textId="77777777" w:rsidR="00E003DB" w:rsidRPr="00E003DB" w:rsidRDefault="00E003DB" w:rsidP="005B0F5C">
            <w:pPr>
              <w:pStyle w:val="Blue-boxbullet"/>
              <w:numPr>
                <w:ilvl w:val="0"/>
                <w:numId w:val="26"/>
              </w:numPr>
            </w:pPr>
            <w:r w:rsidRPr="00E003DB">
              <w:rPr>
                <w:b/>
                <w:bCs/>
                <w:i/>
                <w:iCs/>
              </w:rPr>
              <w:t>Option three: Full transaction reporting</w:t>
            </w:r>
            <w:r w:rsidRPr="00E003DB">
              <w:t xml:space="preserve">. This would involve adding additional reporting fields that replicate many prescribed wire transaction reporting obligations in the AML/CFT Act. </w:t>
            </w:r>
          </w:p>
          <w:p w14:paraId="179F7507" w14:textId="77777777" w:rsidR="00E003DB" w:rsidRPr="00E003DB" w:rsidRDefault="00E003DB" w:rsidP="005B0F5C">
            <w:pPr>
              <w:pStyle w:val="Blue-boxbullet"/>
              <w:numPr>
                <w:ilvl w:val="0"/>
                <w:numId w:val="26"/>
              </w:numPr>
              <w:spacing w:after="0"/>
            </w:pPr>
            <w:r w:rsidRPr="00E003DB">
              <w:t>Subject to feedback, we recommend progressing with option two: Improved transaction reporting.</w:t>
            </w:r>
          </w:p>
          <w:p w14:paraId="5B5944D7" w14:textId="77777777" w:rsidR="00E003DB" w:rsidRPr="00E003DB" w:rsidRDefault="00E003DB" w:rsidP="00E003DB">
            <w:pPr>
              <w:pStyle w:val="Blueboxtext"/>
              <w:rPr>
                <w:b/>
                <w:bCs/>
              </w:rPr>
            </w:pPr>
            <w:r w:rsidRPr="00E003DB">
              <w:rPr>
                <w:b/>
                <w:bCs/>
              </w:rPr>
              <w:t>Summary of impact</w:t>
            </w:r>
          </w:p>
          <w:p w14:paraId="0AB2C7E5" w14:textId="77777777" w:rsidR="00E003DB" w:rsidRPr="00747EF6" w:rsidRDefault="00E003DB" w:rsidP="005B0F5C">
            <w:pPr>
              <w:pStyle w:val="Blue-boxbullet"/>
              <w:numPr>
                <w:ilvl w:val="0"/>
                <w:numId w:val="26"/>
              </w:numPr>
            </w:pPr>
            <w:r w:rsidRPr="00747EF6">
              <w:t xml:space="preserve">Option two would require all NZU secondary market users to report additional transaction details. </w:t>
            </w:r>
          </w:p>
          <w:p w14:paraId="07AB633A" w14:textId="088A69AC" w:rsidR="00E003DB" w:rsidRPr="00747EF6" w:rsidRDefault="00E003DB" w:rsidP="005B0F5C">
            <w:pPr>
              <w:pStyle w:val="Blue-boxbullet"/>
              <w:numPr>
                <w:ilvl w:val="0"/>
                <w:numId w:val="26"/>
              </w:numPr>
            </w:pPr>
            <w:r w:rsidRPr="00747EF6">
              <w:t xml:space="preserve">Option two would assist the regulator </w:t>
            </w:r>
            <w:r w:rsidR="009477A6">
              <w:t>to detect</w:t>
            </w:r>
            <w:r w:rsidRPr="00747EF6">
              <w:t xml:space="preserve"> fraudulent activity or price manipulation.</w:t>
            </w:r>
          </w:p>
          <w:p w14:paraId="550A630A" w14:textId="77777777" w:rsidR="00E003DB" w:rsidRPr="00747EF6" w:rsidRDefault="00E003DB" w:rsidP="005B0F5C">
            <w:pPr>
              <w:pStyle w:val="Blue-boxbullet"/>
              <w:numPr>
                <w:ilvl w:val="0"/>
                <w:numId w:val="26"/>
              </w:numPr>
              <w:rPr>
                <w:bCs/>
              </w:rPr>
            </w:pPr>
            <w:r>
              <w:t>Both o</w:t>
            </w:r>
            <w:r w:rsidRPr="00747EF6">
              <w:t>ption</w:t>
            </w:r>
            <w:r>
              <w:t>s</w:t>
            </w:r>
            <w:r w:rsidRPr="00747EF6">
              <w:t xml:space="preserve"> two and three would provide price and value of NZU transactions, which would be visible to the </w:t>
            </w:r>
            <w:r>
              <w:t>G</w:t>
            </w:r>
            <w:r w:rsidRPr="00747EF6">
              <w:t xml:space="preserve">overnment. </w:t>
            </w:r>
            <w:r w:rsidRPr="00747EF6">
              <w:rPr>
                <w:bCs/>
              </w:rPr>
              <w:t>Price or value details can improve price discovery for the wider NZU market.</w:t>
            </w:r>
          </w:p>
          <w:p w14:paraId="0A864E9A" w14:textId="4104AACD" w:rsidR="00E003DB" w:rsidRPr="00747EF6" w:rsidRDefault="00E003DB" w:rsidP="005B0F5C">
            <w:pPr>
              <w:pStyle w:val="Blue-boxbullet"/>
              <w:numPr>
                <w:ilvl w:val="0"/>
                <w:numId w:val="26"/>
              </w:numPr>
            </w:pPr>
            <w:r w:rsidRPr="00747EF6">
              <w:t>Option</w:t>
            </w:r>
            <w:r w:rsidR="00317C02">
              <w:t>s</w:t>
            </w:r>
            <w:r w:rsidRPr="00747EF6">
              <w:t xml:space="preserve"> two and three would require OTC trades </w:t>
            </w:r>
            <w:r w:rsidR="00987C1D">
              <w:t xml:space="preserve">to </w:t>
            </w:r>
            <w:r w:rsidRPr="00747EF6">
              <w:t>be submitted manually to the NZETR.</w:t>
            </w:r>
            <w:r w:rsidRPr="00747EF6">
              <w:rPr>
                <w:bCs/>
              </w:rPr>
              <w:t xml:space="preserve"> </w:t>
            </w:r>
          </w:p>
          <w:p w14:paraId="5D8226DC" w14:textId="77777777" w:rsidR="00E003DB" w:rsidRPr="00747EF6" w:rsidRDefault="00E003DB" w:rsidP="005B0F5C">
            <w:pPr>
              <w:pStyle w:val="Blue-boxbullet"/>
              <w:numPr>
                <w:ilvl w:val="0"/>
                <w:numId w:val="26"/>
              </w:numPr>
            </w:pPr>
            <w:r w:rsidRPr="00747EF6">
              <w:t>For all options, the individual and commercially sensitive information collected would remain non-public and subject to the NZ</w:t>
            </w:r>
            <w:r>
              <w:t> </w:t>
            </w:r>
            <w:r w:rsidRPr="00747EF6">
              <w:t>ETS confidentiality obligations on regulators.</w:t>
            </w:r>
            <w:r>
              <w:t xml:space="preserve"> </w:t>
            </w:r>
          </w:p>
          <w:p w14:paraId="6519B99C" w14:textId="77777777" w:rsidR="00E003DB" w:rsidRPr="00747EF6" w:rsidRDefault="00E003DB" w:rsidP="005B0F5C">
            <w:pPr>
              <w:pStyle w:val="Blue-boxbullet"/>
              <w:numPr>
                <w:ilvl w:val="0"/>
                <w:numId w:val="26"/>
              </w:numPr>
            </w:pPr>
            <w:r w:rsidRPr="00747EF6">
              <w:t>Option one does not provide sufficient information to detect misconduct.</w:t>
            </w:r>
          </w:p>
        </w:tc>
      </w:tr>
    </w:tbl>
    <w:p w14:paraId="4047A842" w14:textId="77777777" w:rsidR="00E003DB" w:rsidRPr="00747EF6" w:rsidRDefault="00E003DB" w:rsidP="00E003DB">
      <w:pPr>
        <w:pStyle w:val="Heading2"/>
      </w:pPr>
      <w:bookmarkStart w:id="124" w:name="_Toc118703543"/>
      <w:bookmarkStart w:id="125" w:name="_Toc118953596"/>
      <w:r w:rsidRPr="00747EF6">
        <w:t>Objective</w:t>
      </w:r>
      <w:bookmarkEnd w:id="124"/>
      <w:bookmarkEnd w:id="125"/>
    </w:p>
    <w:p w14:paraId="180EC85E" w14:textId="77777777" w:rsidR="00E003DB" w:rsidRPr="00747EF6" w:rsidRDefault="00E003DB" w:rsidP="00E003DB">
      <w:pPr>
        <w:pStyle w:val="BodyText"/>
        <w:rPr>
          <w:color w:val="222222"/>
        </w:rPr>
      </w:pPr>
      <w:r w:rsidRPr="00747EF6">
        <w:rPr>
          <w:color w:val="222222"/>
        </w:rPr>
        <w:t>The objective of improved transaction reporting is to increase transparency in the market and address information asymmetry currently seen in the NZU market.</w:t>
      </w:r>
    </w:p>
    <w:p w14:paraId="0A297034" w14:textId="77777777" w:rsidR="00E003DB" w:rsidRPr="00747EF6" w:rsidRDefault="00E003DB" w:rsidP="00E003DB">
      <w:pPr>
        <w:pStyle w:val="Heading3"/>
      </w:pPr>
      <w:r w:rsidRPr="00747EF6">
        <w:lastRenderedPageBreak/>
        <w:t>Reducing information asymmetry in the NZU market</w:t>
      </w:r>
    </w:p>
    <w:p w14:paraId="72C23B40" w14:textId="6B194EFB" w:rsidR="00E003DB" w:rsidRPr="00747EF6" w:rsidRDefault="00E003DB" w:rsidP="00E003DB">
      <w:pPr>
        <w:pStyle w:val="BodyText"/>
      </w:pPr>
      <w:r w:rsidRPr="00747EF6">
        <w:t xml:space="preserve">Information </w:t>
      </w:r>
      <w:r w:rsidR="00542122" w:rsidRPr="00747EF6">
        <w:t>asymmetry</w:t>
      </w:r>
      <w:r w:rsidRPr="00747EF6">
        <w:t xml:space="preserve"> occurs when some parties have access to useful market information which, if public, would affect NZU buying and selling decisions.</w:t>
      </w:r>
    </w:p>
    <w:p w14:paraId="20680794" w14:textId="77777777" w:rsidR="00E003DB" w:rsidRPr="00747EF6" w:rsidRDefault="00E003DB" w:rsidP="00E003DB">
      <w:pPr>
        <w:pStyle w:val="BodyText"/>
      </w:pPr>
      <w:r w:rsidRPr="00747EF6">
        <w:t>Information asymmetry is a problem</w:t>
      </w:r>
      <w:r w:rsidRPr="00747EF6" w:rsidDel="00EB6417">
        <w:t xml:space="preserve"> </w:t>
      </w:r>
      <w:r w:rsidRPr="00747EF6">
        <w:t xml:space="preserve">because it can reduce confidence in the NZU market and lead to adverse selection. </w:t>
      </w:r>
    </w:p>
    <w:p w14:paraId="51F78006" w14:textId="77777777" w:rsidR="00E003DB" w:rsidRPr="00747EF6" w:rsidRDefault="00E003DB" w:rsidP="00E003DB">
      <w:pPr>
        <w:pStyle w:val="BodyText"/>
      </w:pPr>
      <w:r w:rsidRPr="00747EF6">
        <w:t>Adverse selection occurs when a buyer or seller (Person A) perceives that the other party (Person B) has more useful market information. To compensate:</w:t>
      </w:r>
    </w:p>
    <w:p w14:paraId="1EF7360E" w14:textId="77777777" w:rsidR="00E003DB" w:rsidRPr="00747EF6" w:rsidRDefault="00E003DB" w:rsidP="00E003DB">
      <w:pPr>
        <w:pStyle w:val="Bullet"/>
        <w:tabs>
          <w:tab w:val="num" w:pos="397"/>
        </w:tabs>
        <w:spacing w:line="280" w:lineRule="exact"/>
      </w:pPr>
      <w:r w:rsidRPr="00747EF6">
        <w:t>an NZU seller may increase the price of their NZUs to offset the risk of uncertainty</w:t>
      </w:r>
    </w:p>
    <w:p w14:paraId="0CE182B1" w14:textId="77777777" w:rsidR="00E003DB" w:rsidRPr="00747EF6" w:rsidRDefault="00E003DB" w:rsidP="00E003DB">
      <w:pPr>
        <w:pStyle w:val="Bullet"/>
        <w:tabs>
          <w:tab w:val="num" w:pos="397"/>
        </w:tabs>
        <w:spacing w:line="280" w:lineRule="exact"/>
      </w:pPr>
      <w:r w:rsidRPr="00747EF6">
        <w:t>an NZU buyer may reduce the price they are willing to pay for NZUs</w:t>
      </w:r>
      <w:r>
        <w:t>,</w:t>
      </w:r>
      <w:r w:rsidRPr="00747EF6">
        <w:t xml:space="preserve"> to offset the risk of uncertainty</w:t>
      </w:r>
    </w:p>
    <w:p w14:paraId="425F7E57" w14:textId="77777777" w:rsidR="00E003DB" w:rsidRPr="00747EF6" w:rsidRDefault="00E003DB" w:rsidP="00E003DB">
      <w:pPr>
        <w:pStyle w:val="Bullet"/>
        <w:tabs>
          <w:tab w:val="num" w:pos="397"/>
        </w:tabs>
        <w:spacing w:line="280" w:lineRule="exact"/>
      </w:pPr>
      <w:r w:rsidRPr="00747EF6">
        <w:t>the incentive to engage in the NZU market is reduced overall, reducing the pool of buyers and sellers.</w:t>
      </w:r>
    </w:p>
    <w:p w14:paraId="647EB8BA" w14:textId="77777777" w:rsidR="00E003DB" w:rsidRPr="00747EF6" w:rsidRDefault="00E003DB" w:rsidP="00E003DB">
      <w:pPr>
        <w:pStyle w:val="BodyText"/>
      </w:pPr>
      <w:r w:rsidRPr="00747EF6">
        <w:t>Ultimately, the price of NZUs is suboptimal because market risk is implicitly incorporated into the price due to market uncertainty. We are seeking ways to improve transparency and confidence in the NZU market.</w:t>
      </w:r>
    </w:p>
    <w:p w14:paraId="6C81B1B3" w14:textId="77777777" w:rsidR="00E003DB" w:rsidRPr="00747EF6" w:rsidRDefault="00E003DB" w:rsidP="00E003DB">
      <w:pPr>
        <w:pStyle w:val="BodyText"/>
      </w:pPr>
      <w:r w:rsidRPr="00747EF6">
        <w:t>There are two viable solutions to</w:t>
      </w:r>
      <w:r>
        <w:t xml:space="preserve"> combat</w:t>
      </w:r>
      <w:r w:rsidRPr="00747EF6">
        <w:t xml:space="preserve"> information asymmetry and adverse selection, including:</w:t>
      </w:r>
    </w:p>
    <w:p w14:paraId="468B2314" w14:textId="77777777" w:rsidR="00E003DB" w:rsidRPr="00747EF6" w:rsidRDefault="00E003DB" w:rsidP="00E003DB">
      <w:pPr>
        <w:pStyle w:val="Bullet"/>
        <w:tabs>
          <w:tab w:val="num" w:pos="397"/>
        </w:tabs>
        <w:spacing w:line="280" w:lineRule="exact"/>
      </w:pPr>
      <w:r w:rsidRPr="00747EF6">
        <w:t>bridg</w:t>
      </w:r>
      <w:r>
        <w:t>ing</w:t>
      </w:r>
      <w:r w:rsidRPr="00747EF6">
        <w:t xml:space="preserve"> the information gap</w:t>
      </w:r>
    </w:p>
    <w:p w14:paraId="62CD8444" w14:textId="77777777" w:rsidR="00E003DB" w:rsidRPr="00747EF6" w:rsidRDefault="00E003DB" w:rsidP="00E003DB">
      <w:pPr>
        <w:pStyle w:val="Bullet"/>
        <w:tabs>
          <w:tab w:val="num" w:pos="397"/>
        </w:tabs>
        <w:spacing w:line="280" w:lineRule="exact"/>
      </w:pPr>
      <w:r w:rsidRPr="00747EF6">
        <w:t>increas</w:t>
      </w:r>
      <w:r>
        <w:t xml:space="preserve">ing </w:t>
      </w:r>
      <w:r w:rsidRPr="00747EF6">
        <w:t>monitoring and oversight to protect market users.</w:t>
      </w:r>
    </w:p>
    <w:p w14:paraId="015801EB" w14:textId="77777777" w:rsidR="00E003DB" w:rsidRPr="00747EF6" w:rsidRDefault="00E003DB" w:rsidP="00E003DB">
      <w:pPr>
        <w:pStyle w:val="Heading2"/>
      </w:pPr>
      <w:bookmarkStart w:id="126" w:name="_What_we_have"/>
      <w:bookmarkStart w:id="127" w:name="_Toc118703544"/>
      <w:bookmarkStart w:id="128" w:name="_Toc118953597"/>
      <w:bookmarkEnd w:id="126"/>
      <w:r w:rsidRPr="00747EF6">
        <w:t>What we have heard so far</w:t>
      </w:r>
      <w:bookmarkEnd w:id="127"/>
      <w:bookmarkEnd w:id="128"/>
    </w:p>
    <w:p w14:paraId="284E465A" w14:textId="77777777" w:rsidR="00E003DB" w:rsidRPr="00747EF6" w:rsidRDefault="00E003DB" w:rsidP="00E003DB">
      <w:pPr>
        <w:pStyle w:val="BodyText"/>
      </w:pPr>
      <w:r w:rsidRPr="00747EF6">
        <w:t>In the 2021 consultation,</w:t>
      </w:r>
      <w:r>
        <w:rPr>
          <w:rStyle w:val="FootnoteReference"/>
        </w:rPr>
        <w:footnoteReference w:id="42"/>
      </w:r>
      <w:r w:rsidRPr="00747EF6">
        <w:t xml:space="preserve"> the </w:t>
      </w:r>
      <w:r>
        <w:t>G</w:t>
      </w:r>
      <w:r w:rsidRPr="00747EF6">
        <w:t>overnment consulted stakeholders on ‘full transaction reporting’</w:t>
      </w:r>
      <w:r>
        <w:t>.</w:t>
      </w:r>
      <w:r w:rsidRPr="00747EF6">
        <w:rPr>
          <w:rStyle w:val="FootnoteReference"/>
        </w:rPr>
        <w:footnoteReference w:id="43"/>
      </w:r>
      <w:r w:rsidRPr="00747EF6">
        <w:t xml:space="preserve"> </w:t>
      </w:r>
    </w:p>
    <w:p w14:paraId="5DEDA417" w14:textId="74559055" w:rsidR="00E003DB" w:rsidRPr="00747EF6" w:rsidRDefault="000A12E9" w:rsidP="00E003DB">
      <w:pPr>
        <w:pStyle w:val="BodyText"/>
      </w:pPr>
      <w:r>
        <w:t>There was</w:t>
      </w:r>
      <w:r w:rsidR="00E003DB" w:rsidRPr="00747EF6">
        <w:t xml:space="preserve"> a mixed response</w:t>
      </w:r>
      <w:r>
        <w:t xml:space="preserve"> from </w:t>
      </w:r>
      <w:proofErr w:type="gramStart"/>
      <w:r>
        <w:t>stakeholders</w:t>
      </w:r>
      <w:proofErr w:type="gramEnd"/>
      <w:r w:rsidR="00E003DB" w:rsidRPr="00747EF6">
        <w:t xml:space="preserve"> </w:t>
      </w:r>
      <w:r w:rsidR="00E003DB">
        <w:t xml:space="preserve">and </w:t>
      </w:r>
      <w:r w:rsidR="00E003DB" w:rsidRPr="00747EF6">
        <w:t xml:space="preserve">many did not support full transaction reporting. Other stakeholders stated they were comfortable with transaction reporting on a confidential basis. These stakeholders generally agreed this information could assist a regulator in preventing market manipulation and fraud. </w:t>
      </w:r>
    </w:p>
    <w:p w14:paraId="00BCF0F2" w14:textId="77777777" w:rsidR="00E003DB" w:rsidRPr="00747EF6" w:rsidRDefault="00E003DB" w:rsidP="00E003DB">
      <w:pPr>
        <w:pStyle w:val="Heading2"/>
      </w:pPr>
      <w:bookmarkStart w:id="129" w:name="_Toc118703545"/>
      <w:bookmarkStart w:id="130" w:name="_Toc118953598"/>
      <w:r w:rsidRPr="00747EF6">
        <w:t>Options considered</w:t>
      </w:r>
      <w:bookmarkEnd w:id="129"/>
      <w:bookmarkEnd w:id="130"/>
    </w:p>
    <w:p w14:paraId="6B7422F7" w14:textId="77777777" w:rsidR="00E003DB" w:rsidRPr="00747EF6" w:rsidRDefault="00E003DB" w:rsidP="00E003DB">
      <w:pPr>
        <w:pStyle w:val="Heading3"/>
      </w:pPr>
      <w:r w:rsidRPr="00747EF6">
        <w:t xml:space="preserve">Option one: </w:t>
      </w:r>
      <w:r>
        <w:t>C</w:t>
      </w:r>
      <w:r w:rsidRPr="00747EF6">
        <w:t>urrent reporting obligations (</w:t>
      </w:r>
      <w:r>
        <w:t>s</w:t>
      </w:r>
      <w:r w:rsidRPr="00747EF6">
        <w:t xml:space="preserve">tatus </w:t>
      </w:r>
      <w:r>
        <w:t>q</w:t>
      </w:r>
      <w:r w:rsidRPr="00747EF6">
        <w:t>uo)</w:t>
      </w:r>
    </w:p>
    <w:p w14:paraId="616E60A1" w14:textId="77777777" w:rsidR="00E003DB" w:rsidRPr="00747EF6" w:rsidRDefault="00E003DB" w:rsidP="00E003DB">
      <w:pPr>
        <w:pStyle w:val="BodyText"/>
      </w:pPr>
      <w:r w:rsidRPr="00747EF6">
        <w:t>NZU market user</w:t>
      </w:r>
      <w:r>
        <w:t>s</w:t>
      </w:r>
      <w:r w:rsidRPr="00747EF6">
        <w:t xml:space="preserve"> in the NZ</w:t>
      </w:r>
      <w:r>
        <w:t> </w:t>
      </w:r>
      <w:r w:rsidRPr="00747EF6">
        <w:t xml:space="preserve">ETS already collect and record information on </w:t>
      </w:r>
      <w:r>
        <w:t>their</w:t>
      </w:r>
      <w:r w:rsidRPr="00747EF6">
        <w:t xml:space="preserve"> activities (either </w:t>
      </w:r>
      <w:r>
        <w:t xml:space="preserve">on </w:t>
      </w:r>
      <w:r w:rsidRPr="00747EF6">
        <w:t xml:space="preserve">emissions or on the carbon dioxide equivalent removals </w:t>
      </w:r>
      <w:r>
        <w:t>their</w:t>
      </w:r>
      <w:r w:rsidRPr="00747EF6">
        <w:t xml:space="preserve"> activities negate) and provide it to the EPA </w:t>
      </w:r>
      <w:r>
        <w:t>(</w:t>
      </w:r>
      <w:r w:rsidRPr="00747EF6">
        <w:t>or the Ministry for Primary Industries</w:t>
      </w:r>
      <w:r>
        <w:t>,</w:t>
      </w:r>
      <w:r w:rsidRPr="00747EF6">
        <w:t xml:space="preserve"> in the case of forestry activities).</w:t>
      </w:r>
    </w:p>
    <w:p w14:paraId="627DF274" w14:textId="77777777" w:rsidR="00E003DB" w:rsidRPr="00747EF6" w:rsidRDefault="00E003DB" w:rsidP="00E003DB">
      <w:pPr>
        <w:pStyle w:val="BodyText"/>
      </w:pPr>
      <w:r w:rsidRPr="00747EF6">
        <w:t xml:space="preserve">Currently, </w:t>
      </w:r>
      <w:r>
        <w:t xml:space="preserve">participants </w:t>
      </w:r>
      <w:r w:rsidRPr="00747EF6">
        <w:t>in the NZ</w:t>
      </w:r>
      <w:r>
        <w:t> </w:t>
      </w:r>
      <w:r w:rsidRPr="00747EF6">
        <w:t>ETS are required to:</w:t>
      </w:r>
    </w:p>
    <w:p w14:paraId="14CB308C" w14:textId="77777777" w:rsidR="00E003DB" w:rsidRPr="00747EF6" w:rsidRDefault="00E003DB" w:rsidP="00E003DB">
      <w:pPr>
        <w:pStyle w:val="Bullet"/>
        <w:tabs>
          <w:tab w:val="num" w:pos="397"/>
        </w:tabs>
        <w:spacing w:line="280" w:lineRule="exact"/>
      </w:pPr>
      <w:r w:rsidRPr="00747EF6">
        <w:lastRenderedPageBreak/>
        <w:t>apply to open a holding account in the NZETR</w:t>
      </w:r>
    </w:p>
    <w:p w14:paraId="52122D9F" w14:textId="77777777" w:rsidR="00E003DB" w:rsidRPr="00747EF6" w:rsidRDefault="00E003DB" w:rsidP="00E003DB">
      <w:pPr>
        <w:pStyle w:val="Bullet"/>
        <w:tabs>
          <w:tab w:val="num" w:pos="397"/>
        </w:tabs>
        <w:spacing w:line="280" w:lineRule="exact"/>
      </w:pPr>
      <w:r w:rsidRPr="00747EF6">
        <w:t>register as a participant</w:t>
      </w:r>
    </w:p>
    <w:p w14:paraId="1E6D0089" w14:textId="77777777" w:rsidR="00E003DB" w:rsidRPr="00747EF6" w:rsidRDefault="00E003DB" w:rsidP="00E003DB">
      <w:pPr>
        <w:pStyle w:val="Bullet"/>
        <w:tabs>
          <w:tab w:val="num" w:pos="397"/>
        </w:tabs>
        <w:spacing w:line="280" w:lineRule="exact"/>
      </w:pPr>
      <w:r w:rsidRPr="00747EF6">
        <w:t>file an emissions return</w:t>
      </w:r>
    </w:p>
    <w:p w14:paraId="56BA3E17" w14:textId="77777777" w:rsidR="00E003DB" w:rsidRPr="00747EF6" w:rsidRDefault="00E003DB" w:rsidP="00E003DB">
      <w:pPr>
        <w:pStyle w:val="Bullet"/>
        <w:tabs>
          <w:tab w:val="num" w:pos="397"/>
        </w:tabs>
        <w:spacing w:line="280" w:lineRule="exact"/>
      </w:pPr>
      <w:r>
        <w:t>i</w:t>
      </w:r>
      <w:r w:rsidRPr="00747EF6">
        <w:t>f necessary, surrender, repay, or receive units.</w:t>
      </w:r>
    </w:p>
    <w:p w14:paraId="41ECECA5" w14:textId="77777777" w:rsidR="00E003DB" w:rsidRPr="00747EF6" w:rsidRDefault="00E003DB" w:rsidP="00E003DB">
      <w:pPr>
        <w:jc w:val="left"/>
      </w:pPr>
      <w:r w:rsidRPr="00747EF6">
        <w:t>The NZETR records and tracks all emission units used in the NZ</w:t>
      </w:r>
      <w:r>
        <w:t> </w:t>
      </w:r>
      <w:r w:rsidRPr="00747EF6">
        <w:t>ETS. As such, it holds a great deal of data that is useful for the NZU market. At present, the NZETR collects the following information for transactions:</w:t>
      </w:r>
    </w:p>
    <w:p w14:paraId="393F4C2F" w14:textId="77777777" w:rsidR="00E003DB" w:rsidRPr="00747EF6" w:rsidRDefault="00E003DB" w:rsidP="00E003DB">
      <w:pPr>
        <w:pStyle w:val="Bullet"/>
        <w:tabs>
          <w:tab w:val="num" w:pos="397"/>
        </w:tabs>
        <w:spacing w:line="280" w:lineRule="exact"/>
      </w:pPr>
      <w:r w:rsidRPr="00747EF6">
        <w:t>the parties involved in the trade</w:t>
      </w:r>
    </w:p>
    <w:p w14:paraId="4C5A8389" w14:textId="77777777" w:rsidR="00E003DB" w:rsidRPr="00747EF6" w:rsidRDefault="00E003DB" w:rsidP="00E003DB">
      <w:pPr>
        <w:pStyle w:val="Bullet"/>
        <w:tabs>
          <w:tab w:val="num" w:pos="397"/>
        </w:tabs>
        <w:spacing w:line="280" w:lineRule="exact"/>
      </w:pPr>
      <w:r w:rsidRPr="00747EF6">
        <w:t>the number of units in the trade</w:t>
      </w:r>
    </w:p>
    <w:p w14:paraId="4774FE27" w14:textId="77777777" w:rsidR="00E003DB" w:rsidRPr="00747EF6" w:rsidRDefault="00E003DB" w:rsidP="00E003DB">
      <w:pPr>
        <w:pStyle w:val="Bullet"/>
        <w:tabs>
          <w:tab w:val="num" w:pos="397"/>
        </w:tabs>
        <w:spacing w:line="280" w:lineRule="exact"/>
      </w:pPr>
      <w:r w:rsidRPr="00747EF6">
        <w:t>the time and date of transaction</w:t>
      </w:r>
    </w:p>
    <w:p w14:paraId="6E4700C5" w14:textId="77777777" w:rsidR="00E003DB" w:rsidRPr="00747EF6" w:rsidRDefault="00E003DB" w:rsidP="00E003DB">
      <w:pPr>
        <w:pStyle w:val="Bullet"/>
        <w:tabs>
          <w:tab w:val="num" w:pos="397"/>
        </w:tabs>
        <w:spacing w:line="280" w:lineRule="exact"/>
      </w:pPr>
      <w:r w:rsidRPr="00747EF6">
        <w:t>who set up the transaction, who authorised it, and how they got their transaction authori</w:t>
      </w:r>
      <w:r>
        <w:t>s</w:t>
      </w:r>
      <w:r w:rsidRPr="00747EF6">
        <w:t>ation code.</w:t>
      </w:r>
    </w:p>
    <w:p w14:paraId="34F58745" w14:textId="77777777" w:rsidR="00E003DB" w:rsidRPr="00747EF6" w:rsidRDefault="00E003DB" w:rsidP="00E003DB">
      <w:pPr>
        <w:pStyle w:val="Heading3"/>
      </w:pPr>
      <w:r w:rsidRPr="00747EF6">
        <w:t xml:space="preserve">Option two: </w:t>
      </w:r>
      <w:r>
        <w:t>Improved transaction</w:t>
      </w:r>
      <w:r w:rsidRPr="00747EF6">
        <w:t xml:space="preserve"> reporting</w:t>
      </w:r>
    </w:p>
    <w:p w14:paraId="4A5325BA" w14:textId="77777777" w:rsidR="00E003DB" w:rsidRPr="00747EF6" w:rsidRDefault="00E003DB" w:rsidP="00E003DB">
      <w:pPr>
        <w:pStyle w:val="BodyText"/>
        <w:rPr>
          <w:color w:val="222222"/>
        </w:rPr>
      </w:pPr>
      <w:r w:rsidRPr="00747EF6">
        <w:rPr>
          <w:color w:val="222222"/>
        </w:rPr>
        <w:t>Improved transaction reporting would require the following additional fields to be recorded and tracked in the NZETR for all NZU trades:</w:t>
      </w:r>
    </w:p>
    <w:p w14:paraId="72DB2B3B" w14:textId="77777777" w:rsidR="00E003DB" w:rsidRPr="00747EF6" w:rsidRDefault="00E003DB" w:rsidP="00E003DB">
      <w:pPr>
        <w:pStyle w:val="Bullet"/>
        <w:tabs>
          <w:tab w:val="num" w:pos="397"/>
        </w:tabs>
        <w:spacing w:line="280" w:lineRule="exact"/>
      </w:pPr>
      <w:r>
        <w:t xml:space="preserve">the </w:t>
      </w:r>
      <w:r w:rsidRPr="00747EF6">
        <w:t>price of NZUs or total value of the transaction</w:t>
      </w:r>
    </w:p>
    <w:p w14:paraId="5D166E64" w14:textId="77777777" w:rsidR="00E003DB" w:rsidRPr="00747EF6" w:rsidRDefault="00E003DB" w:rsidP="00E003DB">
      <w:pPr>
        <w:pStyle w:val="Bullet"/>
        <w:tabs>
          <w:tab w:val="num" w:pos="397"/>
        </w:tabs>
        <w:spacing w:line="280" w:lineRule="exact"/>
        <w:rPr>
          <w:bCs/>
        </w:rPr>
      </w:pPr>
      <w:r w:rsidRPr="00747EF6">
        <w:rPr>
          <w:bCs/>
        </w:rPr>
        <w:t xml:space="preserve">whether the trade is with someone else or between </w:t>
      </w:r>
      <w:r>
        <w:rPr>
          <w:bCs/>
        </w:rPr>
        <w:t>the transactor’s</w:t>
      </w:r>
      <w:r w:rsidRPr="00747EF6">
        <w:rPr>
          <w:bCs/>
        </w:rPr>
        <w:t xml:space="preserve"> own accounts</w:t>
      </w:r>
    </w:p>
    <w:p w14:paraId="4095EB30" w14:textId="77777777" w:rsidR="00E003DB" w:rsidRPr="00747EF6" w:rsidRDefault="00E003DB" w:rsidP="00E003DB">
      <w:pPr>
        <w:pStyle w:val="Bullet"/>
        <w:tabs>
          <w:tab w:val="num" w:pos="397"/>
        </w:tabs>
        <w:spacing w:line="280" w:lineRule="exact"/>
      </w:pPr>
      <w:r>
        <w:rPr>
          <w:szCs w:val="22"/>
        </w:rPr>
        <w:t xml:space="preserve">the </w:t>
      </w:r>
      <w:r w:rsidRPr="00747EF6">
        <w:rPr>
          <w:szCs w:val="22"/>
        </w:rPr>
        <w:t>transactor’s primary reason for holding an account.</w:t>
      </w:r>
    </w:p>
    <w:p w14:paraId="526C69C0" w14:textId="77777777" w:rsidR="00E003DB" w:rsidRPr="00747EF6" w:rsidRDefault="00E003DB" w:rsidP="00E003DB">
      <w:pPr>
        <w:pStyle w:val="BodyText"/>
      </w:pPr>
      <w:r w:rsidRPr="00747EF6">
        <w:t>We propose that improved transaction reporting would apply to all NZU trades</w:t>
      </w:r>
      <w:r>
        <w:t>,</w:t>
      </w:r>
      <w:r w:rsidRPr="00747EF6">
        <w:t xml:space="preserve"> to increase transparency. Collecting this additional transaction information </w:t>
      </w:r>
      <w:r>
        <w:t>would provide</w:t>
      </w:r>
      <w:r w:rsidRPr="00747EF6">
        <w:t xml:space="preserve"> greater access to useful data. </w:t>
      </w:r>
    </w:p>
    <w:p w14:paraId="2421D85F" w14:textId="10C8C2E6" w:rsidR="00E003DB" w:rsidRPr="00747EF6" w:rsidRDefault="00E003DB" w:rsidP="00E003DB">
      <w:pPr>
        <w:pStyle w:val="Heading3"/>
      </w:pPr>
      <w:r w:rsidRPr="00747EF6">
        <w:t xml:space="preserve">Option </w:t>
      </w:r>
      <w:r w:rsidR="00710D21">
        <w:t>t</w:t>
      </w:r>
      <w:r w:rsidRPr="00747EF6">
        <w:t xml:space="preserve">hree: </w:t>
      </w:r>
      <w:r>
        <w:t>F</w:t>
      </w:r>
      <w:r w:rsidRPr="00747EF6">
        <w:t>ull transaction reporting</w:t>
      </w:r>
    </w:p>
    <w:p w14:paraId="41768463" w14:textId="77777777" w:rsidR="00E003DB" w:rsidRPr="00747EF6" w:rsidRDefault="00E003DB" w:rsidP="00E003DB">
      <w:pPr>
        <w:pStyle w:val="BodyText"/>
      </w:pPr>
      <w:r w:rsidRPr="00747EF6">
        <w:t xml:space="preserve">In 2021, the </w:t>
      </w:r>
      <w:r>
        <w:t>G</w:t>
      </w:r>
      <w:r w:rsidRPr="00747EF6">
        <w:t>overnment consulted on a proposal to introduce full transaction reporting for NZU transactions</w:t>
      </w:r>
      <w:r>
        <w:t xml:space="preserve">, as mentioned </w:t>
      </w:r>
      <w:hyperlink w:anchor="_What_we_have" w:history="1">
        <w:r w:rsidRPr="00710F73">
          <w:rPr>
            <w:rStyle w:val="Hyperlink"/>
          </w:rPr>
          <w:t>above</w:t>
        </w:r>
      </w:hyperlink>
      <w:r w:rsidRPr="00747EF6">
        <w:t>.</w:t>
      </w:r>
    </w:p>
    <w:p w14:paraId="7AC19590" w14:textId="77777777" w:rsidR="00E003DB" w:rsidRPr="00747EF6" w:rsidRDefault="00E003DB" w:rsidP="00E003DB">
      <w:pPr>
        <w:pStyle w:val="BodyText"/>
      </w:pPr>
      <w:r w:rsidRPr="00747EF6">
        <w:t xml:space="preserve">This option proposed replicating many prescribed wire transaction reporting obligations in </w:t>
      </w:r>
      <w:r>
        <w:t>the AML/CFT Regulations</w:t>
      </w:r>
      <w:r w:rsidRPr="00747EF6">
        <w:t>,</w:t>
      </w:r>
      <w:r w:rsidRPr="00747EF6">
        <w:rPr>
          <w:rStyle w:val="FootnoteReference"/>
        </w:rPr>
        <w:footnoteReference w:id="44"/>
      </w:r>
      <w:r w:rsidRPr="00747EF6">
        <w:t xml:space="preserve"> including:</w:t>
      </w:r>
    </w:p>
    <w:p w14:paraId="6F93C014" w14:textId="77777777" w:rsidR="00E003DB" w:rsidRPr="00747EF6" w:rsidRDefault="00E003DB" w:rsidP="00E003DB">
      <w:pPr>
        <w:pStyle w:val="Bullet"/>
        <w:tabs>
          <w:tab w:val="num" w:pos="397"/>
        </w:tabs>
        <w:spacing w:line="280" w:lineRule="exact"/>
      </w:pPr>
      <w:r w:rsidRPr="00747EF6">
        <w:t>transaction details</w:t>
      </w:r>
    </w:p>
    <w:p w14:paraId="123CA865" w14:textId="77777777" w:rsidR="00E003DB" w:rsidRPr="00747EF6" w:rsidRDefault="00E003DB" w:rsidP="00E003DB">
      <w:pPr>
        <w:pStyle w:val="Bullet"/>
        <w:tabs>
          <w:tab w:val="num" w:pos="397"/>
        </w:tabs>
        <w:spacing w:line="280" w:lineRule="exact"/>
      </w:pPr>
      <w:r w:rsidRPr="00747EF6">
        <w:t>transaction details in relation to the originator or beneficiary</w:t>
      </w:r>
    </w:p>
    <w:p w14:paraId="3C14D82C" w14:textId="77777777" w:rsidR="00E003DB" w:rsidRPr="00747EF6" w:rsidRDefault="00E003DB" w:rsidP="00E003DB">
      <w:pPr>
        <w:pStyle w:val="Bullet"/>
        <w:tabs>
          <w:tab w:val="num" w:pos="397"/>
        </w:tabs>
        <w:spacing w:line="280" w:lineRule="exact"/>
      </w:pPr>
      <w:r w:rsidRPr="00747EF6">
        <w:t>customer details.</w:t>
      </w:r>
    </w:p>
    <w:p w14:paraId="06B5F3A5" w14:textId="77777777" w:rsidR="00E003DB" w:rsidRPr="00747EF6" w:rsidRDefault="00E003DB" w:rsidP="00E003DB">
      <w:pPr>
        <w:pStyle w:val="BodyText"/>
      </w:pPr>
      <w:r w:rsidRPr="00747EF6">
        <w:t xml:space="preserve">The proposed option aligns with the objective for </w:t>
      </w:r>
      <w:r>
        <w:t>t</w:t>
      </w:r>
      <w:r w:rsidRPr="00747EF6">
        <w:t>opic 3</w:t>
      </w:r>
      <w:r>
        <w:t>,</w:t>
      </w:r>
      <w:r w:rsidRPr="00747EF6">
        <w:t xml:space="preserve"> in that it satisfies the criteria much better than the status quo for integrity and market efficiency, and better for clarity and transparency. </w:t>
      </w:r>
    </w:p>
    <w:p w14:paraId="0D50A463" w14:textId="77777777" w:rsidR="00E003DB" w:rsidRPr="00747EF6" w:rsidRDefault="00E003DB" w:rsidP="00E003DB">
      <w:pPr>
        <w:pStyle w:val="BodyText"/>
      </w:pPr>
      <w:r>
        <w:t xml:space="preserve">However, </w:t>
      </w:r>
      <w:r w:rsidRPr="00747EF6">
        <w:t xml:space="preserve">stakeholder feedback did not favour full transaction detail reports. </w:t>
      </w:r>
    </w:p>
    <w:p w14:paraId="69BF1A37" w14:textId="77777777" w:rsidR="00E003DB" w:rsidRPr="00747EF6" w:rsidRDefault="00E003DB" w:rsidP="00E003DB">
      <w:pPr>
        <w:pStyle w:val="Heading2"/>
      </w:pPr>
      <w:bookmarkStart w:id="131" w:name="_Toc118703546"/>
      <w:bookmarkStart w:id="132" w:name="_Toc118953599"/>
      <w:r w:rsidRPr="00747EF6">
        <w:lastRenderedPageBreak/>
        <w:t xml:space="preserve">Options </w:t>
      </w:r>
      <w:bookmarkEnd w:id="131"/>
      <w:r>
        <w:t>a</w:t>
      </w:r>
      <w:r w:rsidRPr="00747EF6">
        <w:t>nalysis</w:t>
      </w:r>
      <w:bookmarkEnd w:id="132"/>
    </w:p>
    <w:p w14:paraId="635DAF48" w14:textId="77777777" w:rsidR="00E003DB" w:rsidRPr="00747EF6" w:rsidRDefault="008A6D82" w:rsidP="00E003DB">
      <w:pPr>
        <w:pStyle w:val="BodyText"/>
      </w:pPr>
      <w:hyperlink w:anchor="_Appendix_D:_Topic" w:history="1">
        <w:r w:rsidR="00E003DB" w:rsidRPr="00F23F68">
          <w:rPr>
            <w:rStyle w:val="Hyperlink"/>
          </w:rPr>
          <w:t>Appendix D</w:t>
        </w:r>
      </w:hyperlink>
      <w:r w:rsidR="00E003DB">
        <w:t xml:space="preserve"> </w:t>
      </w:r>
      <w:r w:rsidR="00E003DB" w:rsidRPr="00747EF6">
        <w:t xml:space="preserve">of this discussion document provides the </w:t>
      </w:r>
      <w:r w:rsidR="00E003DB">
        <w:t>option</w:t>
      </w:r>
      <w:r w:rsidR="00E003DB" w:rsidRPr="00747EF6">
        <w:t xml:space="preserve"> and risk analys</w:t>
      </w:r>
      <w:r w:rsidR="00E003DB">
        <w:t>i</w:t>
      </w:r>
      <w:r w:rsidR="00E003DB" w:rsidRPr="00747EF6">
        <w:t xml:space="preserve">s tables for </w:t>
      </w:r>
      <w:r w:rsidR="00E003DB">
        <w:t>t</w:t>
      </w:r>
      <w:r w:rsidR="00E003DB" w:rsidRPr="00747EF6">
        <w:t xml:space="preserve">opic </w:t>
      </w:r>
      <w:r w:rsidR="00E003DB">
        <w:t>3</w:t>
      </w:r>
      <w:r w:rsidR="00E003DB" w:rsidRPr="00747EF6">
        <w:t>.</w:t>
      </w:r>
    </w:p>
    <w:p w14:paraId="1C1A4E4D" w14:textId="77777777" w:rsidR="00E003DB" w:rsidRPr="00747EF6" w:rsidRDefault="00E003DB" w:rsidP="00E003DB">
      <w:pPr>
        <w:pStyle w:val="BodyText"/>
      </w:pPr>
      <w:r w:rsidRPr="00747EF6">
        <w:t xml:space="preserve">Option one, the status quo, does not meet the criteria, nor does it improve the risk of potential lack of transparency in the NZU market. Option one is insufficient </w:t>
      </w:r>
      <w:r>
        <w:t>to mitigate</w:t>
      </w:r>
      <w:r w:rsidRPr="00747EF6">
        <w:t xml:space="preserve"> market risks</w:t>
      </w:r>
      <w:r>
        <w:t>,</w:t>
      </w:r>
      <w:r w:rsidRPr="00747EF6">
        <w:t xml:space="preserve"> as the current transaction reporting does not supply the </w:t>
      </w:r>
      <w:r>
        <w:t>G</w:t>
      </w:r>
      <w:r w:rsidRPr="00747EF6">
        <w:t xml:space="preserve">overnment with sufficient information to have oversight and transparency of the market. </w:t>
      </w:r>
    </w:p>
    <w:p w14:paraId="383A9E17" w14:textId="118F10E8" w:rsidR="00E003DB" w:rsidRPr="00747EF6" w:rsidRDefault="00E003DB" w:rsidP="00E003DB">
      <w:pPr>
        <w:pStyle w:val="BodyText"/>
      </w:pPr>
      <w:r w:rsidRPr="00747EF6">
        <w:t xml:space="preserve">Option two, improved transaction reporting, provides the </w:t>
      </w:r>
      <w:r>
        <w:t>G</w:t>
      </w:r>
      <w:r w:rsidRPr="00747EF6">
        <w:t>overnment with additional information to detect misconduct</w:t>
      </w:r>
      <w:r>
        <w:t>,</w:t>
      </w:r>
      <w:r w:rsidRPr="00747EF6">
        <w:t xml:space="preserve"> which increases </w:t>
      </w:r>
      <w:r w:rsidR="00754D66">
        <w:t xml:space="preserve">the </w:t>
      </w:r>
      <w:r w:rsidRPr="00747EF6">
        <w:t>integrity of the NZU market. The collection of this information fills gaps</w:t>
      </w:r>
      <w:r>
        <w:t>,</w:t>
      </w:r>
      <w:r w:rsidRPr="00747EF6">
        <w:t xml:space="preserve"> which is a proportional response to the risks when compared to the proposals in option three. The market information can support the regulator </w:t>
      </w:r>
      <w:r w:rsidR="00654E43">
        <w:t>to detect</w:t>
      </w:r>
      <w:r w:rsidRPr="00747EF6">
        <w:t xml:space="preserve"> misconduct</w:t>
      </w:r>
      <w:r>
        <w:t>,</w:t>
      </w:r>
      <w:r w:rsidRPr="00747EF6">
        <w:t xml:space="preserve"> and improve price discovery, both of which increase market efficiency. </w:t>
      </w:r>
    </w:p>
    <w:p w14:paraId="3BCFA216" w14:textId="77777777" w:rsidR="00E003DB" w:rsidRPr="00747EF6" w:rsidRDefault="00E003DB" w:rsidP="00E003DB">
      <w:pPr>
        <w:pStyle w:val="BodyText"/>
      </w:pPr>
      <w:r w:rsidRPr="00747EF6">
        <w:t xml:space="preserve">Improved transaction reporting provides key information relating to OTC trades </w:t>
      </w:r>
      <w:r>
        <w:t>that contribute</w:t>
      </w:r>
      <w:r w:rsidRPr="00747EF6">
        <w:t xml:space="preserve"> to the risk of potential lack of transparency in the market.</w:t>
      </w:r>
    </w:p>
    <w:p w14:paraId="2789F5A5" w14:textId="77777777" w:rsidR="00E003DB" w:rsidRPr="00747EF6" w:rsidRDefault="00E003DB" w:rsidP="00E003DB">
      <w:pPr>
        <w:pStyle w:val="BodyText"/>
      </w:pPr>
      <w:r w:rsidRPr="00747EF6">
        <w:t>Option three, full transaction reporting</w:t>
      </w:r>
      <w:r>
        <w:t>,</w:t>
      </w:r>
      <w:r w:rsidRPr="00747EF6">
        <w:t xml:space="preserve"> is administratively complex compared to the status quo and is not aligned with other financial market reporting. However, it does provide high integrity and market efficiency</w:t>
      </w:r>
      <w:r>
        <w:t>, albeit</w:t>
      </w:r>
      <w:r w:rsidRPr="00747EF6">
        <w:t xml:space="preserve"> at an administrative cost to market users. </w:t>
      </w:r>
    </w:p>
    <w:p w14:paraId="72A171A3" w14:textId="77777777" w:rsidR="00E003DB" w:rsidRPr="00747EF6" w:rsidRDefault="00E003DB" w:rsidP="00E003DB">
      <w:pPr>
        <w:pStyle w:val="BodyText"/>
      </w:pPr>
      <w:r w:rsidRPr="00747EF6">
        <w:t>Full transaction reporting provides a complete, detailed oversight of OTC trades occurring in the NZU market</w:t>
      </w:r>
      <w:r>
        <w:t>,</w:t>
      </w:r>
      <w:r w:rsidRPr="00747EF6">
        <w:t xml:space="preserve"> which greatly improves the risk of potential lack of transparency in the market.</w:t>
      </w:r>
    </w:p>
    <w:p w14:paraId="36916AFC" w14:textId="77777777" w:rsidR="00E003DB" w:rsidRPr="00747EF6" w:rsidRDefault="00E003DB" w:rsidP="00E003DB">
      <w:pPr>
        <w:pStyle w:val="Heading2"/>
      </w:pPr>
      <w:bookmarkStart w:id="133" w:name="_Toc118703547"/>
      <w:bookmarkStart w:id="134" w:name="_Toc118953600"/>
      <w:r>
        <w:t xml:space="preserve">Option two is preferred at this stage: </w:t>
      </w:r>
      <w:r w:rsidRPr="00747EF6">
        <w:t xml:space="preserve">Improved </w:t>
      </w:r>
      <w:r>
        <w:t>t</w:t>
      </w:r>
      <w:r w:rsidRPr="00747EF6">
        <w:t>ransaction reporting</w:t>
      </w:r>
      <w:bookmarkEnd w:id="133"/>
      <w:bookmarkEnd w:id="134"/>
    </w:p>
    <w:p w14:paraId="03C20743" w14:textId="77777777" w:rsidR="00E003DB" w:rsidRPr="00747EF6" w:rsidRDefault="00E003DB" w:rsidP="00E003DB">
      <w:pPr>
        <w:pStyle w:val="BodyText"/>
      </w:pPr>
      <w:r>
        <w:t>We currently consider t</w:t>
      </w:r>
      <w:r w:rsidRPr="00747EF6">
        <w:t xml:space="preserve">he proposed option aligns with objective for </w:t>
      </w:r>
      <w:r>
        <w:t>t</w:t>
      </w:r>
      <w:r w:rsidRPr="00747EF6">
        <w:t>opic 3</w:t>
      </w:r>
      <w:r>
        <w:t>,</w:t>
      </w:r>
      <w:r w:rsidRPr="00747EF6">
        <w:t xml:space="preserve"> in that it satisfies the criteria much better than the status quo for integrity and market efficiency</w:t>
      </w:r>
      <w:r>
        <w:t>. It also</w:t>
      </w:r>
      <w:r w:rsidRPr="00747EF6" w:rsidDel="0061639F">
        <w:t xml:space="preserve"> </w:t>
      </w:r>
      <w:r>
        <w:t xml:space="preserve">satisfies the criteria </w:t>
      </w:r>
      <w:r w:rsidRPr="00747EF6">
        <w:t xml:space="preserve">better </w:t>
      </w:r>
      <w:r>
        <w:t xml:space="preserve">than the status quo </w:t>
      </w:r>
      <w:r w:rsidRPr="00747EF6">
        <w:t xml:space="preserve">for consistency and proportionality and clarity and transparency. </w:t>
      </w:r>
    </w:p>
    <w:p w14:paraId="459D5448" w14:textId="77777777" w:rsidR="00E003DB" w:rsidRPr="00747EF6" w:rsidRDefault="00E003DB" w:rsidP="00E003DB">
      <w:pPr>
        <w:pStyle w:val="Heading2"/>
      </w:pPr>
      <w:bookmarkStart w:id="135" w:name="_Toc116391427"/>
      <w:bookmarkStart w:id="136" w:name="_Toc118703548"/>
      <w:bookmarkStart w:id="137" w:name="_Toc118953601"/>
      <w:r w:rsidRPr="00747EF6">
        <w:t>What this proposal means in practice</w:t>
      </w:r>
      <w:bookmarkEnd w:id="135"/>
      <w:bookmarkEnd w:id="136"/>
      <w:bookmarkEnd w:id="137"/>
    </w:p>
    <w:p w14:paraId="3FB717D0" w14:textId="77777777" w:rsidR="00E003DB" w:rsidRPr="00747EF6" w:rsidRDefault="00E003DB" w:rsidP="00E003DB">
      <w:pPr>
        <w:pStyle w:val="BodyText"/>
      </w:pPr>
      <w:r w:rsidRPr="00747EF6">
        <w:t xml:space="preserve">Improved transaction reporting would require manually reporting the additional three fields when completing an NZU transaction </w:t>
      </w:r>
      <w:r>
        <w:t>over the counter</w:t>
      </w:r>
      <w:r w:rsidRPr="00747EF6">
        <w:t xml:space="preserve">. This will involve completing three additional fields when completing a transaction report via the NZETR. </w:t>
      </w:r>
    </w:p>
    <w:p w14:paraId="6E194F3E" w14:textId="388849DB" w:rsidR="00E003DB" w:rsidRPr="00747EF6" w:rsidRDefault="00E003DB" w:rsidP="00E003DB">
      <w:pPr>
        <w:pStyle w:val="BodyText"/>
      </w:pPr>
      <w:r w:rsidRPr="00747EF6">
        <w:t xml:space="preserve">Alternatively, trading NZUs through the optional centralised exchange would automatically report the NZUs or value of the transaction, </w:t>
      </w:r>
      <w:proofErr w:type="gramStart"/>
      <w:r w:rsidRPr="00747EF6">
        <w:t>volume</w:t>
      </w:r>
      <w:proofErr w:type="gramEnd"/>
      <w:r w:rsidRPr="00747EF6">
        <w:t xml:space="preserve"> and unit type on behalf of the buyers and sellers.</w:t>
      </w:r>
    </w:p>
    <w:p w14:paraId="5C01DEB4" w14:textId="5F862B87" w:rsidR="00E003DB" w:rsidRPr="00747EF6" w:rsidRDefault="00E003DB" w:rsidP="00E003DB">
      <w:pPr>
        <w:pStyle w:val="BodyText"/>
        <w:rPr>
          <w:color w:val="222222"/>
        </w:rPr>
      </w:pPr>
      <w:r w:rsidRPr="00747EF6">
        <w:rPr>
          <w:color w:val="222222"/>
        </w:rPr>
        <w:t>The rationale for collecting more transaction information is as follows</w:t>
      </w:r>
      <w:r w:rsidR="00BC55B0">
        <w:rPr>
          <w:color w:val="222222"/>
        </w:rPr>
        <w:t>:</w:t>
      </w:r>
    </w:p>
    <w:p w14:paraId="4EC98FDB" w14:textId="77777777" w:rsidR="00E003DB" w:rsidRPr="00747EF6" w:rsidRDefault="00E003DB" w:rsidP="00E003DB">
      <w:pPr>
        <w:pStyle w:val="Bullet"/>
        <w:tabs>
          <w:tab w:val="num" w:pos="397"/>
        </w:tabs>
        <w:spacing w:line="280" w:lineRule="exact"/>
      </w:pPr>
      <w:r w:rsidRPr="00747EF6">
        <w:t>Recording and tracking the price of NZUs via the NZETR helps create a reliable price signal, if published. This price signal helps inform buying and selling decisions, while minimising the cost impact of the carbon price. Given all transactions are recorded and tracked via the NZETR anyway, including an additional field to collect price and/or value information is among the most cost</w:t>
      </w:r>
      <w:r>
        <w:t>-</w:t>
      </w:r>
      <w:r w:rsidRPr="00747EF6">
        <w:t>effective</w:t>
      </w:r>
      <w:r>
        <w:t xml:space="preserve"> </w:t>
      </w:r>
      <w:r w:rsidRPr="00747EF6">
        <w:t>and low</w:t>
      </w:r>
      <w:r>
        <w:t>-</w:t>
      </w:r>
      <w:r w:rsidRPr="00747EF6">
        <w:t>burden methods to improve transaction reporting.</w:t>
      </w:r>
    </w:p>
    <w:p w14:paraId="25A0B70D" w14:textId="5F4D8069" w:rsidR="00E003DB" w:rsidRPr="00747EF6" w:rsidRDefault="00E003DB" w:rsidP="00E003DB">
      <w:pPr>
        <w:pStyle w:val="Bullet"/>
        <w:tabs>
          <w:tab w:val="num" w:pos="397"/>
        </w:tabs>
        <w:spacing w:line="280" w:lineRule="exact"/>
      </w:pPr>
      <w:r w:rsidRPr="00747EF6">
        <w:lastRenderedPageBreak/>
        <w:t>With the collection of price information, it</w:t>
      </w:r>
      <w:r>
        <w:t xml:space="preserve"> i</w:t>
      </w:r>
      <w:r w:rsidRPr="00747EF6">
        <w:t xml:space="preserve">s also important to be able to distinguish what is a market transaction with a market price, or a transfer of units between own accounts. In the former case, the price and volume information </w:t>
      </w:r>
      <w:r w:rsidR="00537AA9" w:rsidRPr="00747EF6">
        <w:t>continue</w:t>
      </w:r>
      <w:r w:rsidRPr="00747EF6">
        <w:t xml:space="preserve"> to </w:t>
      </w:r>
      <w:proofErr w:type="gramStart"/>
      <w:r w:rsidRPr="00747EF6">
        <w:t>be a reflection of</w:t>
      </w:r>
      <w:proofErr w:type="gramEnd"/>
      <w:r w:rsidRPr="00747EF6">
        <w:t xml:space="preserve"> trading activity in the market. </w:t>
      </w:r>
    </w:p>
    <w:p w14:paraId="219B362E" w14:textId="77777777" w:rsidR="00E003DB" w:rsidRPr="00747EF6" w:rsidRDefault="00E003DB" w:rsidP="00E003DB">
      <w:pPr>
        <w:pStyle w:val="Bullet"/>
        <w:tabs>
          <w:tab w:val="num" w:pos="397"/>
        </w:tabs>
        <w:spacing w:line="280" w:lineRule="exact"/>
      </w:pPr>
      <w:r w:rsidRPr="00747EF6">
        <w:t xml:space="preserve">Some stakeholder submissions to </w:t>
      </w:r>
      <w:r>
        <w:t>the</w:t>
      </w:r>
      <w:r w:rsidRPr="00747EF6">
        <w:t xml:space="preserve"> 2021 market governance consultation suggested it would be useful to record transaction by stakeholder type</w:t>
      </w:r>
      <w:r>
        <w:t xml:space="preserve"> (</w:t>
      </w:r>
      <w:proofErr w:type="spellStart"/>
      <w:r>
        <w:t>ie</w:t>
      </w:r>
      <w:proofErr w:type="spellEnd"/>
      <w:r w:rsidRPr="00747EF6" w:rsidDel="00CC4439">
        <w:t xml:space="preserve">, </w:t>
      </w:r>
      <w:r w:rsidRPr="00747EF6">
        <w:t>whether the buyer or seller was a forester, financial intermediary, or a participant with surrender obligations under the CCRA</w:t>
      </w:r>
      <w:r>
        <w:t>)</w:t>
      </w:r>
      <w:r w:rsidRPr="00747EF6">
        <w:t>. The</w:t>
      </w:r>
      <w:r w:rsidRPr="00747EF6" w:rsidDel="00A14E66">
        <w:t xml:space="preserve"> </w:t>
      </w:r>
      <w:r>
        <w:t xml:space="preserve">rationale for this was that there </w:t>
      </w:r>
      <w:r w:rsidRPr="00747EF6">
        <w:t xml:space="preserve">are now more different types of people trading NZUs in the NZU market than </w:t>
      </w:r>
      <w:r>
        <w:t xml:space="preserve">at </w:t>
      </w:r>
      <w:r w:rsidRPr="00747EF6">
        <w:t>its inception</w:t>
      </w:r>
      <w:r>
        <w:t xml:space="preserve">, and some </w:t>
      </w:r>
      <w:r w:rsidRPr="00747EF6">
        <w:t xml:space="preserve">of those traders do not have surrender obligations under the CCRA. </w:t>
      </w:r>
    </w:p>
    <w:p w14:paraId="5A7A4EFD" w14:textId="77777777" w:rsidR="00E003DB" w:rsidRPr="00747EF6" w:rsidRDefault="00E003DB" w:rsidP="00E003DB">
      <w:pPr>
        <w:pStyle w:val="Heading3"/>
      </w:pPr>
      <w:r w:rsidRPr="00747EF6">
        <w:t>Bridging the information gap by publishing more information</w:t>
      </w:r>
    </w:p>
    <w:p w14:paraId="2135164E" w14:textId="3B442CFD" w:rsidR="00E003DB" w:rsidRPr="00747EF6" w:rsidRDefault="000C4BAF" w:rsidP="00E003DB">
      <w:pPr>
        <w:pStyle w:val="BodyText"/>
        <w:rPr>
          <w:color w:val="222222"/>
        </w:rPr>
      </w:pPr>
      <w:r w:rsidRPr="00747EF6">
        <w:rPr>
          <w:color w:val="222222"/>
        </w:rPr>
        <w:t>To</w:t>
      </w:r>
      <w:r w:rsidR="00E003DB" w:rsidRPr="00747EF6">
        <w:rPr>
          <w:color w:val="222222"/>
        </w:rPr>
        <w:t xml:space="preserve"> support efficient markets, relevant and useful market information must be available to help NZU market users understand overall supply and demand conditions in the market. </w:t>
      </w:r>
    </w:p>
    <w:p w14:paraId="0CA57260" w14:textId="77777777" w:rsidR="00E003DB" w:rsidRPr="00747EF6" w:rsidRDefault="00E003DB" w:rsidP="00E003DB">
      <w:pPr>
        <w:pStyle w:val="BodyText"/>
      </w:pPr>
      <w:r w:rsidRPr="00747EF6">
        <w:t xml:space="preserve">We consider a method to improve market efficiency further is to support the </w:t>
      </w:r>
      <w:r>
        <w:t>EPA</w:t>
      </w:r>
      <w:r w:rsidRPr="00747EF6">
        <w:t xml:space="preserve"> in publishing </w:t>
      </w:r>
      <w:r>
        <w:t>(</w:t>
      </w:r>
      <w:r w:rsidRPr="00747EF6">
        <w:t>anonymised and in aggregate</w:t>
      </w:r>
      <w:r>
        <w:t>)</w:t>
      </w:r>
      <w:r w:rsidRPr="00747EF6">
        <w:t xml:space="preserve"> some of the useful market information collected. </w:t>
      </w:r>
    </w:p>
    <w:p w14:paraId="42217DA7" w14:textId="77777777" w:rsidR="00E003DB" w:rsidRPr="00747EF6" w:rsidRDefault="00E003DB" w:rsidP="00E003DB">
      <w:pPr>
        <w:pStyle w:val="BodyText"/>
        <w:rPr>
          <w:color w:val="222222"/>
        </w:rPr>
      </w:pPr>
      <w:r w:rsidRPr="00747EF6">
        <w:rPr>
          <w:color w:val="222222"/>
        </w:rPr>
        <w:t>Markets are efficient when they achieve allocative efficiency and efficient price discovery.</w:t>
      </w:r>
    </w:p>
    <w:p w14:paraId="19DE5307" w14:textId="77777777" w:rsidR="00E003DB" w:rsidRPr="00747EF6" w:rsidRDefault="00E003DB" w:rsidP="00E003DB">
      <w:pPr>
        <w:pStyle w:val="Bullet"/>
        <w:tabs>
          <w:tab w:val="num" w:pos="397"/>
        </w:tabs>
        <w:spacing w:line="280" w:lineRule="exact"/>
      </w:pPr>
      <w:r w:rsidRPr="007A65BE">
        <w:rPr>
          <w:b/>
        </w:rPr>
        <w:t>Allocative efficiency</w:t>
      </w:r>
      <w:r w:rsidRPr="00747EF6">
        <w:t xml:space="preserve"> means</w:t>
      </w:r>
      <w:r>
        <w:t xml:space="preserve"> that</w:t>
      </w:r>
      <w:r w:rsidRPr="00747EF6">
        <w:t xml:space="preserve"> the market channels resources, such as NZUs, to their highest value uses</w:t>
      </w:r>
      <w:r>
        <w:t>,</w:t>
      </w:r>
      <w:r w:rsidRPr="00747EF6">
        <w:t xml:space="preserve"> and where emissions are reduced by those best placed to abate, at the best time. </w:t>
      </w:r>
    </w:p>
    <w:p w14:paraId="0123E17A" w14:textId="417EC585" w:rsidR="00E003DB" w:rsidRPr="00747EF6" w:rsidRDefault="00E003DB" w:rsidP="00E003DB">
      <w:pPr>
        <w:pStyle w:val="Bullet"/>
        <w:tabs>
          <w:tab w:val="num" w:pos="397"/>
        </w:tabs>
        <w:spacing w:line="280" w:lineRule="exact"/>
      </w:pPr>
      <w:r w:rsidRPr="007A65BE">
        <w:rPr>
          <w:b/>
        </w:rPr>
        <w:t>Efficient price discovery</w:t>
      </w:r>
      <w:r w:rsidRPr="00747EF6">
        <w:t xml:space="preserve">, whether explicit or inferred, means the price of NZUs needs to reflect all available information – including the price </w:t>
      </w:r>
      <w:r w:rsidR="00837FE9">
        <w:t xml:space="preserve">at which </w:t>
      </w:r>
      <w:r w:rsidRPr="00747EF6">
        <w:t>other buyers and sellers are selling NZUs.</w:t>
      </w:r>
    </w:p>
    <w:p w14:paraId="588DC60F" w14:textId="5157B434" w:rsidR="00E003DB" w:rsidRPr="00747EF6" w:rsidRDefault="00E003DB" w:rsidP="00E003DB">
      <w:pPr>
        <w:pStyle w:val="BodyText"/>
      </w:pPr>
      <w:r w:rsidRPr="00747EF6">
        <w:t xml:space="preserve">The EPA already </w:t>
      </w:r>
      <w:r w:rsidR="00F14084">
        <w:t>publishes</w:t>
      </w:r>
      <w:r w:rsidR="00F14084" w:rsidRPr="00747EF6">
        <w:t xml:space="preserve"> </w:t>
      </w:r>
      <w:r w:rsidRPr="00747EF6">
        <w:t>a range of NZU market data, such as transaction trends, transactions by volume, emissions units transferred and privately held units.</w:t>
      </w:r>
      <w:r w:rsidRPr="00747EF6">
        <w:rPr>
          <w:rStyle w:val="FootnoteReference"/>
        </w:rPr>
        <w:footnoteReference w:id="45"/>
      </w:r>
      <w:r w:rsidRPr="00747EF6">
        <w:t xml:space="preserve"> We propose that the EPA could also be empowered to publish additional reports, including:</w:t>
      </w:r>
    </w:p>
    <w:p w14:paraId="51F404E4" w14:textId="77777777" w:rsidR="00E003DB" w:rsidRPr="00747EF6" w:rsidRDefault="00E003DB" w:rsidP="00E003DB">
      <w:pPr>
        <w:pStyle w:val="Bullet"/>
        <w:tabs>
          <w:tab w:val="num" w:pos="397"/>
        </w:tabs>
        <w:spacing w:line="280" w:lineRule="exact"/>
      </w:pPr>
      <w:r w:rsidRPr="00747EF6">
        <w:t>an end</w:t>
      </w:r>
      <w:r>
        <w:t>-</w:t>
      </w:r>
      <w:r w:rsidRPr="00747EF6">
        <w:t>of</w:t>
      </w:r>
      <w:r>
        <w:t>-</w:t>
      </w:r>
      <w:r w:rsidRPr="00747EF6">
        <w:t>day price for all NZU transactions in the NZETR</w:t>
      </w:r>
    </w:p>
    <w:p w14:paraId="196C8329" w14:textId="77777777" w:rsidR="00E003DB" w:rsidRPr="00747EF6" w:rsidRDefault="00E003DB" w:rsidP="00E003DB">
      <w:pPr>
        <w:pStyle w:val="Bullet"/>
        <w:tabs>
          <w:tab w:val="num" w:pos="397"/>
        </w:tabs>
        <w:spacing w:line="280" w:lineRule="exact"/>
      </w:pPr>
      <w:r w:rsidRPr="00747EF6">
        <w:rPr>
          <w:bCs/>
        </w:rPr>
        <w:t>the number of transaction</w:t>
      </w:r>
      <w:r>
        <w:rPr>
          <w:bCs/>
        </w:rPr>
        <w:t>s,</w:t>
      </w:r>
      <w:r w:rsidRPr="00747EF6">
        <w:rPr>
          <w:bCs/>
        </w:rPr>
        <w:t xml:space="preserve"> and </w:t>
      </w:r>
      <w:r>
        <w:rPr>
          <w:bCs/>
        </w:rPr>
        <w:t xml:space="preserve">the </w:t>
      </w:r>
      <w:r w:rsidRPr="00747EF6">
        <w:rPr>
          <w:bCs/>
        </w:rPr>
        <w:t>volume bought and sold</w:t>
      </w:r>
      <w:r>
        <w:rPr>
          <w:bCs/>
        </w:rPr>
        <w:t>,</w:t>
      </w:r>
      <w:r w:rsidRPr="00747EF6">
        <w:rPr>
          <w:bCs/>
        </w:rPr>
        <w:t xml:space="preserve"> between accounts</w:t>
      </w:r>
      <w:r>
        <w:rPr>
          <w:bCs/>
        </w:rPr>
        <w:t xml:space="preserve"> </w:t>
      </w:r>
      <w:r>
        <w:t>(identified using</w:t>
      </w:r>
      <w:r w:rsidRPr="00747EF6">
        <w:t xml:space="preserve"> the </w:t>
      </w:r>
      <w:r>
        <w:t>‘</w:t>
      </w:r>
      <w:r w:rsidRPr="00747EF6">
        <w:rPr>
          <w:bCs/>
        </w:rPr>
        <w:t>with someone else</w:t>
      </w:r>
      <w:r>
        <w:rPr>
          <w:bCs/>
        </w:rPr>
        <w:t>’</w:t>
      </w:r>
      <w:r w:rsidRPr="00747EF6">
        <w:rPr>
          <w:bCs/>
        </w:rPr>
        <w:t xml:space="preserve"> field</w:t>
      </w:r>
      <w:r>
        <w:rPr>
          <w:bCs/>
        </w:rPr>
        <w:t xml:space="preserve">), as </w:t>
      </w:r>
      <w:r>
        <w:rPr>
          <w:color w:val="222222"/>
        </w:rPr>
        <w:t>d</w:t>
      </w:r>
      <w:r w:rsidRPr="00747EF6">
        <w:rPr>
          <w:color w:val="222222"/>
        </w:rPr>
        <w:t>istinguishing between the two types of trades helps inform reliable price and volume signals</w:t>
      </w:r>
    </w:p>
    <w:p w14:paraId="72F077AF" w14:textId="77777777" w:rsidR="00E003DB" w:rsidRPr="00747EF6" w:rsidRDefault="00E003DB" w:rsidP="00E003DB">
      <w:pPr>
        <w:pStyle w:val="Bullet"/>
        <w:tabs>
          <w:tab w:val="num" w:pos="397"/>
        </w:tabs>
        <w:spacing w:line="280" w:lineRule="exact"/>
      </w:pPr>
      <w:r>
        <w:rPr>
          <w:color w:val="222222"/>
        </w:rPr>
        <w:t xml:space="preserve">the types of NZU market users – which would help </w:t>
      </w:r>
      <w:r w:rsidRPr="00747EF6">
        <w:rPr>
          <w:color w:val="222222"/>
        </w:rPr>
        <w:t xml:space="preserve">identify market sentiment and </w:t>
      </w:r>
      <w:r w:rsidRPr="00747EF6">
        <w:t>provide supply and demand indicators relevant to sale and purchase decisions.</w:t>
      </w:r>
    </w:p>
    <w:p w14:paraId="0E2C72D5" w14:textId="77777777" w:rsidR="00E003DB" w:rsidRPr="00747EF6" w:rsidRDefault="00E003DB" w:rsidP="00E003DB">
      <w:pPr>
        <w:pStyle w:val="BodyText"/>
        <w:rPr>
          <w:color w:val="222222"/>
        </w:rPr>
      </w:pPr>
      <w:r w:rsidRPr="00747EF6">
        <w:t xml:space="preserve">In doing so, we </w:t>
      </w:r>
      <w:r>
        <w:t>would</w:t>
      </w:r>
      <w:r w:rsidRPr="00747EF6">
        <w:t xml:space="preserve"> be mindful of privacy and confidentially obligations, </w:t>
      </w:r>
      <w:proofErr w:type="gramStart"/>
      <w:r w:rsidRPr="00747EF6">
        <w:t>so as to</w:t>
      </w:r>
      <w:proofErr w:type="gramEnd"/>
      <w:r w:rsidRPr="00747EF6">
        <w:t xml:space="preserve"> not expose the buying and selling activities of NZU traders. Publishing this data would help reduce information asymmetry in the NZU market.</w:t>
      </w:r>
    </w:p>
    <w:p w14:paraId="5A3E0B67" w14:textId="77777777" w:rsidR="00E003DB" w:rsidRPr="00747EF6" w:rsidRDefault="00E003DB" w:rsidP="00E003DB">
      <w:pPr>
        <w:pStyle w:val="BodyText"/>
      </w:pPr>
      <w:r w:rsidRPr="00747EF6">
        <w:t>The EPA would continue to oversee NZ</w:t>
      </w:r>
      <w:r>
        <w:t> </w:t>
      </w:r>
      <w:r w:rsidRPr="00747EF6">
        <w:t xml:space="preserve">ETS reporting, including new information on </w:t>
      </w:r>
      <w:r w:rsidRPr="00747EF6">
        <w:rPr>
          <w:bCs/>
        </w:rPr>
        <w:t xml:space="preserve">price, who the trade is between, and </w:t>
      </w:r>
      <w:r>
        <w:rPr>
          <w:bCs/>
        </w:rPr>
        <w:t xml:space="preserve">the </w:t>
      </w:r>
      <w:r w:rsidRPr="00747EF6">
        <w:rPr>
          <w:bCs/>
        </w:rPr>
        <w:t>type of stakeholder</w:t>
      </w:r>
      <w:r>
        <w:rPr>
          <w:bCs/>
        </w:rPr>
        <w:t>s</w:t>
      </w:r>
      <w:r w:rsidRPr="00747EF6">
        <w:rPr>
          <w:bCs/>
        </w:rPr>
        <w:t xml:space="preserve"> involved in the transaction.</w:t>
      </w:r>
      <w:r w:rsidRPr="00747EF6">
        <w:t xml:space="preserve"> </w:t>
      </w:r>
      <w:r w:rsidRPr="00747EF6">
        <w:rPr>
          <w:color w:val="222222"/>
        </w:rPr>
        <w:t xml:space="preserve">Collecting this additional information supports the EPA in their role of monitoring and providing oversight of </w:t>
      </w:r>
      <w:r w:rsidRPr="00747EF6">
        <w:rPr>
          <w:color w:val="222222"/>
        </w:rPr>
        <w:lastRenderedPageBreak/>
        <w:t>trades. This provides additional oversight to guard against the risks of manipulation of the price, insider trading and anti-competitive conduct.</w:t>
      </w:r>
    </w:p>
    <w:tbl>
      <w:tblPr>
        <w:tblStyle w:val="TableGrid"/>
        <w:tblW w:w="493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8400"/>
      </w:tblGrid>
      <w:tr w:rsidR="00E003DB" w:rsidRPr="00747EF6" w14:paraId="599C5AE2" w14:textId="77777777" w:rsidTr="00B077D1">
        <w:tc>
          <w:tcPr>
            <w:tcW w:w="5000" w:type="pct"/>
            <w:shd w:val="clear" w:color="auto" w:fill="D2DDE2"/>
          </w:tcPr>
          <w:p w14:paraId="04D2401C" w14:textId="77777777" w:rsidR="00B077D1" w:rsidRPr="00B077D1" w:rsidRDefault="00B077D1" w:rsidP="00B077D1">
            <w:pPr>
              <w:pStyle w:val="Blueboxtext"/>
              <w:spacing w:after="0"/>
              <w:rPr>
                <w:b/>
                <w:bCs/>
              </w:rPr>
            </w:pPr>
            <w:r w:rsidRPr="00B077D1">
              <w:rPr>
                <w:b/>
                <w:bCs/>
              </w:rPr>
              <w:t>Question 38</w:t>
            </w:r>
          </w:p>
          <w:p w14:paraId="10F226C6" w14:textId="77777777" w:rsidR="00B077D1" w:rsidRPr="00B077D1" w:rsidRDefault="00B077D1" w:rsidP="00B077D1">
            <w:pPr>
              <w:pStyle w:val="Blueboxtext"/>
            </w:pPr>
            <w:r w:rsidRPr="00B077D1">
              <w:t>How would the additional transaction-reporting requirements impact your business?</w:t>
            </w:r>
          </w:p>
          <w:p w14:paraId="34C6410A" w14:textId="77777777" w:rsidR="00B077D1" w:rsidRPr="00B077D1" w:rsidRDefault="00B077D1" w:rsidP="00B077D1">
            <w:pPr>
              <w:pStyle w:val="Blueboxtext"/>
              <w:spacing w:after="0"/>
              <w:rPr>
                <w:b/>
                <w:bCs/>
              </w:rPr>
            </w:pPr>
            <w:r w:rsidRPr="00B077D1">
              <w:rPr>
                <w:b/>
                <w:bCs/>
              </w:rPr>
              <w:t>Question 39</w:t>
            </w:r>
          </w:p>
          <w:p w14:paraId="34B9DE92" w14:textId="77777777" w:rsidR="00B077D1" w:rsidRPr="00747EF6" w:rsidRDefault="00B077D1" w:rsidP="00B077D1">
            <w:pPr>
              <w:pStyle w:val="Blueboxtext"/>
            </w:pPr>
            <w:r w:rsidRPr="00B077D1">
              <w:t>How would publishing more market information about NZU prices help you understand overall supply and demand conditions in the NZU market?</w:t>
            </w:r>
          </w:p>
        </w:tc>
      </w:tr>
    </w:tbl>
    <w:p w14:paraId="5E5773C1" w14:textId="77777777" w:rsidR="00E003DB" w:rsidRPr="00747EF6" w:rsidRDefault="00E003DB" w:rsidP="00E003DB">
      <w:pPr>
        <w:spacing w:before="0" w:after="160" w:line="259" w:lineRule="auto"/>
        <w:jc w:val="left"/>
      </w:pPr>
      <w:r w:rsidRPr="00747EF6">
        <w:br w:type="page"/>
      </w:r>
    </w:p>
    <w:p w14:paraId="5C00A348" w14:textId="77777777" w:rsidR="00E003DB" w:rsidRPr="00747EF6" w:rsidRDefault="00E003DB" w:rsidP="00E003DB">
      <w:pPr>
        <w:pStyle w:val="Heading1"/>
      </w:pPr>
      <w:bookmarkStart w:id="138" w:name="_Toc116391431"/>
      <w:bookmarkStart w:id="139" w:name="_Toc118703549"/>
      <w:bookmarkStart w:id="140" w:name="_Toc118953602"/>
      <w:r w:rsidRPr="00747EF6">
        <w:lastRenderedPageBreak/>
        <w:t>Topic 4: Applying the AML/CFT Act framework</w:t>
      </w:r>
      <w:bookmarkEnd w:id="138"/>
      <w:bookmarkEnd w:id="139"/>
      <w:bookmarkEnd w:id="1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8505"/>
      </w:tblGrid>
      <w:tr w:rsidR="00E003DB" w:rsidRPr="00747EF6" w14:paraId="33B27788" w14:textId="77777777" w:rsidTr="00B077D1">
        <w:tc>
          <w:tcPr>
            <w:tcW w:w="9016" w:type="dxa"/>
            <w:shd w:val="clear" w:color="auto" w:fill="D2DDE2"/>
          </w:tcPr>
          <w:p w14:paraId="1F84D7C7" w14:textId="77777777" w:rsidR="00E003DB" w:rsidRPr="00B077D1" w:rsidRDefault="00E003DB" w:rsidP="00FB6809">
            <w:pPr>
              <w:pStyle w:val="Blueboxtext"/>
              <w:ind w:left="426" w:hanging="426"/>
              <w:rPr>
                <w:b/>
                <w:bCs/>
              </w:rPr>
            </w:pPr>
            <w:r w:rsidRPr="00B077D1">
              <w:rPr>
                <w:b/>
                <w:bCs/>
              </w:rPr>
              <w:t xml:space="preserve">Summary option </w:t>
            </w:r>
          </w:p>
          <w:p w14:paraId="46569FDF" w14:textId="77777777" w:rsidR="00E003DB" w:rsidRPr="00B077D1" w:rsidRDefault="00E003DB" w:rsidP="005B0F5C">
            <w:pPr>
              <w:pStyle w:val="Blue-boxbullet"/>
              <w:numPr>
                <w:ilvl w:val="0"/>
                <w:numId w:val="27"/>
              </w:numPr>
              <w:ind w:left="426" w:hanging="284"/>
            </w:pPr>
            <w:r w:rsidRPr="00747EF6">
              <w:t>No further AML/CFT obligations will apply</w:t>
            </w:r>
            <w:r w:rsidRPr="00B077D1">
              <w:t xml:space="preserve"> </w:t>
            </w:r>
            <w:r w:rsidRPr="00747EF6">
              <w:t xml:space="preserve">to the NZU market </w:t>
            </w:r>
            <w:r>
              <w:t>beyond</w:t>
            </w:r>
            <w:r w:rsidRPr="00747EF6">
              <w:t xml:space="preserve"> what already applies.</w:t>
            </w:r>
          </w:p>
          <w:p w14:paraId="043FF8CB" w14:textId="77777777" w:rsidR="00E003DB" w:rsidRPr="00B077D1" w:rsidRDefault="00E003DB" w:rsidP="005B0F5C">
            <w:pPr>
              <w:pStyle w:val="Blue-boxbullet"/>
              <w:numPr>
                <w:ilvl w:val="0"/>
                <w:numId w:val="27"/>
              </w:numPr>
              <w:ind w:left="426" w:hanging="284"/>
            </w:pPr>
            <w:r w:rsidRPr="00B077D1">
              <w:t>This</w:t>
            </w:r>
            <w:r w:rsidRPr="00B077D1" w:rsidDel="00C32A6C">
              <w:t xml:space="preserve"> </w:t>
            </w:r>
            <w:r w:rsidRPr="00B077D1">
              <w:t xml:space="preserve">section describes how the AML/CFT Act currently operates and captures </w:t>
            </w:r>
            <w:proofErr w:type="gramStart"/>
            <w:r w:rsidRPr="00B077D1">
              <w:t>particular financial</w:t>
            </w:r>
            <w:proofErr w:type="gramEnd"/>
            <w:r w:rsidRPr="00B077D1">
              <w:t xml:space="preserve"> activity in the NZU market, and who might be regulated.</w:t>
            </w:r>
          </w:p>
          <w:p w14:paraId="253841DD" w14:textId="77777777" w:rsidR="00E003DB" w:rsidRPr="00B077D1" w:rsidRDefault="00E003DB" w:rsidP="005B0F5C">
            <w:pPr>
              <w:pStyle w:val="Blue-boxbullet"/>
              <w:numPr>
                <w:ilvl w:val="0"/>
                <w:numId w:val="27"/>
              </w:numPr>
              <w:ind w:left="426" w:hanging="284"/>
            </w:pPr>
            <w:r w:rsidRPr="00B077D1">
              <w:t>Alternative options to the status quo have not been considered. This topic serves as a reminder of AML/CFT obligations.</w:t>
            </w:r>
          </w:p>
          <w:p w14:paraId="7A438503" w14:textId="77777777" w:rsidR="00E003DB" w:rsidRPr="00B077D1" w:rsidRDefault="00E003DB" w:rsidP="00FB6809">
            <w:pPr>
              <w:pStyle w:val="Blueboxtext"/>
              <w:ind w:left="426" w:hanging="426"/>
              <w:rPr>
                <w:b/>
                <w:bCs/>
              </w:rPr>
            </w:pPr>
            <w:r w:rsidRPr="00B077D1">
              <w:rPr>
                <w:b/>
                <w:bCs/>
              </w:rPr>
              <w:t>Summary of impact</w:t>
            </w:r>
          </w:p>
          <w:p w14:paraId="0B52BA1B" w14:textId="77777777" w:rsidR="00E003DB" w:rsidRPr="00747EF6" w:rsidRDefault="00E003DB" w:rsidP="005B0F5C">
            <w:pPr>
              <w:pStyle w:val="Blue-boxbullet"/>
              <w:numPr>
                <w:ilvl w:val="0"/>
                <w:numId w:val="27"/>
              </w:numPr>
              <w:ind w:left="426" w:hanging="426"/>
            </w:pPr>
            <w:r>
              <w:t>The p</w:t>
            </w:r>
            <w:r w:rsidRPr="00747EF6">
              <w:t>urpose is to detect and deter money laundering and terrorism financing within the NZU market.</w:t>
            </w:r>
          </w:p>
          <w:p w14:paraId="7FBA5494" w14:textId="77777777" w:rsidR="00E003DB" w:rsidRPr="00747EF6" w:rsidRDefault="00E003DB" w:rsidP="005B0F5C">
            <w:pPr>
              <w:pStyle w:val="Blue-boxbullet"/>
              <w:numPr>
                <w:ilvl w:val="0"/>
                <w:numId w:val="27"/>
              </w:numPr>
              <w:ind w:left="426" w:hanging="426"/>
            </w:pPr>
            <w:r w:rsidRPr="00747EF6">
              <w:t>Employing the status quo means highlighting how the AML/CFT already applies to the NZU market. There may be parties who did not know they are currently regulated.</w:t>
            </w:r>
          </w:p>
          <w:p w14:paraId="2A4BA981" w14:textId="77777777" w:rsidR="00E003DB" w:rsidRPr="00747EF6" w:rsidRDefault="00E003DB" w:rsidP="005B0F5C">
            <w:pPr>
              <w:pStyle w:val="Blue-boxbullet"/>
              <w:numPr>
                <w:ilvl w:val="0"/>
                <w:numId w:val="27"/>
              </w:numPr>
              <w:ind w:left="426" w:hanging="426"/>
              <w:rPr>
                <w:b/>
              </w:rPr>
            </w:pPr>
            <w:r w:rsidRPr="00747EF6">
              <w:t>Those who are regulated entities under the AML/CFT Act are regulated based on captured activities.</w:t>
            </w:r>
          </w:p>
        </w:tc>
      </w:tr>
    </w:tbl>
    <w:p w14:paraId="60A062B0" w14:textId="77777777" w:rsidR="00E003DB" w:rsidRPr="00747EF6" w:rsidRDefault="00E003DB" w:rsidP="00E003DB">
      <w:pPr>
        <w:pStyle w:val="Heading2"/>
      </w:pPr>
      <w:bookmarkStart w:id="141" w:name="_Toc118703550"/>
      <w:bookmarkStart w:id="142" w:name="_Toc118953603"/>
      <w:r w:rsidRPr="00747EF6">
        <w:t>Objective</w:t>
      </w:r>
      <w:bookmarkEnd w:id="141"/>
      <w:bookmarkEnd w:id="142"/>
    </w:p>
    <w:p w14:paraId="03F6E251" w14:textId="77777777" w:rsidR="00E003DB" w:rsidRPr="00747EF6" w:rsidRDefault="00E003DB" w:rsidP="00E003DB">
      <w:pPr>
        <w:pStyle w:val="BodyText"/>
      </w:pPr>
      <w:r w:rsidRPr="00747EF6">
        <w:t>Our objective is to better communicate how the AML/CFT Act captures activities of interest within the NZU market to deter money laundering and financing of terrorism.</w:t>
      </w:r>
    </w:p>
    <w:p w14:paraId="3154F1E0" w14:textId="77777777" w:rsidR="00E003DB" w:rsidRPr="00747EF6" w:rsidRDefault="00E003DB" w:rsidP="00E003DB">
      <w:pPr>
        <w:pStyle w:val="BodyText"/>
      </w:pPr>
      <w:r w:rsidRPr="00747EF6">
        <w:t xml:space="preserve">We propose to introduce no further AML/CFT obligations to the NZU market </w:t>
      </w:r>
      <w:r>
        <w:t>beyond</w:t>
      </w:r>
      <w:r w:rsidRPr="00747EF6">
        <w:t xml:space="preserve"> what already applies </w:t>
      </w:r>
      <w:r>
        <w:t>at present</w:t>
      </w:r>
      <w:r w:rsidRPr="00747EF6">
        <w:t xml:space="preserve">. </w:t>
      </w:r>
    </w:p>
    <w:p w14:paraId="22CFFDE9" w14:textId="77777777" w:rsidR="00E003DB" w:rsidRPr="00747EF6" w:rsidRDefault="00E003DB" w:rsidP="00E003DB">
      <w:pPr>
        <w:pStyle w:val="Heading2"/>
      </w:pPr>
      <w:bookmarkStart w:id="143" w:name="_Toc118703551"/>
      <w:bookmarkStart w:id="144" w:name="_Toc118953604"/>
      <w:r w:rsidRPr="00747EF6">
        <w:t>What we have heard so far</w:t>
      </w:r>
      <w:bookmarkEnd w:id="143"/>
      <w:bookmarkEnd w:id="144"/>
    </w:p>
    <w:p w14:paraId="204C9DD3" w14:textId="13F4A16C" w:rsidR="00E003DB" w:rsidRPr="00747EF6" w:rsidRDefault="00E003DB" w:rsidP="00E003DB">
      <w:pPr>
        <w:pStyle w:val="BodyText"/>
      </w:pPr>
      <w:r w:rsidRPr="00747EF6">
        <w:t>Stakeholder feedback from the 2021 consultation</w:t>
      </w:r>
      <w:r>
        <w:rPr>
          <w:rStyle w:val="FootnoteReference"/>
        </w:rPr>
        <w:footnoteReference w:id="46"/>
      </w:r>
      <w:r w:rsidRPr="00747EF6">
        <w:t xml:space="preserve"> noted that adequate frameworks already exist in the FMC Act and AML/CFT</w:t>
      </w:r>
      <w:r w:rsidR="002826B4">
        <w:t>,</w:t>
      </w:r>
      <w:r w:rsidRPr="00747EF6">
        <w:t xml:space="preserve"> which </w:t>
      </w:r>
      <w:r>
        <w:t>are</w:t>
      </w:r>
      <w:r w:rsidRPr="00747EF6">
        <w:t xml:space="preserve"> better suited to address misconduct.</w:t>
      </w:r>
    </w:p>
    <w:p w14:paraId="364F7AC0" w14:textId="77777777" w:rsidR="00E003DB" w:rsidRPr="00747EF6" w:rsidRDefault="00E003DB" w:rsidP="00E003DB">
      <w:pPr>
        <w:pStyle w:val="Heading3"/>
      </w:pPr>
      <w:r w:rsidRPr="00747EF6">
        <w:t>Describing the AML/CFT Act</w:t>
      </w:r>
    </w:p>
    <w:p w14:paraId="2224DC16" w14:textId="77777777" w:rsidR="00E003DB" w:rsidRPr="00747EF6" w:rsidRDefault="00E003DB" w:rsidP="00E003DB">
      <w:pPr>
        <w:pStyle w:val="Heading4"/>
      </w:pPr>
      <w:r w:rsidRPr="00747EF6">
        <w:t>Supervisors</w:t>
      </w:r>
    </w:p>
    <w:p w14:paraId="7B1C04A4" w14:textId="77777777" w:rsidR="00E003DB" w:rsidRPr="00747EF6" w:rsidRDefault="00E003DB" w:rsidP="00E003DB">
      <w:pPr>
        <w:pStyle w:val="BodyText"/>
      </w:pPr>
      <w:r w:rsidRPr="00747EF6">
        <w:t>The AML/CFT Act and its associated regulations have a role in the activities surrounding any financial product market</w:t>
      </w:r>
      <w:r>
        <w:t>,</w:t>
      </w:r>
      <w:r w:rsidRPr="00747EF6">
        <w:t xml:space="preserve"> by placing obligations on</w:t>
      </w:r>
      <w:r>
        <w:t xml:space="preserve"> Aotearoa</w:t>
      </w:r>
      <w:r w:rsidRPr="00747EF6">
        <w:t xml:space="preserve"> New Zealand’s financial institutions to detect and deter money laundering and terrorism financing. </w:t>
      </w:r>
    </w:p>
    <w:p w14:paraId="7CEB00CF" w14:textId="77777777" w:rsidR="00E003DB" w:rsidRDefault="00E003DB" w:rsidP="00E003DB">
      <w:pPr>
        <w:pStyle w:val="BodyText"/>
      </w:pPr>
      <w:r w:rsidRPr="00747EF6">
        <w:t xml:space="preserve">The purpose of </w:t>
      </w:r>
      <w:r>
        <w:t xml:space="preserve">the </w:t>
      </w:r>
      <w:r w:rsidRPr="00747EF6">
        <w:t xml:space="preserve">AML/CFT </w:t>
      </w:r>
      <w:r>
        <w:t xml:space="preserve">Act </w:t>
      </w:r>
      <w:r w:rsidRPr="00747EF6">
        <w:t>is to</w:t>
      </w:r>
      <w:r>
        <w:t>:</w:t>
      </w:r>
    </w:p>
    <w:p w14:paraId="5E8B0181" w14:textId="77777777" w:rsidR="00E003DB" w:rsidRDefault="00E003DB" w:rsidP="00E003DB">
      <w:pPr>
        <w:pStyle w:val="Bullet"/>
        <w:tabs>
          <w:tab w:val="num" w:pos="397"/>
        </w:tabs>
        <w:spacing w:line="280" w:lineRule="exact"/>
      </w:pPr>
      <w:r w:rsidRPr="00747EF6">
        <w:t>detect and deter money laundering and the financing of terrorism</w:t>
      </w:r>
    </w:p>
    <w:p w14:paraId="15C598E5" w14:textId="77777777" w:rsidR="00E003DB" w:rsidRDefault="00E003DB" w:rsidP="00E003DB">
      <w:pPr>
        <w:pStyle w:val="Bullet"/>
        <w:tabs>
          <w:tab w:val="num" w:pos="397"/>
        </w:tabs>
        <w:spacing w:line="280" w:lineRule="exact"/>
      </w:pPr>
      <w:r w:rsidRPr="00747EF6">
        <w:lastRenderedPageBreak/>
        <w:t xml:space="preserve">maintain and enhance </w:t>
      </w:r>
      <w:r>
        <w:t xml:space="preserve">Aotearoa </w:t>
      </w:r>
      <w:r w:rsidRPr="00747EF6">
        <w:t xml:space="preserve">New Zealand’s international reputation </w:t>
      </w:r>
    </w:p>
    <w:p w14:paraId="5887334D" w14:textId="77777777" w:rsidR="00E003DB" w:rsidRPr="00747EF6" w:rsidRDefault="00E003DB" w:rsidP="00E003DB">
      <w:pPr>
        <w:pStyle w:val="Bullet"/>
        <w:tabs>
          <w:tab w:val="num" w:pos="397"/>
        </w:tabs>
        <w:spacing w:line="280" w:lineRule="exact"/>
      </w:pPr>
      <w:r w:rsidRPr="00747EF6">
        <w:t>contribute to public confidence in the financial system.</w:t>
      </w:r>
    </w:p>
    <w:p w14:paraId="55C7EDF5" w14:textId="77777777" w:rsidR="00E003DB" w:rsidRPr="00747EF6" w:rsidRDefault="00E003DB" w:rsidP="00E003DB">
      <w:pPr>
        <w:pStyle w:val="BodyText"/>
      </w:pPr>
      <w:r w:rsidRPr="00747EF6">
        <w:t>There are three supervisors responsible for monitoring and enforcing the</w:t>
      </w:r>
      <w:r>
        <w:t xml:space="preserve"> </w:t>
      </w:r>
      <w:r w:rsidRPr="00747EF6">
        <w:t>Act</w:t>
      </w:r>
      <w:r>
        <w:t>:</w:t>
      </w:r>
      <w:r w:rsidRPr="00747EF6" w:rsidDel="00C32A6C">
        <w:t xml:space="preserve"> </w:t>
      </w:r>
      <w:r w:rsidRPr="00747EF6">
        <w:t>the FMA, the Reserve Bank</w:t>
      </w:r>
      <w:r w:rsidRPr="00747EF6" w:rsidDel="00C32A6C">
        <w:t xml:space="preserve"> </w:t>
      </w:r>
      <w:r w:rsidRPr="00747EF6">
        <w:t xml:space="preserve">and the Department of Internal Affairs. </w:t>
      </w:r>
    </w:p>
    <w:p w14:paraId="7200B9CD" w14:textId="77777777" w:rsidR="00E003DB" w:rsidRPr="00747EF6" w:rsidRDefault="00E003DB" w:rsidP="00E003DB">
      <w:pPr>
        <w:pStyle w:val="BodyText"/>
      </w:pPr>
      <w:r w:rsidRPr="00747EF6">
        <w:t>These supervisors actively cooperate with each other</w:t>
      </w:r>
      <w:r>
        <w:t>,</w:t>
      </w:r>
      <w:r w:rsidRPr="00747EF6">
        <w:t xml:space="preserve"> with the New Zealand Police’s Financial Intelligence Unit</w:t>
      </w:r>
      <w:r>
        <w:t>,</w:t>
      </w:r>
      <w:r w:rsidRPr="00747EF6">
        <w:t xml:space="preserve"> and </w:t>
      </w:r>
      <w:r>
        <w:t xml:space="preserve">with </w:t>
      </w:r>
      <w:r w:rsidRPr="00747EF6">
        <w:t xml:space="preserve">the Ministry of Justice </w:t>
      </w:r>
      <w:r>
        <w:t>(</w:t>
      </w:r>
      <w:r w:rsidRPr="00747EF6">
        <w:t>which administers the AML/CFT Act</w:t>
      </w:r>
      <w:r>
        <w:t>)</w:t>
      </w:r>
      <w:r w:rsidRPr="00747EF6">
        <w:t>. </w:t>
      </w:r>
      <w:r>
        <w:t>The Financial Intelligence Unit</w:t>
      </w:r>
      <w:r w:rsidRPr="00747EF6">
        <w:t> also publish</w:t>
      </w:r>
      <w:r>
        <w:t>es</w:t>
      </w:r>
      <w:r w:rsidRPr="00747EF6">
        <w:t xml:space="preserve"> guidance information for reporting entities on their obligations to report suspicious activities and prescribed transactions, and how to meet those obligations.</w:t>
      </w:r>
    </w:p>
    <w:p w14:paraId="20E4D999" w14:textId="77777777" w:rsidR="00E003DB" w:rsidRPr="00747EF6" w:rsidRDefault="00E003DB" w:rsidP="00E003DB">
      <w:pPr>
        <w:pStyle w:val="Heading4"/>
      </w:pPr>
      <w:r w:rsidRPr="00747EF6">
        <w:t xml:space="preserve">Reporting entities </w:t>
      </w:r>
      <w:r w:rsidRPr="00985FBB">
        <w:rPr>
          <w:rStyle w:val="hit"/>
        </w:rPr>
        <w:t>under</w:t>
      </w:r>
      <w:r w:rsidRPr="00747EF6">
        <w:t xml:space="preserve"> the AML/CFT Act</w:t>
      </w:r>
    </w:p>
    <w:p w14:paraId="067C7A42" w14:textId="77777777" w:rsidR="00E003DB" w:rsidRDefault="00E003DB" w:rsidP="00E003DB">
      <w:pPr>
        <w:pStyle w:val="BodyText"/>
      </w:pPr>
      <w:r w:rsidRPr="00747EF6">
        <w:t>The AML/CFT Act applies to reporting entities as defined in the Act.</w:t>
      </w:r>
      <w:r>
        <w:t xml:space="preserve"> </w:t>
      </w:r>
      <w:r w:rsidRPr="00747EF6">
        <w:t xml:space="preserve">These reporting entities include financial institutions that engage in one or more of a defined list of financial activities (described </w:t>
      </w:r>
      <w:hyperlink w:anchor="_Capture_points_for" w:history="1">
        <w:r w:rsidRPr="00F47603">
          <w:rPr>
            <w:rStyle w:val="Hyperlink"/>
          </w:rPr>
          <w:t>below</w:t>
        </w:r>
      </w:hyperlink>
      <w:r w:rsidRPr="00747EF6">
        <w:t xml:space="preserve">), which will include some activities related to the NZU market. </w:t>
      </w:r>
    </w:p>
    <w:p w14:paraId="706AE7E0" w14:textId="77777777" w:rsidR="00E003DB" w:rsidRPr="00747EF6" w:rsidRDefault="00E003DB" w:rsidP="00E003DB">
      <w:pPr>
        <w:pStyle w:val="BodyText"/>
      </w:pPr>
      <w:r>
        <w:t>A</w:t>
      </w:r>
      <w:r w:rsidRPr="00747EF6">
        <w:t xml:space="preserve">n example of financial activity </w:t>
      </w:r>
      <w:r>
        <w:t xml:space="preserve">that may occur in the NZU market, which </w:t>
      </w:r>
      <w:r>
        <w:rPr>
          <w:b/>
          <w:bCs/>
        </w:rPr>
        <w:t xml:space="preserve">is </w:t>
      </w:r>
      <w:r w:rsidRPr="00747EF6">
        <w:t xml:space="preserve">captured in </w:t>
      </w:r>
      <w:r>
        <w:t>by the AML/CFT Act t</w:t>
      </w:r>
      <w:r w:rsidRPr="00747EF6">
        <w:t>oday:</w:t>
      </w:r>
    </w:p>
    <w:p w14:paraId="504E7B87" w14:textId="2CA919F7" w:rsidR="00E003DB" w:rsidRPr="00747EF6" w:rsidRDefault="00E003DB" w:rsidP="00E003DB">
      <w:pPr>
        <w:pStyle w:val="Bullet"/>
        <w:tabs>
          <w:tab w:val="num" w:pos="397"/>
        </w:tabs>
        <w:spacing w:line="280" w:lineRule="exact"/>
      </w:pPr>
      <w:r>
        <w:t>w</w:t>
      </w:r>
      <w:r w:rsidRPr="00747EF6">
        <w:t xml:space="preserve">hen a client receives a service that is investing, </w:t>
      </w:r>
      <w:proofErr w:type="gramStart"/>
      <w:r w:rsidRPr="00747EF6">
        <w:t>administering</w:t>
      </w:r>
      <w:proofErr w:type="gramEnd"/>
      <w:r w:rsidRPr="00747EF6">
        <w:t xml:space="preserve"> or managing money on that client’s behalf</w:t>
      </w:r>
      <w:r>
        <w:t>.</w:t>
      </w:r>
    </w:p>
    <w:p w14:paraId="6DE5CD52" w14:textId="77777777" w:rsidR="00E003DB" w:rsidRPr="00747EF6" w:rsidRDefault="00E003DB" w:rsidP="00E003DB">
      <w:pPr>
        <w:pStyle w:val="BodyText"/>
      </w:pPr>
      <w:r>
        <w:t>An e</w:t>
      </w:r>
      <w:r w:rsidRPr="00747EF6">
        <w:t xml:space="preserve">xample of </w:t>
      </w:r>
      <w:r>
        <w:t>a financial</w:t>
      </w:r>
      <w:r w:rsidRPr="00747EF6">
        <w:t xml:space="preserve"> activity </w:t>
      </w:r>
      <w:r>
        <w:t xml:space="preserve">that may occur in the NZU market, which </w:t>
      </w:r>
      <w:r w:rsidRPr="00747EF6">
        <w:t xml:space="preserve">is </w:t>
      </w:r>
      <w:r w:rsidRPr="00747EF6">
        <w:rPr>
          <w:b/>
        </w:rPr>
        <w:t>not</w:t>
      </w:r>
      <w:r w:rsidRPr="00747EF6">
        <w:t xml:space="preserve"> captured by the AML/CFT Act today:</w:t>
      </w:r>
    </w:p>
    <w:p w14:paraId="2402B67B" w14:textId="30FD8DF7" w:rsidR="00E003DB" w:rsidRPr="00747EF6" w:rsidRDefault="00E003DB" w:rsidP="00E003DB">
      <w:pPr>
        <w:pStyle w:val="Bullet"/>
        <w:tabs>
          <w:tab w:val="num" w:pos="397"/>
        </w:tabs>
        <w:spacing w:line="280" w:lineRule="exact"/>
      </w:pPr>
      <w:r>
        <w:t>s</w:t>
      </w:r>
      <w:r w:rsidRPr="00747EF6">
        <w:t>imply providing regulated financial advice (</w:t>
      </w:r>
      <w:proofErr w:type="spellStart"/>
      <w:r w:rsidR="009437FF">
        <w:t>eg</w:t>
      </w:r>
      <w:proofErr w:type="spellEnd"/>
      <w:r w:rsidRPr="00747EF6">
        <w:t>, a recommendation to acquire shares in Company X)</w:t>
      </w:r>
      <w:r>
        <w:t>,</w:t>
      </w:r>
      <w:r w:rsidRPr="00747EF6">
        <w:t xml:space="preserve"> where the advis</w:t>
      </w:r>
      <w:r w:rsidR="00564D6F">
        <w:t>e</w:t>
      </w:r>
      <w:r w:rsidRPr="00747EF6">
        <w:t>r does not handle client money or cash (because the client will carry out the transaction through a third</w:t>
      </w:r>
      <w:r>
        <w:t xml:space="preserve"> </w:t>
      </w:r>
      <w:r w:rsidRPr="00747EF6">
        <w:t xml:space="preserve">party). </w:t>
      </w:r>
    </w:p>
    <w:p w14:paraId="171F518C" w14:textId="77777777" w:rsidR="00E003DB" w:rsidRPr="00747EF6" w:rsidRDefault="00E003DB" w:rsidP="00E003DB">
      <w:pPr>
        <w:pStyle w:val="BodyText"/>
      </w:pPr>
      <w:r w:rsidRPr="00747EF6">
        <w:t xml:space="preserve">Even though NZUs are not a listed financial product under the FMC Act, </w:t>
      </w:r>
      <w:r>
        <w:t>n</w:t>
      </w:r>
      <w:r w:rsidRPr="00747EF6">
        <w:t xml:space="preserve">or </w:t>
      </w:r>
      <w:r>
        <w:t xml:space="preserve">are they </w:t>
      </w:r>
      <w:r w:rsidRPr="00747EF6">
        <w:t>expressly mentioned in the AML/CFT Act, certain NZU market activities in the marketplace can be captured.</w:t>
      </w:r>
    </w:p>
    <w:p w14:paraId="27881891" w14:textId="77777777" w:rsidR="00E003DB" w:rsidRPr="00747EF6" w:rsidRDefault="00E003DB" w:rsidP="00E003DB">
      <w:pPr>
        <w:pStyle w:val="Heading3"/>
      </w:pPr>
      <w:r w:rsidRPr="00747EF6">
        <w:t xml:space="preserve">Scope </w:t>
      </w:r>
    </w:p>
    <w:p w14:paraId="2B2328B3" w14:textId="027FE9E5" w:rsidR="00E003DB" w:rsidRPr="00747EF6" w:rsidRDefault="00E003DB" w:rsidP="00E003DB">
      <w:pPr>
        <w:pStyle w:val="BodyText"/>
      </w:pPr>
      <w:r w:rsidRPr="00747EF6">
        <w:t xml:space="preserve">The AML/CFT </w:t>
      </w:r>
      <w:r>
        <w:t xml:space="preserve">Act </w:t>
      </w:r>
      <w:r w:rsidRPr="00747EF6">
        <w:t>already applies to activities related to the NZU market</w:t>
      </w:r>
      <w:r>
        <w:t xml:space="preserve"> – </w:t>
      </w:r>
      <w:r w:rsidRPr="00747EF6">
        <w:t xml:space="preserve">in particular where persons handle or invest money on behalf of </w:t>
      </w:r>
      <w:proofErr w:type="gramStart"/>
      <w:r w:rsidRPr="00747EF6">
        <w:t>others, or</w:t>
      </w:r>
      <w:proofErr w:type="gramEnd"/>
      <w:r w:rsidRPr="00747EF6">
        <w:t xml:space="preserve"> carry out other types of financial activities. This is the current scope of </w:t>
      </w:r>
      <w:r>
        <w:t xml:space="preserve">the </w:t>
      </w:r>
      <w:r w:rsidRPr="00747EF6">
        <w:t xml:space="preserve">AML/CFT </w:t>
      </w:r>
      <w:r>
        <w:t xml:space="preserve">legislation </w:t>
      </w:r>
      <w:r w:rsidRPr="00747EF6">
        <w:t xml:space="preserve">as it applies to financial product markets generally. </w:t>
      </w:r>
    </w:p>
    <w:p w14:paraId="7EDD3370" w14:textId="3C85C45E" w:rsidR="00E003DB" w:rsidRPr="00747EF6" w:rsidRDefault="00E003DB" w:rsidP="00E003DB">
      <w:pPr>
        <w:pStyle w:val="BodyText"/>
      </w:pPr>
      <w:proofErr w:type="gramStart"/>
      <w:r w:rsidRPr="00747EF6">
        <w:t>At this time</w:t>
      </w:r>
      <w:proofErr w:type="gramEnd"/>
      <w:r w:rsidRPr="00747EF6">
        <w:t xml:space="preserve">, it is not necessary to extend the scope </w:t>
      </w:r>
      <w:r>
        <w:t xml:space="preserve">beyond the way </w:t>
      </w:r>
      <w:r w:rsidRPr="00747EF6">
        <w:t xml:space="preserve">the AML/CFT </w:t>
      </w:r>
      <w:r>
        <w:t xml:space="preserve">Act </w:t>
      </w:r>
      <w:r w:rsidRPr="00747EF6">
        <w:t>already applies in the NZU market.</w:t>
      </w:r>
    </w:p>
    <w:p w14:paraId="070B5CC8" w14:textId="77777777" w:rsidR="00E003DB" w:rsidRPr="00747EF6" w:rsidRDefault="00E003DB" w:rsidP="00E003DB">
      <w:pPr>
        <w:pStyle w:val="Heading4"/>
      </w:pPr>
      <w:r w:rsidRPr="00747EF6">
        <w:t>Form of regulation and oversight</w:t>
      </w:r>
    </w:p>
    <w:p w14:paraId="59F31954" w14:textId="77777777" w:rsidR="00E003DB" w:rsidRPr="00747EF6" w:rsidRDefault="00E003DB" w:rsidP="00E003DB">
      <w:pPr>
        <w:pStyle w:val="BodyText"/>
      </w:pPr>
      <w:r w:rsidRPr="00747EF6">
        <w:rPr>
          <w:rFonts w:cs="Calibri"/>
        </w:rPr>
        <w:t>AML/CFT legislation is a risk-based regime.</w:t>
      </w:r>
      <w:r>
        <w:rPr>
          <w:rFonts w:cs="Calibri"/>
        </w:rPr>
        <w:t xml:space="preserve"> </w:t>
      </w:r>
      <w:r w:rsidRPr="00747EF6">
        <w:rPr>
          <w:rFonts w:cs="Calibri"/>
        </w:rPr>
        <w:t>It allows businesses to determine the level of risk they are exposed to</w:t>
      </w:r>
      <w:r>
        <w:rPr>
          <w:rFonts w:cs="Calibri"/>
        </w:rPr>
        <w:t>,</w:t>
      </w:r>
      <w:r w:rsidRPr="00747EF6">
        <w:rPr>
          <w:rFonts w:cs="Calibri"/>
        </w:rPr>
        <w:t xml:space="preserve"> in the </w:t>
      </w:r>
      <w:proofErr w:type="gramStart"/>
      <w:r w:rsidRPr="00747EF6">
        <w:rPr>
          <w:rFonts w:cs="Calibri"/>
        </w:rPr>
        <w:t>particular circumstances</w:t>
      </w:r>
      <w:proofErr w:type="gramEnd"/>
      <w:r w:rsidRPr="00747EF6">
        <w:rPr>
          <w:rFonts w:cs="Calibri"/>
        </w:rPr>
        <w:t xml:space="preserve"> of their business</w:t>
      </w:r>
      <w:r>
        <w:rPr>
          <w:rFonts w:cs="Calibri"/>
        </w:rPr>
        <w:t>,</w:t>
      </w:r>
      <w:r w:rsidRPr="00747EF6">
        <w:rPr>
          <w:rFonts w:cs="Calibri"/>
        </w:rPr>
        <w:t xml:space="preserve"> and tailor their compliance practices accordingly.</w:t>
      </w:r>
      <w:r w:rsidRPr="00747EF6">
        <w:t xml:space="preserve"> </w:t>
      </w:r>
    </w:p>
    <w:p w14:paraId="5E1F9FF4" w14:textId="72CB3020" w:rsidR="00E003DB" w:rsidRPr="00747EF6" w:rsidRDefault="00E003DB" w:rsidP="00E003DB">
      <w:pPr>
        <w:pStyle w:val="BodyText"/>
      </w:pPr>
      <w:r w:rsidRPr="00747EF6">
        <w:lastRenderedPageBreak/>
        <w:t xml:space="preserve">User guides and regular guidance is published to ensure that regulation is effective, and </w:t>
      </w:r>
      <w:r>
        <w:t xml:space="preserve">that </w:t>
      </w:r>
      <w:r w:rsidRPr="00747EF6">
        <w:t>entities understand their obligations.</w:t>
      </w:r>
    </w:p>
    <w:p w14:paraId="7E4837D1" w14:textId="77777777" w:rsidR="00E003DB" w:rsidRPr="00747EF6" w:rsidRDefault="00E003DB" w:rsidP="00E003DB">
      <w:pPr>
        <w:pStyle w:val="Heading4"/>
      </w:pPr>
      <w:r w:rsidRPr="00747EF6">
        <w:t>Obligations under the AML/CFT Act</w:t>
      </w:r>
    </w:p>
    <w:p w14:paraId="33924782" w14:textId="78021DA1" w:rsidR="00E003DB" w:rsidRPr="00747EF6" w:rsidRDefault="00E003DB" w:rsidP="00E003DB">
      <w:pPr>
        <w:pStyle w:val="BodyText"/>
      </w:pPr>
      <w:r w:rsidRPr="00747EF6">
        <w:t>Below are some basic obligations for a reporting entity identified under the AML/CFT Act</w:t>
      </w:r>
      <w:r w:rsidR="00FE7C48">
        <w:t>:</w:t>
      </w:r>
      <w:r>
        <w:rPr>
          <w:rStyle w:val="FootnoteReference"/>
        </w:rPr>
        <w:footnoteReference w:id="47"/>
      </w:r>
    </w:p>
    <w:p w14:paraId="0DCE265D" w14:textId="64145876" w:rsidR="00E003DB" w:rsidRPr="00747EF6" w:rsidRDefault="00D51253" w:rsidP="00E003DB">
      <w:pPr>
        <w:pStyle w:val="Bullet"/>
        <w:tabs>
          <w:tab w:val="num" w:pos="397"/>
        </w:tabs>
        <w:spacing w:line="280" w:lineRule="exact"/>
      </w:pPr>
      <w:r>
        <w:t>W</w:t>
      </w:r>
      <w:r w:rsidR="00E003DB" w:rsidRPr="00747EF6">
        <w:t xml:space="preserve">ritten risk assessment </w:t>
      </w:r>
    </w:p>
    <w:p w14:paraId="38A272FC" w14:textId="43CCD2F6" w:rsidR="00E003DB" w:rsidRPr="00747EF6" w:rsidRDefault="005D3F9D" w:rsidP="00E003DB">
      <w:pPr>
        <w:pStyle w:val="Bullet"/>
        <w:tabs>
          <w:tab w:val="num" w:pos="397"/>
        </w:tabs>
        <w:spacing w:line="280" w:lineRule="exact"/>
      </w:pPr>
      <w:r>
        <w:t>C</w:t>
      </w:r>
      <w:r w:rsidR="00E003DB" w:rsidRPr="00747EF6">
        <w:t xml:space="preserve">ompliance programme </w:t>
      </w:r>
    </w:p>
    <w:p w14:paraId="4B220609" w14:textId="23C60541" w:rsidR="00E003DB" w:rsidRPr="00747EF6" w:rsidRDefault="00167750" w:rsidP="00E003DB">
      <w:pPr>
        <w:pStyle w:val="Bullet"/>
        <w:tabs>
          <w:tab w:val="num" w:pos="397"/>
        </w:tabs>
        <w:spacing w:line="280" w:lineRule="exact"/>
      </w:pPr>
      <w:r>
        <w:t>C</w:t>
      </w:r>
      <w:r w:rsidR="00E003DB" w:rsidRPr="00747EF6">
        <w:t>ustomer due diligence (CDD) (customer identification and verification and ongoing CDD</w:t>
      </w:r>
      <w:r w:rsidR="00E003DB">
        <w:t>)</w:t>
      </w:r>
      <w:r w:rsidR="00E003DB" w:rsidRPr="00747EF6">
        <w:t xml:space="preserve"> </w:t>
      </w:r>
    </w:p>
    <w:p w14:paraId="734E74F6" w14:textId="77777777" w:rsidR="00E003DB" w:rsidRPr="00747EF6" w:rsidRDefault="00E003DB" w:rsidP="00E003DB">
      <w:pPr>
        <w:pStyle w:val="Bullet"/>
        <w:tabs>
          <w:tab w:val="num" w:pos="397"/>
        </w:tabs>
        <w:spacing w:line="280" w:lineRule="exact"/>
      </w:pPr>
      <w:r w:rsidRPr="00747EF6">
        <w:t xml:space="preserve">Annual reporting obligations </w:t>
      </w:r>
    </w:p>
    <w:p w14:paraId="23E9FE93" w14:textId="77777777" w:rsidR="00E003DB" w:rsidRPr="00747EF6" w:rsidRDefault="00E003DB" w:rsidP="00E003DB">
      <w:pPr>
        <w:pStyle w:val="Bullet"/>
        <w:tabs>
          <w:tab w:val="num" w:pos="397"/>
        </w:tabs>
        <w:spacing w:line="280" w:lineRule="exact"/>
      </w:pPr>
      <w:r w:rsidRPr="00747EF6">
        <w:t>Independent audit obligation</w:t>
      </w:r>
      <w:r>
        <w:t>s</w:t>
      </w:r>
      <w:r w:rsidRPr="00747EF6">
        <w:t xml:space="preserve"> </w:t>
      </w:r>
    </w:p>
    <w:p w14:paraId="62D814F5" w14:textId="77777777" w:rsidR="00E003DB" w:rsidRPr="00747EF6" w:rsidRDefault="00E003DB" w:rsidP="00E003DB">
      <w:pPr>
        <w:pStyle w:val="Bullet"/>
        <w:tabs>
          <w:tab w:val="num" w:pos="397"/>
        </w:tabs>
        <w:spacing w:line="280" w:lineRule="exact"/>
      </w:pPr>
      <w:r w:rsidRPr="00747EF6">
        <w:t>Prescribed transaction reporting obligation</w:t>
      </w:r>
      <w:r>
        <w:t>s</w:t>
      </w:r>
    </w:p>
    <w:p w14:paraId="16A8E6C1" w14:textId="77777777" w:rsidR="00E003DB" w:rsidRPr="00747EF6" w:rsidRDefault="00E003DB" w:rsidP="00E003DB">
      <w:pPr>
        <w:pStyle w:val="Heading2"/>
      </w:pPr>
      <w:bookmarkStart w:id="145" w:name="_How_to_have"/>
      <w:bookmarkStart w:id="146" w:name="_Consultation_questions"/>
      <w:bookmarkStart w:id="147" w:name="_Toc116391433"/>
      <w:bookmarkStart w:id="148" w:name="_Toc118703552"/>
      <w:bookmarkStart w:id="149" w:name="_Toc118953605"/>
      <w:bookmarkEnd w:id="145"/>
      <w:bookmarkEnd w:id="146"/>
      <w:r w:rsidRPr="00747EF6">
        <w:t>What this means in practice</w:t>
      </w:r>
      <w:bookmarkEnd w:id="147"/>
      <w:bookmarkEnd w:id="148"/>
      <w:bookmarkEnd w:id="149"/>
    </w:p>
    <w:p w14:paraId="68A9353B" w14:textId="77777777" w:rsidR="00E003DB" w:rsidRPr="00747EF6" w:rsidRDefault="00E003DB" w:rsidP="00E003DB">
      <w:pPr>
        <w:pStyle w:val="Heading3"/>
      </w:pPr>
      <w:r w:rsidRPr="00747EF6">
        <w:t>Financial advice providers (and financial advice relating to NZUs)</w:t>
      </w:r>
    </w:p>
    <w:p w14:paraId="3E6BFE56" w14:textId="77777777" w:rsidR="00E003DB" w:rsidRPr="00747EF6" w:rsidRDefault="00E003DB" w:rsidP="00E003DB">
      <w:pPr>
        <w:pStyle w:val="BodyText"/>
      </w:pPr>
      <w:r w:rsidRPr="00747EF6">
        <w:t>In this discussion document</w:t>
      </w:r>
      <w:r>
        <w:t>,</w:t>
      </w:r>
      <w:r w:rsidRPr="00747EF6">
        <w:t xml:space="preserve"> we have proposed that those who give financial advice relating to NZUs are regulated in the same manner as a financial advice provider. It is important to note that not all who give financial advice (and financial advice relating to NZUs) are captured by the AML/CFT Act.</w:t>
      </w:r>
    </w:p>
    <w:p w14:paraId="50090448" w14:textId="77777777" w:rsidR="00E003DB" w:rsidRPr="0068135B" w:rsidRDefault="00E003DB" w:rsidP="00E003DB">
      <w:pPr>
        <w:pStyle w:val="Heading4"/>
        <w:rPr>
          <w:rStyle w:val="Strong"/>
        </w:rPr>
      </w:pPr>
      <w:r>
        <w:rPr>
          <w:rStyle w:val="Strong"/>
          <w:b/>
          <w:bCs/>
        </w:rPr>
        <w:t>Not all</w:t>
      </w:r>
      <w:r w:rsidRPr="0068135B">
        <w:rPr>
          <w:rStyle w:val="Strong"/>
          <w:b/>
        </w:rPr>
        <w:t xml:space="preserve"> financial advice providers </w:t>
      </w:r>
      <w:r>
        <w:rPr>
          <w:rStyle w:val="Strong"/>
          <w:b/>
          <w:bCs/>
        </w:rPr>
        <w:t xml:space="preserve">are </w:t>
      </w:r>
      <w:r w:rsidRPr="0068135B">
        <w:rPr>
          <w:rStyle w:val="Strong"/>
          <w:b/>
        </w:rPr>
        <w:t xml:space="preserve">captured by the AML/CFT </w:t>
      </w:r>
      <w:r w:rsidRPr="0068135B">
        <w:rPr>
          <w:rStyle w:val="Strong"/>
          <w:b/>
          <w:bCs/>
        </w:rPr>
        <w:t>Ac</w:t>
      </w:r>
      <w:r>
        <w:rPr>
          <w:rStyle w:val="Strong"/>
          <w:b/>
          <w:bCs/>
        </w:rPr>
        <w:t>t</w:t>
      </w:r>
    </w:p>
    <w:p w14:paraId="04F60C3C" w14:textId="7EC458F0" w:rsidR="00E003DB" w:rsidRPr="00747EF6" w:rsidRDefault="00E003DB" w:rsidP="00E003DB">
      <w:pPr>
        <w:pStyle w:val="BodyText"/>
      </w:pPr>
      <w:r w:rsidRPr="00747EF6">
        <w:t xml:space="preserve">This is because the AML/CFT Act is </w:t>
      </w:r>
      <w:r w:rsidRPr="00747EF6" w:rsidDel="00132BC5">
        <w:t xml:space="preserve">primarily </w:t>
      </w:r>
      <w:r>
        <w:t>applicable</w:t>
      </w:r>
      <w:r w:rsidRPr="00747EF6">
        <w:t xml:space="preserve"> </w:t>
      </w:r>
      <w:r>
        <w:t>to</w:t>
      </w:r>
      <w:r w:rsidRPr="00747EF6" w:rsidDel="00132BC5">
        <w:t xml:space="preserve"> </w:t>
      </w:r>
      <w:r w:rsidRPr="00747EF6">
        <w:t xml:space="preserve">those who handle money, </w:t>
      </w:r>
      <w:proofErr w:type="gramStart"/>
      <w:r w:rsidRPr="00747EF6">
        <w:t>cash</w:t>
      </w:r>
      <w:proofErr w:type="gramEnd"/>
      <w:r w:rsidRPr="00747EF6">
        <w:t xml:space="preserve"> or valuable assets on behalf of other persons. Only some financial advice providers (</w:t>
      </w:r>
      <w:proofErr w:type="spellStart"/>
      <w:r>
        <w:t>eg</w:t>
      </w:r>
      <w:proofErr w:type="spellEnd"/>
      <w:r w:rsidRPr="00747EF6">
        <w:t xml:space="preserve">, those </w:t>
      </w:r>
      <w:r w:rsidR="00DA6A57">
        <w:t>who</w:t>
      </w:r>
      <w:r w:rsidR="00DA6A57" w:rsidRPr="00747EF6">
        <w:t xml:space="preserve"> </w:t>
      </w:r>
      <w:r w:rsidRPr="00747EF6">
        <w:t>handle client money or purchase securities on behalf of clients) are subject to the AML/CFT Act in this context.</w:t>
      </w:r>
      <w:r>
        <w:t xml:space="preserve"> </w:t>
      </w:r>
    </w:p>
    <w:tbl>
      <w:tblPr>
        <w:tblStyle w:val="TableGrid"/>
        <w:tblW w:w="493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8400"/>
      </w:tblGrid>
      <w:tr w:rsidR="00E003DB" w:rsidRPr="00747EF6" w14:paraId="07A169F4" w14:textId="77777777" w:rsidTr="00FB6809">
        <w:tc>
          <w:tcPr>
            <w:tcW w:w="5000" w:type="pct"/>
            <w:shd w:val="clear" w:color="auto" w:fill="D2DDE2"/>
          </w:tcPr>
          <w:p w14:paraId="6E40179C" w14:textId="77777777" w:rsidR="00E003DB" w:rsidRPr="00FB6809" w:rsidRDefault="00E003DB" w:rsidP="00FB6809">
            <w:pPr>
              <w:pStyle w:val="Blueboxtext"/>
              <w:spacing w:after="0"/>
              <w:rPr>
                <w:b/>
                <w:bCs/>
              </w:rPr>
            </w:pPr>
            <w:r w:rsidRPr="00FB6809">
              <w:rPr>
                <w:b/>
                <w:bCs/>
              </w:rPr>
              <w:t>Example</w:t>
            </w:r>
          </w:p>
          <w:p w14:paraId="2BD6B642" w14:textId="4D94F695" w:rsidR="00E003DB" w:rsidRPr="00747EF6" w:rsidRDefault="00E003DB" w:rsidP="00FB6809">
            <w:pPr>
              <w:pStyle w:val="Blueboxtext"/>
            </w:pPr>
            <w:r w:rsidRPr="00747EF6">
              <w:t xml:space="preserve">If a person today in the </w:t>
            </w:r>
            <w:r w:rsidRPr="00FE0EE5">
              <w:t>ordinary</w:t>
            </w:r>
            <w:r w:rsidRPr="00747EF6">
              <w:t xml:space="preserve"> course of business invests, </w:t>
            </w:r>
            <w:proofErr w:type="gramStart"/>
            <w:r w:rsidRPr="00747EF6">
              <w:t>administers</w:t>
            </w:r>
            <w:proofErr w:type="gramEnd"/>
            <w:r w:rsidRPr="00747EF6">
              <w:t xml:space="preserve"> or manages funds or money on behalf of another person (</w:t>
            </w:r>
            <w:proofErr w:type="spellStart"/>
            <w:r>
              <w:t>eg</w:t>
            </w:r>
            <w:proofErr w:type="spellEnd"/>
            <w:r w:rsidRPr="00747EF6">
              <w:t>, in the process of buying or selling NZUs)</w:t>
            </w:r>
            <w:r>
              <w:t>,</w:t>
            </w:r>
            <w:r w:rsidRPr="00747EF6">
              <w:t xml:space="preserve"> they are identified as a financial institution and are subject to AML/CFT </w:t>
            </w:r>
            <w:r>
              <w:t xml:space="preserve">Act </w:t>
            </w:r>
            <w:r w:rsidRPr="00747EF6">
              <w:t xml:space="preserve">obligations. </w:t>
            </w:r>
          </w:p>
          <w:p w14:paraId="671ABBBF" w14:textId="77777777" w:rsidR="00E003DB" w:rsidRPr="00747EF6" w:rsidRDefault="00E003DB" w:rsidP="00FB6809">
            <w:pPr>
              <w:pStyle w:val="Blueboxtext"/>
            </w:pPr>
            <w:r w:rsidRPr="00747EF6">
              <w:t>Alternatively, a financial advice provider</w:t>
            </w:r>
            <w:r w:rsidRPr="00747EF6" w:rsidDel="00FE0EE5">
              <w:t xml:space="preserve"> </w:t>
            </w:r>
            <w:r w:rsidRPr="00747EF6">
              <w:t xml:space="preserve">who only gives advice about acquiring or disposing of NZUs (and does not deal with a client’s money) is not </w:t>
            </w:r>
            <w:r>
              <w:t xml:space="preserve">captured </w:t>
            </w:r>
            <w:r w:rsidRPr="00747EF6">
              <w:t xml:space="preserve">under the AML/CFT Act. </w:t>
            </w:r>
          </w:p>
        </w:tc>
      </w:tr>
    </w:tbl>
    <w:p w14:paraId="566A67C4" w14:textId="66C494A8" w:rsidR="00E003DB" w:rsidRPr="00747EF6" w:rsidRDefault="00E003DB" w:rsidP="00FB6809">
      <w:pPr>
        <w:pStyle w:val="BodyText"/>
        <w:spacing w:before="240"/>
      </w:pPr>
      <w:r w:rsidRPr="00747EF6">
        <w:rPr>
          <w:b/>
        </w:rPr>
        <w:t>It is important to note</w:t>
      </w:r>
      <w:r w:rsidRPr="00747EF6">
        <w:t xml:space="preserve"> that</w:t>
      </w:r>
      <w:r w:rsidRPr="00747EF6" w:rsidDel="005A28A7">
        <w:t xml:space="preserve"> </w:t>
      </w:r>
      <w:r w:rsidRPr="00747EF6">
        <w:t>individual</w:t>
      </w:r>
      <w:r>
        <w:t>s</w:t>
      </w:r>
      <w:r w:rsidRPr="00747EF6">
        <w:t xml:space="preserve"> registered as</w:t>
      </w:r>
      <w:r w:rsidRPr="00747EF6" w:rsidDel="005A28A7">
        <w:t xml:space="preserve"> </w:t>
      </w:r>
      <w:r w:rsidRPr="00747EF6">
        <w:t>financial adviser</w:t>
      </w:r>
      <w:r w:rsidR="00F9185F">
        <w:t>s</w:t>
      </w:r>
      <w:r w:rsidRPr="00747EF6">
        <w:t xml:space="preserve"> are not reporting entit</w:t>
      </w:r>
      <w:r>
        <w:t>ies</w:t>
      </w:r>
      <w:r w:rsidRPr="00747EF6">
        <w:t xml:space="preserve"> under the AML/CFT Act</w:t>
      </w:r>
      <w:r>
        <w:t>,</w:t>
      </w:r>
      <w:r w:rsidRPr="00747EF6">
        <w:t xml:space="preserve"> simply </w:t>
      </w:r>
      <w:r w:rsidR="006D3D83">
        <w:t xml:space="preserve">by </w:t>
      </w:r>
      <w:r w:rsidRPr="00747EF6">
        <w:t xml:space="preserve">being a financial adviser. </w:t>
      </w:r>
    </w:p>
    <w:p w14:paraId="4B1BB7E6" w14:textId="77777777" w:rsidR="00E003DB" w:rsidRPr="00747EF6" w:rsidRDefault="00E003DB" w:rsidP="00E003DB">
      <w:pPr>
        <w:pStyle w:val="Heading4"/>
      </w:pPr>
      <w:r w:rsidRPr="00747EF6">
        <w:lastRenderedPageBreak/>
        <w:t>Licensed market operators</w:t>
      </w:r>
    </w:p>
    <w:p w14:paraId="016AC967" w14:textId="4F2281C9" w:rsidR="00E003DB" w:rsidRPr="00747EF6" w:rsidRDefault="00E003DB" w:rsidP="00E003DB">
      <w:pPr>
        <w:pStyle w:val="BodyText"/>
      </w:pPr>
      <w:r w:rsidRPr="00747EF6">
        <w:rPr>
          <w:rFonts w:cs="Calibri"/>
          <w:color w:val="201F1E"/>
          <w:shd w:val="clear" w:color="auto" w:fill="FFFFFF"/>
        </w:rPr>
        <w:t>The status quo proposal will apply existing AML/CFT obligations to new actors</w:t>
      </w:r>
      <w:r>
        <w:rPr>
          <w:rFonts w:cs="Calibri"/>
          <w:color w:val="201F1E"/>
          <w:shd w:val="clear" w:color="auto" w:fill="FFFFFF"/>
        </w:rPr>
        <w:t xml:space="preserve"> –</w:t>
      </w:r>
      <w:r w:rsidRPr="00747EF6">
        <w:rPr>
          <w:rFonts w:cs="Calibri"/>
          <w:color w:val="201F1E"/>
          <w:shd w:val="clear" w:color="auto" w:fill="FFFFFF"/>
        </w:rPr>
        <w:t xml:space="preserve"> for example</w:t>
      </w:r>
      <w:r>
        <w:rPr>
          <w:rFonts w:cs="Calibri"/>
          <w:color w:val="201F1E"/>
          <w:shd w:val="clear" w:color="auto" w:fill="FFFFFF"/>
        </w:rPr>
        <w:t>,</w:t>
      </w:r>
      <w:r w:rsidRPr="00747EF6">
        <w:rPr>
          <w:rFonts w:cs="Calibri"/>
          <w:color w:val="201F1E"/>
          <w:shd w:val="clear" w:color="auto" w:fill="FFFFFF"/>
        </w:rPr>
        <w:t xml:space="preserve"> persons </w:t>
      </w:r>
      <w:r>
        <w:rPr>
          <w:rFonts w:cs="Calibri"/>
          <w:color w:val="201F1E"/>
          <w:shd w:val="clear" w:color="auto" w:fill="FFFFFF"/>
        </w:rPr>
        <w:t>who</w:t>
      </w:r>
      <w:r w:rsidRPr="00747EF6">
        <w:rPr>
          <w:rFonts w:cs="Calibri"/>
          <w:color w:val="201F1E"/>
          <w:shd w:val="clear" w:color="auto" w:fill="FFFFFF"/>
        </w:rPr>
        <w:t xml:space="preserve"> become licensed NZU market operators and who fall under the definition of a </w:t>
      </w:r>
      <w:r>
        <w:rPr>
          <w:rFonts w:cs="Calibri"/>
          <w:color w:val="201F1E"/>
          <w:shd w:val="clear" w:color="auto" w:fill="FFFFFF"/>
        </w:rPr>
        <w:t>‘</w:t>
      </w:r>
      <w:r w:rsidRPr="00747EF6">
        <w:rPr>
          <w:rFonts w:cs="Calibri"/>
          <w:color w:val="201F1E"/>
          <w:shd w:val="clear" w:color="auto" w:fill="FFFFFF"/>
        </w:rPr>
        <w:t>financial institution</w:t>
      </w:r>
      <w:r>
        <w:rPr>
          <w:rFonts w:cs="Calibri"/>
          <w:color w:val="201F1E"/>
          <w:shd w:val="clear" w:color="auto" w:fill="FFFFFF"/>
        </w:rPr>
        <w:t>’,</w:t>
      </w:r>
      <w:r w:rsidRPr="00747EF6">
        <w:rPr>
          <w:rFonts w:cs="Calibri"/>
          <w:color w:val="201F1E"/>
          <w:shd w:val="clear" w:color="auto" w:fill="FFFFFF"/>
        </w:rPr>
        <w:t xml:space="preserve"> which is </w:t>
      </w:r>
      <w:r>
        <w:rPr>
          <w:rFonts w:cs="Calibri"/>
          <w:color w:val="201F1E"/>
          <w:shd w:val="clear" w:color="auto" w:fill="FFFFFF"/>
        </w:rPr>
        <w:t>detailed</w:t>
      </w:r>
      <w:r w:rsidRPr="00747EF6">
        <w:rPr>
          <w:rFonts w:cs="Calibri"/>
          <w:color w:val="201F1E"/>
          <w:shd w:val="clear" w:color="auto" w:fill="FFFFFF"/>
        </w:rPr>
        <w:t xml:space="preserve"> in the capture points</w:t>
      </w:r>
      <w:r>
        <w:rPr>
          <w:rFonts w:cs="Calibri"/>
          <w:color w:val="201F1E"/>
          <w:shd w:val="clear" w:color="auto" w:fill="FFFFFF"/>
        </w:rPr>
        <w:t xml:space="preserve"> </w:t>
      </w:r>
      <w:hyperlink w:anchor="_Capture_points_for" w:history="1">
        <w:r w:rsidRPr="00AA5027">
          <w:rPr>
            <w:rStyle w:val="Hyperlink"/>
            <w:rFonts w:cs="Calibri"/>
            <w:shd w:val="clear" w:color="auto" w:fill="FFFFFF"/>
          </w:rPr>
          <w:t>below</w:t>
        </w:r>
      </w:hyperlink>
      <w:r w:rsidRPr="00747EF6">
        <w:rPr>
          <w:rFonts w:cs="Calibri"/>
          <w:color w:val="201F1E"/>
          <w:shd w:val="clear" w:color="auto" w:fill="FFFFFF"/>
        </w:rPr>
        <w:t>.</w:t>
      </w:r>
    </w:p>
    <w:p w14:paraId="78BD1588" w14:textId="77777777" w:rsidR="00E003DB" w:rsidRPr="00747EF6" w:rsidRDefault="00E003DB" w:rsidP="00E003DB">
      <w:pPr>
        <w:pStyle w:val="Heading4"/>
      </w:pPr>
      <w:bookmarkStart w:id="150" w:name="_Capture_points_for"/>
      <w:bookmarkEnd w:id="150"/>
      <w:r w:rsidRPr="00747EF6">
        <w:t xml:space="preserve">Capture points for AML/CFT </w:t>
      </w:r>
      <w:r>
        <w:t xml:space="preserve">framework </w:t>
      </w:r>
      <w:r w:rsidRPr="00747EF6">
        <w:t>within the NZU market</w:t>
      </w:r>
    </w:p>
    <w:p w14:paraId="08F00D8E" w14:textId="77777777" w:rsidR="00E003DB" w:rsidRPr="00747EF6" w:rsidRDefault="00E003DB" w:rsidP="00E003DB">
      <w:pPr>
        <w:pStyle w:val="BodyText"/>
      </w:pPr>
      <w:r w:rsidRPr="00747EF6">
        <w:t xml:space="preserve">The AML/CFT Act specifies a list of financial activities that can help an NZU market user to determine what type of actions would mean they are captured. </w:t>
      </w:r>
    </w:p>
    <w:p w14:paraId="7C44A513" w14:textId="1E87EBC4" w:rsidR="00E003DB" w:rsidRPr="00747EF6" w:rsidRDefault="00E003DB" w:rsidP="00E003DB">
      <w:pPr>
        <w:pStyle w:val="BodyText"/>
      </w:pPr>
      <w:r>
        <w:t xml:space="preserve">The Act provides </w:t>
      </w:r>
      <w:r w:rsidRPr="00747EF6">
        <w:t xml:space="preserve">a list of activities which, if carried on in the </w:t>
      </w:r>
      <w:r w:rsidRPr="00B92DFA">
        <w:t>ordinary course of business</w:t>
      </w:r>
      <w:r w:rsidRPr="00747EF6">
        <w:t>,</w:t>
      </w:r>
      <w:r>
        <w:rPr>
          <w:rStyle w:val="FootnoteReference"/>
        </w:rPr>
        <w:footnoteReference w:id="48"/>
      </w:r>
      <w:r w:rsidRPr="00747EF6">
        <w:t xml:space="preserve"> will mean a person is a </w:t>
      </w:r>
      <w:r>
        <w:t>‘</w:t>
      </w:r>
      <w:r w:rsidRPr="00747EF6">
        <w:t>financial institution</w:t>
      </w:r>
      <w:r>
        <w:t>’</w:t>
      </w:r>
      <w:r w:rsidRPr="00747EF6">
        <w:t xml:space="preserve"> and therefore a reporting entity under the AML/CFT Act.</w:t>
      </w:r>
      <w:r>
        <w:t xml:space="preserve"> </w:t>
      </w:r>
      <w:r w:rsidR="0063585F">
        <w:t>Table 15</w:t>
      </w:r>
      <w:r>
        <w:t xml:space="preserve"> sets out the description of the activities, contained </w:t>
      </w:r>
      <w:r w:rsidRPr="00747EF6">
        <w:t>in</w:t>
      </w:r>
      <w:r>
        <w:t xml:space="preserve"> </w:t>
      </w:r>
      <w:hyperlink r:id="rId52" w:history="1">
        <w:r w:rsidRPr="009526A6">
          <w:rPr>
            <w:rStyle w:val="Hyperlink"/>
          </w:rPr>
          <w:t>section 5(1) of the AML/CFT Act</w:t>
        </w:r>
      </w:hyperlink>
      <w:r>
        <w:t>.</w:t>
      </w:r>
      <w:r w:rsidRPr="00747EF6">
        <w:t xml:space="preserve"> </w:t>
      </w:r>
      <w:r>
        <w:t xml:space="preserve">The Act also specifies the inclusion of a person or class of persons declared by regulations to be a financial institution for the purposes of the AML/CFT Act (and the exclusion of the inverse). </w:t>
      </w:r>
    </w:p>
    <w:p w14:paraId="707DB559" w14:textId="77777777" w:rsidR="00E003DB" w:rsidRDefault="00FF4A97" w:rsidP="00FF4A97">
      <w:pPr>
        <w:pStyle w:val="Tableheading"/>
      </w:pPr>
      <w:bookmarkStart w:id="151" w:name="_Toc118953833"/>
      <w:r w:rsidDel="006C6F77">
        <w:t xml:space="preserve">Table </w:t>
      </w:r>
      <w:fldSimple w:instr=" SEQ Table \* ARABIC ">
        <w:r w:rsidR="00C67DAB">
          <w:rPr>
            <w:noProof/>
          </w:rPr>
          <w:t>15</w:t>
        </w:r>
      </w:fldSimple>
      <w:r>
        <w:t xml:space="preserve">: </w:t>
      </w:r>
      <w:r>
        <w:tab/>
      </w:r>
      <w:r>
        <w:tab/>
      </w:r>
      <w:r w:rsidR="00E003DB">
        <w:t>Activities undertaken by an AML/CFT reporting entity</w:t>
      </w:r>
      <w:bookmarkEnd w:id="151"/>
    </w:p>
    <w:tbl>
      <w:tblPr>
        <w:tblStyle w:val="GridTable4-Accent1"/>
        <w:tblW w:w="4938" w:type="pct"/>
        <w:tblInd w:w="108"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shd w:val="clear" w:color="auto" w:fill="FFFFFF" w:themeFill="background1"/>
        <w:tblLook w:val="04A0" w:firstRow="1" w:lastRow="0" w:firstColumn="1" w:lastColumn="0" w:noHBand="0" w:noVBand="1"/>
      </w:tblPr>
      <w:tblGrid>
        <w:gridCol w:w="8390"/>
      </w:tblGrid>
      <w:tr w:rsidR="00E003DB" w:rsidRPr="00E560C1" w14:paraId="05C8572E" w14:textId="77777777" w:rsidTr="00FF4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1C556C"/>
          </w:tcPr>
          <w:p w14:paraId="21A30375" w14:textId="77777777" w:rsidR="00E003DB" w:rsidRPr="00E560C1" w:rsidRDefault="00E003DB" w:rsidP="00006371">
            <w:pPr>
              <w:pStyle w:val="TableText"/>
              <w:rPr>
                <w:bdr w:val="none" w:sz="0" w:space="0" w:color="auto" w:frame="1"/>
              </w:rPr>
            </w:pPr>
            <w:r>
              <w:rPr>
                <w:bdr w:val="none" w:sz="0" w:space="0" w:color="auto" w:frame="1"/>
              </w:rPr>
              <w:t>Activities of a financial institution (described by AML/CFT Act)</w:t>
            </w:r>
          </w:p>
        </w:tc>
      </w:tr>
      <w:tr w:rsidR="00E003DB" w:rsidRPr="00E560C1" w14:paraId="350D2CD4" w14:textId="77777777" w:rsidTr="00FF4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71C5319C" w14:textId="77777777" w:rsidR="00E003DB" w:rsidRPr="00FF4A97" w:rsidRDefault="00E003DB" w:rsidP="00FF4A97">
            <w:pPr>
              <w:pStyle w:val="TableBullet"/>
              <w:rPr>
                <w:b w:val="0"/>
                <w:bCs w:val="0"/>
              </w:rPr>
            </w:pPr>
            <w:r w:rsidRPr="00FF4A97">
              <w:rPr>
                <w:b w:val="0"/>
                <w:bCs w:val="0"/>
              </w:rPr>
              <w:t>accepting deposits or other repayable funds from the public</w:t>
            </w:r>
          </w:p>
        </w:tc>
      </w:tr>
      <w:tr w:rsidR="00E003DB" w:rsidRPr="00747EF6" w14:paraId="4A550726" w14:textId="77777777" w:rsidTr="00FF4A97">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557D7DEE" w14:textId="77777777" w:rsidR="00E003DB" w:rsidRPr="00FF4A97" w:rsidRDefault="00E003DB" w:rsidP="00FF4A97">
            <w:pPr>
              <w:pStyle w:val="TableBullet"/>
              <w:rPr>
                <w:b w:val="0"/>
                <w:bCs w:val="0"/>
              </w:rPr>
            </w:pPr>
            <w:r w:rsidRPr="00FF4A97">
              <w:rPr>
                <w:b w:val="0"/>
                <w:bCs w:val="0"/>
              </w:rPr>
              <w:t>lending to or for a customer, including consumer credit, mortgage credit, factoring (with or without recourse), and financing of commercial transactions (including forfeiting)</w:t>
            </w:r>
          </w:p>
        </w:tc>
      </w:tr>
      <w:tr w:rsidR="00E003DB" w:rsidRPr="00747EF6" w14:paraId="100C6B9D" w14:textId="77777777" w:rsidTr="00FF4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3B002807" w14:textId="77777777" w:rsidR="00E003DB" w:rsidRPr="00FF4A97" w:rsidRDefault="00E003DB" w:rsidP="00FF4A97">
            <w:pPr>
              <w:pStyle w:val="TableBullet"/>
              <w:rPr>
                <w:b w:val="0"/>
                <w:bCs w:val="0"/>
              </w:rPr>
            </w:pPr>
            <w:r w:rsidRPr="00FF4A97">
              <w:rPr>
                <w:b w:val="0"/>
                <w:bCs w:val="0"/>
              </w:rPr>
              <w:t>financial leasing (excluding financial leasing arrangements in relation to consumer products)</w:t>
            </w:r>
          </w:p>
        </w:tc>
      </w:tr>
      <w:tr w:rsidR="00E003DB" w:rsidRPr="00747EF6" w14:paraId="720643DD" w14:textId="77777777" w:rsidTr="00FF4A97">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47891C0F" w14:textId="77777777" w:rsidR="00E003DB" w:rsidRPr="00FF4A97" w:rsidRDefault="00E003DB" w:rsidP="00FF4A97">
            <w:pPr>
              <w:pStyle w:val="TableBullet"/>
              <w:rPr>
                <w:b w:val="0"/>
                <w:bCs w:val="0"/>
              </w:rPr>
            </w:pPr>
            <w:r w:rsidRPr="00FF4A97">
              <w:rPr>
                <w:b w:val="0"/>
                <w:bCs w:val="0"/>
              </w:rPr>
              <w:t>transferring money or value for, or on behalf of, a customer</w:t>
            </w:r>
          </w:p>
        </w:tc>
      </w:tr>
      <w:tr w:rsidR="00E003DB" w:rsidRPr="00747EF6" w14:paraId="72E4BA20" w14:textId="77777777" w:rsidTr="00FF4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75665C02" w14:textId="77777777" w:rsidR="00E003DB" w:rsidRPr="00FF4A97" w:rsidRDefault="00E003DB" w:rsidP="00FF4A97">
            <w:pPr>
              <w:pStyle w:val="TableBullet"/>
              <w:rPr>
                <w:b w:val="0"/>
                <w:bCs w:val="0"/>
              </w:rPr>
            </w:pPr>
            <w:r w:rsidRPr="00FF4A97">
              <w:rPr>
                <w:b w:val="0"/>
                <w:bCs w:val="0"/>
              </w:rPr>
              <w:t>issuing or managing the means of payment (</w:t>
            </w:r>
            <w:proofErr w:type="spellStart"/>
            <w:r w:rsidRPr="00FF4A97">
              <w:rPr>
                <w:b w:val="0"/>
                <w:bCs w:val="0"/>
              </w:rPr>
              <w:t>eg</w:t>
            </w:r>
            <w:proofErr w:type="spellEnd"/>
            <w:r w:rsidRPr="00FF4A97">
              <w:rPr>
                <w:b w:val="0"/>
                <w:bCs w:val="0"/>
              </w:rPr>
              <w:t>, credit or debit cards, cheques, traveller’s cheques, money orders, bankers’ drafts, or electronic money)</w:t>
            </w:r>
          </w:p>
        </w:tc>
      </w:tr>
      <w:tr w:rsidR="00E003DB" w:rsidRPr="00747EF6" w14:paraId="6BECF3EF" w14:textId="77777777" w:rsidTr="00FF4A97">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4BC55223" w14:textId="77777777" w:rsidR="00E003DB" w:rsidRPr="00FF4A97" w:rsidRDefault="00E003DB" w:rsidP="00FF4A97">
            <w:pPr>
              <w:pStyle w:val="TableBullet"/>
              <w:rPr>
                <w:b w:val="0"/>
                <w:bCs w:val="0"/>
              </w:rPr>
            </w:pPr>
            <w:r w:rsidRPr="00FF4A97">
              <w:rPr>
                <w:b w:val="0"/>
                <w:bCs w:val="0"/>
              </w:rPr>
              <w:t>undertaking financial guarantees and commitments</w:t>
            </w:r>
          </w:p>
        </w:tc>
      </w:tr>
      <w:tr w:rsidR="00E003DB" w:rsidRPr="00747EF6" w14:paraId="70EAA865" w14:textId="77777777" w:rsidTr="00FF4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7C571540" w14:textId="5D3456D4" w:rsidR="00E003DB" w:rsidRPr="00FF4A97" w:rsidRDefault="00E003DB" w:rsidP="00006371">
            <w:pPr>
              <w:pStyle w:val="TableBullet"/>
              <w:rPr>
                <w:b w:val="0"/>
                <w:bCs w:val="0"/>
                <w:bdr w:val="none" w:sz="0" w:space="0" w:color="auto" w:frame="1"/>
              </w:rPr>
            </w:pPr>
            <w:r w:rsidRPr="00FF4A97">
              <w:rPr>
                <w:b w:val="0"/>
                <w:bCs w:val="0"/>
                <w:bdr w:val="none" w:sz="0" w:space="0" w:color="auto" w:frame="1"/>
              </w:rPr>
              <w:t>trading for, or on behalf of, a customer in any of the following</w:t>
            </w:r>
            <w:r w:rsidR="00AC1540">
              <w:rPr>
                <w:b w:val="0"/>
                <w:bCs w:val="0"/>
                <w:bdr w:val="none" w:sz="0" w:space="0" w:color="auto" w:frame="1"/>
              </w:rPr>
              <w:t>,</w:t>
            </w:r>
            <w:r w:rsidRPr="00FF4A97">
              <w:rPr>
                <w:b w:val="0"/>
                <w:bCs w:val="0"/>
                <w:bdr w:val="none" w:sz="0" w:space="0" w:color="auto" w:frame="1"/>
              </w:rPr>
              <w:t xml:space="preserve"> using the person’s account or the customer’s account:</w:t>
            </w:r>
          </w:p>
          <w:p w14:paraId="33D73B27" w14:textId="615A0EF7" w:rsidR="00E003DB" w:rsidRPr="00FF4A97" w:rsidRDefault="00E003DB" w:rsidP="00FF4A97">
            <w:pPr>
              <w:pStyle w:val="TableDash"/>
              <w:rPr>
                <w:b w:val="0"/>
                <w:bCs w:val="0"/>
                <w:color w:val="201F1E"/>
              </w:rPr>
            </w:pPr>
            <w:r w:rsidRPr="00FF4A97">
              <w:rPr>
                <w:b w:val="0"/>
                <w:bCs w:val="0"/>
                <w:bdr w:val="none" w:sz="0" w:space="0" w:color="auto" w:frame="1"/>
              </w:rPr>
              <w:t>money market instruments (</w:t>
            </w:r>
            <w:proofErr w:type="spellStart"/>
            <w:r w:rsidR="00AC1540">
              <w:rPr>
                <w:b w:val="0"/>
                <w:bCs w:val="0"/>
                <w:bdr w:val="none" w:sz="0" w:space="0" w:color="auto" w:frame="1"/>
              </w:rPr>
              <w:t>eg</w:t>
            </w:r>
            <w:proofErr w:type="spellEnd"/>
            <w:r w:rsidRPr="00FF4A97">
              <w:rPr>
                <w:b w:val="0"/>
                <w:bCs w:val="0"/>
                <w:bdr w:val="none" w:sz="0" w:space="0" w:color="auto" w:frame="1"/>
              </w:rPr>
              <w:t>, cheques, bills, or derivatives)</w:t>
            </w:r>
          </w:p>
          <w:p w14:paraId="6305073B" w14:textId="77777777" w:rsidR="00E003DB" w:rsidRPr="00FF4A97" w:rsidRDefault="00E003DB" w:rsidP="00FF4A97">
            <w:pPr>
              <w:pStyle w:val="TableDash"/>
              <w:rPr>
                <w:b w:val="0"/>
                <w:bCs w:val="0"/>
                <w:color w:val="201F1E"/>
              </w:rPr>
            </w:pPr>
            <w:r w:rsidRPr="00FF4A97">
              <w:rPr>
                <w:b w:val="0"/>
                <w:bCs w:val="0"/>
                <w:bdr w:val="none" w:sz="0" w:space="0" w:color="auto" w:frame="1"/>
              </w:rPr>
              <w:t>foreign exchange</w:t>
            </w:r>
          </w:p>
          <w:p w14:paraId="52F347E3" w14:textId="56FCF2F8" w:rsidR="00E003DB" w:rsidRPr="00FF4A97" w:rsidRDefault="00E003DB" w:rsidP="00FF4A97">
            <w:pPr>
              <w:pStyle w:val="TableDash"/>
              <w:rPr>
                <w:b w:val="0"/>
                <w:bCs w:val="0"/>
                <w:color w:val="201F1E"/>
              </w:rPr>
            </w:pPr>
            <w:r w:rsidRPr="00FF4A97">
              <w:rPr>
                <w:b w:val="0"/>
                <w:bCs w:val="0"/>
                <w:bdr w:val="none" w:sz="0" w:space="0" w:color="auto" w:frame="1"/>
              </w:rPr>
              <w:t>exchange, interest rate or index instruments</w:t>
            </w:r>
          </w:p>
          <w:p w14:paraId="5A19A70E" w14:textId="77777777" w:rsidR="00E003DB" w:rsidRPr="00FF4A97" w:rsidRDefault="00E003DB" w:rsidP="00FF4A97">
            <w:pPr>
              <w:pStyle w:val="TableDash"/>
              <w:rPr>
                <w:b w:val="0"/>
                <w:bCs w:val="0"/>
                <w:color w:val="201F1E"/>
              </w:rPr>
            </w:pPr>
            <w:r w:rsidRPr="00FF4A97">
              <w:rPr>
                <w:b w:val="0"/>
                <w:bCs w:val="0"/>
                <w:bdr w:val="none" w:sz="0" w:space="0" w:color="auto" w:frame="1"/>
              </w:rPr>
              <w:t>transferable securities</w:t>
            </w:r>
          </w:p>
          <w:p w14:paraId="252AAAE4" w14:textId="77777777" w:rsidR="00E003DB" w:rsidRPr="00D84235" w:rsidRDefault="00E003DB" w:rsidP="00FF4A97">
            <w:pPr>
              <w:pStyle w:val="TableDash"/>
              <w:rPr>
                <w:b w:val="0"/>
                <w:color w:val="201F1E"/>
              </w:rPr>
            </w:pPr>
            <w:r w:rsidRPr="00FF4A97">
              <w:rPr>
                <w:b w:val="0"/>
                <w:bCs w:val="0"/>
                <w:bdr w:val="none" w:sz="0" w:space="0" w:color="auto" w:frame="1"/>
              </w:rPr>
              <w:t>commodity futures trading</w:t>
            </w:r>
          </w:p>
        </w:tc>
      </w:tr>
      <w:tr w:rsidR="00E003DB" w:rsidRPr="00747EF6" w14:paraId="5C4CAC75" w14:textId="77777777" w:rsidTr="00FF4A97">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754B140A" w14:textId="77777777" w:rsidR="00E003DB" w:rsidRPr="00FF4A97" w:rsidRDefault="00E003DB" w:rsidP="00FF4A97">
            <w:pPr>
              <w:pStyle w:val="TableBullet"/>
              <w:rPr>
                <w:b w:val="0"/>
                <w:bCs w:val="0"/>
              </w:rPr>
            </w:pPr>
            <w:r w:rsidRPr="00FF4A97">
              <w:rPr>
                <w:b w:val="0"/>
                <w:bCs w:val="0"/>
              </w:rPr>
              <w:t>participating in securities issues and the provision of financial services related to those issues</w:t>
            </w:r>
          </w:p>
        </w:tc>
      </w:tr>
      <w:tr w:rsidR="00E003DB" w:rsidRPr="00747EF6" w14:paraId="5F8B1FE1" w14:textId="77777777" w:rsidTr="00FF4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0480E2D8" w14:textId="77777777" w:rsidR="00E003DB" w:rsidRPr="00FF4A97" w:rsidRDefault="00E003DB" w:rsidP="00FF4A97">
            <w:pPr>
              <w:pStyle w:val="TableBullet"/>
              <w:rPr>
                <w:b w:val="0"/>
                <w:bCs w:val="0"/>
              </w:rPr>
            </w:pPr>
            <w:r w:rsidRPr="00FF4A97">
              <w:rPr>
                <w:b w:val="0"/>
                <w:bCs w:val="0"/>
              </w:rPr>
              <w:t>managing individual or collective portfolios</w:t>
            </w:r>
          </w:p>
        </w:tc>
      </w:tr>
      <w:tr w:rsidR="00E003DB" w:rsidRPr="00747EF6" w14:paraId="42D11F7C" w14:textId="77777777" w:rsidTr="00FF4A97">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7752E968" w14:textId="77777777" w:rsidR="00E003DB" w:rsidRPr="00FF4A97" w:rsidRDefault="00E003DB" w:rsidP="00FF4A97">
            <w:pPr>
              <w:pStyle w:val="TableBullet"/>
              <w:rPr>
                <w:b w:val="0"/>
                <w:bCs w:val="0"/>
              </w:rPr>
            </w:pPr>
            <w:r w:rsidRPr="00FF4A97">
              <w:rPr>
                <w:b w:val="0"/>
                <w:bCs w:val="0"/>
              </w:rPr>
              <w:t>safe keeping or administering of cash or liquid securities on behalf of other persons</w:t>
            </w:r>
          </w:p>
        </w:tc>
      </w:tr>
      <w:tr w:rsidR="00E003DB" w:rsidRPr="00747EF6" w14:paraId="1BBA1ADD" w14:textId="77777777" w:rsidTr="00FF4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6BB1B6AE" w14:textId="77777777" w:rsidR="00E003DB" w:rsidRPr="00FF4A97" w:rsidRDefault="00E003DB" w:rsidP="00FF4A97">
            <w:pPr>
              <w:pStyle w:val="TableBullet"/>
              <w:rPr>
                <w:b w:val="0"/>
                <w:bCs w:val="0"/>
              </w:rPr>
            </w:pPr>
            <w:r w:rsidRPr="00FF4A97">
              <w:rPr>
                <w:b w:val="0"/>
                <w:bCs w:val="0"/>
              </w:rPr>
              <w:t>investing, administering, or managing funds or money on behalf of other persons</w:t>
            </w:r>
          </w:p>
        </w:tc>
      </w:tr>
      <w:tr w:rsidR="00E003DB" w:rsidRPr="00747EF6" w14:paraId="58D1D9C0" w14:textId="77777777" w:rsidTr="00FF4A97">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4DA54842" w14:textId="77777777" w:rsidR="00E003DB" w:rsidRPr="00FF4A97" w:rsidRDefault="00E003DB" w:rsidP="00FF4A97">
            <w:pPr>
              <w:pStyle w:val="TableBullet"/>
              <w:rPr>
                <w:b w:val="0"/>
                <w:bCs w:val="0"/>
              </w:rPr>
            </w:pPr>
            <w:r w:rsidRPr="00FF4A97">
              <w:rPr>
                <w:b w:val="0"/>
                <w:bCs w:val="0"/>
              </w:rPr>
              <w:t>issuing, or undertaking liability under, life insurance policies as an insurer</w:t>
            </w:r>
          </w:p>
        </w:tc>
      </w:tr>
      <w:tr w:rsidR="00E003DB" w:rsidRPr="00747EF6" w14:paraId="3AF3B293" w14:textId="77777777" w:rsidTr="00FF4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059B896C" w14:textId="77777777" w:rsidR="00E003DB" w:rsidRPr="00FF4A97" w:rsidRDefault="00E003DB" w:rsidP="00FF4A97">
            <w:pPr>
              <w:pStyle w:val="TableBullet"/>
              <w:rPr>
                <w:b w:val="0"/>
                <w:bCs w:val="0"/>
              </w:rPr>
            </w:pPr>
            <w:r w:rsidRPr="00FF4A97">
              <w:rPr>
                <w:b w:val="0"/>
                <w:bCs w:val="0"/>
              </w:rPr>
              <w:t>money or currency changing</w:t>
            </w:r>
          </w:p>
        </w:tc>
      </w:tr>
    </w:tbl>
    <w:p w14:paraId="3216900A" w14:textId="4101FABF" w:rsidR="00E003DB" w:rsidRPr="00747EF6" w:rsidRDefault="00E003DB" w:rsidP="00E003DB">
      <w:pPr>
        <w:pStyle w:val="BodyText"/>
      </w:pPr>
      <w:r>
        <w:fldChar w:fldCharType="begin"/>
      </w:r>
      <w:r>
        <w:fldChar w:fldCharType="separate"/>
      </w:r>
      <w:r>
        <w:rPr>
          <w:rStyle w:val="Hyperlink"/>
        </w:rPr>
        <w:t>S</w:t>
      </w:r>
      <w:r w:rsidRPr="009526A6">
        <w:rPr>
          <w:rStyle w:val="Hyperlink"/>
        </w:rPr>
        <w:t>ection 5(1) of the AML/CFT Act</w:t>
      </w:r>
      <w:r>
        <w:fldChar w:fldCharType="end"/>
      </w:r>
      <w:r w:rsidR="00B23F1C">
        <w:t>A</w:t>
      </w:r>
      <w:r>
        <w:t xml:space="preserve"> </w:t>
      </w:r>
      <w:r w:rsidRPr="00747EF6">
        <w:t>designated non-financial business or profession</w:t>
      </w:r>
      <w:r>
        <w:t xml:space="preserve"> may also be captured as a reporting entity. This would include</w:t>
      </w:r>
      <w:r w:rsidRPr="00747EF6">
        <w:t xml:space="preserve">: </w:t>
      </w:r>
    </w:p>
    <w:p w14:paraId="26A092EC" w14:textId="77777777" w:rsidR="00E003DB" w:rsidRPr="00747EF6" w:rsidRDefault="00E003DB" w:rsidP="00E003DB">
      <w:pPr>
        <w:pStyle w:val="Bullet"/>
        <w:tabs>
          <w:tab w:val="num" w:pos="397"/>
        </w:tabs>
        <w:spacing w:line="280" w:lineRule="exact"/>
      </w:pPr>
      <w:r w:rsidRPr="00747EF6">
        <w:t xml:space="preserve">a law </w:t>
      </w:r>
      <w:proofErr w:type="gramStart"/>
      <w:r w:rsidRPr="00747EF6">
        <w:t>firm</w:t>
      </w:r>
      <w:proofErr w:type="gramEnd"/>
    </w:p>
    <w:p w14:paraId="79311F8E" w14:textId="77777777" w:rsidR="00E003DB" w:rsidRPr="00747EF6" w:rsidRDefault="00E003DB" w:rsidP="00E003DB">
      <w:pPr>
        <w:pStyle w:val="Bullet"/>
        <w:tabs>
          <w:tab w:val="num" w:pos="397"/>
        </w:tabs>
        <w:spacing w:line="280" w:lineRule="exact"/>
      </w:pPr>
      <w:r w:rsidRPr="00747EF6">
        <w:t>a conveyancing practitioner an incorporated conveyancing firm</w:t>
      </w:r>
    </w:p>
    <w:p w14:paraId="6C9470C9" w14:textId="77777777" w:rsidR="00E003DB" w:rsidRPr="00747EF6" w:rsidRDefault="00E003DB" w:rsidP="00E003DB">
      <w:pPr>
        <w:pStyle w:val="Bullet"/>
        <w:tabs>
          <w:tab w:val="num" w:pos="397"/>
        </w:tabs>
        <w:spacing w:line="280" w:lineRule="exact"/>
      </w:pPr>
      <w:r w:rsidRPr="00747EF6">
        <w:lastRenderedPageBreak/>
        <w:t>a real estate agent</w:t>
      </w:r>
    </w:p>
    <w:p w14:paraId="15B7C5EF" w14:textId="77777777" w:rsidR="00E003DB" w:rsidRPr="00747EF6" w:rsidRDefault="00E003DB" w:rsidP="00E003DB">
      <w:pPr>
        <w:pStyle w:val="Bullet"/>
        <w:tabs>
          <w:tab w:val="num" w:pos="397"/>
        </w:tabs>
        <w:spacing w:line="280" w:lineRule="exact"/>
      </w:pPr>
      <w:r w:rsidRPr="00747EF6">
        <w:t>a trust and company service provider</w:t>
      </w:r>
      <w:r>
        <w:t>/</w:t>
      </w:r>
    </w:p>
    <w:p w14:paraId="46311F7D" w14:textId="77777777" w:rsidR="00E003DB" w:rsidRPr="00747EF6" w:rsidRDefault="00E003DB" w:rsidP="00E003DB">
      <w:pPr>
        <w:pStyle w:val="BodyText"/>
        <w:rPr>
          <w:rFonts w:cs="Calibri"/>
        </w:rPr>
      </w:pPr>
      <w:r>
        <w:t>Certain</w:t>
      </w:r>
      <w:r w:rsidRPr="00747EF6">
        <w:t xml:space="preserve"> obligations will apply to </w:t>
      </w:r>
      <w:r>
        <w:t>anyone who identifies that their organisation undertakes these activities.</w:t>
      </w:r>
      <w:r w:rsidRPr="00747EF6">
        <w:t xml:space="preserve"> More information about how to</w:t>
      </w:r>
      <w:r>
        <w:t xml:space="preserve"> fulfil</w:t>
      </w:r>
      <w:r w:rsidRPr="00747EF6">
        <w:t xml:space="preserve"> these obligations can be found </w:t>
      </w:r>
      <w:r>
        <w:t>in the section on</w:t>
      </w:r>
      <w:r w:rsidRPr="00747EF6">
        <w:t xml:space="preserve"> ‘</w:t>
      </w:r>
      <w:r>
        <w:fldChar w:fldCharType="begin"/>
      </w:r>
      <w:r>
        <w:instrText xml:space="preserve"> REF _Ref118622845 \h </w:instrText>
      </w:r>
      <w:r>
        <w:fldChar w:fldCharType="separate"/>
      </w:r>
      <w:r w:rsidR="00C67DAB" w:rsidRPr="00747EF6">
        <w:t>Guidance – understanding AML/CFT obligations</w:t>
      </w:r>
      <w:r>
        <w:fldChar w:fldCharType="end"/>
      </w:r>
      <w:r>
        <w:t>’</w:t>
      </w:r>
      <w:r w:rsidRPr="00747EF6">
        <w:t>.</w:t>
      </w:r>
    </w:p>
    <w:p w14:paraId="6591EB0E" w14:textId="77777777" w:rsidR="00E003DB" w:rsidRPr="00B92DFA" w:rsidRDefault="00E003DB" w:rsidP="00E003DB">
      <w:pPr>
        <w:pStyle w:val="Heading5"/>
        <w:rPr>
          <w:rStyle w:val="Strong"/>
          <w:b w:val="0"/>
        </w:rPr>
      </w:pPr>
      <w:r w:rsidRPr="00914FBA">
        <w:rPr>
          <w:rStyle w:val="Strong"/>
          <w:b w:val="0"/>
          <w:bCs w:val="0"/>
        </w:rPr>
        <w:t>OTC trades in the NZU market</w:t>
      </w:r>
    </w:p>
    <w:p w14:paraId="29F36076" w14:textId="77777777" w:rsidR="00E003DB" w:rsidRPr="00747EF6" w:rsidRDefault="00E003DB" w:rsidP="00E003DB">
      <w:pPr>
        <w:pStyle w:val="BodyText"/>
        <w:rPr>
          <w:rFonts w:cs="Calibri"/>
        </w:rPr>
      </w:pPr>
      <w:r w:rsidRPr="00747EF6">
        <w:rPr>
          <w:rFonts w:cs="Calibri"/>
        </w:rPr>
        <w:t>OTC or bilateral trades in the NZU market would not be captured under the AML/CFT Act</w:t>
      </w:r>
      <w:r>
        <w:rPr>
          <w:rFonts w:cs="Calibri"/>
        </w:rPr>
        <w:t xml:space="preserve">. Although </w:t>
      </w:r>
      <w:r w:rsidRPr="00747EF6">
        <w:rPr>
          <w:rFonts w:cs="Calibri"/>
        </w:rPr>
        <w:t xml:space="preserve">the underlying transfer of funds with value </w:t>
      </w:r>
      <w:r>
        <w:rPr>
          <w:rFonts w:cs="Calibri"/>
        </w:rPr>
        <w:t>(</w:t>
      </w:r>
      <w:proofErr w:type="spellStart"/>
      <w:r w:rsidRPr="00747EF6">
        <w:rPr>
          <w:rFonts w:cs="Calibri"/>
        </w:rPr>
        <w:t>eg</w:t>
      </w:r>
      <w:proofErr w:type="spellEnd"/>
      <w:r w:rsidRPr="00747EF6">
        <w:rPr>
          <w:rFonts w:cs="Calibri"/>
        </w:rPr>
        <w:t>, through a bank</w:t>
      </w:r>
      <w:r>
        <w:rPr>
          <w:rFonts w:cs="Calibri"/>
        </w:rPr>
        <w:t>)</w:t>
      </w:r>
      <w:r w:rsidRPr="00747EF6">
        <w:rPr>
          <w:rFonts w:cs="Calibri"/>
        </w:rPr>
        <w:t xml:space="preserve"> are captured, it is the bank which holds AML/CFT reporting obligations.</w:t>
      </w:r>
    </w:p>
    <w:tbl>
      <w:tblPr>
        <w:tblStyle w:val="TableGrid"/>
        <w:tblW w:w="493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8400"/>
      </w:tblGrid>
      <w:tr w:rsidR="00E003DB" w:rsidRPr="00747EF6" w14:paraId="352FEB4D" w14:textId="77777777" w:rsidTr="00FF4A97">
        <w:tc>
          <w:tcPr>
            <w:tcW w:w="5000" w:type="pct"/>
            <w:shd w:val="clear" w:color="auto" w:fill="D2DDE2"/>
          </w:tcPr>
          <w:p w14:paraId="78C869AD" w14:textId="77777777" w:rsidR="00E003DB" w:rsidRPr="00B92DFA" w:rsidRDefault="00E003DB" w:rsidP="00FF4A97">
            <w:pPr>
              <w:pStyle w:val="Blueboxtext"/>
            </w:pPr>
            <w:r w:rsidRPr="00B92DFA">
              <w:t>Examples of NZ</w:t>
            </w:r>
            <w:r>
              <w:t> </w:t>
            </w:r>
            <w:r w:rsidRPr="00B92DFA">
              <w:t xml:space="preserve">ETS </w:t>
            </w:r>
            <w:r>
              <w:rPr>
                <w:b/>
                <w:bCs/>
              </w:rPr>
              <w:t>f</w:t>
            </w:r>
            <w:r w:rsidRPr="00B92DFA">
              <w:t>orestry interactions with the AML/CFT Act</w:t>
            </w:r>
          </w:p>
          <w:p w14:paraId="3B8B17BF" w14:textId="77777777" w:rsidR="00E003DB" w:rsidRPr="00FF4A97" w:rsidRDefault="00E003DB" w:rsidP="00FF4A97">
            <w:pPr>
              <w:pStyle w:val="BodyText-Numbered"/>
              <w:ind w:left="888" w:hanging="567"/>
              <w:rPr>
                <w:i/>
                <w:color w:val="1B556B"/>
              </w:rPr>
            </w:pPr>
            <w:r w:rsidRPr="00FF4A97">
              <w:rPr>
                <w:i/>
                <w:color w:val="1B556B"/>
              </w:rPr>
              <w:t>Family member A manages Family member B’s accounts on their behalf</w:t>
            </w:r>
            <w:r w:rsidRPr="00FF4A97">
              <w:rPr>
                <w:i/>
                <w:iCs/>
                <w:color w:val="1B556B"/>
              </w:rPr>
              <w:t>,</w:t>
            </w:r>
            <w:r w:rsidRPr="00FF4A97">
              <w:rPr>
                <w:i/>
                <w:color w:val="1B556B"/>
              </w:rPr>
              <w:t xml:space="preserve"> and NZUs are traded in the NZU market. Are they captured under </w:t>
            </w:r>
            <w:r w:rsidRPr="00FF4A97">
              <w:rPr>
                <w:i/>
                <w:iCs/>
                <w:color w:val="1B556B"/>
              </w:rPr>
              <w:t xml:space="preserve">the </w:t>
            </w:r>
            <w:r w:rsidRPr="00FF4A97">
              <w:rPr>
                <w:i/>
                <w:color w:val="1B556B"/>
              </w:rPr>
              <w:t>AML/CFT</w:t>
            </w:r>
            <w:r w:rsidRPr="00FF4A97">
              <w:rPr>
                <w:i/>
                <w:iCs/>
                <w:color w:val="1B556B"/>
              </w:rPr>
              <w:t xml:space="preserve"> framework</w:t>
            </w:r>
            <w:r w:rsidRPr="00FF4A97">
              <w:rPr>
                <w:i/>
                <w:color w:val="1B556B"/>
              </w:rPr>
              <w:t>?</w:t>
            </w:r>
          </w:p>
          <w:p w14:paraId="621AC4A4" w14:textId="77777777" w:rsidR="00E003DB" w:rsidRPr="00747EF6" w:rsidRDefault="00E003DB" w:rsidP="00FF4A97">
            <w:pPr>
              <w:pStyle w:val="Blueboxtext"/>
            </w:pPr>
            <w:r w:rsidRPr="00747EF6">
              <w:t xml:space="preserve">The AML is only interested in people who do activities </w:t>
            </w:r>
            <w:r w:rsidRPr="00B92DFA">
              <w:rPr>
                <w:b/>
              </w:rPr>
              <w:t>in the ordinary course of business</w:t>
            </w:r>
            <w:r w:rsidRPr="00747EF6">
              <w:t>. Family member A managing accounts on behalf of Family member B would therefore not be captured as a reporting entity.</w:t>
            </w:r>
          </w:p>
          <w:p w14:paraId="37F6A1A5" w14:textId="77777777" w:rsidR="00E003DB" w:rsidRPr="00FF4A97" w:rsidRDefault="00E003DB" w:rsidP="00FF4A97">
            <w:pPr>
              <w:pStyle w:val="BodyText-Numbered"/>
              <w:ind w:left="888" w:hanging="567"/>
              <w:rPr>
                <w:i/>
                <w:color w:val="1B556B"/>
              </w:rPr>
            </w:pPr>
            <w:r w:rsidRPr="00FF4A97">
              <w:rPr>
                <w:i/>
                <w:color w:val="1B556B"/>
              </w:rPr>
              <w:t>A land sale has NZUs included as part of the sale at a $0 value. While this is a zero-dollar trade, NZUs still have a price in the market – are they captured under the AML/CFT framework?</w:t>
            </w:r>
          </w:p>
          <w:p w14:paraId="0BA3F729" w14:textId="77777777" w:rsidR="00E003DB" w:rsidRPr="00747EF6" w:rsidRDefault="00E003DB" w:rsidP="00FF4A97">
            <w:pPr>
              <w:pStyle w:val="Blueboxtext"/>
            </w:pPr>
            <w:r w:rsidRPr="00747EF6">
              <w:t xml:space="preserve">The sale and purchase of land (and any associated property, such as NZUs) is captured by </w:t>
            </w:r>
            <w:r>
              <w:t xml:space="preserve">the </w:t>
            </w:r>
            <w:r w:rsidRPr="00747EF6">
              <w:t xml:space="preserve">AML/CFT </w:t>
            </w:r>
            <w:r>
              <w:t xml:space="preserve">Act </w:t>
            </w:r>
            <w:r w:rsidRPr="00747EF6">
              <w:t xml:space="preserve">if there is a law firm or conveyancing practitioner processing the sale. While units are forming part of the sale price in some regard, there is no specific financial activity captured. </w:t>
            </w:r>
          </w:p>
          <w:p w14:paraId="2C4D868F" w14:textId="77777777" w:rsidR="00E003DB" w:rsidRPr="00747EF6" w:rsidRDefault="00E003DB" w:rsidP="00FF4A97">
            <w:pPr>
              <w:pStyle w:val="Blueboxtext"/>
            </w:pPr>
            <w:r w:rsidRPr="00747EF6">
              <w:t>However, if two persons bought and sold NZUs between themselves, those persons would not be reporting entities under the AML/CFT Act</w:t>
            </w:r>
            <w:r>
              <w:t>,</w:t>
            </w:r>
            <w:r w:rsidRPr="00747EF6">
              <w:t xml:space="preserve"> but the bank through which payment is processed </w:t>
            </w:r>
            <w:r>
              <w:t>would be</w:t>
            </w:r>
            <w:r w:rsidRPr="00747EF6">
              <w:t xml:space="preserve"> subject to AML/CFT obligations as a reporting entity.</w:t>
            </w:r>
          </w:p>
        </w:tc>
      </w:tr>
    </w:tbl>
    <w:p w14:paraId="0A62AA2A" w14:textId="77777777" w:rsidR="00E003DB" w:rsidRPr="00747EF6" w:rsidRDefault="00E003DB" w:rsidP="00E003DB">
      <w:pPr>
        <w:pStyle w:val="Heading3"/>
      </w:pPr>
      <w:r w:rsidRPr="00747EF6">
        <w:t>Obligations when captured</w:t>
      </w:r>
    </w:p>
    <w:p w14:paraId="0626C1C9" w14:textId="77777777" w:rsidR="00E003DB" w:rsidRPr="00FC33A4" w:rsidRDefault="00E003DB" w:rsidP="00E003DB">
      <w:pPr>
        <w:pStyle w:val="BodyText"/>
        <w:rPr>
          <w:bCs/>
        </w:rPr>
      </w:pPr>
      <w:r w:rsidRPr="00B92DFA">
        <w:t>If captured</w:t>
      </w:r>
      <w:r w:rsidRPr="00FC33A4">
        <w:rPr>
          <w:bCs/>
        </w:rPr>
        <w:t xml:space="preserve">, </w:t>
      </w:r>
      <w:r w:rsidRPr="00B92DFA">
        <w:t xml:space="preserve">basic obligations imposed on reporting entities in </w:t>
      </w:r>
      <w:r>
        <w:rPr>
          <w:bCs/>
        </w:rPr>
        <w:t xml:space="preserve">the </w:t>
      </w:r>
      <w:r w:rsidRPr="00B92DFA">
        <w:t xml:space="preserve">AML/CFT </w:t>
      </w:r>
      <w:r>
        <w:rPr>
          <w:bCs/>
        </w:rPr>
        <w:t xml:space="preserve">framework </w:t>
      </w:r>
      <w:r w:rsidRPr="00B92DFA">
        <w:t>include: </w:t>
      </w:r>
    </w:p>
    <w:p w14:paraId="17E4FC29" w14:textId="606F270C" w:rsidR="00E003DB" w:rsidRPr="00747EF6" w:rsidRDefault="00E003DB" w:rsidP="00FF4A97">
      <w:pPr>
        <w:pStyle w:val="Bullet"/>
      </w:pPr>
      <w:r w:rsidRPr="00747EF6">
        <w:t xml:space="preserve">assessing the money laundering and financing of terrorism risk that </w:t>
      </w:r>
      <w:r>
        <w:t>they</w:t>
      </w:r>
      <w:r w:rsidRPr="00747EF6">
        <w:t xml:space="preserve"> may reasonably expect to face </w:t>
      </w:r>
      <w:proofErr w:type="gramStart"/>
      <w:r w:rsidRPr="00747EF6">
        <w:t>in the course of</w:t>
      </w:r>
      <w:proofErr w:type="gramEnd"/>
      <w:r w:rsidRPr="00747EF6">
        <w:t xml:space="preserve"> </w:t>
      </w:r>
      <w:r>
        <w:t>their</w:t>
      </w:r>
      <w:r w:rsidRPr="00747EF6">
        <w:t xml:space="preserve"> business</w:t>
      </w:r>
    </w:p>
    <w:p w14:paraId="46AA76F4" w14:textId="03FD4563" w:rsidR="00E003DB" w:rsidRPr="00747EF6" w:rsidRDefault="00E003DB" w:rsidP="00FF4A97">
      <w:pPr>
        <w:pStyle w:val="Bullet"/>
      </w:pPr>
      <w:r w:rsidRPr="00747EF6">
        <w:t xml:space="preserve">establishing, </w:t>
      </w:r>
      <w:proofErr w:type="gramStart"/>
      <w:r w:rsidRPr="00747EF6">
        <w:t>implementing</w:t>
      </w:r>
      <w:proofErr w:type="gramEnd"/>
      <w:r w:rsidRPr="00747EF6">
        <w:t xml:space="preserve"> and maintaining a</w:t>
      </w:r>
      <w:r>
        <w:t>n</w:t>
      </w:r>
      <w:r w:rsidRPr="00747EF6">
        <w:t xml:space="preserve"> AML/CFT programme (procedures, policies and controls) to detect, manage and mitigate the risk of money laundering and the financing of terrorism</w:t>
      </w:r>
    </w:p>
    <w:p w14:paraId="14A2421D" w14:textId="77777777" w:rsidR="00E003DB" w:rsidRPr="00747EF6" w:rsidRDefault="00E003DB" w:rsidP="00FF4A97">
      <w:pPr>
        <w:pStyle w:val="Bullet"/>
      </w:pPr>
      <w:r w:rsidRPr="00747EF6" w:rsidDel="00DA6B86">
        <w:t xml:space="preserve">CDD </w:t>
      </w:r>
      <w:r w:rsidRPr="00747EF6">
        <w:t>(identification and verification of identity)</w:t>
      </w:r>
    </w:p>
    <w:p w14:paraId="2FCF1359" w14:textId="265B8BD5" w:rsidR="00E003DB" w:rsidRPr="00747EF6" w:rsidRDefault="00131B2A" w:rsidP="00FF4A97">
      <w:pPr>
        <w:pStyle w:val="Bullet"/>
      </w:pPr>
      <w:r>
        <w:t>o</w:t>
      </w:r>
      <w:r w:rsidR="00E003DB" w:rsidRPr="00747EF6">
        <w:t>ngoing CDD </w:t>
      </w:r>
    </w:p>
    <w:p w14:paraId="36261BBE" w14:textId="77777777" w:rsidR="00E003DB" w:rsidRPr="00747EF6" w:rsidRDefault="00E003DB" w:rsidP="00FF4A97">
      <w:pPr>
        <w:pStyle w:val="Bullet"/>
      </w:pPr>
      <w:r w:rsidRPr="00747EF6">
        <w:t>suspicious activity reporting</w:t>
      </w:r>
    </w:p>
    <w:p w14:paraId="6F031CC4" w14:textId="21102BF2" w:rsidR="00E003DB" w:rsidRPr="00747EF6" w:rsidRDefault="00E003DB" w:rsidP="00FF4A97">
      <w:pPr>
        <w:pStyle w:val="Bullet"/>
      </w:pPr>
      <w:r w:rsidRPr="00747EF6">
        <w:t>record</w:t>
      </w:r>
      <w:r w:rsidR="00AD6B38">
        <w:t>-</w:t>
      </w:r>
      <w:r w:rsidRPr="00747EF6">
        <w:t>keeping. </w:t>
      </w:r>
    </w:p>
    <w:p w14:paraId="657375C0" w14:textId="77777777" w:rsidR="00E003DB" w:rsidRPr="00747EF6" w:rsidRDefault="00E003DB" w:rsidP="00E003DB">
      <w:pPr>
        <w:pStyle w:val="BodyText"/>
      </w:pPr>
      <w:r w:rsidRPr="00747EF6">
        <w:lastRenderedPageBreak/>
        <w:t>Note that reporting entities have considerable flexibility</w:t>
      </w:r>
      <w:r>
        <w:t>,</w:t>
      </w:r>
      <w:r w:rsidRPr="00747EF6">
        <w:t xml:space="preserve"> within the limits prescribed by the AML/CFT Act</w:t>
      </w:r>
      <w:r>
        <w:t>,</w:t>
      </w:r>
      <w:r w:rsidRPr="00747EF6">
        <w:t xml:space="preserve"> in how they meet their obligations.</w:t>
      </w:r>
    </w:p>
    <w:p w14:paraId="19792BFB" w14:textId="77777777" w:rsidR="00E003DB" w:rsidRPr="00747EF6" w:rsidRDefault="00E003DB" w:rsidP="00E003DB">
      <w:pPr>
        <w:pStyle w:val="Heading3"/>
      </w:pPr>
      <w:bookmarkStart w:id="152" w:name="_Ref118622845"/>
      <w:r w:rsidRPr="00747EF6">
        <w:t>Guidance – understanding AML/CFT obligations</w:t>
      </w:r>
      <w:bookmarkEnd w:id="152"/>
    </w:p>
    <w:p w14:paraId="5898FEDE" w14:textId="3AA17045" w:rsidR="00E003DB" w:rsidRPr="00747EF6" w:rsidRDefault="00E003DB" w:rsidP="00E003DB">
      <w:pPr>
        <w:pStyle w:val="BodyText"/>
      </w:pPr>
      <w:r w:rsidRPr="00747EF6">
        <w:t>Guideline</w:t>
      </w:r>
      <w:r w:rsidR="006001D1">
        <w:t>s</w:t>
      </w:r>
      <w:r w:rsidRPr="00747EF6">
        <w:t xml:space="preserve"> are available and are designed to help develop and implement AML/CFT programme</w:t>
      </w:r>
      <w:r>
        <w:t>s</w:t>
      </w:r>
      <w:r w:rsidRPr="00747EF6">
        <w:t>.</w:t>
      </w:r>
    </w:p>
    <w:p w14:paraId="00767DD1" w14:textId="297DF4DD" w:rsidR="00E003DB" w:rsidRPr="00747EF6" w:rsidRDefault="00E003DB" w:rsidP="00E003DB">
      <w:pPr>
        <w:pStyle w:val="BodyText"/>
      </w:pPr>
      <w:r w:rsidRPr="00747EF6">
        <w:t xml:space="preserve">The AML/CFT programme is based around the fact that no one understands </w:t>
      </w:r>
      <w:r>
        <w:t>a</w:t>
      </w:r>
      <w:r w:rsidRPr="00747EF6">
        <w:t xml:space="preserve"> business better than </w:t>
      </w:r>
      <w:r>
        <w:t>its operator and</w:t>
      </w:r>
      <w:r w:rsidR="004A2696">
        <w:t>,</w:t>
      </w:r>
      <w:r>
        <w:t xml:space="preserve"> to that end, the supervisors of the programme have provided guidance</w:t>
      </w:r>
      <w:r w:rsidRPr="00747EF6" w:rsidDel="00BF7984">
        <w:t>.</w:t>
      </w:r>
      <w:r>
        <w:rPr>
          <w:rStyle w:val="FootnoteReference"/>
        </w:rPr>
        <w:footnoteReference w:id="49"/>
      </w:r>
    </w:p>
    <w:p w14:paraId="5CC5755E" w14:textId="77777777" w:rsidR="00E003DB" w:rsidRPr="00747EF6" w:rsidRDefault="00E003DB" w:rsidP="00E003DB">
      <w:pPr>
        <w:pStyle w:val="Heading3"/>
      </w:pPr>
      <w:r w:rsidRPr="00747EF6">
        <w:t>How other countries apply AML/CFT provisions to their carbon markets</w:t>
      </w:r>
    </w:p>
    <w:p w14:paraId="1E348B11" w14:textId="68ABFFAB" w:rsidR="00E003DB" w:rsidRPr="00747EF6" w:rsidRDefault="00E003DB" w:rsidP="00E003DB">
      <w:pPr>
        <w:pStyle w:val="BodyText"/>
      </w:pPr>
      <w:r w:rsidRPr="00747EF6">
        <w:t xml:space="preserve">Since </w:t>
      </w:r>
      <w:r w:rsidRPr="00747EF6">
        <w:rPr>
          <w:bCs/>
          <w:iCs/>
        </w:rPr>
        <w:t>1990</w:t>
      </w:r>
      <w:r w:rsidRPr="00747EF6">
        <w:t>, the EU has modernise</w:t>
      </w:r>
      <w:r w:rsidR="00CD244F">
        <w:t>d</w:t>
      </w:r>
      <w:r w:rsidRPr="00747EF6">
        <w:t xml:space="preserve"> its regulatory framework</w:t>
      </w:r>
      <w:r w:rsidRPr="00747EF6">
        <w:rPr>
          <w:bCs/>
          <w:iCs/>
        </w:rPr>
        <w:t xml:space="preserve"> to deter money laundering and </w:t>
      </w:r>
      <w:r>
        <w:rPr>
          <w:bCs/>
          <w:iCs/>
        </w:rPr>
        <w:t xml:space="preserve">financing of </w:t>
      </w:r>
      <w:r w:rsidRPr="00747EF6">
        <w:rPr>
          <w:bCs/>
          <w:iCs/>
        </w:rPr>
        <w:t>terroris</w:t>
      </w:r>
      <w:r>
        <w:rPr>
          <w:bCs/>
          <w:iCs/>
        </w:rPr>
        <w:t>m</w:t>
      </w:r>
      <w:r w:rsidRPr="00747EF6">
        <w:rPr>
          <w:bCs/>
          <w:iCs/>
        </w:rPr>
        <w:t xml:space="preserve">. </w:t>
      </w:r>
      <w:r>
        <w:rPr>
          <w:bCs/>
          <w:iCs/>
        </w:rPr>
        <w:t>The l</w:t>
      </w:r>
      <w:r w:rsidRPr="00747EF6">
        <w:rPr>
          <w:bCs/>
          <w:iCs/>
        </w:rPr>
        <w:t>atest developments from 2019</w:t>
      </w:r>
      <w:r>
        <w:rPr>
          <w:bCs/>
          <w:iCs/>
        </w:rPr>
        <w:t xml:space="preserve"> to </w:t>
      </w:r>
      <w:r w:rsidRPr="00747EF6">
        <w:rPr>
          <w:bCs/>
          <w:iCs/>
        </w:rPr>
        <w:t xml:space="preserve">2022 include the publication of multiple reports, an action plan, ambitious legislative packages, and user manuals. </w:t>
      </w:r>
      <w:r>
        <w:rPr>
          <w:bCs/>
          <w:iCs/>
        </w:rPr>
        <w:t>The European Commission has published</w:t>
      </w:r>
      <w:r w:rsidRPr="00747EF6">
        <w:rPr>
          <w:bCs/>
          <w:iCs/>
        </w:rPr>
        <w:t xml:space="preserve"> information on how </w:t>
      </w:r>
      <w:r>
        <w:rPr>
          <w:bCs/>
          <w:iCs/>
        </w:rPr>
        <w:t>it</w:t>
      </w:r>
      <w:r w:rsidRPr="00747EF6" w:rsidDel="00AE65B0">
        <w:rPr>
          <w:bCs/>
          <w:iCs/>
        </w:rPr>
        <w:t xml:space="preserve"> </w:t>
      </w:r>
      <w:r w:rsidRPr="00747EF6">
        <w:rPr>
          <w:bCs/>
          <w:iCs/>
        </w:rPr>
        <w:t>is fight</w:t>
      </w:r>
      <w:r w:rsidR="006E72E9">
        <w:rPr>
          <w:bCs/>
          <w:iCs/>
        </w:rPr>
        <w:t>ing</w:t>
      </w:r>
      <w:r w:rsidRPr="00747EF6">
        <w:rPr>
          <w:bCs/>
          <w:iCs/>
        </w:rPr>
        <w:t xml:space="preserve"> against money laundering and </w:t>
      </w:r>
      <w:r>
        <w:rPr>
          <w:bCs/>
          <w:iCs/>
        </w:rPr>
        <w:t>the financing of terrorism</w:t>
      </w:r>
      <w:r w:rsidRPr="00747EF6">
        <w:rPr>
          <w:bCs/>
          <w:iCs/>
        </w:rPr>
        <w:t>.</w:t>
      </w:r>
      <w:r>
        <w:rPr>
          <w:rStyle w:val="FootnoteReference"/>
          <w:bCs/>
          <w:iCs/>
        </w:rPr>
        <w:footnoteReference w:id="50"/>
      </w:r>
    </w:p>
    <w:p w14:paraId="60C7CA0A" w14:textId="77777777" w:rsidR="00E003DB" w:rsidRPr="00747EF6" w:rsidRDefault="00E003DB" w:rsidP="00E003DB">
      <w:pPr>
        <w:pStyle w:val="Heading3"/>
      </w:pPr>
      <w:r w:rsidRPr="00747EF6">
        <w:t>No alternative options are proposed</w:t>
      </w:r>
      <w:r>
        <w:t>,</w:t>
      </w:r>
      <w:r w:rsidRPr="00747EF6">
        <w:t xml:space="preserve"> because they could not feasibly be included in the wider NZ</w:t>
      </w:r>
      <w:r>
        <w:t> </w:t>
      </w:r>
      <w:r w:rsidRPr="00747EF6">
        <w:t>ETS market governance proposal at this time</w:t>
      </w:r>
    </w:p>
    <w:p w14:paraId="6B9ECAAE" w14:textId="77777777" w:rsidR="00E003DB" w:rsidRPr="00747EF6" w:rsidRDefault="00E003DB" w:rsidP="00E003DB">
      <w:pPr>
        <w:pStyle w:val="BodyText"/>
      </w:pPr>
      <w:r w:rsidRPr="00747EF6">
        <w:t xml:space="preserve">Under this topic, </w:t>
      </w:r>
      <w:r>
        <w:t xml:space="preserve">detailing </w:t>
      </w:r>
      <w:r w:rsidRPr="00747EF6">
        <w:t xml:space="preserve">the status quo </w:t>
      </w:r>
      <w:r>
        <w:t xml:space="preserve">is </w:t>
      </w:r>
      <w:r w:rsidRPr="00747EF6">
        <w:t>only intend</w:t>
      </w:r>
      <w:r>
        <w:t>ed</w:t>
      </w:r>
      <w:r w:rsidRPr="00747EF6">
        <w:t xml:space="preserve"> to serve as a reminder of how the AML/CFT </w:t>
      </w:r>
      <w:r>
        <w:t xml:space="preserve">Act framework </w:t>
      </w:r>
      <w:r w:rsidRPr="00747EF6">
        <w:t>currently works in the NZU market. Additional obligations in this space have not been suggested</w:t>
      </w:r>
      <w:r>
        <w:t>,</w:t>
      </w:r>
      <w:r w:rsidRPr="00747EF6">
        <w:t xml:space="preserve"> as they would likely have implications throughout the AML/CFT Act, which has recently undergone review. </w:t>
      </w:r>
    </w:p>
    <w:tbl>
      <w:tblPr>
        <w:tblStyle w:val="TableGrid"/>
        <w:tblW w:w="493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0"/>
      </w:tblGrid>
      <w:tr w:rsidR="00E003DB" w:rsidRPr="00747EF6" w14:paraId="1897DDCA" w14:textId="77777777" w:rsidTr="00FF4A97">
        <w:tc>
          <w:tcPr>
            <w:tcW w:w="5000" w:type="pct"/>
            <w:shd w:val="clear" w:color="auto" w:fill="D2DDE2"/>
          </w:tcPr>
          <w:p w14:paraId="33FB0BC2" w14:textId="77777777" w:rsidR="00FF4A97" w:rsidRPr="00FF4A97" w:rsidRDefault="00FF4A97" w:rsidP="00FF4A97">
            <w:pPr>
              <w:pStyle w:val="Blueboxtext"/>
              <w:spacing w:after="0"/>
              <w:ind w:left="0" w:right="0"/>
              <w:rPr>
                <w:b/>
                <w:bCs/>
                <w:szCs w:val="18"/>
              </w:rPr>
            </w:pPr>
            <w:r w:rsidRPr="00FF4A97">
              <w:rPr>
                <w:b/>
                <w:bCs/>
                <w:szCs w:val="18"/>
              </w:rPr>
              <w:t>Question 40</w:t>
            </w:r>
          </w:p>
          <w:p w14:paraId="40FEE5FF" w14:textId="77777777" w:rsidR="00FF4A97" w:rsidRPr="00FF4A97" w:rsidRDefault="00FF4A97" w:rsidP="00FF4A97">
            <w:pPr>
              <w:pStyle w:val="Blueboxtext"/>
              <w:keepNext/>
              <w:keepLines/>
              <w:widowControl w:val="0"/>
              <w:ind w:left="0" w:right="0"/>
              <w:rPr>
                <w:szCs w:val="18"/>
              </w:rPr>
            </w:pPr>
            <w:r w:rsidRPr="00FF4A97">
              <w:rPr>
                <w:szCs w:val="18"/>
              </w:rPr>
              <w:t>How can we support you to better understand your AML/CFT obligations?</w:t>
            </w:r>
          </w:p>
          <w:p w14:paraId="0DCA3D48" w14:textId="77777777" w:rsidR="00FF4A97" w:rsidRPr="00FF4A97" w:rsidRDefault="00FF4A97" w:rsidP="00FF4A97">
            <w:pPr>
              <w:pStyle w:val="Blueboxtext"/>
              <w:spacing w:after="0"/>
              <w:ind w:left="0" w:right="0"/>
              <w:rPr>
                <w:szCs w:val="18"/>
              </w:rPr>
            </w:pPr>
            <w:r w:rsidRPr="00FF4A97">
              <w:rPr>
                <w:b/>
                <w:bCs/>
                <w:szCs w:val="18"/>
              </w:rPr>
              <w:t>Question 41</w:t>
            </w:r>
          </w:p>
          <w:p w14:paraId="229DBE3D" w14:textId="1CBA1526" w:rsidR="00FF4A97" w:rsidRPr="00747EF6" w:rsidRDefault="00BE2FFA" w:rsidP="00FF4A97">
            <w:pPr>
              <w:pStyle w:val="Blueboxtext"/>
              <w:ind w:left="0" w:right="0"/>
              <w:rPr>
                <w:b/>
                <w:bCs/>
                <w:sz w:val="22"/>
              </w:rPr>
            </w:pPr>
            <w:r>
              <w:rPr>
                <w:szCs w:val="18"/>
              </w:rPr>
              <w:t>Are</w:t>
            </w:r>
            <w:r w:rsidR="00FF4A97" w:rsidRPr="00FF4A97">
              <w:rPr>
                <w:szCs w:val="18"/>
              </w:rPr>
              <w:t xml:space="preserve"> the current AML/CFT settings that apply to the NZU market appropriate to safeguard against risks of money laundering and the financing of terrorism? If not, how could they be improved?</w:t>
            </w:r>
          </w:p>
        </w:tc>
      </w:tr>
    </w:tbl>
    <w:p w14:paraId="152447A2" w14:textId="77777777" w:rsidR="00E003DB" w:rsidRPr="00747EF6" w:rsidRDefault="00E003DB" w:rsidP="00E003DB">
      <w:pPr>
        <w:spacing w:before="0" w:after="160" w:line="259" w:lineRule="auto"/>
        <w:jc w:val="left"/>
      </w:pPr>
      <w:r w:rsidRPr="00747EF6">
        <w:br w:type="page"/>
      </w:r>
    </w:p>
    <w:p w14:paraId="2BDCBCA3" w14:textId="77777777" w:rsidR="00E003DB" w:rsidRPr="00747EF6" w:rsidRDefault="00E003DB" w:rsidP="00E003DB">
      <w:pPr>
        <w:pStyle w:val="Heading1"/>
      </w:pPr>
      <w:bookmarkStart w:id="153" w:name="_Toc116391434"/>
      <w:bookmarkStart w:id="154" w:name="_Toc118703553"/>
      <w:bookmarkStart w:id="155" w:name="_Toc118953606"/>
      <w:r w:rsidRPr="00747EF6">
        <w:lastRenderedPageBreak/>
        <w:t>Summary of engagement questions</w:t>
      </w:r>
      <w:bookmarkEnd w:id="153"/>
      <w:bookmarkEnd w:id="154"/>
      <w:bookmarkEnd w:id="15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CellMar>
          <w:top w:w="113" w:type="dxa"/>
          <w:bottom w:w="113" w:type="dxa"/>
        </w:tblCellMar>
        <w:tblLook w:val="04A0" w:firstRow="1" w:lastRow="0" w:firstColumn="1" w:lastColumn="0" w:noHBand="0" w:noVBand="1"/>
      </w:tblPr>
      <w:tblGrid>
        <w:gridCol w:w="8397"/>
      </w:tblGrid>
      <w:tr w:rsidR="00E003DB" w:rsidRPr="00FF4A97" w14:paraId="3B11DF19" w14:textId="77777777" w:rsidTr="00FF4A97">
        <w:tc>
          <w:tcPr>
            <w:tcW w:w="8613" w:type="dxa"/>
            <w:shd w:val="clear" w:color="auto" w:fill="D2DDE2"/>
          </w:tcPr>
          <w:p w14:paraId="4E3D8830" w14:textId="77777777" w:rsidR="00E003DB" w:rsidRPr="00FF4A97" w:rsidRDefault="00E003DB" w:rsidP="00006371">
            <w:pPr>
              <w:pStyle w:val="Blueboxtext"/>
              <w:rPr>
                <w:b/>
              </w:rPr>
            </w:pPr>
            <w:r w:rsidRPr="00FF4A97">
              <w:rPr>
                <w:b/>
              </w:rPr>
              <w:t xml:space="preserve"> Topic 1: Regulating the </w:t>
            </w:r>
            <w:r w:rsidRPr="00FF4A97">
              <w:rPr>
                <w:b/>
                <w:bCs/>
              </w:rPr>
              <w:t xml:space="preserve">NZU </w:t>
            </w:r>
            <w:r w:rsidRPr="00FF4A97">
              <w:rPr>
                <w:b/>
              </w:rPr>
              <w:t>market based on financial legislation</w:t>
            </w:r>
          </w:p>
          <w:p w14:paraId="299E8483" w14:textId="29CA19FD" w:rsidR="00E003DB" w:rsidRPr="00FF4A97" w:rsidRDefault="00E003DB" w:rsidP="005B0F5C">
            <w:pPr>
              <w:pStyle w:val="Blueboxtext"/>
              <w:numPr>
                <w:ilvl w:val="0"/>
                <w:numId w:val="25"/>
              </w:numPr>
              <w:ind w:left="1019" w:hanging="425"/>
            </w:pPr>
            <w:r w:rsidRPr="00FF4A97" w:rsidDel="00A96E92">
              <w:t>What are your views on the proposed insider</w:t>
            </w:r>
            <w:r w:rsidR="006A2C7C">
              <w:t>-</w:t>
            </w:r>
            <w:r w:rsidRPr="00FF4A97" w:rsidDel="00A96E92">
              <w:t>trading prohibition?</w:t>
            </w:r>
            <w:r w:rsidRPr="00FF4A97">
              <w:t xml:space="preserve"> </w:t>
            </w:r>
          </w:p>
          <w:p w14:paraId="414E5EB8" w14:textId="4953C7D1" w:rsidR="00E003DB" w:rsidRPr="00FF4A97" w:rsidRDefault="00357E1C" w:rsidP="005B0F5C">
            <w:pPr>
              <w:pStyle w:val="Blueboxtext"/>
              <w:numPr>
                <w:ilvl w:val="0"/>
                <w:numId w:val="25"/>
              </w:numPr>
              <w:ind w:left="1019" w:hanging="425"/>
            </w:pPr>
            <w:r w:rsidRPr="00357E1C">
              <w:t xml:space="preserve">In what way could these insider trading obligations impact any other forms of legitimate conduct? </w:t>
            </w:r>
            <w:r w:rsidR="00E003DB" w:rsidRPr="00FF4A97">
              <w:t xml:space="preserve"> </w:t>
            </w:r>
          </w:p>
          <w:p w14:paraId="76949D78" w14:textId="77777777" w:rsidR="00E003DB" w:rsidRPr="00FF4A97" w:rsidRDefault="00E003DB" w:rsidP="005B0F5C">
            <w:pPr>
              <w:pStyle w:val="Blueboxtext"/>
              <w:numPr>
                <w:ilvl w:val="0"/>
                <w:numId w:val="25"/>
              </w:numPr>
              <w:ind w:left="1019" w:hanging="425"/>
            </w:pPr>
            <w:r w:rsidRPr="00FF4A97">
              <w:t xml:space="preserve">What other types of insider trading should be prohibited? </w:t>
            </w:r>
          </w:p>
          <w:p w14:paraId="3E6A02A0" w14:textId="77777777" w:rsidR="00E003DB" w:rsidRPr="00FF4A97" w:rsidRDefault="00E003DB" w:rsidP="005B0F5C">
            <w:pPr>
              <w:pStyle w:val="Blueboxtext"/>
              <w:numPr>
                <w:ilvl w:val="0"/>
                <w:numId w:val="25"/>
              </w:numPr>
              <w:ind w:left="1019" w:hanging="425"/>
            </w:pPr>
            <w:r w:rsidRPr="00FF4A97">
              <w:t xml:space="preserve">What information should be defined as ‘government policy’ in the context of insider </w:t>
            </w:r>
            <w:r w:rsidRPr="00FF4A97" w:rsidDel="00112A06">
              <w:t>trading</w:t>
            </w:r>
            <w:r w:rsidRPr="00FF4A97">
              <w:t xml:space="preserve">? </w:t>
            </w:r>
          </w:p>
          <w:p w14:paraId="03F37BAF" w14:textId="77777777" w:rsidR="00E003DB" w:rsidRPr="00FF4A97" w:rsidRDefault="00E003DB" w:rsidP="005B0F5C">
            <w:pPr>
              <w:pStyle w:val="Blueboxtext"/>
              <w:numPr>
                <w:ilvl w:val="0"/>
                <w:numId w:val="25"/>
              </w:numPr>
              <w:ind w:left="1019" w:hanging="425"/>
            </w:pPr>
            <w:r w:rsidRPr="00FF4A97">
              <w:t xml:space="preserve">What other type of information should be considered ‘material non-public information’ in the context of insider trading and the NZU </w:t>
            </w:r>
            <w:r w:rsidRPr="00FF4A97" w:rsidDel="00112A06">
              <w:t>market</w:t>
            </w:r>
            <w:r w:rsidRPr="00FF4A97">
              <w:t xml:space="preserve">? </w:t>
            </w:r>
          </w:p>
          <w:p w14:paraId="2EDCADF6" w14:textId="77777777" w:rsidR="00E003DB" w:rsidRPr="00FF4A97" w:rsidRDefault="00E003DB" w:rsidP="005B0F5C">
            <w:pPr>
              <w:pStyle w:val="Blueboxtext"/>
              <w:numPr>
                <w:ilvl w:val="0"/>
                <w:numId w:val="25"/>
              </w:numPr>
              <w:ind w:left="1019" w:hanging="425"/>
            </w:pPr>
            <w:r w:rsidRPr="00FF4A97">
              <w:t xml:space="preserve">What are your views on the proposed market manipulation prohibition? </w:t>
            </w:r>
          </w:p>
          <w:p w14:paraId="630A717C" w14:textId="6CC60055" w:rsidR="00E003DB" w:rsidRPr="00FF4A97" w:rsidRDefault="00DB3AB7" w:rsidP="005B0F5C">
            <w:pPr>
              <w:pStyle w:val="Blueboxtext"/>
              <w:numPr>
                <w:ilvl w:val="0"/>
                <w:numId w:val="25"/>
              </w:numPr>
              <w:ind w:left="1019" w:hanging="425"/>
            </w:pPr>
            <w:r w:rsidRPr="00DB3AB7">
              <w:t>In what way could these market manipulation obligations impact any other forms of legitimate conduct?</w:t>
            </w:r>
            <w:r w:rsidR="00E003DB" w:rsidRPr="00FF4A97">
              <w:t xml:space="preserve"> </w:t>
            </w:r>
          </w:p>
          <w:p w14:paraId="22B087F4" w14:textId="77777777" w:rsidR="00E003DB" w:rsidRPr="00FF4A97" w:rsidRDefault="00E003DB" w:rsidP="005B0F5C">
            <w:pPr>
              <w:pStyle w:val="Blueboxtext"/>
              <w:numPr>
                <w:ilvl w:val="0"/>
                <w:numId w:val="25"/>
              </w:numPr>
              <w:ind w:left="1019" w:hanging="425"/>
            </w:pPr>
            <w:r w:rsidRPr="00FF4A97">
              <w:t>The FMA, as the regulator of financial markets, could oversee and regulate the NZU market where we propose similar regulations would apply. What are your views on the FMA having regulatory responsibility over insider trading and market manipulation?</w:t>
            </w:r>
          </w:p>
          <w:p w14:paraId="695C5050" w14:textId="77777777" w:rsidR="00E003DB" w:rsidRPr="00FF4A97" w:rsidRDefault="00E003DB" w:rsidP="005B0F5C">
            <w:pPr>
              <w:pStyle w:val="Blueboxtext"/>
              <w:numPr>
                <w:ilvl w:val="0"/>
                <w:numId w:val="25"/>
              </w:numPr>
              <w:ind w:left="1019" w:hanging="425"/>
            </w:pPr>
            <w:r w:rsidRPr="00FF4A97">
              <w:t>Do you consider it appropriate to expand the FMA’s remit to include investigation and enforcement responsibilities to the matters set out in topic 1?</w:t>
            </w:r>
          </w:p>
          <w:p w14:paraId="15820181" w14:textId="77777777" w:rsidR="00E003DB" w:rsidRPr="00FF4A97" w:rsidRDefault="00E003DB" w:rsidP="005B0F5C">
            <w:pPr>
              <w:pStyle w:val="Blueboxtext"/>
              <w:numPr>
                <w:ilvl w:val="0"/>
                <w:numId w:val="25"/>
              </w:numPr>
              <w:ind w:left="1019" w:hanging="425"/>
            </w:pPr>
            <w:r w:rsidRPr="00FF4A97">
              <w:t xml:space="preserve">Do you agree that operators of facilities for trading NZUs that would meet the definition of a ‘financial product market’ should be required to be licensed, and to incur and comply with associated costs and </w:t>
            </w:r>
            <w:r w:rsidRPr="00FF4A97" w:rsidDel="0041383D">
              <w:t>obligations</w:t>
            </w:r>
            <w:r w:rsidRPr="00FF4A97">
              <w:t xml:space="preserve">? </w:t>
            </w:r>
          </w:p>
          <w:p w14:paraId="37806FAE" w14:textId="77777777" w:rsidR="00E003DB" w:rsidRPr="00FF4A97" w:rsidRDefault="00E003DB" w:rsidP="005B0F5C">
            <w:pPr>
              <w:pStyle w:val="Blueboxtext"/>
              <w:numPr>
                <w:ilvl w:val="0"/>
                <w:numId w:val="25"/>
              </w:numPr>
              <w:ind w:left="1019" w:hanging="425"/>
            </w:pPr>
            <w:r w:rsidRPr="00FF4A97">
              <w:t>As a market operator who currently does, or would, provide a platform for the trade of NZUs, what is the impact of a licensing requirement on your business (</w:t>
            </w:r>
            <w:proofErr w:type="spellStart"/>
            <w:r w:rsidRPr="00FF4A97">
              <w:t>eg</w:t>
            </w:r>
            <w:proofErr w:type="spellEnd"/>
            <w:r w:rsidRPr="00FF4A97">
              <w:t xml:space="preserve">, costs and obligations)? </w:t>
            </w:r>
          </w:p>
          <w:p w14:paraId="55493A6E" w14:textId="0307A987" w:rsidR="00E003DB" w:rsidRPr="00FF4A97" w:rsidRDefault="00E003DB" w:rsidP="005B0F5C">
            <w:pPr>
              <w:pStyle w:val="Blueboxtext"/>
              <w:numPr>
                <w:ilvl w:val="0"/>
                <w:numId w:val="25"/>
              </w:numPr>
              <w:ind w:left="1019" w:hanging="425"/>
            </w:pPr>
            <w:r w:rsidRPr="00FF4A97" w:rsidDel="0041383D">
              <w:t xml:space="preserve">If you plan </w:t>
            </w:r>
            <w:r w:rsidR="00506F6B">
              <w:t>to buy and sell</w:t>
            </w:r>
            <w:r w:rsidRPr="00FF4A97" w:rsidDel="0041383D">
              <w:t xml:space="preserve"> NZUs, how would access to a licensed market platform affect your willingness to participate in the NZU market</w:t>
            </w:r>
            <w:r w:rsidRPr="00FF4A97">
              <w:t xml:space="preserve">? </w:t>
            </w:r>
          </w:p>
          <w:p w14:paraId="75536E17" w14:textId="77777777" w:rsidR="00E003DB" w:rsidRPr="00FF4A97" w:rsidRDefault="00E003DB" w:rsidP="005B0F5C">
            <w:pPr>
              <w:pStyle w:val="Blueboxtext"/>
              <w:numPr>
                <w:ilvl w:val="0"/>
                <w:numId w:val="25"/>
              </w:numPr>
              <w:ind w:left="1019" w:hanging="425"/>
            </w:pPr>
            <w:r w:rsidRPr="00FF4A97">
              <w:t>For stakeholders, what would be the costs and benefits to your business associated with buying and selling NZUs on a licensed market platform with market rules (</w:t>
            </w:r>
            <w:proofErr w:type="spellStart"/>
            <w:r w:rsidRPr="00FF4A97">
              <w:t>eg</w:t>
            </w:r>
            <w:proofErr w:type="spellEnd"/>
            <w:r w:rsidRPr="00FF4A97">
              <w:t xml:space="preserve">, new administrative costs, trustworthy market operators)? </w:t>
            </w:r>
          </w:p>
          <w:p w14:paraId="1CB36A49" w14:textId="57FF6234" w:rsidR="00E003DB" w:rsidRPr="00FF4A97" w:rsidRDefault="00E003DB" w:rsidP="005B0F5C">
            <w:pPr>
              <w:pStyle w:val="Blueboxtext"/>
              <w:numPr>
                <w:ilvl w:val="0"/>
                <w:numId w:val="25"/>
              </w:numPr>
              <w:ind w:left="1019" w:hanging="425"/>
            </w:pPr>
            <w:r w:rsidRPr="00FF4A97" w:rsidDel="0041383D">
              <w:t xml:space="preserve">If you plan </w:t>
            </w:r>
            <w:r w:rsidR="00506F6B">
              <w:t>to buy and sell</w:t>
            </w:r>
            <w:r w:rsidRPr="00FF4A97" w:rsidDel="0041383D">
              <w:t xml:space="preserve"> NZUs, would a fee to trade on a licensed market platform affect your willingness to participate in the NZU market</w:t>
            </w:r>
            <w:r w:rsidRPr="00FF4A97">
              <w:t xml:space="preserve">? </w:t>
            </w:r>
          </w:p>
          <w:p w14:paraId="2A0124CC" w14:textId="77777777" w:rsidR="00E003DB" w:rsidRDefault="00E003DB" w:rsidP="005B0F5C">
            <w:pPr>
              <w:pStyle w:val="Blueboxtext"/>
              <w:numPr>
                <w:ilvl w:val="0"/>
                <w:numId w:val="25"/>
              </w:numPr>
              <w:ind w:left="1019" w:hanging="425"/>
            </w:pPr>
            <w:r w:rsidRPr="00FF4A97">
              <w:t xml:space="preserve">Do you have any comments on the impact of the proposals in this topic, given differences in structure between NZU markets and financial </w:t>
            </w:r>
            <w:r w:rsidRPr="00FF4A97" w:rsidDel="0041383D">
              <w:t>markets</w:t>
            </w:r>
            <w:r w:rsidRPr="00FF4A97">
              <w:t xml:space="preserve">? </w:t>
            </w:r>
          </w:p>
          <w:p w14:paraId="7AF4725E" w14:textId="77777777" w:rsidR="00345D96" w:rsidRPr="00FF4A97" w:rsidRDefault="00345D96" w:rsidP="00345D96">
            <w:pPr>
              <w:pStyle w:val="Blueboxtext"/>
              <w:numPr>
                <w:ilvl w:val="0"/>
                <w:numId w:val="25"/>
              </w:numPr>
              <w:ind w:left="1019" w:hanging="425"/>
            </w:pPr>
            <w:r w:rsidRPr="00FF4A97">
              <w:rPr>
                <w:lang w:eastAsia="en-US"/>
              </w:rPr>
              <w:lastRenderedPageBreak/>
              <w:t xml:space="preserve">What do you expect from the Government in terms of disclosure obligations, including the content of the disclosure and the process of disclosing </w:t>
            </w:r>
            <w:r w:rsidRPr="00FF4A97" w:rsidDel="0041383D">
              <w:rPr>
                <w:lang w:eastAsia="en-US"/>
              </w:rPr>
              <w:t>information</w:t>
            </w:r>
            <w:r w:rsidRPr="00FF4A97">
              <w:t xml:space="preserve">? </w:t>
            </w:r>
          </w:p>
          <w:p w14:paraId="0ED46D8C" w14:textId="77777777" w:rsidR="00345D96" w:rsidRPr="00FF4A97" w:rsidRDefault="00345D96" w:rsidP="00345D96">
            <w:pPr>
              <w:pStyle w:val="Blueboxtext"/>
              <w:numPr>
                <w:ilvl w:val="0"/>
                <w:numId w:val="25"/>
              </w:numPr>
              <w:ind w:left="1019" w:hanging="425"/>
            </w:pPr>
            <w:r w:rsidRPr="00FF4A97">
              <w:rPr>
                <w:lang w:eastAsia="en-US"/>
              </w:rPr>
              <w:t xml:space="preserve">Do you prefer the alternative options (status quo: Crimes Act 1961 or option three: Crimes Act and market manipulation prohibitions) to the preferred option? If so, why? And if so, please describe the aspects that you see as particularly advantageous to achieve the stated policy </w:t>
            </w:r>
            <w:r w:rsidRPr="00FF4A97" w:rsidDel="0041383D">
              <w:rPr>
                <w:lang w:eastAsia="en-US"/>
              </w:rPr>
              <w:t>objectives</w:t>
            </w:r>
            <w:r w:rsidRPr="00FF4A97">
              <w:t xml:space="preserve">. </w:t>
            </w:r>
          </w:p>
          <w:p w14:paraId="067B4ED5" w14:textId="77777777" w:rsidR="00345D96" w:rsidRPr="00FF4A97" w:rsidRDefault="00345D96" w:rsidP="00345D96">
            <w:pPr>
              <w:pStyle w:val="Blueboxtext"/>
              <w:numPr>
                <w:ilvl w:val="0"/>
                <w:numId w:val="25"/>
              </w:numPr>
              <w:ind w:left="1019" w:hanging="425"/>
            </w:pPr>
            <w:r w:rsidRPr="00FF4A97" w:rsidDel="0041383D">
              <w:rPr>
                <w:lang w:eastAsia="en-US"/>
              </w:rPr>
              <w:t xml:space="preserve">Do you have any views on whether market conduct (insider trading and market manipulation) should proceed </w:t>
            </w:r>
            <w:r>
              <w:rPr>
                <w:lang w:eastAsia="en-US"/>
              </w:rPr>
              <w:t>as a</w:t>
            </w:r>
            <w:r w:rsidRPr="00FF4A97" w:rsidDel="0041383D">
              <w:rPr>
                <w:lang w:eastAsia="en-US"/>
              </w:rPr>
              <w:t xml:space="preserve"> priority to, or instead of, creating a licensing framework for NZU market operators</w:t>
            </w:r>
            <w:r w:rsidRPr="00FF4A97">
              <w:t xml:space="preserve">? </w:t>
            </w:r>
          </w:p>
          <w:p w14:paraId="08ED7B62" w14:textId="22775DA7" w:rsidR="00FF4A97" w:rsidRPr="00756D89" w:rsidRDefault="00345D96" w:rsidP="00B711D1">
            <w:pPr>
              <w:pStyle w:val="Blueboxtext"/>
              <w:numPr>
                <w:ilvl w:val="0"/>
                <w:numId w:val="25"/>
              </w:numPr>
              <w:ind w:left="1019" w:hanging="425"/>
            </w:pPr>
            <w:r>
              <w:rPr>
                <w:lang w:eastAsia="en-US"/>
              </w:rPr>
              <w:t>Can you suggest</w:t>
            </w:r>
            <w:r w:rsidRPr="00FF4A97">
              <w:rPr>
                <w:lang w:eastAsia="en-US"/>
              </w:rPr>
              <w:t xml:space="preserve"> alternative options that would achieve the stated policy </w:t>
            </w:r>
            <w:r w:rsidRPr="00FF4A97" w:rsidDel="0041383D">
              <w:rPr>
                <w:lang w:eastAsia="en-US"/>
              </w:rPr>
              <w:t>objectives</w:t>
            </w:r>
            <w:r w:rsidRPr="00FF4A97">
              <w:t>?</w:t>
            </w:r>
          </w:p>
          <w:p w14:paraId="19A306D7" w14:textId="7B674DA4" w:rsidR="00E003DB" w:rsidRPr="00FF4A97" w:rsidRDefault="00E003DB" w:rsidP="005B0F5C">
            <w:pPr>
              <w:pStyle w:val="Blueboxtext"/>
              <w:keepNext/>
              <w:keepLines/>
              <w:numPr>
                <w:ilvl w:val="0"/>
                <w:numId w:val="25"/>
              </w:numPr>
              <w:ind w:left="1020" w:hanging="425"/>
            </w:pPr>
            <w:r w:rsidRPr="00FF4A97">
              <w:rPr>
                <w:lang w:eastAsia="en-US"/>
              </w:rPr>
              <w:t xml:space="preserve">Do you consider a centralised clearing and settlement system necessary or desirable to manage counterparty, </w:t>
            </w:r>
            <w:proofErr w:type="gramStart"/>
            <w:r w:rsidRPr="00FF4A97">
              <w:rPr>
                <w:lang w:eastAsia="en-US"/>
              </w:rPr>
              <w:t>credit</w:t>
            </w:r>
            <w:proofErr w:type="gramEnd"/>
            <w:r w:rsidRPr="00FF4A97">
              <w:rPr>
                <w:lang w:eastAsia="en-US"/>
              </w:rPr>
              <w:t xml:space="preserve"> </w:t>
            </w:r>
            <w:r w:rsidRPr="00FF4A97">
              <w:t>and</w:t>
            </w:r>
            <w:r w:rsidRPr="00FF4A97">
              <w:rPr>
                <w:lang w:eastAsia="en-US"/>
              </w:rPr>
              <w:t xml:space="preserve"> other settlement risks for NZU markets if there are one or more licensed market operators? Why or why not</w:t>
            </w:r>
            <w:r w:rsidRPr="00FF4A97">
              <w:t>?</w:t>
            </w:r>
          </w:p>
          <w:p w14:paraId="1E4A2E57" w14:textId="77777777" w:rsidR="00E003DB" w:rsidRPr="00FF4A97" w:rsidRDefault="00E003DB" w:rsidP="005B0F5C">
            <w:pPr>
              <w:pStyle w:val="Blueboxtext"/>
              <w:numPr>
                <w:ilvl w:val="0"/>
                <w:numId w:val="25"/>
              </w:numPr>
              <w:ind w:left="1019" w:hanging="425"/>
            </w:pPr>
            <w:r w:rsidRPr="00FF4A97">
              <w:rPr>
                <w:lang w:eastAsia="en-US"/>
              </w:rPr>
              <w:t xml:space="preserve">What are your views on </w:t>
            </w:r>
            <w:r w:rsidRPr="00FF4A97">
              <w:t>whether</w:t>
            </w:r>
            <w:r w:rsidRPr="00FF4A97">
              <w:rPr>
                <w:lang w:eastAsia="en-US"/>
              </w:rPr>
              <w:t xml:space="preserve"> it should be limited to on-market transactions or should be available for over-the-counter </w:t>
            </w:r>
            <w:r w:rsidRPr="00FF4A97" w:rsidDel="0041383D">
              <w:t>transactions</w:t>
            </w:r>
            <w:r w:rsidRPr="00FF4A97">
              <w:t xml:space="preserve">? </w:t>
            </w:r>
          </w:p>
          <w:p w14:paraId="1EE076FB" w14:textId="77777777" w:rsidR="00E003DB" w:rsidRPr="00FF4A97" w:rsidRDefault="00E003DB" w:rsidP="005B0F5C">
            <w:pPr>
              <w:pStyle w:val="Blueboxtext"/>
              <w:numPr>
                <w:ilvl w:val="0"/>
                <w:numId w:val="25"/>
              </w:numPr>
              <w:ind w:left="1019" w:hanging="425"/>
            </w:pPr>
            <w:r w:rsidRPr="00FF4A97" w:rsidDel="0041383D">
              <w:rPr>
                <w:lang w:eastAsia="en-US"/>
              </w:rPr>
              <w:t xml:space="preserve">How would the </w:t>
            </w:r>
            <w:r w:rsidRPr="00FF4A97" w:rsidDel="0041383D">
              <w:t>availability</w:t>
            </w:r>
            <w:r w:rsidRPr="00FF4A97" w:rsidDel="0041383D">
              <w:rPr>
                <w:lang w:eastAsia="en-US"/>
              </w:rPr>
              <w:t xml:space="preserve"> of a centralised clearing party benefit and/or impact your business in terms of managing </w:t>
            </w:r>
            <w:r w:rsidRPr="00FF4A97" w:rsidDel="0041383D">
              <w:t>credit</w:t>
            </w:r>
            <w:r w:rsidRPr="00FF4A97" w:rsidDel="0041383D">
              <w:rPr>
                <w:lang w:eastAsia="en-US"/>
              </w:rPr>
              <w:t xml:space="preserve"> and counterparty risk</w:t>
            </w:r>
            <w:r w:rsidRPr="00FF4A97">
              <w:t xml:space="preserve">? </w:t>
            </w:r>
          </w:p>
          <w:p w14:paraId="09B58296" w14:textId="77777777" w:rsidR="00E003DB" w:rsidRPr="00FF4A97" w:rsidRDefault="00E003DB" w:rsidP="00006371">
            <w:pPr>
              <w:pStyle w:val="Blueboxtext"/>
              <w:rPr>
                <w:b/>
              </w:rPr>
            </w:pPr>
            <w:r w:rsidRPr="00FF4A97">
              <w:rPr>
                <w:b/>
              </w:rPr>
              <w:t xml:space="preserve">Topic 2: Regulating NZU financial advice, transactional and/or custodial services </w:t>
            </w:r>
          </w:p>
          <w:p w14:paraId="135F5D55" w14:textId="0931B37D" w:rsidR="00E003DB" w:rsidRPr="00FF4A97" w:rsidRDefault="00004751" w:rsidP="005B0F5C">
            <w:pPr>
              <w:pStyle w:val="Blueboxtext"/>
              <w:numPr>
                <w:ilvl w:val="0"/>
                <w:numId w:val="25"/>
              </w:numPr>
              <w:ind w:left="1019" w:hanging="425"/>
              <w:rPr>
                <w:lang w:eastAsia="en-US"/>
              </w:rPr>
            </w:pPr>
            <w:r>
              <w:rPr>
                <w:lang w:eastAsia="en-US"/>
              </w:rPr>
              <w:t>Can you suggest</w:t>
            </w:r>
            <w:r w:rsidR="00E003DB" w:rsidRPr="00FF4A97">
              <w:rPr>
                <w:lang w:eastAsia="en-US"/>
              </w:rPr>
              <w:t xml:space="preserve"> alternative options that would achieve the stated policy objectives?</w:t>
            </w:r>
          </w:p>
          <w:p w14:paraId="4C8C3921" w14:textId="171D0B80" w:rsidR="00E003DB" w:rsidRPr="00FF4A97" w:rsidRDefault="00E003DB" w:rsidP="005B0F5C">
            <w:pPr>
              <w:pStyle w:val="Blueboxtext"/>
              <w:numPr>
                <w:ilvl w:val="0"/>
                <w:numId w:val="25"/>
              </w:numPr>
              <w:ind w:left="1019" w:hanging="425"/>
              <w:rPr>
                <w:lang w:eastAsia="en-US"/>
              </w:rPr>
            </w:pPr>
            <w:r w:rsidRPr="00FF4A97">
              <w:rPr>
                <w:lang w:eastAsia="en-US"/>
              </w:rPr>
              <w:t xml:space="preserve">What are your views on whether these exclusions </w:t>
            </w:r>
            <w:r w:rsidR="00C33AB3">
              <w:rPr>
                <w:lang w:eastAsia="en-US"/>
              </w:rPr>
              <w:t xml:space="preserve">should, in principle, </w:t>
            </w:r>
            <w:r w:rsidRPr="00FF4A97">
              <w:rPr>
                <w:lang w:eastAsia="en-US"/>
              </w:rPr>
              <w:t xml:space="preserve">apply to NZU financial advice? If not appropriate, what modifications or changes do you think are necessary? </w:t>
            </w:r>
          </w:p>
          <w:p w14:paraId="3A788A1E" w14:textId="735C5657" w:rsidR="00E003DB" w:rsidRPr="00FF4A97" w:rsidRDefault="00E003DB" w:rsidP="005B0F5C">
            <w:pPr>
              <w:pStyle w:val="Blueboxtext"/>
              <w:numPr>
                <w:ilvl w:val="0"/>
                <w:numId w:val="25"/>
              </w:numPr>
              <w:ind w:left="1019" w:hanging="425"/>
              <w:rPr>
                <w:lang w:eastAsia="en-US"/>
              </w:rPr>
            </w:pPr>
            <w:r w:rsidRPr="00FF4A97">
              <w:rPr>
                <w:lang w:eastAsia="en-US"/>
              </w:rPr>
              <w:t>Do you agree that the ‘NZU financial advice’ described in the section ‘</w:t>
            </w:r>
            <w:r w:rsidRPr="00FF4A97">
              <w:rPr>
                <w:lang w:eastAsia="en-US"/>
              </w:rPr>
              <w:fldChar w:fldCharType="begin"/>
            </w:r>
            <w:r w:rsidRPr="00FF4A97">
              <w:rPr>
                <w:lang w:eastAsia="en-US"/>
              </w:rPr>
              <w:instrText xml:space="preserve"> REF _Ref118463047 \h  \* MERGEFORMAT </w:instrText>
            </w:r>
            <w:r w:rsidRPr="00FF4A97">
              <w:rPr>
                <w:lang w:eastAsia="en-US"/>
              </w:rPr>
            </w:r>
            <w:r w:rsidRPr="00FF4A97">
              <w:rPr>
                <w:lang w:eastAsia="en-US"/>
              </w:rPr>
              <w:fldChar w:fldCharType="separate"/>
            </w:r>
            <w:r w:rsidR="00C67DAB" w:rsidRPr="00747EF6">
              <w:t>What is intended to be ‘NZU financial advice’?</w:t>
            </w:r>
            <w:r w:rsidRPr="00FF4A97">
              <w:rPr>
                <w:lang w:eastAsia="en-US"/>
              </w:rPr>
              <w:fldChar w:fldCharType="end"/>
            </w:r>
            <w:r w:rsidRPr="00FF4A97">
              <w:rPr>
                <w:lang w:eastAsia="en-US"/>
              </w:rPr>
              <w:t>’ is the type of advice that should be regulated? (</w:t>
            </w:r>
            <w:r w:rsidR="00FC6D51">
              <w:rPr>
                <w:lang w:eastAsia="en-US"/>
              </w:rPr>
              <w:t xml:space="preserve">Table </w:t>
            </w:r>
            <w:r w:rsidRPr="00FF4A97">
              <w:rPr>
                <w:lang w:eastAsia="en-US"/>
              </w:rPr>
              <w:fldChar w:fldCharType="begin"/>
            </w:r>
            <w:r w:rsidRPr="00FF4A97">
              <w:rPr>
                <w:lang w:eastAsia="en-US"/>
              </w:rPr>
              <w:instrText xml:space="preserve"> REF _Ref118462599 \h  \* MERGEFORMAT </w:instrText>
            </w:r>
            <w:r w:rsidRPr="00FF4A97">
              <w:rPr>
                <w:lang w:eastAsia="en-US"/>
              </w:rPr>
            </w:r>
            <w:r w:rsidRPr="00FF4A97">
              <w:rPr>
                <w:lang w:eastAsia="en-US"/>
              </w:rPr>
              <w:fldChar w:fldCharType="separate"/>
            </w:r>
            <w:r w:rsidR="00C67DAB">
              <w:t>11</w:t>
            </w:r>
            <w:r w:rsidRPr="00FF4A97">
              <w:rPr>
                <w:lang w:eastAsia="en-US"/>
              </w:rPr>
              <w:fldChar w:fldCharType="end"/>
            </w:r>
            <w:r w:rsidRPr="00FF4A97">
              <w:rPr>
                <w:lang w:eastAsia="en-US"/>
              </w:rPr>
              <w:t xml:space="preserve"> provides examples.)</w:t>
            </w:r>
          </w:p>
          <w:p w14:paraId="3D5786A7" w14:textId="6144A753" w:rsidR="00E003DB" w:rsidRPr="00FF4A97" w:rsidRDefault="00E003DB" w:rsidP="005B0F5C">
            <w:pPr>
              <w:pStyle w:val="Blueboxtext"/>
              <w:numPr>
                <w:ilvl w:val="0"/>
                <w:numId w:val="25"/>
              </w:numPr>
              <w:ind w:left="1019" w:hanging="425"/>
              <w:rPr>
                <w:lang w:eastAsia="en-US"/>
              </w:rPr>
            </w:pPr>
            <w:r w:rsidRPr="00FF4A97">
              <w:t>Do you agree that the advice excluded from the proposed definition of NZU financial advice is the type of advice that should not be regulated? (</w:t>
            </w:r>
            <w:r w:rsidR="00576FC2">
              <w:t xml:space="preserve">Table </w:t>
            </w:r>
            <w:r w:rsidRPr="00FF4A97">
              <w:fldChar w:fldCharType="begin"/>
            </w:r>
            <w:r w:rsidRPr="00FF4A97">
              <w:instrText xml:space="preserve"> REF _Ref118463399 \h  \* MERGEFORMAT </w:instrText>
            </w:r>
            <w:r w:rsidRPr="00FF4A97">
              <w:fldChar w:fldCharType="separate"/>
            </w:r>
            <w:r w:rsidR="00C67DAB">
              <w:t>12</w:t>
            </w:r>
            <w:r w:rsidRPr="00FF4A97">
              <w:fldChar w:fldCharType="end"/>
            </w:r>
            <w:r w:rsidRPr="00FF4A97">
              <w:t xml:space="preserve"> provides examples.)</w:t>
            </w:r>
          </w:p>
          <w:p w14:paraId="61D581C4" w14:textId="77777777" w:rsidR="00E003DB" w:rsidRPr="00FF4A97" w:rsidRDefault="00E003DB" w:rsidP="005B0F5C">
            <w:pPr>
              <w:pStyle w:val="Blueboxtext"/>
              <w:numPr>
                <w:ilvl w:val="0"/>
                <w:numId w:val="25"/>
              </w:numPr>
              <w:ind w:left="1019" w:hanging="425"/>
              <w:rPr>
                <w:lang w:eastAsia="en-US"/>
              </w:rPr>
            </w:pPr>
            <w:r w:rsidRPr="00FF4A97">
              <w:t xml:space="preserve">Do you consider that applying the wholesale client definition to NZU financial advice is appropriate? </w:t>
            </w:r>
            <w:r w:rsidRPr="00FF4A97" w:rsidDel="0041383D">
              <w:t>Why or why not</w:t>
            </w:r>
            <w:r w:rsidRPr="00FF4A97">
              <w:rPr>
                <w:lang w:eastAsia="en-US"/>
              </w:rPr>
              <w:t xml:space="preserve">? </w:t>
            </w:r>
          </w:p>
          <w:p w14:paraId="56E038E2" w14:textId="7EF11347" w:rsidR="00E003DB" w:rsidRPr="00FF4A97" w:rsidRDefault="00E003DB" w:rsidP="005B0F5C">
            <w:pPr>
              <w:pStyle w:val="Blueboxtext"/>
              <w:numPr>
                <w:ilvl w:val="0"/>
                <w:numId w:val="25"/>
              </w:numPr>
              <w:ind w:left="1019" w:hanging="425"/>
              <w:rPr>
                <w:lang w:eastAsia="en-US"/>
              </w:rPr>
            </w:pPr>
            <w:r w:rsidRPr="00FF4A97" w:rsidDel="0041383D">
              <w:t xml:space="preserve">What changes (if any) would you have to make to your business </w:t>
            </w:r>
            <w:r w:rsidR="00BE7B59" w:rsidRPr="00FF4A97" w:rsidDel="0041383D">
              <w:t>to</w:t>
            </w:r>
            <w:r w:rsidRPr="00FF4A97" w:rsidDel="0041383D">
              <w:t xml:space="preserve"> accommodate the difference in the obligations between these two classes of clients</w:t>
            </w:r>
            <w:r w:rsidRPr="00FF4A97">
              <w:rPr>
                <w:lang w:eastAsia="en-US"/>
              </w:rPr>
              <w:t xml:space="preserve">? </w:t>
            </w:r>
          </w:p>
          <w:p w14:paraId="72F31987" w14:textId="77777777" w:rsidR="00E003DB" w:rsidRPr="00FF4A97" w:rsidRDefault="00E003DB" w:rsidP="005B0F5C">
            <w:pPr>
              <w:pStyle w:val="Blueboxtext"/>
              <w:numPr>
                <w:ilvl w:val="0"/>
                <w:numId w:val="25"/>
              </w:numPr>
              <w:ind w:left="1019" w:hanging="425"/>
              <w:rPr>
                <w:lang w:eastAsia="en-US"/>
              </w:rPr>
            </w:pPr>
            <w:r w:rsidRPr="00FF4A97" w:rsidDel="0041383D">
              <w:t>What are the expected costs and benefits to your business of the proposed new obligations in relation to regulating NZU financial advice, transactional and/or custodial services</w:t>
            </w:r>
            <w:r w:rsidRPr="00FF4A97">
              <w:rPr>
                <w:lang w:eastAsia="en-US"/>
              </w:rPr>
              <w:t xml:space="preserve">? </w:t>
            </w:r>
          </w:p>
          <w:p w14:paraId="732751AB" w14:textId="4A6C51D0" w:rsidR="00E003DB" w:rsidRPr="00FF4A97" w:rsidRDefault="00E003DB" w:rsidP="005B0F5C">
            <w:pPr>
              <w:pStyle w:val="Blueboxtext"/>
              <w:numPr>
                <w:ilvl w:val="0"/>
                <w:numId w:val="25"/>
              </w:numPr>
              <w:ind w:left="1019" w:hanging="425"/>
              <w:rPr>
                <w:lang w:eastAsia="en-US"/>
              </w:rPr>
            </w:pPr>
            <w:r w:rsidRPr="00FF4A97">
              <w:t xml:space="preserve">What are your views about </w:t>
            </w:r>
            <w:r w:rsidR="00D64698">
              <w:t>requiring</w:t>
            </w:r>
            <w:r w:rsidRPr="00FF4A97">
              <w:t xml:space="preserve"> a minimum qualification requirement </w:t>
            </w:r>
            <w:r w:rsidR="00D64698">
              <w:t xml:space="preserve">to </w:t>
            </w:r>
            <w:r w:rsidRPr="00FF4A97">
              <w:t>help improve the quality of NZU financial advice, given the types of activities involved in that advice</w:t>
            </w:r>
            <w:r w:rsidRPr="00FF4A97">
              <w:rPr>
                <w:lang w:eastAsia="en-US"/>
              </w:rPr>
              <w:t xml:space="preserve">? </w:t>
            </w:r>
          </w:p>
          <w:p w14:paraId="4674F040" w14:textId="77777777" w:rsidR="00E003DB" w:rsidRPr="00FF4A97" w:rsidRDefault="00E003DB" w:rsidP="005B0F5C">
            <w:pPr>
              <w:pStyle w:val="Blueboxtext"/>
              <w:numPr>
                <w:ilvl w:val="0"/>
                <w:numId w:val="25"/>
              </w:numPr>
              <w:ind w:left="1019" w:hanging="425"/>
              <w:rPr>
                <w:lang w:eastAsia="en-US"/>
              </w:rPr>
            </w:pPr>
            <w:r w:rsidRPr="00FF4A97" w:rsidDel="002B6B98">
              <w:lastRenderedPageBreak/>
              <w:t>Are the costs of licensing and other obligations under the FMC Act appropriate for NZU financial advice</w:t>
            </w:r>
            <w:r w:rsidRPr="00FF4A97">
              <w:rPr>
                <w:lang w:eastAsia="en-US"/>
              </w:rPr>
              <w:t xml:space="preserve">? </w:t>
            </w:r>
          </w:p>
          <w:p w14:paraId="0F31AD15" w14:textId="388B6930" w:rsidR="00E003DB" w:rsidRPr="00FF4A97" w:rsidRDefault="00E003DB" w:rsidP="005B0F5C">
            <w:pPr>
              <w:pStyle w:val="Blueboxtext"/>
              <w:numPr>
                <w:ilvl w:val="0"/>
                <w:numId w:val="25"/>
              </w:numPr>
              <w:ind w:left="1019" w:hanging="425"/>
              <w:rPr>
                <w:lang w:eastAsia="en-US"/>
              </w:rPr>
            </w:pPr>
            <w:r w:rsidRPr="00FF4A97">
              <w:t>Are there likely to be impacts on availability of advice? For example, if you are an NZU advis</w:t>
            </w:r>
            <w:r w:rsidR="00564D6F">
              <w:t>e</w:t>
            </w:r>
            <w:r w:rsidRPr="00FF4A97">
              <w:t xml:space="preserve">r, would you consider choosing not to provide NZU advice to avoid the burden of </w:t>
            </w:r>
            <w:r w:rsidRPr="00FF4A97" w:rsidDel="002B6B98">
              <w:t>licensing</w:t>
            </w:r>
            <w:r w:rsidRPr="00FF4A97">
              <w:rPr>
                <w:lang w:eastAsia="en-US"/>
              </w:rPr>
              <w:t>?</w:t>
            </w:r>
          </w:p>
          <w:p w14:paraId="7FC9AC55" w14:textId="34791453" w:rsidR="00E003DB" w:rsidRPr="00FF4A97" w:rsidRDefault="00E003DB" w:rsidP="005B0F5C">
            <w:pPr>
              <w:pStyle w:val="Blueboxtext"/>
              <w:numPr>
                <w:ilvl w:val="0"/>
                <w:numId w:val="25"/>
              </w:numPr>
              <w:ind w:left="1019" w:hanging="425"/>
              <w:rPr>
                <w:lang w:eastAsia="en-US"/>
              </w:rPr>
            </w:pPr>
            <w:r w:rsidRPr="00FF4A97">
              <w:t xml:space="preserve">We have received complaints of NZETR account operators withholding access to NZUs from account holders. As an account holder, do you </w:t>
            </w:r>
            <w:r w:rsidR="00E90DFF">
              <w:t>think</w:t>
            </w:r>
            <w:r w:rsidR="00E90DFF" w:rsidRPr="00FF4A97">
              <w:t xml:space="preserve"> </w:t>
            </w:r>
            <w:r w:rsidRPr="00FF4A97">
              <w:t xml:space="preserve">there </w:t>
            </w:r>
            <w:r w:rsidR="004F0BFF">
              <w:t xml:space="preserve">is </w:t>
            </w:r>
            <w:r w:rsidRPr="00FF4A97">
              <w:t xml:space="preserve">a risk of NZETR account operators withholding such access? Regulating NZETR account operators may not resolve this type of issue; however, </w:t>
            </w:r>
            <w:r w:rsidR="00A268A5">
              <w:t>is it</w:t>
            </w:r>
            <w:r w:rsidRPr="00FF4A97">
              <w:t xml:space="preserve"> reasonable for NZETR operators to be regulated under </w:t>
            </w:r>
            <w:r w:rsidR="00342C3E">
              <w:t xml:space="preserve">a </w:t>
            </w:r>
            <w:r w:rsidRPr="00FF4A97">
              <w:t>client money and property services framework to ensure transparency and integrity when managing NZUs</w:t>
            </w:r>
            <w:r w:rsidRPr="00FF4A97">
              <w:rPr>
                <w:lang w:eastAsia="en-US"/>
              </w:rPr>
              <w:t>?</w:t>
            </w:r>
          </w:p>
          <w:p w14:paraId="76E5316F" w14:textId="11B97190" w:rsidR="00E003DB" w:rsidRPr="00FF4A97" w:rsidRDefault="006C1BC4" w:rsidP="005B0F5C">
            <w:pPr>
              <w:pStyle w:val="Blueboxtext"/>
              <w:numPr>
                <w:ilvl w:val="0"/>
                <w:numId w:val="25"/>
              </w:numPr>
              <w:ind w:left="1019" w:hanging="425"/>
              <w:rPr>
                <w:lang w:eastAsia="en-US"/>
              </w:rPr>
            </w:pPr>
            <w:r>
              <w:t>Is it</w:t>
            </w:r>
            <w:r w:rsidR="00E003DB" w:rsidRPr="00FF4A97">
              <w:t xml:space="preserve"> appropriate to </w:t>
            </w:r>
            <w:r w:rsidR="007030A9">
              <w:t>apply</w:t>
            </w:r>
            <w:r w:rsidR="00E003DB" w:rsidRPr="00FF4A97">
              <w:t xml:space="preserve"> client money and property service regulation to persons other than account operators in the NZ ETS? </w:t>
            </w:r>
            <w:r w:rsidR="00E003DB" w:rsidRPr="00FF4A97" w:rsidDel="00C26AFC">
              <w:t>If so, what client money and property service obligations are appropriate in relation to NZUs</w:t>
            </w:r>
            <w:r w:rsidR="00E003DB" w:rsidRPr="00FF4A97" w:rsidDel="00C26AFC">
              <w:rPr>
                <w:lang w:eastAsia="en-US"/>
              </w:rPr>
              <w:t>?</w:t>
            </w:r>
            <w:r w:rsidR="00E003DB" w:rsidRPr="00FF4A97">
              <w:rPr>
                <w:lang w:eastAsia="en-US"/>
              </w:rPr>
              <w:t xml:space="preserve"> </w:t>
            </w:r>
          </w:p>
          <w:p w14:paraId="51A67991" w14:textId="7B7579B2" w:rsidR="00E003DB" w:rsidRPr="00FF4A97" w:rsidRDefault="00191946" w:rsidP="005B0F5C">
            <w:pPr>
              <w:pStyle w:val="Blueboxtext"/>
              <w:numPr>
                <w:ilvl w:val="0"/>
                <w:numId w:val="25"/>
              </w:numPr>
              <w:ind w:left="1019" w:hanging="425"/>
              <w:rPr>
                <w:lang w:eastAsia="en-US"/>
              </w:rPr>
            </w:pPr>
            <w:r>
              <w:t>Are</w:t>
            </w:r>
            <w:r w:rsidR="00E003DB" w:rsidRPr="00FF4A97">
              <w:t xml:space="preserve"> the existing protections (to the extent applicable) under the FTA and </w:t>
            </w:r>
            <w:hyperlink r:id="rId53" w:history="1">
              <w:r w:rsidR="00E003DB" w:rsidRPr="00FF4A97">
                <w:rPr>
                  <w:rStyle w:val="Hyperlink"/>
                </w:rPr>
                <w:t>Trusts Act 2019</w:t>
              </w:r>
            </w:hyperlink>
            <w:r w:rsidR="00E003DB" w:rsidRPr="00FF4A97">
              <w:t xml:space="preserve"> (</w:t>
            </w:r>
            <w:r w:rsidR="00E652E4">
              <w:t>including</w:t>
            </w:r>
            <w:r w:rsidR="00E003DB" w:rsidRPr="00FF4A97">
              <w:t xml:space="preserve"> obligations for those holding money or property on trust to act honestly and in good faith, and use powers for a proper purpose) sufficient </w:t>
            </w:r>
            <w:r>
              <w:t>to address</w:t>
            </w:r>
            <w:r w:rsidR="00E003DB" w:rsidRPr="00FF4A97">
              <w:t xml:space="preserve"> the risks in the NZU </w:t>
            </w:r>
            <w:r w:rsidR="00E003DB" w:rsidRPr="00FF4A97" w:rsidDel="00C26AFC">
              <w:t>market</w:t>
            </w:r>
            <w:r w:rsidR="00E003DB" w:rsidRPr="00FF4A97">
              <w:rPr>
                <w:lang w:eastAsia="en-US"/>
              </w:rPr>
              <w:t>?</w:t>
            </w:r>
          </w:p>
          <w:p w14:paraId="7A928E75" w14:textId="77777777" w:rsidR="00E003DB" w:rsidRPr="00FF4A97" w:rsidRDefault="00E003DB" w:rsidP="005B0F5C">
            <w:pPr>
              <w:pStyle w:val="Blueboxtext"/>
              <w:numPr>
                <w:ilvl w:val="0"/>
                <w:numId w:val="25"/>
              </w:numPr>
              <w:ind w:left="1019" w:hanging="425"/>
              <w:rPr>
                <w:lang w:eastAsia="en-US"/>
              </w:rPr>
            </w:pPr>
            <w:r w:rsidRPr="00FF4A97">
              <w:rPr>
                <w:lang w:eastAsia="en-US"/>
              </w:rPr>
              <w:t xml:space="preserve">If </w:t>
            </w:r>
            <w:r w:rsidRPr="00FF4A97">
              <w:t xml:space="preserve">applied, would your business be covered by the definition of custodial service or otherwise by the meaning of client money or property </w:t>
            </w:r>
            <w:r w:rsidRPr="00FF4A97" w:rsidDel="00C26AFC">
              <w:t>service</w:t>
            </w:r>
            <w:r w:rsidRPr="00FF4A97">
              <w:rPr>
                <w:lang w:eastAsia="en-US"/>
              </w:rPr>
              <w:t>?</w:t>
            </w:r>
          </w:p>
          <w:p w14:paraId="63701616" w14:textId="77777777" w:rsidR="00E003DB" w:rsidRPr="00FF4A97" w:rsidRDefault="00E003DB" w:rsidP="005B0F5C">
            <w:pPr>
              <w:pStyle w:val="Blueboxtext"/>
              <w:numPr>
                <w:ilvl w:val="0"/>
                <w:numId w:val="25"/>
              </w:numPr>
              <w:ind w:left="1019" w:hanging="425"/>
              <w:rPr>
                <w:lang w:eastAsia="en-US"/>
              </w:rPr>
            </w:pPr>
            <w:r w:rsidRPr="00FF4A97">
              <w:t>If you are currently an account operator in the NZETR, how would you be impacted (if at all) by the proposal to regulate client money or property services</w:t>
            </w:r>
            <w:r w:rsidRPr="00FF4A97">
              <w:rPr>
                <w:lang w:eastAsia="en-US"/>
              </w:rPr>
              <w:t>?</w:t>
            </w:r>
          </w:p>
          <w:p w14:paraId="5E0C464C" w14:textId="77777777" w:rsidR="00E003DB" w:rsidRPr="00FF4A97" w:rsidRDefault="00E003DB" w:rsidP="00006371">
            <w:pPr>
              <w:pStyle w:val="Blueboxtext"/>
              <w:rPr>
                <w:b/>
                <w:bCs/>
              </w:rPr>
            </w:pPr>
            <w:r w:rsidRPr="00FF4A97">
              <w:rPr>
                <w:b/>
              </w:rPr>
              <w:t xml:space="preserve">Topic 3: Improved transaction reporting </w:t>
            </w:r>
          </w:p>
          <w:p w14:paraId="17F1B890" w14:textId="77777777" w:rsidR="00E003DB" w:rsidRPr="00FF4A97" w:rsidRDefault="00E003DB" w:rsidP="005B0F5C">
            <w:pPr>
              <w:pStyle w:val="Blueboxtext"/>
              <w:numPr>
                <w:ilvl w:val="0"/>
                <w:numId w:val="25"/>
              </w:numPr>
              <w:ind w:left="1019" w:hanging="425"/>
            </w:pPr>
            <w:r w:rsidRPr="00FF4A97">
              <w:t xml:space="preserve">How would the additional transaction-reporting </w:t>
            </w:r>
            <w:r w:rsidRPr="00FF4A97">
              <w:rPr>
                <w:lang w:eastAsia="en-US"/>
              </w:rPr>
              <w:t>requirements</w:t>
            </w:r>
            <w:r w:rsidRPr="00FF4A97">
              <w:t xml:space="preserve"> impact your </w:t>
            </w:r>
            <w:r w:rsidRPr="00FF4A97" w:rsidDel="00C26AFC">
              <w:t>business</w:t>
            </w:r>
            <w:r w:rsidRPr="00FF4A97">
              <w:t>?</w:t>
            </w:r>
          </w:p>
          <w:p w14:paraId="2F4235D2" w14:textId="77777777" w:rsidR="00E003DB" w:rsidRPr="00FF4A97" w:rsidRDefault="00E003DB" w:rsidP="005B0F5C">
            <w:pPr>
              <w:pStyle w:val="Blueboxtext"/>
              <w:numPr>
                <w:ilvl w:val="0"/>
                <w:numId w:val="25"/>
              </w:numPr>
              <w:ind w:left="1019" w:hanging="425"/>
            </w:pPr>
            <w:r w:rsidRPr="00FF4A97">
              <w:t xml:space="preserve">How would publishing more market </w:t>
            </w:r>
            <w:r w:rsidRPr="00FF4A97">
              <w:rPr>
                <w:lang w:eastAsia="en-US"/>
              </w:rPr>
              <w:t>information</w:t>
            </w:r>
            <w:r w:rsidRPr="00FF4A97">
              <w:t xml:space="preserve"> about NZU prices help you understand overall supply and demand conditions in the NZU </w:t>
            </w:r>
            <w:r w:rsidRPr="00FF4A97" w:rsidDel="00C26AFC">
              <w:t>market</w:t>
            </w:r>
            <w:r w:rsidRPr="00FF4A97">
              <w:t xml:space="preserve">? </w:t>
            </w:r>
          </w:p>
          <w:p w14:paraId="1A177409" w14:textId="77777777" w:rsidR="00E003DB" w:rsidRPr="00FF4A97" w:rsidRDefault="00E003DB" w:rsidP="00006371">
            <w:pPr>
              <w:pStyle w:val="Blueboxtext"/>
              <w:rPr>
                <w:b/>
                <w:bCs/>
              </w:rPr>
            </w:pPr>
            <w:r w:rsidRPr="00FF4A97">
              <w:rPr>
                <w:b/>
                <w:bCs/>
              </w:rPr>
              <w:t>Topic 4: Applying the AML/CFT Act framework</w:t>
            </w:r>
          </w:p>
          <w:p w14:paraId="10CB4055" w14:textId="77777777" w:rsidR="00E003DB" w:rsidRPr="00FF4A97" w:rsidRDefault="00E003DB" w:rsidP="005B0F5C">
            <w:pPr>
              <w:pStyle w:val="Blueboxtext"/>
              <w:numPr>
                <w:ilvl w:val="0"/>
                <w:numId w:val="25"/>
              </w:numPr>
              <w:ind w:left="1019" w:hanging="425"/>
            </w:pPr>
            <w:r w:rsidRPr="00FF4A97">
              <w:t>How can we support you to better understand your AML/CFT obligations?</w:t>
            </w:r>
          </w:p>
          <w:p w14:paraId="606FC628" w14:textId="4CB65323" w:rsidR="00E003DB" w:rsidRPr="00FF4A97" w:rsidRDefault="0032170F" w:rsidP="005B0F5C">
            <w:pPr>
              <w:pStyle w:val="Blueboxtext"/>
              <w:numPr>
                <w:ilvl w:val="0"/>
                <w:numId w:val="25"/>
              </w:numPr>
              <w:ind w:left="1019" w:hanging="425"/>
            </w:pPr>
            <w:r>
              <w:t>Are</w:t>
            </w:r>
            <w:r w:rsidR="00E003DB" w:rsidRPr="00FF4A97">
              <w:t xml:space="preserve"> the current AML/CFT settings that apply to the NZU market appropriate to safeguard against risks of money laundering and the financing of terrorism? If not, how could they be improved? </w:t>
            </w:r>
          </w:p>
        </w:tc>
      </w:tr>
    </w:tbl>
    <w:p w14:paraId="37A89182" w14:textId="77777777" w:rsidR="00E003DB" w:rsidRPr="00747EF6" w:rsidRDefault="00E003DB" w:rsidP="00E003DB">
      <w:pPr>
        <w:pStyle w:val="BodyText"/>
      </w:pPr>
    </w:p>
    <w:p w14:paraId="58E2F062" w14:textId="77777777" w:rsidR="00E003DB" w:rsidRPr="00747EF6" w:rsidRDefault="00E003DB" w:rsidP="00E003DB">
      <w:pPr>
        <w:pStyle w:val="BodyText"/>
      </w:pPr>
      <w:r w:rsidRPr="00747EF6">
        <w:br w:type="page"/>
      </w:r>
    </w:p>
    <w:p w14:paraId="152CB65F" w14:textId="77777777" w:rsidR="00E003DB" w:rsidRPr="00747EF6" w:rsidRDefault="00E003DB" w:rsidP="00E003DB">
      <w:pPr>
        <w:pStyle w:val="Heading1"/>
      </w:pPr>
      <w:bookmarkStart w:id="156" w:name="_Toc118703554"/>
      <w:bookmarkStart w:id="157" w:name="_Toc118953607"/>
      <w:bookmarkStart w:id="158" w:name="_Toc116391435"/>
      <w:r w:rsidRPr="00747EF6">
        <w:lastRenderedPageBreak/>
        <w:t>Have your say</w:t>
      </w:r>
      <w:bookmarkEnd w:id="156"/>
      <w:bookmarkEnd w:id="157"/>
    </w:p>
    <w:p w14:paraId="6F5D1B06" w14:textId="77777777" w:rsidR="00E003DB" w:rsidRPr="00747EF6" w:rsidRDefault="00E003DB" w:rsidP="00E003DB">
      <w:pPr>
        <w:pStyle w:val="BodyText"/>
      </w:pPr>
      <w:r w:rsidRPr="00747EF6">
        <w:t>The Government welcomes your feedback on this discussion document. The questions posed throughout this document can also be found on our website. These questions should also be used as a guide, and all comments are welcome. You do not have to answer all the questions.</w:t>
      </w:r>
    </w:p>
    <w:p w14:paraId="61E29E14" w14:textId="77777777" w:rsidR="00E003DB" w:rsidRPr="00747EF6" w:rsidRDefault="00E003DB" w:rsidP="00E003DB">
      <w:pPr>
        <w:pStyle w:val="BodyText"/>
      </w:pPr>
      <w:r w:rsidRPr="00747EF6">
        <w:t xml:space="preserve">To ensure your point of view is clearly understood, please explain your </w:t>
      </w:r>
      <w:proofErr w:type="gramStart"/>
      <w:r w:rsidRPr="00747EF6">
        <w:t>rationale</w:t>
      </w:r>
      <w:proofErr w:type="gramEnd"/>
      <w:r w:rsidRPr="00747EF6">
        <w:t xml:space="preserve"> and provide supporting evidence where possible.</w:t>
      </w:r>
    </w:p>
    <w:p w14:paraId="4DD74A7E" w14:textId="77777777" w:rsidR="00E003DB" w:rsidRPr="00747EF6" w:rsidRDefault="00E003DB" w:rsidP="00E003DB">
      <w:pPr>
        <w:pStyle w:val="Heading2"/>
      </w:pPr>
      <w:bookmarkStart w:id="159" w:name="_Toc111531919"/>
      <w:bookmarkStart w:id="160" w:name="_Toc111799043"/>
      <w:bookmarkStart w:id="161" w:name="_Toc112068734"/>
      <w:bookmarkStart w:id="162" w:name="_Toc117870527"/>
      <w:bookmarkStart w:id="163" w:name="_Toc118703555"/>
      <w:bookmarkStart w:id="164" w:name="_Toc118953608"/>
      <w:r w:rsidRPr="00747EF6">
        <w:t>Timeframes</w:t>
      </w:r>
      <w:bookmarkEnd w:id="159"/>
      <w:bookmarkEnd w:id="160"/>
      <w:bookmarkEnd w:id="161"/>
      <w:bookmarkEnd w:id="162"/>
      <w:bookmarkEnd w:id="163"/>
      <w:bookmarkEnd w:id="164"/>
    </w:p>
    <w:p w14:paraId="5751ACD2" w14:textId="611768F3" w:rsidR="00E003DB" w:rsidRPr="00747EF6" w:rsidRDefault="00E003DB" w:rsidP="00E003DB">
      <w:pPr>
        <w:pStyle w:val="BodyText"/>
      </w:pPr>
      <w:r w:rsidRPr="00747EF6">
        <w:t xml:space="preserve">This consultation starts </w:t>
      </w:r>
      <w:r w:rsidR="00994AFD">
        <w:t xml:space="preserve">at 8am </w:t>
      </w:r>
      <w:r w:rsidRPr="00747EF6">
        <w:t>on 17</w:t>
      </w:r>
      <w:r w:rsidRPr="00747EF6">
        <w:rPr>
          <w:vertAlign w:val="superscript"/>
        </w:rPr>
        <w:t xml:space="preserve"> </w:t>
      </w:r>
      <w:r w:rsidRPr="00747EF6">
        <w:t xml:space="preserve">November 2022 and ends </w:t>
      </w:r>
      <w:r w:rsidR="00994AFD">
        <w:t xml:space="preserve">at 11.59pm </w:t>
      </w:r>
      <w:r w:rsidRPr="00747EF6">
        <w:t>on 24 December 2022.</w:t>
      </w:r>
    </w:p>
    <w:p w14:paraId="735FE773" w14:textId="77777777" w:rsidR="00E003DB" w:rsidRPr="00747EF6" w:rsidRDefault="00E003DB" w:rsidP="00E003DB">
      <w:pPr>
        <w:pStyle w:val="BodyText"/>
      </w:pPr>
      <w:r w:rsidRPr="00747EF6">
        <w:t>When the consultation period has ended, officials will analyse submissions and provide advice to the Government on the proposed policies that are discussed in this document.</w:t>
      </w:r>
    </w:p>
    <w:p w14:paraId="413F2DF3" w14:textId="77777777" w:rsidR="00E003DB" w:rsidRPr="00747EF6" w:rsidRDefault="00E003DB" w:rsidP="00E003DB">
      <w:pPr>
        <w:pStyle w:val="Heading2"/>
      </w:pPr>
      <w:bookmarkStart w:id="165" w:name="_Toc111531920"/>
      <w:bookmarkStart w:id="166" w:name="_Toc111799044"/>
      <w:bookmarkStart w:id="167" w:name="_Toc112068735"/>
      <w:bookmarkStart w:id="168" w:name="_Toc117870528"/>
      <w:bookmarkStart w:id="169" w:name="_Toc118703556"/>
      <w:bookmarkStart w:id="170" w:name="_Toc118953609"/>
      <w:r w:rsidRPr="00747EF6">
        <w:t>How to provide feedback</w:t>
      </w:r>
      <w:bookmarkEnd w:id="165"/>
      <w:bookmarkEnd w:id="166"/>
      <w:bookmarkEnd w:id="167"/>
      <w:bookmarkEnd w:id="168"/>
      <w:bookmarkEnd w:id="169"/>
      <w:bookmarkEnd w:id="170"/>
      <w:r w:rsidRPr="00747EF6">
        <w:t xml:space="preserve"> </w:t>
      </w:r>
    </w:p>
    <w:p w14:paraId="2FD290D4" w14:textId="77777777" w:rsidR="00E003DB" w:rsidRPr="00747EF6" w:rsidRDefault="00E003DB" w:rsidP="00E003DB">
      <w:pPr>
        <w:pStyle w:val="BodyText"/>
      </w:pPr>
      <w:r w:rsidRPr="00747EF6">
        <w:t>You can make a submission in two ways:</w:t>
      </w:r>
    </w:p>
    <w:p w14:paraId="3C0AEEC8" w14:textId="77777777" w:rsidR="00E003DB" w:rsidRPr="00747EF6" w:rsidRDefault="00E003DB" w:rsidP="00E003DB">
      <w:pPr>
        <w:pStyle w:val="Bullet"/>
      </w:pPr>
      <w:r w:rsidRPr="00747EF6">
        <w:t xml:space="preserve">via Citizen Space, our consultation hub, available at </w:t>
      </w:r>
      <w:hyperlink r:id="rId54" w:history="1">
        <w:r w:rsidRPr="00747EF6">
          <w:rPr>
            <w:rStyle w:val="Hyperlink"/>
          </w:rPr>
          <w:t>https://consult.environment.govt.nz/</w:t>
        </w:r>
      </w:hyperlink>
    </w:p>
    <w:p w14:paraId="0A77395D" w14:textId="77777777" w:rsidR="00E003DB" w:rsidRPr="00747EF6" w:rsidRDefault="00E003DB" w:rsidP="00E003DB">
      <w:pPr>
        <w:pStyle w:val="Bullet"/>
      </w:pPr>
      <w:r>
        <w:t xml:space="preserve">by </w:t>
      </w:r>
      <w:r w:rsidRPr="00747EF6">
        <w:t>writ</w:t>
      </w:r>
      <w:r>
        <w:t>ing</w:t>
      </w:r>
      <w:r w:rsidRPr="00747EF6">
        <w:t xml:space="preserve"> your own submission.</w:t>
      </w:r>
    </w:p>
    <w:p w14:paraId="1AE05BEF" w14:textId="09A03DD6" w:rsidR="00E003DB" w:rsidRPr="00747EF6" w:rsidRDefault="00E003DB" w:rsidP="00E003DB">
      <w:pPr>
        <w:pStyle w:val="BodyText"/>
      </w:pPr>
      <w:r w:rsidRPr="00747EF6">
        <w:t xml:space="preserve">We request that you do not email or post submissions, because this makes analysis more difficult. However, if you need to, please send written submissions to </w:t>
      </w:r>
      <w:r w:rsidR="00C33AB3">
        <w:t>New</w:t>
      </w:r>
      <w:r w:rsidR="00CA5C4A">
        <w:t xml:space="preserve"> Zealand Emissions Trading Scheme</w:t>
      </w:r>
      <w:r w:rsidRPr="00747EF6">
        <w:t xml:space="preserve">, Ministry for the Environment, PO Box 10362, Wellington 6143 and include: </w:t>
      </w:r>
    </w:p>
    <w:p w14:paraId="2C33ADAD" w14:textId="77777777" w:rsidR="00E003DB" w:rsidRPr="00747EF6" w:rsidRDefault="00E003DB" w:rsidP="00E003DB">
      <w:pPr>
        <w:pStyle w:val="Bullet"/>
      </w:pPr>
      <w:r w:rsidRPr="00747EF6">
        <w:t xml:space="preserve">your name or organisation </w:t>
      </w:r>
    </w:p>
    <w:p w14:paraId="559A951F" w14:textId="77777777" w:rsidR="00E003DB" w:rsidRPr="00747EF6" w:rsidRDefault="00E003DB" w:rsidP="00E003DB">
      <w:pPr>
        <w:pStyle w:val="Bullet"/>
      </w:pPr>
      <w:r w:rsidRPr="00747EF6">
        <w:t xml:space="preserve">your postal address </w:t>
      </w:r>
    </w:p>
    <w:p w14:paraId="2657A6D9" w14:textId="77777777" w:rsidR="00E003DB" w:rsidRPr="00747EF6" w:rsidRDefault="00E003DB" w:rsidP="00E003DB">
      <w:pPr>
        <w:pStyle w:val="Bullet"/>
      </w:pPr>
      <w:r w:rsidRPr="00747EF6">
        <w:t xml:space="preserve">your telephone </w:t>
      </w:r>
      <w:proofErr w:type="gramStart"/>
      <w:r w:rsidRPr="00747EF6">
        <w:t>number</w:t>
      </w:r>
      <w:proofErr w:type="gramEnd"/>
      <w:r w:rsidRPr="00747EF6">
        <w:t xml:space="preserve"> </w:t>
      </w:r>
    </w:p>
    <w:p w14:paraId="0BA88B7B" w14:textId="77777777" w:rsidR="00E003DB" w:rsidRPr="00747EF6" w:rsidRDefault="00E003DB" w:rsidP="00E003DB">
      <w:pPr>
        <w:pStyle w:val="Bullet"/>
      </w:pPr>
      <w:r w:rsidRPr="00747EF6">
        <w:t>your email address.</w:t>
      </w:r>
    </w:p>
    <w:p w14:paraId="5BFBAD72" w14:textId="77777777" w:rsidR="00E003DB" w:rsidRPr="00747EF6" w:rsidRDefault="00E003DB" w:rsidP="00E003DB">
      <w:pPr>
        <w:pStyle w:val="BodyText"/>
      </w:pPr>
      <w:r w:rsidRPr="00747EF6">
        <w:t xml:space="preserve">If you are emailing your feedback, please send it to </w:t>
      </w:r>
      <w:hyperlink r:id="rId55" w:history="1">
        <w:r w:rsidRPr="001B31F3">
          <w:rPr>
            <w:rStyle w:val="Hyperlink"/>
          </w:rPr>
          <w:t>etsconsultation@mfe.govt.nz</w:t>
        </w:r>
      </w:hyperlink>
      <w:r w:rsidRPr="00747EF6">
        <w:t xml:space="preserve"> as a:</w:t>
      </w:r>
    </w:p>
    <w:p w14:paraId="6139DE5B" w14:textId="77777777" w:rsidR="00E003DB" w:rsidRPr="00747EF6" w:rsidRDefault="00E003DB" w:rsidP="00E003DB">
      <w:pPr>
        <w:pStyle w:val="Bullet"/>
      </w:pPr>
      <w:r w:rsidRPr="00747EF6">
        <w:t>PDF, or</w:t>
      </w:r>
    </w:p>
    <w:p w14:paraId="04143123" w14:textId="77777777" w:rsidR="00E003DB" w:rsidRPr="00747EF6" w:rsidRDefault="00E003DB" w:rsidP="00E003DB">
      <w:pPr>
        <w:pStyle w:val="Bullet"/>
      </w:pPr>
      <w:r w:rsidRPr="00747EF6">
        <w:t>Microsoft Word document (2003 or later version).</w:t>
      </w:r>
    </w:p>
    <w:p w14:paraId="15ADCAA8" w14:textId="77777777" w:rsidR="00E003DB" w:rsidRPr="00747EF6" w:rsidRDefault="00E003DB" w:rsidP="00E003DB">
      <w:pPr>
        <w:pStyle w:val="BodyText"/>
      </w:pPr>
      <w:r w:rsidRPr="00747EF6">
        <w:t>Submissions close at 11.59 pm on 24 December 2022.</w:t>
      </w:r>
    </w:p>
    <w:p w14:paraId="474458B0" w14:textId="77777777" w:rsidR="00E003DB" w:rsidRPr="00747EF6" w:rsidRDefault="00E003DB" w:rsidP="00E003DB">
      <w:pPr>
        <w:pStyle w:val="Heading2"/>
      </w:pPr>
      <w:bookmarkStart w:id="171" w:name="_Toc111531921"/>
      <w:bookmarkStart w:id="172" w:name="_Toc111799045"/>
      <w:bookmarkStart w:id="173" w:name="_Toc112068736"/>
      <w:bookmarkStart w:id="174" w:name="_Toc117870529"/>
      <w:bookmarkStart w:id="175" w:name="_Toc118703557"/>
      <w:bookmarkStart w:id="176" w:name="_Toc118953610"/>
      <w:r w:rsidRPr="00747EF6">
        <w:t>Publishing and releasing submissions</w:t>
      </w:r>
      <w:bookmarkEnd w:id="171"/>
      <w:bookmarkEnd w:id="172"/>
      <w:bookmarkEnd w:id="173"/>
      <w:bookmarkEnd w:id="174"/>
      <w:bookmarkEnd w:id="175"/>
      <w:bookmarkEnd w:id="176"/>
    </w:p>
    <w:p w14:paraId="240B209F" w14:textId="77777777" w:rsidR="00E003DB" w:rsidRPr="00747EF6" w:rsidRDefault="00E003DB" w:rsidP="00E003DB">
      <w:pPr>
        <w:pStyle w:val="BodyText"/>
      </w:pPr>
      <w:r w:rsidRPr="00747EF6">
        <w:t xml:space="preserve">All or part of any written submission (including names of submitters) may be published on the Ministry for the Environment’s website, </w:t>
      </w:r>
      <w:hyperlink r:id="rId56" w:history="1">
        <w:r w:rsidRPr="00747EF6">
          <w:rPr>
            <w:rStyle w:val="Hyperlink"/>
          </w:rPr>
          <w:t>environment.govt.nz</w:t>
        </w:r>
      </w:hyperlink>
      <w:r w:rsidRPr="00747EF6">
        <w:t>. Unless you clearly specify otherwise in your submission, the Ministry will consider that you have consented to website posting of both your submission and your name.</w:t>
      </w:r>
    </w:p>
    <w:p w14:paraId="59EF2E94" w14:textId="77777777" w:rsidR="00E003DB" w:rsidRPr="00747EF6" w:rsidRDefault="00E003DB" w:rsidP="00E003DB">
      <w:pPr>
        <w:pStyle w:val="BodyText"/>
      </w:pPr>
      <w:r w:rsidRPr="00747EF6">
        <w:lastRenderedPageBreak/>
        <w:t xml:space="preserve">Contents of submissions may be released to the public under the </w:t>
      </w:r>
      <w:hyperlink r:id="rId57" w:history="1">
        <w:r w:rsidRPr="00747EF6">
          <w:rPr>
            <w:rStyle w:val="Hyperlink"/>
          </w:rPr>
          <w:t>Official Information Act 1982</w:t>
        </w:r>
      </w:hyperlink>
      <w:r w:rsidRPr="00747EF6">
        <w:t xml:space="preserve"> following requests to the Ministry for the Environment (including via email). Please advise if you have any objection to the release of any information contained in a submission and, </w:t>
      </w:r>
      <w:proofErr w:type="gramStart"/>
      <w:r w:rsidRPr="00747EF6">
        <w:t>in particular, which</w:t>
      </w:r>
      <w:proofErr w:type="gramEnd"/>
      <w:r w:rsidRPr="00747EF6">
        <w:t xml:space="preserve"> part(s) you consider should be withheld, together with the reason(s) for withholding the information. We will </w:t>
      </w:r>
      <w:proofErr w:type="gramStart"/>
      <w:r w:rsidRPr="00747EF6">
        <w:t>take into account</w:t>
      </w:r>
      <w:proofErr w:type="gramEnd"/>
      <w:r w:rsidRPr="00747EF6">
        <w:t xml:space="preserve"> all such objections when responding to requests for copies of, and information on, submissions to this document under the Official Information Act 1982.</w:t>
      </w:r>
    </w:p>
    <w:p w14:paraId="47DAD428" w14:textId="77777777" w:rsidR="00E003DB" w:rsidRPr="00747EF6" w:rsidRDefault="00E003DB" w:rsidP="00E003DB">
      <w:pPr>
        <w:pStyle w:val="BodyText"/>
      </w:pPr>
      <w:r w:rsidRPr="00747EF6">
        <w:t xml:space="preserve">The </w:t>
      </w:r>
      <w:hyperlink r:id="rId58" w:history="1">
        <w:r w:rsidRPr="00747EF6">
          <w:rPr>
            <w:rStyle w:val="Hyperlink"/>
          </w:rPr>
          <w:t>Privacy Act 2020</w:t>
        </w:r>
      </w:hyperlink>
      <w:r w:rsidRPr="00747EF6">
        <w:t xml:space="preserve"> applies certain principles about the collection, use and disclosure of information about individuals by various agencies, including the Ministry for the Environment. It governs access by individuals to information about themselves held by agencies. Please clearly indicate in your submission if you do not wish your name to be included in any summary of submissions that the Ministry for the Environment may publish.</w:t>
      </w:r>
    </w:p>
    <w:p w14:paraId="3109EE0E" w14:textId="77777777" w:rsidR="00E003DB" w:rsidRPr="00747EF6" w:rsidRDefault="00E003DB" w:rsidP="00E003DB">
      <w:pPr>
        <w:spacing w:before="0" w:after="160" w:line="259" w:lineRule="auto"/>
        <w:jc w:val="left"/>
        <w:rPr>
          <w:rFonts w:ascii="Georgia" w:hAnsi="Georgia"/>
          <w:b/>
          <w:bCs/>
          <w:color w:val="1C556C"/>
          <w:sz w:val="48"/>
          <w:szCs w:val="28"/>
        </w:rPr>
      </w:pPr>
      <w:r w:rsidRPr="00747EF6">
        <w:br w:type="page"/>
      </w:r>
    </w:p>
    <w:p w14:paraId="64FE5BA9" w14:textId="77777777" w:rsidR="00E003DB" w:rsidRPr="00747EF6" w:rsidRDefault="00E003DB" w:rsidP="00E003DB">
      <w:pPr>
        <w:pStyle w:val="Heading1"/>
      </w:pPr>
      <w:bookmarkStart w:id="177" w:name="_Glossary"/>
      <w:bookmarkStart w:id="178" w:name="_Toc118703558"/>
      <w:bookmarkStart w:id="179" w:name="_Toc118953611"/>
      <w:bookmarkEnd w:id="177"/>
      <w:r w:rsidRPr="00747EF6">
        <w:lastRenderedPageBreak/>
        <w:t>Glossary</w:t>
      </w:r>
      <w:bookmarkEnd w:id="158"/>
      <w:bookmarkEnd w:id="178"/>
      <w:bookmarkEnd w:id="179"/>
    </w:p>
    <w:tbl>
      <w:tblPr>
        <w:tblStyle w:val="RSTableGrida1"/>
        <w:tblW w:w="4951" w:type="pct"/>
        <w:tblInd w:w="85" w:type="dxa"/>
        <w:tblBorders>
          <w:top w:val="none" w:sz="0" w:space="0" w:color="auto"/>
          <w:left w:val="none" w:sz="0" w:space="0" w:color="auto"/>
          <w:bottom w:val="single" w:sz="4" w:space="0" w:color="1C556C"/>
          <w:right w:val="none" w:sz="0" w:space="0" w:color="auto"/>
          <w:insideH w:val="single" w:sz="4" w:space="0" w:color="1C556C"/>
          <w:insideV w:val="single" w:sz="4" w:space="0" w:color="1C556C"/>
        </w:tblBorders>
        <w:tblCellMar>
          <w:left w:w="85" w:type="dxa"/>
          <w:right w:w="0" w:type="dxa"/>
        </w:tblCellMar>
        <w:tblLook w:val="04A0" w:firstRow="1" w:lastRow="0" w:firstColumn="1" w:lastColumn="0" w:noHBand="0" w:noVBand="1"/>
      </w:tblPr>
      <w:tblGrid>
        <w:gridCol w:w="2872"/>
        <w:gridCol w:w="5550"/>
      </w:tblGrid>
      <w:tr w:rsidR="00E003DB" w:rsidRPr="00610CD1" w14:paraId="60B1FC56" w14:textId="77777777" w:rsidTr="00255135">
        <w:trPr>
          <w:tblHeader/>
        </w:trPr>
        <w:tc>
          <w:tcPr>
            <w:tcW w:w="1705" w:type="pct"/>
            <w:shd w:val="clear" w:color="auto" w:fill="1C556C"/>
          </w:tcPr>
          <w:p w14:paraId="0D0F54AA" w14:textId="77777777" w:rsidR="00E003DB" w:rsidRPr="00610CD1" w:rsidRDefault="00E003DB" w:rsidP="00006371">
            <w:pPr>
              <w:pStyle w:val="TableText"/>
              <w:rPr>
                <w:b/>
                <w:bCs/>
                <w:color w:val="FFFFFF" w:themeColor="background1"/>
              </w:rPr>
            </w:pPr>
            <w:r w:rsidRPr="00610CD1">
              <w:rPr>
                <w:b/>
                <w:bCs/>
                <w:color w:val="FFFFFF" w:themeColor="background1"/>
              </w:rPr>
              <w:t>Term</w:t>
            </w:r>
          </w:p>
        </w:tc>
        <w:tc>
          <w:tcPr>
            <w:tcW w:w="3295" w:type="pct"/>
            <w:shd w:val="clear" w:color="auto" w:fill="1C556C"/>
          </w:tcPr>
          <w:p w14:paraId="202FB150" w14:textId="77777777" w:rsidR="00E003DB" w:rsidRPr="00610CD1" w:rsidRDefault="00E003DB" w:rsidP="00006371">
            <w:pPr>
              <w:pStyle w:val="TableText"/>
              <w:rPr>
                <w:b/>
                <w:bCs/>
                <w:color w:val="FFFFFF" w:themeColor="background1"/>
              </w:rPr>
            </w:pPr>
            <w:r w:rsidRPr="00610CD1">
              <w:rPr>
                <w:b/>
                <w:bCs/>
                <w:color w:val="FFFFFF" w:themeColor="background1"/>
              </w:rPr>
              <w:t>Meaning</w:t>
            </w:r>
          </w:p>
        </w:tc>
      </w:tr>
      <w:tr w:rsidR="00E003DB" w:rsidRPr="00747EF6" w14:paraId="03B3FC0E" w14:textId="77777777" w:rsidTr="00255135">
        <w:tc>
          <w:tcPr>
            <w:tcW w:w="1705" w:type="pct"/>
          </w:tcPr>
          <w:p w14:paraId="272A6AE0" w14:textId="77777777" w:rsidR="00E003DB" w:rsidRPr="00747EF6" w:rsidRDefault="00E003DB" w:rsidP="00006371">
            <w:pPr>
              <w:pStyle w:val="TableText"/>
            </w:pPr>
            <w:r w:rsidRPr="00747EF6">
              <w:t>AML/CFT Ac</w:t>
            </w:r>
            <w:r>
              <w:t>t</w:t>
            </w:r>
          </w:p>
        </w:tc>
        <w:tc>
          <w:tcPr>
            <w:tcW w:w="3295" w:type="pct"/>
          </w:tcPr>
          <w:p w14:paraId="2152E1FA" w14:textId="527C4DFE" w:rsidR="00E003DB" w:rsidRPr="00747EF6" w:rsidRDefault="008A6D82" w:rsidP="00006371">
            <w:pPr>
              <w:pStyle w:val="TableText"/>
            </w:pPr>
            <w:hyperlink r:id="rId59" w:history="1">
              <w:r w:rsidR="00E003DB" w:rsidRPr="00FA3CC1">
                <w:rPr>
                  <w:rStyle w:val="Hyperlink"/>
                  <w:rFonts w:cstheme="minorBidi"/>
                  <w:szCs w:val="22"/>
                </w:rPr>
                <w:t xml:space="preserve">Anti-Money Laundering and Countering Financing of </w:t>
              </w:r>
              <w:r w:rsidR="00E003DB" w:rsidRPr="00FA3CC1">
                <w:rPr>
                  <w:rStyle w:val="Hyperlink"/>
                </w:rPr>
                <w:t>Terrorism Act 2009.</w:t>
              </w:r>
            </w:hyperlink>
            <w:r w:rsidR="00E003DB">
              <w:t xml:space="preserve"> This Act</w:t>
            </w:r>
            <w:r w:rsidR="00E003DB" w:rsidRPr="00747EF6">
              <w:t xml:space="preserve"> and its regulations place obligations on </w:t>
            </w:r>
            <w:r w:rsidR="00E003DB">
              <w:t xml:space="preserve">Aotearoa </w:t>
            </w:r>
            <w:r w:rsidR="00E003DB" w:rsidRPr="00747EF6">
              <w:t xml:space="preserve">New Zealand’s financial institutions to detect and deter money laundering and terrorism financing in captured activities. </w:t>
            </w:r>
          </w:p>
        </w:tc>
      </w:tr>
      <w:tr w:rsidR="00E003DB" w:rsidRPr="00747EF6" w14:paraId="3A9AE840" w14:textId="77777777" w:rsidTr="00255135">
        <w:tc>
          <w:tcPr>
            <w:tcW w:w="1705" w:type="pct"/>
          </w:tcPr>
          <w:p w14:paraId="2AD95C76" w14:textId="77777777" w:rsidR="00E003DB" w:rsidRPr="00747EF6" w:rsidDel="00AA08B1" w:rsidRDefault="00E003DB" w:rsidP="00006371">
            <w:pPr>
              <w:pStyle w:val="TableText"/>
            </w:pPr>
            <w:r>
              <w:t>AML/CFT Regulations</w:t>
            </w:r>
          </w:p>
        </w:tc>
        <w:tc>
          <w:tcPr>
            <w:tcW w:w="3295" w:type="pct"/>
          </w:tcPr>
          <w:p w14:paraId="6FBCD742" w14:textId="3E32FE8D" w:rsidR="00E003DB" w:rsidRPr="00747EF6" w:rsidRDefault="00E003DB" w:rsidP="00006371">
            <w:pPr>
              <w:pStyle w:val="TableText"/>
            </w:pPr>
            <w:r>
              <w:t xml:space="preserve">There are multiple sets of regulations governed by the AML/CFT Act. This discussion document refers to the </w:t>
            </w:r>
            <w:hyperlink r:id="rId60" w:history="1">
              <w:r w:rsidRPr="00CE0A76">
                <w:rPr>
                  <w:rStyle w:val="Hyperlink"/>
                  <w:rFonts w:cstheme="minorBidi"/>
                  <w:szCs w:val="22"/>
                </w:rPr>
                <w:t>Anti-Money Laundering and Countering Financing of Terrorism (Prescribed Transactions Reporting) Regulations 2016.</w:t>
              </w:r>
            </w:hyperlink>
          </w:p>
        </w:tc>
      </w:tr>
      <w:tr w:rsidR="00E003DB" w:rsidRPr="00747EF6" w14:paraId="0A88B359" w14:textId="77777777" w:rsidTr="00255135">
        <w:tc>
          <w:tcPr>
            <w:tcW w:w="1705" w:type="pct"/>
          </w:tcPr>
          <w:p w14:paraId="63CCC108" w14:textId="77777777" w:rsidR="00E003DB" w:rsidRPr="00747EF6" w:rsidRDefault="00E003DB" w:rsidP="00006371">
            <w:pPr>
              <w:pStyle w:val="TableText"/>
            </w:pPr>
            <w:r w:rsidRPr="00747EF6">
              <w:t>Captured activities</w:t>
            </w:r>
          </w:p>
        </w:tc>
        <w:tc>
          <w:tcPr>
            <w:tcW w:w="3295" w:type="pct"/>
          </w:tcPr>
          <w:p w14:paraId="41162B52" w14:textId="77777777" w:rsidR="00E003DB" w:rsidRPr="00747EF6" w:rsidRDefault="00E003DB" w:rsidP="00006371">
            <w:pPr>
              <w:pStyle w:val="TableText"/>
            </w:pPr>
            <w:r w:rsidRPr="00747EF6">
              <w:t xml:space="preserve">Activities that are specified under the definition of </w:t>
            </w:r>
            <w:r>
              <w:t>‘</w:t>
            </w:r>
            <w:r w:rsidRPr="00747EF6">
              <w:t>designated non-financial business or profession</w:t>
            </w:r>
            <w:r>
              <w:t>’</w:t>
            </w:r>
            <w:r w:rsidRPr="00747EF6">
              <w:t xml:space="preserve"> in the AML/CFT Act</w:t>
            </w:r>
          </w:p>
        </w:tc>
      </w:tr>
      <w:tr w:rsidR="00E003DB" w:rsidRPr="00747EF6" w14:paraId="38C9E762" w14:textId="77777777" w:rsidTr="00255135">
        <w:tc>
          <w:tcPr>
            <w:tcW w:w="1705" w:type="pct"/>
          </w:tcPr>
          <w:p w14:paraId="3955068B" w14:textId="77777777" w:rsidR="00E003DB" w:rsidRDefault="00E003DB" w:rsidP="00006371">
            <w:pPr>
              <w:pStyle w:val="TableText"/>
            </w:pPr>
            <w:r>
              <w:t>CCC</w:t>
            </w:r>
          </w:p>
        </w:tc>
        <w:tc>
          <w:tcPr>
            <w:tcW w:w="3295" w:type="pct"/>
          </w:tcPr>
          <w:p w14:paraId="0DE8D898" w14:textId="6370DF3B" w:rsidR="00E003DB" w:rsidRDefault="00E003DB" w:rsidP="00006371">
            <w:pPr>
              <w:pStyle w:val="TableText"/>
            </w:pPr>
            <w:r>
              <w:t>Climate Change Commission</w:t>
            </w:r>
          </w:p>
        </w:tc>
      </w:tr>
      <w:tr w:rsidR="00E003DB" w:rsidRPr="00747EF6" w14:paraId="266CBA76" w14:textId="77777777" w:rsidTr="00255135">
        <w:tc>
          <w:tcPr>
            <w:tcW w:w="1705" w:type="pct"/>
          </w:tcPr>
          <w:p w14:paraId="34BE5BDD" w14:textId="77777777" w:rsidR="00E003DB" w:rsidRPr="00747EF6" w:rsidRDefault="00E003DB" w:rsidP="00006371">
            <w:pPr>
              <w:pStyle w:val="TableText"/>
            </w:pPr>
            <w:r w:rsidRPr="00747EF6">
              <w:t>CCRA</w:t>
            </w:r>
          </w:p>
        </w:tc>
        <w:tc>
          <w:tcPr>
            <w:tcW w:w="3295" w:type="pct"/>
          </w:tcPr>
          <w:p w14:paraId="05D70F25" w14:textId="29292E9E" w:rsidR="00E003DB" w:rsidRPr="00747EF6" w:rsidRDefault="008A6D82" w:rsidP="00006371">
            <w:pPr>
              <w:pStyle w:val="TableText"/>
            </w:pPr>
            <w:hyperlink r:id="rId61" w:history="1">
              <w:r w:rsidR="00E003DB" w:rsidRPr="00245F8B">
                <w:rPr>
                  <w:rStyle w:val="Hyperlink"/>
                  <w:rFonts w:cstheme="minorBidi"/>
                  <w:szCs w:val="22"/>
                </w:rPr>
                <w:t>Climate Change Response Act 2002</w:t>
              </w:r>
            </w:hyperlink>
            <w:r w:rsidR="00E003DB">
              <w:t>.</w:t>
            </w:r>
            <w:r w:rsidR="00E003DB" w:rsidRPr="00747EF6">
              <w:t xml:space="preserve"> This Act puts in place a legal framework for</w:t>
            </w:r>
            <w:r w:rsidR="00E003DB">
              <w:t xml:space="preserve"> Aotearoa</w:t>
            </w:r>
            <w:r w:rsidR="00E003DB" w:rsidRPr="00747EF6">
              <w:t xml:space="preserve"> New Zealand to meet its international obligations under the U</w:t>
            </w:r>
            <w:r w:rsidR="00E003DB">
              <w:t xml:space="preserve">nited </w:t>
            </w:r>
            <w:r w:rsidR="00E003DB" w:rsidRPr="00747EF6">
              <w:t>N</w:t>
            </w:r>
            <w:r w:rsidR="00E003DB">
              <w:t>ations</w:t>
            </w:r>
            <w:r w:rsidR="00E003DB" w:rsidRPr="00747EF6">
              <w:t xml:space="preserve"> Framework Convention on Climate Change, the Kyoto </w:t>
            </w:r>
            <w:proofErr w:type="gramStart"/>
            <w:r w:rsidR="00E003DB" w:rsidRPr="00747EF6">
              <w:t>Protocol</w:t>
            </w:r>
            <w:proofErr w:type="gramEnd"/>
            <w:r w:rsidR="00E003DB" w:rsidRPr="00747EF6">
              <w:t xml:space="preserve"> and the Paris Agreement</w:t>
            </w:r>
            <w:r w:rsidR="00E003DB">
              <w:t>.</w:t>
            </w:r>
          </w:p>
        </w:tc>
      </w:tr>
      <w:tr w:rsidR="00E003DB" w:rsidRPr="00747EF6" w14:paraId="21F9044F" w14:textId="77777777" w:rsidTr="00255135">
        <w:tc>
          <w:tcPr>
            <w:tcW w:w="1705" w:type="pct"/>
          </w:tcPr>
          <w:p w14:paraId="343A074D" w14:textId="77777777" w:rsidR="00E003DB" w:rsidRDefault="00E003DB" w:rsidP="00006371">
            <w:pPr>
              <w:pStyle w:val="TableText"/>
            </w:pPr>
            <w:r>
              <w:t>CDD</w:t>
            </w:r>
          </w:p>
        </w:tc>
        <w:tc>
          <w:tcPr>
            <w:tcW w:w="3295" w:type="pct"/>
          </w:tcPr>
          <w:p w14:paraId="3136E4EC" w14:textId="7C30C5E1" w:rsidR="00E003DB" w:rsidRDefault="00E003DB" w:rsidP="00006371">
            <w:pPr>
              <w:pStyle w:val="TableText"/>
            </w:pPr>
            <w:r>
              <w:t>Customer due diligence. Part of the obligations of a reporting entity under the AML/CFT Act.</w:t>
            </w:r>
          </w:p>
        </w:tc>
      </w:tr>
      <w:tr w:rsidR="00E003DB" w:rsidRPr="00747EF6" w14:paraId="617FF7EC" w14:textId="77777777" w:rsidTr="00255135">
        <w:tc>
          <w:tcPr>
            <w:tcW w:w="1705" w:type="pct"/>
          </w:tcPr>
          <w:p w14:paraId="6927049E" w14:textId="77777777" w:rsidR="00E003DB" w:rsidRPr="00747EF6" w:rsidRDefault="00E003DB" w:rsidP="00006371">
            <w:pPr>
              <w:pStyle w:val="TableText"/>
            </w:pPr>
            <w:r w:rsidRPr="00747EF6">
              <w:t>Client money</w:t>
            </w:r>
          </w:p>
        </w:tc>
        <w:tc>
          <w:tcPr>
            <w:tcW w:w="3295" w:type="pct"/>
          </w:tcPr>
          <w:p w14:paraId="18E90AE6" w14:textId="77777777" w:rsidR="00E003DB" w:rsidRPr="00747EF6" w:rsidRDefault="00E003DB" w:rsidP="00006371">
            <w:pPr>
              <w:pStyle w:val="TableText"/>
            </w:pPr>
            <w:r w:rsidRPr="00747EF6">
              <w:t>At a high</w:t>
            </w:r>
            <w:r>
              <w:t xml:space="preserve"> </w:t>
            </w:r>
            <w:r w:rsidRPr="00747EF6">
              <w:t>level, a person provides a client money or property service by:</w:t>
            </w:r>
          </w:p>
          <w:p w14:paraId="3F53E9CE" w14:textId="762434B5" w:rsidR="00E003DB" w:rsidRPr="00747EF6" w:rsidRDefault="00E003DB" w:rsidP="00E003DB">
            <w:pPr>
              <w:pStyle w:val="TableBullet"/>
            </w:pPr>
            <w:r w:rsidRPr="00747EF6">
              <w:t xml:space="preserve">receiving money from a client (or from a person on the client’s behalf) in connection with the acquiring, </w:t>
            </w:r>
            <w:proofErr w:type="gramStart"/>
            <w:r w:rsidRPr="00747EF6">
              <w:t>holding</w:t>
            </w:r>
            <w:proofErr w:type="gramEnd"/>
            <w:r w:rsidRPr="00747EF6">
              <w:t xml:space="preserve"> or disposing of a financial advice product</w:t>
            </w:r>
          </w:p>
          <w:p w14:paraId="113D4BEC" w14:textId="77777777" w:rsidR="00E003DB" w:rsidRPr="00747EF6" w:rsidRDefault="00E003DB" w:rsidP="00E003DB">
            <w:pPr>
              <w:pStyle w:val="TableBullet"/>
            </w:pPr>
            <w:r w:rsidRPr="00747EF6">
              <w:t>receiving property (that is a financial advice product or a beneficial interest in a financial advice product)</w:t>
            </w:r>
          </w:p>
          <w:p w14:paraId="7796462B" w14:textId="6606FA37" w:rsidR="00E003DB" w:rsidRPr="00747EF6" w:rsidRDefault="00E003DB" w:rsidP="00E003DB">
            <w:pPr>
              <w:pStyle w:val="TableBullet"/>
            </w:pPr>
            <w:r w:rsidRPr="00747EF6">
              <w:t xml:space="preserve">holding, </w:t>
            </w:r>
            <w:proofErr w:type="gramStart"/>
            <w:r w:rsidRPr="00747EF6">
              <w:t>paying</w:t>
            </w:r>
            <w:proofErr w:type="gramEnd"/>
            <w:r w:rsidRPr="00747EF6">
              <w:t xml:space="preserve"> or transferring that client money or client property.</w:t>
            </w:r>
          </w:p>
          <w:p w14:paraId="5B0ECA9E" w14:textId="77777777" w:rsidR="00E003DB" w:rsidRPr="00747EF6" w:rsidRDefault="00E003DB" w:rsidP="00006371">
            <w:pPr>
              <w:pStyle w:val="TableText"/>
            </w:pPr>
            <w:r w:rsidRPr="00747EF6">
              <w:t xml:space="preserve">Refer to </w:t>
            </w:r>
            <w:hyperlink r:id="rId62" w:history="1">
              <w:r w:rsidRPr="00F345E0">
                <w:rPr>
                  <w:rStyle w:val="Hyperlink"/>
                  <w:szCs w:val="22"/>
                </w:rPr>
                <w:t>subpart 5B</w:t>
              </w:r>
              <w:r w:rsidRPr="00F345E0">
                <w:rPr>
                  <w:rStyle w:val="Hyperlink"/>
                </w:rPr>
                <w:t xml:space="preserve"> of </w:t>
              </w:r>
              <w:r w:rsidRPr="00F345E0">
                <w:rPr>
                  <w:rStyle w:val="Hyperlink"/>
                  <w:shd w:val="clear" w:color="auto" w:fill="FFFFFF"/>
                </w:rPr>
                <w:t>Part 6 of the FMC Act</w:t>
              </w:r>
            </w:hyperlink>
            <w:r w:rsidRPr="00747EF6">
              <w:rPr>
                <w:shd w:val="clear" w:color="auto" w:fill="FFFFFF"/>
              </w:rPr>
              <w:t xml:space="preserve"> for more information.</w:t>
            </w:r>
          </w:p>
        </w:tc>
      </w:tr>
      <w:tr w:rsidR="00E003DB" w:rsidRPr="00747EF6" w14:paraId="4B98D989" w14:textId="77777777" w:rsidTr="00255135">
        <w:tc>
          <w:tcPr>
            <w:tcW w:w="1705" w:type="pct"/>
          </w:tcPr>
          <w:p w14:paraId="0557017D" w14:textId="77777777" w:rsidR="00E003DB" w:rsidRPr="00747EF6" w:rsidRDefault="00E003DB" w:rsidP="00006371">
            <w:pPr>
              <w:pStyle w:val="TableText"/>
            </w:pPr>
            <w:r w:rsidRPr="00747EF6">
              <w:t>Derivative</w:t>
            </w:r>
          </w:p>
        </w:tc>
        <w:tc>
          <w:tcPr>
            <w:tcW w:w="3295" w:type="pct"/>
          </w:tcPr>
          <w:p w14:paraId="75E0C956" w14:textId="77777777" w:rsidR="00E003DB" w:rsidRPr="00747EF6" w:rsidRDefault="00E003DB" w:rsidP="00006371">
            <w:pPr>
              <w:pStyle w:val="TableText"/>
            </w:pPr>
            <w:r w:rsidRPr="00747EF6">
              <w:t>A type of contract that</w:t>
            </w:r>
            <w:r w:rsidRPr="00747EF6" w:rsidDel="00D355C2">
              <w:t xml:space="preserve"> </w:t>
            </w:r>
            <w:r w:rsidRPr="00747EF6">
              <w:t>derives its value from the performance of underlying assets.</w:t>
            </w:r>
          </w:p>
        </w:tc>
      </w:tr>
      <w:tr w:rsidR="00E003DB" w:rsidRPr="00747EF6" w14:paraId="23667D7A" w14:textId="77777777" w:rsidTr="00255135">
        <w:tc>
          <w:tcPr>
            <w:tcW w:w="1705" w:type="pct"/>
          </w:tcPr>
          <w:p w14:paraId="41DE28D2" w14:textId="77777777" w:rsidR="00E003DB" w:rsidRDefault="00E003DB" w:rsidP="00006371">
            <w:pPr>
              <w:pStyle w:val="TableText"/>
            </w:pPr>
            <w:r>
              <w:t>EPA</w:t>
            </w:r>
          </w:p>
        </w:tc>
        <w:tc>
          <w:tcPr>
            <w:tcW w:w="3295" w:type="pct"/>
          </w:tcPr>
          <w:p w14:paraId="02D0E825" w14:textId="34B9F090" w:rsidR="00E003DB" w:rsidRDefault="00E003DB" w:rsidP="00006371">
            <w:pPr>
              <w:pStyle w:val="TableText"/>
            </w:pPr>
            <w:r>
              <w:t>Environmental Protection Authority</w:t>
            </w:r>
          </w:p>
        </w:tc>
      </w:tr>
      <w:tr w:rsidR="00E003DB" w:rsidRPr="00747EF6" w14:paraId="3C2974F0" w14:textId="77777777" w:rsidTr="00255135">
        <w:tc>
          <w:tcPr>
            <w:tcW w:w="1705" w:type="pct"/>
          </w:tcPr>
          <w:p w14:paraId="2DE88757" w14:textId="77777777" w:rsidR="00E003DB" w:rsidRPr="00747EF6" w:rsidRDefault="00E003DB" w:rsidP="00006371">
            <w:pPr>
              <w:pStyle w:val="TableText"/>
              <w:rPr>
                <w:highlight w:val="green"/>
              </w:rPr>
            </w:pPr>
            <w:r w:rsidRPr="00747EF6">
              <w:t>Financial advice relating to NZUs</w:t>
            </w:r>
          </w:p>
        </w:tc>
        <w:tc>
          <w:tcPr>
            <w:tcW w:w="3295" w:type="pct"/>
          </w:tcPr>
          <w:p w14:paraId="4C9CF32A" w14:textId="77777777" w:rsidR="00E003DB" w:rsidRPr="00747EF6" w:rsidRDefault="00E003DB" w:rsidP="00006371">
            <w:pPr>
              <w:pStyle w:val="TableText"/>
            </w:pPr>
            <w:r w:rsidRPr="00747EF6">
              <w:t xml:space="preserve">Advice relating to NZUs that would be financial advice, if NZUs were financial products. </w:t>
            </w:r>
          </w:p>
        </w:tc>
      </w:tr>
      <w:tr w:rsidR="00E003DB" w:rsidRPr="00747EF6" w14:paraId="2937D804" w14:textId="77777777" w:rsidTr="00255135">
        <w:tc>
          <w:tcPr>
            <w:tcW w:w="1705" w:type="pct"/>
          </w:tcPr>
          <w:p w14:paraId="1D77FD7F" w14:textId="77777777" w:rsidR="00E003DB" w:rsidRPr="00747EF6" w:rsidRDefault="00E003DB" w:rsidP="00006371">
            <w:pPr>
              <w:pStyle w:val="TableText"/>
            </w:pPr>
            <w:r w:rsidRPr="00747EF6">
              <w:t>Financial instrument/product</w:t>
            </w:r>
          </w:p>
        </w:tc>
        <w:tc>
          <w:tcPr>
            <w:tcW w:w="3295" w:type="pct"/>
          </w:tcPr>
          <w:p w14:paraId="1F44B09A" w14:textId="77777777" w:rsidR="00E003DB" w:rsidRPr="00747EF6" w:rsidRDefault="00E003DB" w:rsidP="00006371">
            <w:pPr>
              <w:pStyle w:val="TableText"/>
            </w:pPr>
            <w:r w:rsidRPr="00747EF6">
              <w:t>The FMC Act defines four types of financial products: debt securities, equity securities, managed investment products and derivatives. Anyone offering financial products for issue or sale needs to comply with the FMC Act and other financial markets legislation.</w:t>
            </w:r>
          </w:p>
        </w:tc>
      </w:tr>
      <w:tr w:rsidR="00E003DB" w:rsidRPr="00747EF6" w14:paraId="044078EB" w14:textId="77777777" w:rsidTr="00255135">
        <w:tc>
          <w:tcPr>
            <w:tcW w:w="1705" w:type="pct"/>
          </w:tcPr>
          <w:p w14:paraId="5E66E3A6" w14:textId="77777777" w:rsidR="00E003DB" w:rsidRPr="00747EF6" w:rsidRDefault="00E003DB" w:rsidP="00006371">
            <w:pPr>
              <w:pStyle w:val="TableText"/>
            </w:pPr>
            <w:r w:rsidRPr="00747EF6">
              <w:t>Financial product market</w:t>
            </w:r>
          </w:p>
        </w:tc>
        <w:tc>
          <w:tcPr>
            <w:tcW w:w="3295" w:type="pct"/>
          </w:tcPr>
          <w:p w14:paraId="2C383B1C" w14:textId="77777777" w:rsidR="00E003DB" w:rsidRPr="00747EF6" w:rsidRDefault="00E003DB" w:rsidP="00006371">
            <w:pPr>
              <w:pStyle w:val="TableText"/>
            </w:pPr>
            <w:r w:rsidRPr="00747EF6">
              <w:t>A facility where financial products are bought or sold, or where offers or invitations to buy or sell financial products are made</w:t>
            </w:r>
            <w:r>
              <w:t>.</w:t>
            </w:r>
          </w:p>
        </w:tc>
      </w:tr>
      <w:tr w:rsidR="00E003DB" w:rsidRPr="00747EF6" w14:paraId="76AA34FA" w14:textId="77777777" w:rsidTr="00255135">
        <w:tc>
          <w:tcPr>
            <w:tcW w:w="1705" w:type="pct"/>
          </w:tcPr>
          <w:p w14:paraId="386B7762" w14:textId="77777777" w:rsidR="00E003DB" w:rsidRPr="00747EF6" w:rsidRDefault="00E003DB" w:rsidP="00006371">
            <w:pPr>
              <w:pStyle w:val="TableText"/>
            </w:pPr>
            <w:r>
              <w:t>FMA</w:t>
            </w:r>
          </w:p>
        </w:tc>
        <w:tc>
          <w:tcPr>
            <w:tcW w:w="3295" w:type="pct"/>
          </w:tcPr>
          <w:p w14:paraId="0DCFC44B" w14:textId="4DE87C23" w:rsidR="00E003DB" w:rsidRPr="00747EF6" w:rsidRDefault="00E003DB" w:rsidP="00006371">
            <w:pPr>
              <w:pStyle w:val="TableText"/>
            </w:pPr>
            <w:r>
              <w:t xml:space="preserve">Financial Markets Authority. </w:t>
            </w:r>
            <w:r w:rsidRPr="00747EF6">
              <w:t>An independent Crown entity that regulates and supervises financial markets participants and provides guidance and information on how to comply with obligations</w:t>
            </w:r>
            <w:r w:rsidR="002A3D11">
              <w:t>.</w:t>
            </w:r>
          </w:p>
        </w:tc>
      </w:tr>
      <w:tr w:rsidR="00E003DB" w:rsidRPr="00747EF6" w14:paraId="505E5729" w14:textId="77777777" w:rsidTr="00255135">
        <w:tc>
          <w:tcPr>
            <w:tcW w:w="1705" w:type="pct"/>
          </w:tcPr>
          <w:p w14:paraId="7ABF62D0" w14:textId="77777777" w:rsidR="00E003DB" w:rsidRPr="00747EF6" w:rsidRDefault="00E003DB" w:rsidP="00006371">
            <w:pPr>
              <w:pStyle w:val="TableText"/>
            </w:pPr>
            <w:r>
              <w:t>FMC Act</w:t>
            </w:r>
          </w:p>
        </w:tc>
        <w:tc>
          <w:tcPr>
            <w:tcW w:w="3295" w:type="pct"/>
          </w:tcPr>
          <w:p w14:paraId="1B3EB97B" w14:textId="2848094E" w:rsidR="00E003DB" w:rsidRPr="00747EF6" w:rsidRDefault="008A6D82" w:rsidP="00006371">
            <w:pPr>
              <w:pStyle w:val="TableText"/>
            </w:pPr>
            <w:hyperlink r:id="rId63" w:history="1">
              <w:r w:rsidR="00E003DB" w:rsidRPr="00DA34C7">
                <w:rPr>
                  <w:rStyle w:val="Hyperlink"/>
                  <w:rFonts w:cstheme="minorBidi"/>
                  <w:szCs w:val="22"/>
                </w:rPr>
                <w:t xml:space="preserve">Financial Markets </w:t>
              </w:r>
              <w:r w:rsidR="00E003DB" w:rsidRPr="00DA34C7">
                <w:rPr>
                  <w:rStyle w:val="Hyperlink"/>
                </w:rPr>
                <w:t>Conduct Act 2013</w:t>
              </w:r>
            </w:hyperlink>
            <w:r w:rsidR="00E003DB">
              <w:t>.</w:t>
            </w:r>
            <w:r w:rsidR="00E003DB" w:rsidRPr="00747EF6">
              <w:t xml:space="preserve"> One of the Acts that governs how financial products are created, </w:t>
            </w:r>
            <w:proofErr w:type="gramStart"/>
            <w:r w:rsidR="00E003DB" w:rsidRPr="00747EF6">
              <w:t>promoted</w:t>
            </w:r>
            <w:proofErr w:type="gramEnd"/>
            <w:r w:rsidR="00E003DB" w:rsidRPr="00747EF6">
              <w:t xml:space="preserve"> and sold, a</w:t>
            </w:r>
            <w:r w:rsidR="00E003DB">
              <w:t>s well as</w:t>
            </w:r>
            <w:r w:rsidR="00E003DB" w:rsidRPr="00747EF6">
              <w:t xml:space="preserve"> the ongoing responsibilities of those who offer, deal and trade them</w:t>
            </w:r>
            <w:r w:rsidR="00E003DB">
              <w:t>.</w:t>
            </w:r>
          </w:p>
        </w:tc>
      </w:tr>
      <w:tr w:rsidR="00E003DB" w:rsidRPr="00747EF6" w14:paraId="5EE7F766" w14:textId="77777777" w:rsidTr="00255135">
        <w:tc>
          <w:tcPr>
            <w:tcW w:w="1705" w:type="pct"/>
          </w:tcPr>
          <w:p w14:paraId="4E429191" w14:textId="77777777" w:rsidR="00E003DB" w:rsidRPr="00747EF6" w:rsidRDefault="00E003DB" w:rsidP="00006371">
            <w:pPr>
              <w:pStyle w:val="TableText"/>
            </w:pPr>
            <w:r w:rsidRPr="00747EF6">
              <w:t>Forests Act 1949</w:t>
            </w:r>
          </w:p>
        </w:tc>
        <w:tc>
          <w:tcPr>
            <w:tcW w:w="3295" w:type="pct"/>
          </w:tcPr>
          <w:p w14:paraId="6AD74110" w14:textId="5C4EA352" w:rsidR="00E003DB" w:rsidRPr="00747EF6" w:rsidRDefault="008A6D82" w:rsidP="00006371">
            <w:pPr>
              <w:pStyle w:val="TableText"/>
            </w:pPr>
            <w:hyperlink r:id="rId64" w:history="1">
              <w:r w:rsidR="0021280D" w:rsidRPr="0021280D">
                <w:rPr>
                  <w:rStyle w:val="Hyperlink"/>
                  <w:rFonts w:cstheme="minorBidi"/>
                  <w:szCs w:val="22"/>
                </w:rPr>
                <w:t>Forests Act 1949</w:t>
              </w:r>
            </w:hyperlink>
            <w:r w:rsidR="0021280D">
              <w:t xml:space="preserve">. </w:t>
            </w:r>
            <w:r w:rsidR="00E003DB">
              <w:t xml:space="preserve">The </w:t>
            </w:r>
            <w:r w:rsidR="00E003DB" w:rsidRPr="00747EF6">
              <w:t xml:space="preserve">Act under which log traders and forestry </w:t>
            </w:r>
            <w:r w:rsidR="00E003DB">
              <w:t>advis</w:t>
            </w:r>
            <w:r w:rsidR="00AC70EA">
              <w:t>e</w:t>
            </w:r>
            <w:r w:rsidR="00E003DB">
              <w:t>r</w:t>
            </w:r>
            <w:r w:rsidR="00E003DB" w:rsidRPr="00747EF6">
              <w:t>s are required to register</w:t>
            </w:r>
            <w:r w:rsidR="00E003DB">
              <w:t>.</w:t>
            </w:r>
          </w:p>
        </w:tc>
      </w:tr>
      <w:tr w:rsidR="00E003DB" w:rsidRPr="00747EF6" w14:paraId="2027DB40" w14:textId="77777777" w:rsidTr="00255135">
        <w:tc>
          <w:tcPr>
            <w:tcW w:w="1705" w:type="pct"/>
          </w:tcPr>
          <w:p w14:paraId="040AF62D" w14:textId="77777777" w:rsidR="00E003DB" w:rsidRPr="00747EF6" w:rsidRDefault="00E003DB" w:rsidP="00006371">
            <w:pPr>
              <w:pStyle w:val="TableText"/>
            </w:pPr>
            <w:r w:rsidRPr="00747EF6">
              <w:lastRenderedPageBreak/>
              <w:t>FSPR</w:t>
            </w:r>
          </w:p>
        </w:tc>
        <w:tc>
          <w:tcPr>
            <w:tcW w:w="3295" w:type="pct"/>
          </w:tcPr>
          <w:p w14:paraId="3392C1F6" w14:textId="77777777" w:rsidR="00E003DB" w:rsidRPr="00747EF6" w:rsidRDefault="00E003DB" w:rsidP="00006371">
            <w:pPr>
              <w:pStyle w:val="TableText"/>
            </w:pPr>
            <w:r w:rsidRPr="00747EF6">
              <w:t>Financial Service Providers Register</w:t>
            </w:r>
            <w:r>
              <w:t>.</w:t>
            </w:r>
            <w:r w:rsidRPr="00747EF6">
              <w:t xml:space="preserve"> A searchable list of individuals, businesses and organisations registered to offer financial services in </w:t>
            </w:r>
            <w:r>
              <w:t xml:space="preserve">Aotearoa </w:t>
            </w:r>
            <w:r w:rsidRPr="00747EF6">
              <w:t>New Zealand.</w:t>
            </w:r>
          </w:p>
        </w:tc>
      </w:tr>
      <w:tr w:rsidR="00E003DB" w:rsidRPr="00747EF6" w14:paraId="2E723BB2" w14:textId="77777777" w:rsidTr="00255135">
        <w:tc>
          <w:tcPr>
            <w:tcW w:w="1705" w:type="pct"/>
          </w:tcPr>
          <w:p w14:paraId="3412FAC5" w14:textId="77777777" w:rsidR="00E003DB" w:rsidRPr="00747EF6" w:rsidDel="00B6664E" w:rsidRDefault="00E003DB" w:rsidP="00006371">
            <w:pPr>
              <w:pStyle w:val="TableText"/>
            </w:pPr>
            <w:r>
              <w:t>FTA</w:t>
            </w:r>
          </w:p>
        </w:tc>
        <w:tc>
          <w:tcPr>
            <w:tcW w:w="3295" w:type="pct"/>
          </w:tcPr>
          <w:p w14:paraId="572B2D35" w14:textId="012A47B4" w:rsidR="00E003DB" w:rsidRPr="00747EF6" w:rsidRDefault="008A6D82" w:rsidP="00006371">
            <w:pPr>
              <w:pStyle w:val="TableText"/>
            </w:pPr>
            <w:hyperlink r:id="rId65" w:history="1">
              <w:r w:rsidR="00E003DB" w:rsidRPr="00141E17">
                <w:rPr>
                  <w:rStyle w:val="Hyperlink"/>
                  <w:rFonts w:cstheme="minorBidi"/>
                  <w:szCs w:val="22"/>
                </w:rPr>
                <w:t>Fair Trading Act 1986</w:t>
              </w:r>
            </w:hyperlink>
            <w:r w:rsidR="00E003DB">
              <w:t>.The FTA promotes fair competition, makes sure consumers get accurate information before buying products and services, and promotes product safety.</w:t>
            </w:r>
          </w:p>
        </w:tc>
      </w:tr>
      <w:tr w:rsidR="00E003DB" w:rsidRPr="00747EF6" w14:paraId="59495FF0" w14:textId="77777777" w:rsidTr="00255135">
        <w:tc>
          <w:tcPr>
            <w:tcW w:w="1705" w:type="pct"/>
          </w:tcPr>
          <w:p w14:paraId="6F68F5A6" w14:textId="77777777" w:rsidR="00E003DB" w:rsidRPr="00747EF6" w:rsidRDefault="00E003DB" w:rsidP="00006371">
            <w:pPr>
              <w:pStyle w:val="TableText"/>
            </w:pPr>
            <w:r w:rsidRPr="00747EF6">
              <w:t>Insider trading</w:t>
            </w:r>
          </w:p>
        </w:tc>
        <w:tc>
          <w:tcPr>
            <w:tcW w:w="3295" w:type="pct"/>
          </w:tcPr>
          <w:p w14:paraId="28A4E747" w14:textId="77777777" w:rsidR="00E003DB" w:rsidRPr="00747EF6" w:rsidRDefault="00E003DB" w:rsidP="00006371">
            <w:pPr>
              <w:pStyle w:val="TableText"/>
            </w:pPr>
            <w:r w:rsidRPr="00747EF6">
              <w:t>The practice of buying or selling financial products while in possession of material information that is not generally available to the market</w:t>
            </w:r>
            <w:r>
              <w:t>, or of</w:t>
            </w:r>
            <w:r w:rsidRPr="00747EF6">
              <w:t xml:space="preserve"> passing on and sharing material information that is not generally available to the market.</w:t>
            </w:r>
          </w:p>
        </w:tc>
      </w:tr>
      <w:tr w:rsidR="00E003DB" w:rsidRPr="00747EF6" w14:paraId="454C7F51" w14:textId="77777777" w:rsidTr="00255135">
        <w:tc>
          <w:tcPr>
            <w:tcW w:w="1705" w:type="pct"/>
          </w:tcPr>
          <w:p w14:paraId="6EF26F86" w14:textId="77777777" w:rsidR="00E003DB" w:rsidRPr="00747EF6" w:rsidRDefault="00E003DB" w:rsidP="00006371">
            <w:pPr>
              <w:pStyle w:val="TableText"/>
            </w:pPr>
            <w:r w:rsidRPr="00747EF6">
              <w:t>Licensed market</w:t>
            </w:r>
          </w:p>
        </w:tc>
        <w:tc>
          <w:tcPr>
            <w:tcW w:w="3295" w:type="pct"/>
          </w:tcPr>
          <w:p w14:paraId="65AD52C0" w14:textId="77777777" w:rsidR="00E003DB" w:rsidRPr="00747EF6" w:rsidRDefault="00E003DB" w:rsidP="00006371">
            <w:pPr>
              <w:pStyle w:val="TableText"/>
            </w:pPr>
            <w:r w:rsidRPr="00747EF6">
              <w:t>A facility where financial products are bought or sold, or where offers or invitations to buy or sell financial products are required to be licensed under the FMC Act.</w:t>
            </w:r>
          </w:p>
        </w:tc>
      </w:tr>
      <w:tr w:rsidR="00E003DB" w:rsidRPr="00747EF6" w14:paraId="3B111E5A" w14:textId="77777777" w:rsidTr="00255135">
        <w:tc>
          <w:tcPr>
            <w:tcW w:w="1705" w:type="pct"/>
          </w:tcPr>
          <w:p w14:paraId="22BD3206" w14:textId="77777777" w:rsidR="00E003DB" w:rsidRPr="00747EF6" w:rsidRDefault="00E003DB" w:rsidP="00006371">
            <w:pPr>
              <w:pStyle w:val="TableText"/>
            </w:pPr>
            <w:r w:rsidRPr="00747EF6">
              <w:t>Licensed NZU exchange</w:t>
            </w:r>
          </w:p>
        </w:tc>
        <w:tc>
          <w:tcPr>
            <w:tcW w:w="3295" w:type="pct"/>
          </w:tcPr>
          <w:p w14:paraId="4F34E3B9" w14:textId="77777777" w:rsidR="00E003DB" w:rsidRPr="00747EF6" w:rsidRDefault="00E003DB" w:rsidP="00006371">
            <w:pPr>
              <w:pStyle w:val="TableText"/>
            </w:pPr>
            <w:r w:rsidRPr="00747EF6">
              <w:t>A licensed market for buyers and sellers to trade NZUs.</w:t>
            </w:r>
          </w:p>
        </w:tc>
      </w:tr>
      <w:tr w:rsidR="00E003DB" w:rsidRPr="00747EF6" w14:paraId="2308B4C9" w14:textId="77777777" w:rsidTr="00255135">
        <w:tc>
          <w:tcPr>
            <w:tcW w:w="1705" w:type="pct"/>
          </w:tcPr>
          <w:p w14:paraId="1AC63CFD" w14:textId="77777777" w:rsidR="00E003DB" w:rsidRPr="00747EF6" w:rsidRDefault="00E003DB" w:rsidP="00006371">
            <w:pPr>
              <w:pStyle w:val="TableText"/>
            </w:pPr>
            <w:r w:rsidRPr="00747EF6">
              <w:t>Market governance</w:t>
            </w:r>
          </w:p>
        </w:tc>
        <w:tc>
          <w:tcPr>
            <w:tcW w:w="3295" w:type="pct"/>
          </w:tcPr>
          <w:p w14:paraId="421E64AA" w14:textId="77777777" w:rsidR="00E003DB" w:rsidRPr="00747EF6" w:rsidRDefault="00E003DB" w:rsidP="00006371">
            <w:pPr>
              <w:pStyle w:val="TableText"/>
            </w:pPr>
            <w:r w:rsidRPr="00747EF6">
              <w:t xml:space="preserve">The processes, </w:t>
            </w:r>
            <w:proofErr w:type="gramStart"/>
            <w:r w:rsidRPr="00747EF6">
              <w:t>policies</w:t>
            </w:r>
            <w:proofErr w:type="gramEnd"/>
            <w:r w:rsidRPr="00747EF6">
              <w:t xml:space="preserve"> and rules for managing risks of misconduct in a market and protecting users from financial harm.</w:t>
            </w:r>
          </w:p>
        </w:tc>
      </w:tr>
      <w:tr w:rsidR="00E003DB" w:rsidRPr="00747EF6" w14:paraId="5BDA2D46" w14:textId="77777777" w:rsidTr="00255135">
        <w:tc>
          <w:tcPr>
            <w:tcW w:w="1705" w:type="pct"/>
          </w:tcPr>
          <w:p w14:paraId="200C537F" w14:textId="77777777" w:rsidR="00E003DB" w:rsidRPr="00747EF6" w:rsidRDefault="00E003DB" w:rsidP="00006371">
            <w:pPr>
              <w:pStyle w:val="TableText"/>
            </w:pPr>
            <w:r w:rsidRPr="00747EF6">
              <w:t>Market manipulation</w:t>
            </w:r>
          </w:p>
        </w:tc>
        <w:tc>
          <w:tcPr>
            <w:tcW w:w="3295" w:type="pct"/>
          </w:tcPr>
          <w:p w14:paraId="13EBE5C3" w14:textId="77777777" w:rsidR="00E003DB" w:rsidRPr="00747EF6" w:rsidRDefault="00E003DB" w:rsidP="00006371">
            <w:pPr>
              <w:pStyle w:val="TableText"/>
            </w:pPr>
            <w:r w:rsidRPr="00747EF6">
              <w:t xml:space="preserve">Where someone misleads (or attempts to mislead) a market by giving a false appearance of trading activity, supply, </w:t>
            </w:r>
            <w:proofErr w:type="gramStart"/>
            <w:r w:rsidRPr="00747EF6">
              <w:t>demand</w:t>
            </w:r>
            <w:proofErr w:type="gramEnd"/>
            <w:r w:rsidRPr="00747EF6">
              <w:t xml:space="preserve"> or the value of a relevant product, such as through false information or rumours, or deceptive trades. Includes spreading false market information</w:t>
            </w:r>
            <w:r>
              <w:t>,</w:t>
            </w:r>
            <w:r w:rsidRPr="00747EF6">
              <w:t xml:space="preserve"> </w:t>
            </w:r>
            <w:proofErr w:type="gramStart"/>
            <w:r w:rsidRPr="00747EF6">
              <w:t>cornering</w:t>
            </w:r>
            <w:proofErr w:type="gramEnd"/>
            <w:r w:rsidRPr="00747EF6">
              <w:t xml:space="preserve"> or squeezing the market</w:t>
            </w:r>
            <w:r>
              <w:t>,</w:t>
            </w:r>
            <w:r w:rsidRPr="00747EF6">
              <w:t xml:space="preserve"> </w:t>
            </w:r>
            <w:r>
              <w:t xml:space="preserve">or </w:t>
            </w:r>
            <w:r w:rsidRPr="00747EF6">
              <w:t>giving false impressions of market conditions – typically with the aim of influencing the market price for profit</w:t>
            </w:r>
          </w:p>
        </w:tc>
      </w:tr>
      <w:tr w:rsidR="00E003DB" w:rsidRPr="00747EF6" w14:paraId="3C98D15F" w14:textId="77777777" w:rsidTr="00255135">
        <w:tc>
          <w:tcPr>
            <w:tcW w:w="1705" w:type="pct"/>
          </w:tcPr>
          <w:p w14:paraId="5C07C28D" w14:textId="77777777" w:rsidR="00E003DB" w:rsidRPr="00747EF6" w:rsidRDefault="00E003DB" w:rsidP="00006371">
            <w:pPr>
              <w:pStyle w:val="TableText"/>
            </w:pPr>
            <w:r w:rsidRPr="00747EF6">
              <w:t>Material information</w:t>
            </w:r>
          </w:p>
        </w:tc>
        <w:tc>
          <w:tcPr>
            <w:tcW w:w="3295" w:type="pct"/>
          </w:tcPr>
          <w:p w14:paraId="30BF792F" w14:textId="7F869D24" w:rsidR="00E003DB" w:rsidRPr="00747EF6" w:rsidRDefault="00E003DB" w:rsidP="00006371">
            <w:pPr>
              <w:pStyle w:val="TableText"/>
            </w:pPr>
            <w:r>
              <w:t>I</w:t>
            </w:r>
            <w:r w:rsidRPr="00747EF6">
              <w:t xml:space="preserve">nformation that is not generally available to the market, and that a reasonable person would expect to have material effect on the price of the financial product on </w:t>
            </w:r>
            <w:r w:rsidR="00310A4E">
              <w:t xml:space="preserve">the </w:t>
            </w:r>
            <w:r w:rsidRPr="00747EF6">
              <w:t>licensed market, if the information was generally available.</w:t>
            </w:r>
          </w:p>
        </w:tc>
      </w:tr>
      <w:tr w:rsidR="00E003DB" w:rsidRPr="00747EF6" w14:paraId="476B74AC" w14:textId="77777777" w:rsidTr="00255135">
        <w:tc>
          <w:tcPr>
            <w:tcW w:w="1705" w:type="pct"/>
          </w:tcPr>
          <w:p w14:paraId="4DA5066C" w14:textId="77777777" w:rsidR="00E003DB" w:rsidRPr="00747EF6" w:rsidRDefault="00E003DB" w:rsidP="00006371">
            <w:pPr>
              <w:pStyle w:val="TableText"/>
            </w:pPr>
            <w:r w:rsidRPr="00747EF6">
              <w:t>NZ ETS</w:t>
            </w:r>
          </w:p>
        </w:tc>
        <w:tc>
          <w:tcPr>
            <w:tcW w:w="3295" w:type="pct"/>
          </w:tcPr>
          <w:p w14:paraId="4EF44010" w14:textId="77777777" w:rsidR="00E003DB" w:rsidRPr="00747EF6" w:rsidRDefault="00E003DB" w:rsidP="00006371">
            <w:pPr>
              <w:pStyle w:val="TableText"/>
            </w:pPr>
            <w:r>
              <w:t xml:space="preserve">New Zealand Emissions Trading Scheme. </w:t>
            </w:r>
            <w:r w:rsidRPr="00747EF6">
              <w:t xml:space="preserve">A market-based approach to reducing emissions of greenhouse gases. The NZ ETS puts a price on emissions, charging certain sectors of the economy for the greenhouse gases they emit and rewarding others for carbon sequestration, </w:t>
            </w:r>
            <w:proofErr w:type="gramStart"/>
            <w:r w:rsidRPr="00747EF6">
              <w:t>destruction</w:t>
            </w:r>
            <w:proofErr w:type="gramEnd"/>
            <w:r w:rsidRPr="00747EF6">
              <w:t xml:space="preserve"> and capture.</w:t>
            </w:r>
          </w:p>
          <w:p w14:paraId="0B4A960F" w14:textId="4FDC66EA" w:rsidR="00E003DB" w:rsidRPr="00747EF6" w:rsidRDefault="00E003DB" w:rsidP="00006371">
            <w:pPr>
              <w:pStyle w:val="TableText"/>
            </w:pPr>
            <w:r w:rsidRPr="00747EF6">
              <w:t>When referred to in th</w:t>
            </w:r>
            <w:r>
              <w:t>is discussion</w:t>
            </w:r>
            <w:r w:rsidRPr="00747EF6">
              <w:t xml:space="preserve"> document, the ‘NZ ETS’</w:t>
            </w:r>
            <w:r>
              <w:t xml:space="preserve"> </w:t>
            </w:r>
            <w:r w:rsidRPr="00747EF6">
              <w:t xml:space="preserve">is the emissions activity-based scheme under the </w:t>
            </w:r>
            <w:r>
              <w:t>CCRA</w:t>
            </w:r>
            <w:r w:rsidRPr="00747EF6">
              <w:t xml:space="preserve"> in which carbon-emitters and removers surrender and become entitled to NZUs.</w:t>
            </w:r>
          </w:p>
        </w:tc>
      </w:tr>
      <w:tr w:rsidR="00E003DB" w:rsidRPr="00747EF6" w14:paraId="7FBE425E" w14:textId="77777777" w:rsidTr="00255135">
        <w:tc>
          <w:tcPr>
            <w:tcW w:w="1705" w:type="pct"/>
          </w:tcPr>
          <w:p w14:paraId="0067BF4F" w14:textId="77777777" w:rsidR="00E003DB" w:rsidRDefault="00E003DB" w:rsidP="00006371">
            <w:pPr>
              <w:pStyle w:val="TableText"/>
            </w:pPr>
            <w:r>
              <w:t>NZ ETS advice</w:t>
            </w:r>
          </w:p>
        </w:tc>
        <w:tc>
          <w:tcPr>
            <w:tcW w:w="3295" w:type="pct"/>
          </w:tcPr>
          <w:p w14:paraId="2722DE7E" w14:textId="77777777" w:rsidR="00E003DB" w:rsidRDefault="00E003DB" w:rsidP="00006371">
            <w:pPr>
              <w:pStyle w:val="TableText"/>
            </w:pPr>
            <w:r>
              <w:t>A</w:t>
            </w:r>
            <w:r w:rsidRPr="00747EF6">
              <w:t xml:space="preserve">dvice about current or prospective </w:t>
            </w:r>
            <w:r>
              <w:t>NZ </w:t>
            </w:r>
            <w:r w:rsidRPr="00747EF6">
              <w:t>ETS participants’ obligations or entitlements under the CCRA</w:t>
            </w:r>
            <w:r>
              <w:t>.</w:t>
            </w:r>
          </w:p>
        </w:tc>
      </w:tr>
      <w:tr w:rsidR="00E003DB" w:rsidRPr="00747EF6" w14:paraId="371271FE" w14:textId="77777777" w:rsidTr="00255135">
        <w:tc>
          <w:tcPr>
            <w:tcW w:w="1705" w:type="pct"/>
          </w:tcPr>
          <w:p w14:paraId="4104FA06" w14:textId="77777777" w:rsidR="00E003DB" w:rsidRPr="00747EF6" w:rsidRDefault="00E003DB" w:rsidP="00006371">
            <w:pPr>
              <w:pStyle w:val="TableText"/>
            </w:pPr>
            <w:r w:rsidRPr="00747EF6">
              <w:t xml:space="preserve">NZ ETS participant </w:t>
            </w:r>
          </w:p>
        </w:tc>
        <w:tc>
          <w:tcPr>
            <w:tcW w:w="3295" w:type="pct"/>
          </w:tcPr>
          <w:p w14:paraId="76F884FA" w14:textId="55650EF3" w:rsidR="00E003DB" w:rsidRPr="00747EF6" w:rsidRDefault="00E003DB" w:rsidP="00006371">
            <w:pPr>
              <w:pStyle w:val="TableText"/>
            </w:pPr>
            <w:r w:rsidRPr="00747EF6">
              <w:t>A registered</w:t>
            </w:r>
            <w:r>
              <w:t xml:space="preserve"> person</w:t>
            </w:r>
            <w:r w:rsidRPr="00747EF6">
              <w:t xml:space="preserve"> </w:t>
            </w:r>
            <w:r>
              <w:t>who</w:t>
            </w:r>
            <w:r w:rsidRPr="00747EF6">
              <w:t xml:space="preserve"> carries out an activity listed in the CCRA, </w:t>
            </w:r>
            <w:r>
              <w:t>or</w:t>
            </w:r>
            <w:r w:rsidRPr="00747EF6">
              <w:t xml:space="preserve"> a person carrying out a mandatory activity </w:t>
            </w:r>
            <w:r>
              <w:t>(</w:t>
            </w:r>
            <w:proofErr w:type="gramStart"/>
            <w:r w:rsidRPr="00747EF6">
              <w:t>whether or not</w:t>
            </w:r>
            <w:proofErr w:type="gramEnd"/>
            <w:r w:rsidRPr="00747EF6">
              <w:t xml:space="preserve"> they are registered</w:t>
            </w:r>
            <w:r>
              <w:t>)</w:t>
            </w:r>
            <w:r w:rsidRPr="00747EF6">
              <w:t>.</w:t>
            </w:r>
          </w:p>
        </w:tc>
      </w:tr>
      <w:tr w:rsidR="00E003DB" w:rsidRPr="00747EF6" w14:paraId="7DD12592" w14:textId="77777777" w:rsidTr="00255135">
        <w:tc>
          <w:tcPr>
            <w:tcW w:w="1705" w:type="pct"/>
          </w:tcPr>
          <w:p w14:paraId="59ABEAD3" w14:textId="77777777" w:rsidR="00E003DB" w:rsidRPr="00747EF6" w:rsidRDefault="00E003DB" w:rsidP="00006371">
            <w:pPr>
              <w:pStyle w:val="TableText"/>
            </w:pPr>
            <w:r>
              <w:t>NZETR</w:t>
            </w:r>
          </w:p>
        </w:tc>
        <w:tc>
          <w:tcPr>
            <w:tcW w:w="3295" w:type="pct"/>
          </w:tcPr>
          <w:p w14:paraId="335C7A6B" w14:textId="77777777" w:rsidR="00E003DB" w:rsidRPr="00747EF6" w:rsidRDefault="00E003DB" w:rsidP="00006371">
            <w:pPr>
              <w:pStyle w:val="TableText"/>
            </w:pPr>
            <w:r w:rsidRPr="00747EF6">
              <w:t>New Zealand Emissions Trading Register</w:t>
            </w:r>
            <w:r>
              <w:t>.</w:t>
            </w:r>
            <w:r w:rsidRPr="00747EF6">
              <w:t xml:space="preserve"> </w:t>
            </w:r>
            <w:r>
              <w:t>The</w:t>
            </w:r>
            <w:r w:rsidRPr="00747EF6">
              <w:t xml:space="preserve"> national registry for NZUs and other emission units, including those owned by the Crown. Anyone wanting to own or trade NZUs in</w:t>
            </w:r>
            <w:r>
              <w:t xml:space="preserve"> Aotearoa</w:t>
            </w:r>
            <w:r w:rsidRPr="00747EF6">
              <w:t xml:space="preserve"> New Zealand must have an account in the NZETR.</w:t>
            </w:r>
          </w:p>
        </w:tc>
      </w:tr>
      <w:tr w:rsidR="00E003DB" w:rsidRPr="00747EF6" w14:paraId="1C3C2A33" w14:textId="77777777" w:rsidTr="00255135">
        <w:tc>
          <w:tcPr>
            <w:tcW w:w="1705" w:type="pct"/>
          </w:tcPr>
          <w:p w14:paraId="5B9B55E9" w14:textId="20FB685B" w:rsidR="00E003DB" w:rsidRPr="00747EF6" w:rsidRDefault="00E003DB" w:rsidP="00006371">
            <w:pPr>
              <w:pStyle w:val="TableText"/>
              <w:rPr>
                <w:highlight w:val="green"/>
              </w:rPr>
            </w:pPr>
            <w:r w:rsidRPr="00747EF6">
              <w:t xml:space="preserve">NZU </w:t>
            </w:r>
            <w:r>
              <w:t>advis</w:t>
            </w:r>
            <w:r w:rsidR="00AC70EA">
              <w:t>e</w:t>
            </w:r>
            <w:r>
              <w:t>r</w:t>
            </w:r>
          </w:p>
        </w:tc>
        <w:tc>
          <w:tcPr>
            <w:tcW w:w="3295" w:type="pct"/>
          </w:tcPr>
          <w:p w14:paraId="713BBFDB" w14:textId="77777777" w:rsidR="00E003DB" w:rsidRPr="00747EF6" w:rsidRDefault="00E003DB" w:rsidP="00006371">
            <w:pPr>
              <w:pStyle w:val="TableText"/>
            </w:pPr>
            <w:r w:rsidRPr="00747EF6">
              <w:t xml:space="preserve">A person </w:t>
            </w:r>
            <w:r>
              <w:t xml:space="preserve">who </w:t>
            </w:r>
            <w:r w:rsidRPr="00747EF6">
              <w:t>gives financial advice on NZUs in their ordinary course of business.</w:t>
            </w:r>
          </w:p>
        </w:tc>
      </w:tr>
      <w:tr w:rsidR="00E003DB" w:rsidRPr="00747EF6" w14:paraId="18D0429A" w14:textId="77777777" w:rsidTr="00255135">
        <w:tc>
          <w:tcPr>
            <w:tcW w:w="1705" w:type="pct"/>
          </w:tcPr>
          <w:p w14:paraId="4B2BA0E5" w14:textId="77777777" w:rsidR="00E003DB" w:rsidRPr="00747EF6" w:rsidRDefault="00E003DB" w:rsidP="00006371">
            <w:pPr>
              <w:pStyle w:val="TableText"/>
            </w:pPr>
            <w:r w:rsidRPr="00747EF6">
              <w:t>NZU information insider</w:t>
            </w:r>
          </w:p>
        </w:tc>
        <w:tc>
          <w:tcPr>
            <w:tcW w:w="3295" w:type="pct"/>
          </w:tcPr>
          <w:p w14:paraId="63C85E23" w14:textId="77777777" w:rsidR="00E003DB" w:rsidRPr="00747EF6" w:rsidRDefault="00E003DB" w:rsidP="00006371">
            <w:pPr>
              <w:pStyle w:val="TableText"/>
            </w:pPr>
            <w:r>
              <w:t>A p</w:t>
            </w:r>
            <w:r w:rsidRPr="00747EF6">
              <w:t>erson who holds material non-public information about government policy.</w:t>
            </w:r>
          </w:p>
        </w:tc>
      </w:tr>
      <w:tr w:rsidR="00E003DB" w:rsidRPr="00747EF6" w14:paraId="7A2FF08D" w14:textId="77777777" w:rsidTr="00255135">
        <w:tc>
          <w:tcPr>
            <w:tcW w:w="1705" w:type="pct"/>
          </w:tcPr>
          <w:p w14:paraId="0897D847" w14:textId="77777777" w:rsidR="00E003DB" w:rsidRPr="00747EF6" w:rsidRDefault="00E003DB" w:rsidP="00006371">
            <w:pPr>
              <w:pStyle w:val="TableText"/>
            </w:pPr>
            <w:r w:rsidRPr="00747EF6">
              <w:t>NZU market</w:t>
            </w:r>
          </w:p>
        </w:tc>
        <w:tc>
          <w:tcPr>
            <w:tcW w:w="3295" w:type="pct"/>
          </w:tcPr>
          <w:p w14:paraId="4450D676" w14:textId="77777777" w:rsidR="00E003DB" w:rsidRPr="00747EF6" w:rsidRDefault="00E003DB" w:rsidP="00006371">
            <w:pPr>
              <w:pStyle w:val="TableText"/>
            </w:pPr>
            <w:r w:rsidRPr="00747EF6">
              <w:t>The commercial activity in which buyers and sellers exchange NZUs on the primary markets (</w:t>
            </w:r>
            <w:proofErr w:type="spellStart"/>
            <w:r w:rsidRPr="00747EF6">
              <w:t>eg</w:t>
            </w:r>
            <w:proofErr w:type="spellEnd"/>
            <w:r>
              <w:t>,</w:t>
            </w:r>
            <w:r w:rsidRPr="00747EF6">
              <w:t xml:space="preserve"> auctioning, allocation) and secondary markets (</w:t>
            </w:r>
            <w:proofErr w:type="spellStart"/>
            <w:r w:rsidRPr="00747EF6">
              <w:t>eg</w:t>
            </w:r>
            <w:proofErr w:type="spellEnd"/>
            <w:r>
              <w:t>,</w:t>
            </w:r>
            <w:r w:rsidRPr="00747EF6">
              <w:t xml:space="preserve"> trade between account holders within the </w:t>
            </w:r>
            <w:r>
              <w:t>NZETR</w:t>
            </w:r>
            <w:r w:rsidRPr="00747EF6">
              <w:t xml:space="preserve">). </w:t>
            </w:r>
          </w:p>
          <w:p w14:paraId="6C404F52" w14:textId="77777777" w:rsidR="00E003DB" w:rsidRPr="00747EF6" w:rsidRDefault="00E003DB" w:rsidP="00006371">
            <w:pPr>
              <w:pStyle w:val="TableText"/>
            </w:pPr>
            <w:r w:rsidRPr="00747EF6">
              <w:lastRenderedPageBreak/>
              <w:t xml:space="preserve">Note that for the purposes of this engagement, NZU secondary markets do not include trading in NZU derivatives (such as forward contracts), which are regulated as financial products under the </w:t>
            </w:r>
            <w:r>
              <w:t>FMC Act</w:t>
            </w:r>
            <w:r w:rsidRPr="00747EF6">
              <w:t>.</w:t>
            </w:r>
          </w:p>
        </w:tc>
      </w:tr>
      <w:tr w:rsidR="00E003DB" w:rsidRPr="00747EF6" w14:paraId="6EEAE4A9" w14:textId="77777777" w:rsidTr="00255135">
        <w:tc>
          <w:tcPr>
            <w:tcW w:w="1705" w:type="pct"/>
          </w:tcPr>
          <w:p w14:paraId="1C2C437E" w14:textId="77777777" w:rsidR="00E003DB" w:rsidRPr="00747EF6" w:rsidRDefault="00E003DB" w:rsidP="00006371">
            <w:pPr>
              <w:pStyle w:val="TableText"/>
            </w:pPr>
            <w:r w:rsidRPr="00747EF6">
              <w:lastRenderedPageBreak/>
              <w:t>NZU market user</w:t>
            </w:r>
          </w:p>
        </w:tc>
        <w:tc>
          <w:tcPr>
            <w:tcW w:w="3295" w:type="pct"/>
          </w:tcPr>
          <w:p w14:paraId="6925EC66" w14:textId="67DF29FF" w:rsidR="00E003DB" w:rsidRPr="00747EF6" w:rsidRDefault="00E003DB" w:rsidP="00006371">
            <w:pPr>
              <w:pStyle w:val="TableText"/>
              <w:rPr>
                <w:rFonts w:cstheme="minorHAnsi"/>
              </w:rPr>
            </w:pPr>
            <w:r w:rsidRPr="00747EF6">
              <w:rPr>
                <w:rFonts w:cstheme="minorHAnsi"/>
              </w:rPr>
              <w:t xml:space="preserve">Persons who engage in the NZU market through buying or selling NZUs, such as (but not limited to) traders, consultants, </w:t>
            </w:r>
            <w:r>
              <w:rPr>
                <w:rFonts w:cstheme="minorHAnsi"/>
              </w:rPr>
              <w:t>advis</w:t>
            </w:r>
            <w:r w:rsidR="00AC70EA">
              <w:rPr>
                <w:rFonts w:cstheme="minorHAnsi"/>
              </w:rPr>
              <w:t>e</w:t>
            </w:r>
            <w:r>
              <w:rPr>
                <w:rFonts w:cstheme="minorHAnsi"/>
              </w:rPr>
              <w:t>r</w:t>
            </w:r>
            <w:r w:rsidRPr="00747EF6">
              <w:rPr>
                <w:rFonts w:cstheme="minorHAnsi"/>
              </w:rPr>
              <w:t>s, NZ ETS participants.</w:t>
            </w:r>
          </w:p>
        </w:tc>
      </w:tr>
      <w:tr w:rsidR="00E003DB" w:rsidRPr="00747EF6" w14:paraId="6F9C7D8E" w14:textId="77777777" w:rsidTr="00255135">
        <w:tc>
          <w:tcPr>
            <w:tcW w:w="1705" w:type="pct"/>
          </w:tcPr>
          <w:p w14:paraId="44531EE8" w14:textId="77777777" w:rsidR="00E003DB" w:rsidRPr="00747EF6" w:rsidRDefault="00E003DB" w:rsidP="00006371">
            <w:pPr>
              <w:pStyle w:val="TableText"/>
            </w:pPr>
            <w:r>
              <w:t>NZUs</w:t>
            </w:r>
          </w:p>
        </w:tc>
        <w:tc>
          <w:tcPr>
            <w:tcW w:w="3295" w:type="pct"/>
          </w:tcPr>
          <w:p w14:paraId="43D57955" w14:textId="77777777" w:rsidR="00E003DB" w:rsidRPr="00747EF6" w:rsidRDefault="00E003DB" w:rsidP="00006371">
            <w:pPr>
              <w:pStyle w:val="TableText"/>
            </w:pPr>
            <w:r>
              <w:t xml:space="preserve">New Zealand Units. </w:t>
            </w:r>
            <w:r w:rsidRPr="00747EF6">
              <w:t>The currency of the NZ ETS</w:t>
            </w:r>
            <w:r>
              <w:t>, with</w:t>
            </w:r>
            <w:r w:rsidRPr="00747EF6">
              <w:t xml:space="preserve"> one ‘emissions unit’ </w:t>
            </w:r>
            <w:r>
              <w:t>being</w:t>
            </w:r>
            <w:r w:rsidRPr="00747EF6">
              <w:t xml:space="preserve"> equal to one tonne of carbon dioxide equivalent emissions/removals. NZUs can be traded among anyone with a holding account in the NZETR.</w:t>
            </w:r>
          </w:p>
        </w:tc>
      </w:tr>
      <w:tr w:rsidR="00E003DB" w:rsidRPr="00747EF6" w14:paraId="2AB75FBE" w14:textId="77777777" w:rsidTr="00255135">
        <w:tc>
          <w:tcPr>
            <w:tcW w:w="1705" w:type="pct"/>
          </w:tcPr>
          <w:p w14:paraId="61899BF5" w14:textId="77777777" w:rsidR="00E003DB" w:rsidRPr="00747EF6" w:rsidRDefault="00E003DB" w:rsidP="00006371">
            <w:pPr>
              <w:pStyle w:val="TableText"/>
            </w:pPr>
            <w:proofErr w:type="gramStart"/>
            <w:r w:rsidRPr="00747EF6">
              <w:t>Over</w:t>
            </w:r>
            <w:r>
              <w:t>-</w:t>
            </w:r>
            <w:r w:rsidRPr="00747EF6">
              <w:t>the</w:t>
            </w:r>
            <w:r>
              <w:t>-</w:t>
            </w:r>
            <w:r w:rsidRPr="00747EF6">
              <w:t>counter</w:t>
            </w:r>
            <w:proofErr w:type="gramEnd"/>
            <w:r w:rsidRPr="00747EF6">
              <w:t xml:space="preserve"> (OTC)</w:t>
            </w:r>
            <w:r>
              <w:t xml:space="preserve"> trades</w:t>
            </w:r>
          </w:p>
        </w:tc>
        <w:tc>
          <w:tcPr>
            <w:tcW w:w="3295" w:type="pct"/>
          </w:tcPr>
          <w:p w14:paraId="7730EB14" w14:textId="77777777" w:rsidR="00E003DB" w:rsidRPr="00747EF6" w:rsidRDefault="00E003DB" w:rsidP="00006371">
            <w:pPr>
              <w:pStyle w:val="TableText"/>
            </w:pPr>
            <w:r w:rsidRPr="00747EF6">
              <w:t>Direct, bilateral trades between two NZ ETS users, without supervision or using an exchange</w:t>
            </w:r>
            <w:r>
              <w:t>.</w:t>
            </w:r>
          </w:p>
        </w:tc>
      </w:tr>
      <w:tr w:rsidR="00E003DB" w:rsidRPr="00747EF6" w14:paraId="22892765" w14:textId="77777777" w:rsidTr="00255135">
        <w:tc>
          <w:tcPr>
            <w:tcW w:w="1705" w:type="pct"/>
          </w:tcPr>
          <w:p w14:paraId="57E0D111" w14:textId="77777777" w:rsidR="00E003DB" w:rsidRPr="00747EF6" w:rsidRDefault="00E003DB" w:rsidP="00006371">
            <w:pPr>
              <w:pStyle w:val="TableText"/>
            </w:pPr>
            <w:r w:rsidRPr="00747EF6">
              <w:t>Primary market</w:t>
            </w:r>
          </w:p>
        </w:tc>
        <w:tc>
          <w:tcPr>
            <w:tcW w:w="3295" w:type="pct"/>
          </w:tcPr>
          <w:p w14:paraId="66C1593B" w14:textId="77777777" w:rsidR="00E003DB" w:rsidRPr="00747EF6" w:rsidRDefault="00E003DB" w:rsidP="00006371">
            <w:pPr>
              <w:pStyle w:val="TableText"/>
            </w:pPr>
            <w:r w:rsidRPr="00747EF6">
              <w:t>The distribution of NZUs from the Government to NZ ETS users, through auctions, industrial allocation and any other form of issue or transfer.</w:t>
            </w:r>
          </w:p>
        </w:tc>
      </w:tr>
      <w:tr w:rsidR="00E003DB" w:rsidRPr="00747EF6" w14:paraId="35358498" w14:textId="77777777" w:rsidTr="00255135">
        <w:tc>
          <w:tcPr>
            <w:tcW w:w="1705" w:type="pct"/>
          </w:tcPr>
          <w:p w14:paraId="02B903F2" w14:textId="77777777" w:rsidR="00E003DB" w:rsidRPr="00747EF6" w:rsidRDefault="00E003DB" w:rsidP="00006371">
            <w:pPr>
              <w:pStyle w:val="TableText"/>
            </w:pPr>
            <w:r w:rsidRPr="00747EF6">
              <w:t xml:space="preserve">Product </w:t>
            </w:r>
            <w:r>
              <w:t>disclosure statement</w:t>
            </w:r>
          </w:p>
        </w:tc>
        <w:tc>
          <w:tcPr>
            <w:tcW w:w="3295" w:type="pct"/>
          </w:tcPr>
          <w:p w14:paraId="0ED8FB83" w14:textId="77777777" w:rsidR="00E003DB" w:rsidRPr="00747EF6" w:rsidRDefault="00E003DB" w:rsidP="00006371">
            <w:pPr>
              <w:pStyle w:val="TableText"/>
            </w:pPr>
            <w:r w:rsidRPr="00747EF6">
              <w:t xml:space="preserve">A product disclosure statement </w:t>
            </w:r>
            <w:r w:rsidRPr="00127E57">
              <w:t xml:space="preserve">provides essential information to help </w:t>
            </w:r>
            <w:r>
              <w:t xml:space="preserve">investors </w:t>
            </w:r>
            <w:r w:rsidRPr="00127E57">
              <w:t>decide whether to invest in a financial product</w:t>
            </w:r>
            <w:r w:rsidRPr="00747EF6">
              <w:t xml:space="preserve">. See </w:t>
            </w:r>
            <w:hyperlink r:id="rId66" w:history="1">
              <w:r w:rsidRPr="00D72070">
                <w:rPr>
                  <w:rStyle w:val="Hyperlink"/>
                  <w:szCs w:val="22"/>
                </w:rPr>
                <w:t>Part 2 of the FMC</w:t>
              </w:r>
              <w:r w:rsidRPr="00D72070">
                <w:rPr>
                  <w:rStyle w:val="Hyperlink"/>
                </w:rPr>
                <w:t xml:space="preserve"> Act</w:t>
              </w:r>
            </w:hyperlink>
            <w:r w:rsidRPr="00747EF6">
              <w:t>.</w:t>
            </w:r>
          </w:p>
        </w:tc>
      </w:tr>
      <w:tr w:rsidR="00E003DB" w:rsidRPr="00747EF6" w14:paraId="2AF045C9" w14:textId="77777777" w:rsidTr="00255135">
        <w:tc>
          <w:tcPr>
            <w:tcW w:w="1705" w:type="pct"/>
          </w:tcPr>
          <w:p w14:paraId="612C87F2" w14:textId="77777777" w:rsidR="00E003DB" w:rsidRPr="00747EF6" w:rsidRDefault="00E003DB" w:rsidP="00006371">
            <w:pPr>
              <w:pStyle w:val="TableText"/>
              <w:rPr>
                <w:highlight w:val="yellow"/>
              </w:rPr>
            </w:pPr>
            <w:r w:rsidRPr="00747EF6">
              <w:t>Retail client</w:t>
            </w:r>
          </w:p>
        </w:tc>
        <w:tc>
          <w:tcPr>
            <w:tcW w:w="3295" w:type="pct"/>
          </w:tcPr>
          <w:p w14:paraId="046828C2" w14:textId="77777777" w:rsidR="00E003DB" w:rsidRPr="00747EF6" w:rsidRDefault="00E003DB" w:rsidP="00006371">
            <w:pPr>
              <w:pStyle w:val="TableText"/>
              <w:rPr>
                <w:highlight w:val="yellow"/>
              </w:rPr>
            </w:pPr>
            <w:r w:rsidRPr="00747EF6">
              <w:t>Retail client is a person who falls outside of the meaning of wholesale client as set out under clauses 37</w:t>
            </w:r>
            <w:r>
              <w:t>–</w:t>
            </w:r>
            <w:r w:rsidRPr="00747EF6">
              <w:t xml:space="preserve">41 of </w:t>
            </w:r>
            <w:hyperlink r:id="rId67" w:anchor="DLM4092365" w:history="1">
              <w:r>
                <w:rPr>
                  <w:rStyle w:val="Hyperlink"/>
                </w:rPr>
                <w:t>Schedule 1 of the FMC Act</w:t>
              </w:r>
            </w:hyperlink>
            <w:r>
              <w:t>.</w:t>
            </w:r>
          </w:p>
        </w:tc>
      </w:tr>
      <w:tr w:rsidR="00E003DB" w:rsidRPr="00747EF6" w14:paraId="32633B44" w14:textId="77777777" w:rsidTr="00255135">
        <w:tc>
          <w:tcPr>
            <w:tcW w:w="1705" w:type="pct"/>
          </w:tcPr>
          <w:p w14:paraId="5EB20968" w14:textId="77777777" w:rsidR="00E003DB" w:rsidRPr="00747EF6" w:rsidRDefault="00E003DB" w:rsidP="00006371">
            <w:pPr>
              <w:pStyle w:val="TableText"/>
            </w:pPr>
            <w:r w:rsidRPr="00747EF6">
              <w:t>Secondary market</w:t>
            </w:r>
          </w:p>
        </w:tc>
        <w:tc>
          <w:tcPr>
            <w:tcW w:w="3295" w:type="pct"/>
          </w:tcPr>
          <w:p w14:paraId="6F1FCF5E" w14:textId="77777777" w:rsidR="00E003DB" w:rsidRPr="00747EF6" w:rsidRDefault="00E003DB" w:rsidP="00006371">
            <w:pPr>
              <w:pStyle w:val="TableText"/>
            </w:pPr>
            <w:r w:rsidRPr="00747EF6">
              <w:t>The market in which previously issued NZUs are bought and sold.</w:t>
            </w:r>
          </w:p>
        </w:tc>
      </w:tr>
      <w:tr w:rsidR="00E003DB" w:rsidRPr="00747EF6" w14:paraId="7C0977E6" w14:textId="77777777" w:rsidTr="00255135">
        <w:tc>
          <w:tcPr>
            <w:tcW w:w="1705" w:type="pct"/>
          </w:tcPr>
          <w:p w14:paraId="23E56BC2" w14:textId="77777777" w:rsidR="00E003DB" w:rsidRPr="00747EF6" w:rsidRDefault="00E003DB" w:rsidP="00006371">
            <w:pPr>
              <w:pStyle w:val="TableText"/>
              <w:rPr>
                <w:highlight w:val="yellow"/>
              </w:rPr>
            </w:pPr>
            <w:r w:rsidRPr="00747EF6">
              <w:t>Wholesale client</w:t>
            </w:r>
          </w:p>
        </w:tc>
        <w:tc>
          <w:tcPr>
            <w:tcW w:w="3295" w:type="pct"/>
          </w:tcPr>
          <w:p w14:paraId="3363B2F7" w14:textId="77777777" w:rsidR="00E003DB" w:rsidRPr="008846FB" w:rsidRDefault="00E003DB" w:rsidP="00006371">
            <w:pPr>
              <w:pStyle w:val="TableText"/>
            </w:pPr>
            <w:r w:rsidRPr="008846FB">
              <w:t xml:space="preserve">The meaning of wholesale client is set out under clauses 37-41 of </w:t>
            </w:r>
            <w:hyperlink r:id="rId68" w:anchor="DLM4092365" w:history="1">
              <w:r w:rsidRPr="008846FB">
                <w:rPr>
                  <w:rStyle w:val="Hyperlink"/>
                </w:rPr>
                <w:t>Schedule 1 of the FMC Act</w:t>
              </w:r>
            </w:hyperlink>
            <w:r w:rsidRPr="008846FB">
              <w:t xml:space="preserve"> as a person that meets any one of the following summarised criteria, including:</w:t>
            </w:r>
          </w:p>
          <w:p w14:paraId="12D57E22" w14:textId="775B0BA7" w:rsidR="00E003DB" w:rsidRPr="008846FB" w:rsidRDefault="00E003DB" w:rsidP="00E003DB">
            <w:pPr>
              <w:pStyle w:val="TableBullet"/>
            </w:pPr>
            <w:r w:rsidRPr="008846FB">
              <w:rPr>
                <w:b/>
                <w:bCs/>
              </w:rPr>
              <w:t>Investment</w:t>
            </w:r>
            <w:r w:rsidRPr="008846FB">
              <w:t xml:space="preserve"> </w:t>
            </w:r>
            <w:r w:rsidRPr="008846FB">
              <w:rPr>
                <w:b/>
                <w:bCs/>
              </w:rPr>
              <w:t>business</w:t>
            </w:r>
            <w:r w:rsidRPr="008846FB">
              <w:t xml:space="preserve">: A person who is, for example, a principal business investing in financial products, a registered bank, a financial </w:t>
            </w:r>
            <w:proofErr w:type="gramStart"/>
            <w:r w:rsidRPr="008846FB">
              <w:t>advis</w:t>
            </w:r>
            <w:r w:rsidR="00AC70EA">
              <w:t>e</w:t>
            </w:r>
            <w:r w:rsidRPr="008846FB">
              <w:t>r</w:t>
            </w:r>
            <w:proofErr w:type="gramEnd"/>
            <w:r w:rsidRPr="008846FB">
              <w:t xml:space="preserve"> or issuer of derivatives.</w:t>
            </w:r>
          </w:p>
          <w:p w14:paraId="23548E02" w14:textId="77777777" w:rsidR="00E003DB" w:rsidRDefault="00E003DB" w:rsidP="00E003DB">
            <w:pPr>
              <w:pStyle w:val="TableBullet"/>
            </w:pPr>
            <w:r w:rsidRPr="008846FB">
              <w:rPr>
                <w:b/>
                <w:bCs/>
              </w:rPr>
              <w:t>Investment activity criteria</w:t>
            </w:r>
            <w:r w:rsidRPr="008846FB">
              <w:t>: A person who has, within the previous two years, owned a portfolio of (or carried out one or more transactions to acquire) specified financial products</w:t>
            </w:r>
            <w:r w:rsidRPr="008846FB">
              <w:rPr>
                <w:rStyle w:val="FootnoteReference"/>
              </w:rPr>
              <w:footnoteReference w:id="51"/>
            </w:r>
            <w:r w:rsidRPr="008846FB">
              <w:t xml:space="preserve"> of a value of (or where the amount payable under those transactions was) at least $1 million (in aggregate).</w:t>
            </w:r>
          </w:p>
          <w:p w14:paraId="7DD8AA48" w14:textId="77777777" w:rsidR="00E003DB" w:rsidRPr="00767A00" w:rsidRDefault="00E003DB" w:rsidP="00E003DB">
            <w:pPr>
              <w:pStyle w:val="TableBullet"/>
            </w:pPr>
            <w:r w:rsidRPr="008846FB">
              <w:rPr>
                <w:b/>
                <w:bCs/>
              </w:rPr>
              <w:t xml:space="preserve">A </w:t>
            </w:r>
            <w:r w:rsidRPr="008846FB">
              <w:rPr>
                <w:b/>
              </w:rPr>
              <w:t>large person:</w:t>
            </w:r>
            <w:r w:rsidRPr="008846FB">
              <w:t xml:space="preserve"> A person who had net assets </w:t>
            </w:r>
            <w:proofErr w:type="gramStart"/>
            <w:r w:rsidRPr="008846FB">
              <w:t>in excess of</w:t>
            </w:r>
            <w:proofErr w:type="gramEnd"/>
            <w:r w:rsidRPr="008846FB">
              <w:t xml:space="preserve"> $5 million as at the last day of each of the two most recently completed financial years</w:t>
            </w:r>
          </w:p>
        </w:tc>
      </w:tr>
    </w:tbl>
    <w:p w14:paraId="1249BA8D" w14:textId="77777777" w:rsidR="00E003DB" w:rsidRPr="00747EF6" w:rsidRDefault="00E003DB" w:rsidP="00E003DB">
      <w:pPr>
        <w:spacing w:before="0" w:after="160" w:line="259" w:lineRule="auto"/>
        <w:jc w:val="left"/>
      </w:pPr>
      <w:r w:rsidRPr="00747EF6">
        <w:br w:type="page"/>
      </w:r>
    </w:p>
    <w:p w14:paraId="318680C6" w14:textId="77777777" w:rsidR="00E003DB" w:rsidRPr="00747EF6" w:rsidRDefault="00E003DB" w:rsidP="00E003DB">
      <w:pPr>
        <w:pStyle w:val="Heading1"/>
      </w:pPr>
      <w:bookmarkStart w:id="180" w:name="_Appendix_A:_Summary"/>
      <w:bookmarkStart w:id="181" w:name="_Toc116391436"/>
      <w:bookmarkStart w:id="182" w:name="_Toc118703559"/>
      <w:bookmarkStart w:id="183" w:name="_Toc118953612"/>
      <w:bookmarkEnd w:id="180"/>
      <w:r w:rsidRPr="00747EF6">
        <w:lastRenderedPageBreak/>
        <w:t>Appendix A: Summary of 2021 consultation options</w:t>
      </w:r>
      <w:bookmarkEnd w:id="181"/>
      <w:bookmarkEnd w:id="182"/>
      <w:bookmarkEnd w:id="183"/>
    </w:p>
    <w:tbl>
      <w:tblPr>
        <w:tblW w:w="4935" w:type="pct"/>
        <w:tblInd w:w="113" w:type="dxa"/>
        <w:shd w:val="clear" w:color="auto" w:fill="D2DDE2"/>
        <w:tblCellMar>
          <w:left w:w="113" w:type="dxa"/>
          <w:right w:w="113" w:type="dxa"/>
        </w:tblCellMar>
        <w:tblLook w:val="04A0" w:firstRow="1" w:lastRow="0" w:firstColumn="1" w:lastColumn="0" w:noHBand="0" w:noVBand="1"/>
      </w:tblPr>
      <w:tblGrid>
        <w:gridCol w:w="2426"/>
        <w:gridCol w:w="5968"/>
      </w:tblGrid>
      <w:tr w:rsidR="00E003DB" w:rsidRPr="00255135" w14:paraId="7872485D" w14:textId="77777777" w:rsidTr="00255135">
        <w:trPr>
          <w:trHeight w:val="105"/>
        </w:trPr>
        <w:tc>
          <w:tcPr>
            <w:tcW w:w="5000" w:type="pct"/>
            <w:gridSpan w:val="2"/>
            <w:shd w:val="clear" w:color="auto" w:fill="1B556B"/>
            <w:hideMark/>
          </w:tcPr>
          <w:p w14:paraId="100705B2" w14:textId="77777777" w:rsidR="00E003DB" w:rsidRPr="00255135" w:rsidRDefault="00E003DB" w:rsidP="00A52A00">
            <w:pPr>
              <w:spacing w:line="240" w:lineRule="auto"/>
              <w:jc w:val="left"/>
              <w:textAlignment w:val="baseline"/>
              <w:rPr>
                <w:rFonts w:cs="Calibri"/>
                <w:b/>
                <w:color w:val="FFFFFF"/>
              </w:rPr>
            </w:pPr>
            <w:r w:rsidRPr="00255135">
              <w:rPr>
                <w:rFonts w:cs="Calibri"/>
                <w:b/>
                <w:color w:val="FFFFFF"/>
              </w:rPr>
              <w:t>Summary of governance of advice options </w:t>
            </w:r>
          </w:p>
        </w:tc>
      </w:tr>
      <w:tr w:rsidR="00E003DB" w:rsidRPr="00255135" w14:paraId="15E1702A" w14:textId="77777777" w:rsidTr="00255135">
        <w:trPr>
          <w:trHeight w:val="105"/>
        </w:trPr>
        <w:tc>
          <w:tcPr>
            <w:tcW w:w="1445" w:type="pct"/>
            <w:tcBorders>
              <w:bottom w:val="single" w:sz="2" w:space="0" w:color="FFFFFF" w:themeColor="background1"/>
            </w:tcBorders>
            <w:shd w:val="clear" w:color="auto" w:fill="D2DDE2"/>
          </w:tcPr>
          <w:p w14:paraId="534F1BA8" w14:textId="77777777" w:rsidR="00E003DB" w:rsidRPr="00255135" w:rsidRDefault="00E003DB" w:rsidP="00A52A00">
            <w:pPr>
              <w:spacing w:line="240" w:lineRule="auto"/>
              <w:ind w:firstLine="30"/>
              <w:jc w:val="left"/>
              <w:textAlignment w:val="baseline"/>
              <w:rPr>
                <w:rFonts w:cs="Calibri"/>
                <w:b/>
                <w:color w:val="1B556B"/>
              </w:rPr>
            </w:pPr>
            <w:r w:rsidRPr="00255135">
              <w:rPr>
                <w:rFonts w:cs="Calibri"/>
                <w:b/>
                <w:color w:val="1B556B"/>
              </w:rPr>
              <w:t>Status quo</w:t>
            </w:r>
          </w:p>
        </w:tc>
        <w:tc>
          <w:tcPr>
            <w:tcW w:w="3555" w:type="pct"/>
            <w:tcBorders>
              <w:bottom w:val="single" w:sz="2" w:space="0" w:color="FFFFFF" w:themeColor="background1"/>
            </w:tcBorders>
            <w:shd w:val="clear" w:color="auto" w:fill="D2DDE2"/>
          </w:tcPr>
          <w:p w14:paraId="1CE4F03F" w14:textId="77777777" w:rsidR="00E003DB" w:rsidRPr="00255135" w:rsidRDefault="00E003DB" w:rsidP="00255135">
            <w:pPr>
              <w:spacing w:line="240" w:lineRule="auto"/>
              <w:ind w:left="142"/>
              <w:jc w:val="left"/>
              <w:textAlignment w:val="baseline"/>
              <w:rPr>
                <w:rFonts w:cs="Calibri"/>
                <w:color w:val="1B556B"/>
              </w:rPr>
            </w:pPr>
            <w:r w:rsidRPr="00255135">
              <w:rPr>
                <w:rFonts w:cs="Calibri"/>
                <w:color w:val="1B556B"/>
              </w:rPr>
              <w:t>No new tools to address governance of advice risks.</w:t>
            </w:r>
          </w:p>
        </w:tc>
      </w:tr>
      <w:tr w:rsidR="00E003DB" w:rsidRPr="00255135" w14:paraId="79BBC4A4" w14:textId="77777777" w:rsidTr="00255135">
        <w:trPr>
          <w:trHeight w:val="105"/>
        </w:trPr>
        <w:tc>
          <w:tcPr>
            <w:tcW w:w="1445" w:type="pct"/>
            <w:tcBorders>
              <w:top w:val="single" w:sz="2" w:space="0" w:color="FFFFFF" w:themeColor="background1"/>
              <w:bottom w:val="single" w:sz="2" w:space="0" w:color="FFFFFF" w:themeColor="background1"/>
            </w:tcBorders>
            <w:shd w:val="clear" w:color="auto" w:fill="D2DDE2"/>
            <w:hideMark/>
          </w:tcPr>
          <w:p w14:paraId="0498B57B" w14:textId="77777777" w:rsidR="00E003DB" w:rsidRPr="00255135" w:rsidRDefault="00E003DB" w:rsidP="00A52A00">
            <w:pPr>
              <w:spacing w:line="240" w:lineRule="auto"/>
              <w:ind w:firstLine="30"/>
              <w:jc w:val="left"/>
              <w:textAlignment w:val="baseline"/>
              <w:rPr>
                <w:rFonts w:cs="Calibri"/>
                <w:color w:val="1B556B"/>
              </w:rPr>
            </w:pPr>
            <w:r w:rsidRPr="00255135">
              <w:rPr>
                <w:rFonts w:cs="Calibri"/>
                <w:b/>
                <w:color w:val="1B556B"/>
              </w:rPr>
              <w:t>Education campaign and information pack</w:t>
            </w:r>
          </w:p>
        </w:tc>
        <w:tc>
          <w:tcPr>
            <w:tcW w:w="3555" w:type="pct"/>
            <w:tcBorders>
              <w:top w:val="single" w:sz="2" w:space="0" w:color="FFFFFF" w:themeColor="background1"/>
              <w:bottom w:val="single" w:sz="2" w:space="0" w:color="FFFFFF" w:themeColor="background1"/>
            </w:tcBorders>
            <w:shd w:val="clear" w:color="auto" w:fill="D2DDE2"/>
          </w:tcPr>
          <w:p w14:paraId="7176E854" w14:textId="77777777" w:rsidR="00E003DB" w:rsidRPr="00255135" w:rsidRDefault="00E003DB" w:rsidP="00255135">
            <w:pPr>
              <w:spacing w:line="240" w:lineRule="auto"/>
              <w:ind w:left="142"/>
              <w:jc w:val="left"/>
              <w:textAlignment w:val="baseline"/>
              <w:rPr>
                <w:rFonts w:cs="Calibri"/>
                <w:color w:val="1B556B"/>
              </w:rPr>
            </w:pPr>
            <w:r w:rsidRPr="00255135">
              <w:rPr>
                <w:rFonts w:cs="Calibri"/>
                <w:color w:val="1B556B"/>
              </w:rPr>
              <w:t>Develop an education campaign and information pack to improve knowledge and understanding of the NZU market. For foresters and landowners there will be an additional section regarding forestry-specific matters. </w:t>
            </w:r>
          </w:p>
        </w:tc>
      </w:tr>
      <w:tr w:rsidR="00E003DB" w:rsidRPr="00255135" w14:paraId="210C9865" w14:textId="77777777" w:rsidTr="00255135">
        <w:trPr>
          <w:trHeight w:val="105"/>
        </w:trPr>
        <w:tc>
          <w:tcPr>
            <w:tcW w:w="1445" w:type="pct"/>
            <w:tcBorders>
              <w:top w:val="single" w:sz="2" w:space="0" w:color="FFFFFF" w:themeColor="background1"/>
              <w:bottom w:val="single" w:sz="2" w:space="0" w:color="FFFFFF" w:themeColor="background1"/>
            </w:tcBorders>
            <w:shd w:val="clear" w:color="auto" w:fill="D2DDE2"/>
          </w:tcPr>
          <w:p w14:paraId="3373B799" w14:textId="77777777" w:rsidR="00E003DB" w:rsidRPr="00255135" w:rsidRDefault="00E003DB" w:rsidP="00A52A00">
            <w:pPr>
              <w:spacing w:line="240" w:lineRule="auto"/>
              <w:ind w:firstLine="30"/>
              <w:jc w:val="left"/>
              <w:textAlignment w:val="baseline"/>
              <w:rPr>
                <w:rFonts w:cs="Calibri"/>
                <w:b/>
                <w:color w:val="1B556B"/>
              </w:rPr>
            </w:pPr>
            <w:r w:rsidRPr="00255135">
              <w:rPr>
                <w:rFonts w:cs="Calibri"/>
                <w:b/>
                <w:color w:val="1B556B"/>
              </w:rPr>
              <w:t>Sector guidelines for NZU advisers</w:t>
            </w:r>
          </w:p>
        </w:tc>
        <w:tc>
          <w:tcPr>
            <w:tcW w:w="3555" w:type="pct"/>
            <w:tcBorders>
              <w:top w:val="single" w:sz="2" w:space="0" w:color="FFFFFF" w:themeColor="background1"/>
              <w:bottom w:val="single" w:sz="2" w:space="0" w:color="FFFFFF" w:themeColor="background1"/>
            </w:tcBorders>
            <w:shd w:val="clear" w:color="auto" w:fill="D2DDE2"/>
          </w:tcPr>
          <w:p w14:paraId="79573156" w14:textId="7ADAF4B5" w:rsidR="00E003DB" w:rsidRPr="00255135" w:rsidRDefault="00E003DB" w:rsidP="00255135">
            <w:pPr>
              <w:spacing w:line="240" w:lineRule="auto"/>
              <w:ind w:left="142"/>
              <w:jc w:val="left"/>
              <w:textAlignment w:val="baseline"/>
              <w:rPr>
                <w:rFonts w:cs="Calibri"/>
                <w:color w:val="1B556B"/>
              </w:rPr>
            </w:pPr>
            <w:r w:rsidRPr="00255135">
              <w:rPr>
                <w:rFonts w:cs="Calibri"/>
                <w:color w:val="1B556B"/>
              </w:rPr>
              <w:t>Develop guidelines to benchmark the expected level of service from NZU advis</w:t>
            </w:r>
            <w:r w:rsidR="00AC70EA">
              <w:rPr>
                <w:rFonts w:cs="Calibri"/>
                <w:color w:val="1B556B"/>
              </w:rPr>
              <w:t>e</w:t>
            </w:r>
            <w:r w:rsidRPr="00255135">
              <w:rPr>
                <w:rFonts w:cs="Calibri"/>
                <w:color w:val="1B556B"/>
              </w:rPr>
              <w:t>rs and to guide the development of quality advice. </w:t>
            </w:r>
          </w:p>
        </w:tc>
      </w:tr>
      <w:tr w:rsidR="00E003DB" w:rsidRPr="00255135" w14:paraId="651800AB" w14:textId="77777777" w:rsidTr="00255135">
        <w:trPr>
          <w:trHeight w:val="105"/>
        </w:trPr>
        <w:tc>
          <w:tcPr>
            <w:tcW w:w="1445" w:type="pct"/>
            <w:tcBorders>
              <w:top w:val="single" w:sz="2" w:space="0" w:color="FFFFFF" w:themeColor="background1"/>
            </w:tcBorders>
            <w:shd w:val="clear" w:color="auto" w:fill="D2DDE2"/>
          </w:tcPr>
          <w:p w14:paraId="7B3F20BF" w14:textId="77777777" w:rsidR="00E003DB" w:rsidRPr="00255135" w:rsidRDefault="00E003DB" w:rsidP="00A52A00">
            <w:pPr>
              <w:spacing w:line="240" w:lineRule="auto"/>
              <w:ind w:firstLine="30"/>
              <w:jc w:val="left"/>
              <w:textAlignment w:val="baseline"/>
              <w:rPr>
                <w:rFonts w:cs="Calibri"/>
                <w:b/>
                <w:color w:val="1B556B"/>
              </w:rPr>
            </w:pPr>
            <w:r w:rsidRPr="00255135">
              <w:rPr>
                <w:rFonts w:cs="Calibri"/>
                <w:b/>
                <w:color w:val="1B556B"/>
              </w:rPr>
              <w:t>Code of conduct, licensing, and registration of NZU advisers</w:t>
            </w:r>
          </w:p>
        </w:tc>
        <w:tc>
          <w:tcPr>
            <w:tcW w:w="3555" w:type="pct"/>
            <w:tcBorders>
              <w:top w:val="single" w:sz="2" w:space="0" w:color="FFFFFF" w:themeColor="background1"/>
            </w:tcBorders>
            <w:shd w:val="clear" w:color="auto" w:fill="D2DDE2"/>
          </w:tcPr>
          <w:p w14:paraId="3FD83938" w14:textId="3CEACB73" w:rsidR="00E003DB" w:rsidRPr="00255135" w:rsidRDefault="00E003DB" w:rsidP="00255135">
            <w:pPr>
              <w:spacing w:line="240" w:lineRule="auto"/>
              <w:ind w:left="142"/>
              <w:jc w:val="left"/>
              <w:textAlignment w:val="baseline"/>
              <w:rPr>
                <w:rFonts w:cs="Calibri"/>
                <w:color w:val="1B556B"/>
              </w:rPr>
            </w:pPr>
            <w:r w:rsidRPr="00255135">
              <w:rPr>
                <w:rFonts w:cs="Calibri"/>
                <w:color w:val="1B556B"/>
              </w:rPr>
              <w:t>Introduce a mandatory licensing, public registration, and code of conduct package to raise the standards of advice in the NZU market and increase NZU market</w:t>
            </w:r>
            <w:r w:rsidR="005C7DCC">
              <w:rPr>
                <w:rFonts w:cs="Calibri"/>
                <w:color w:val="1B556B"/>
              </w:rPr>
              <w:t>-</w:t>
            </w:r>
            <w:r w:rsidRPr="00255135">
              <w:rPr>
                <w:rFonts w:cs="Calibri"/>
                <w:color w:val="1B556B"/>
              </w:rPr>
              <w:t>user protection. </w:t>
            </w:r>
          </w:p>
        </w:tc>
      </w:tr>
      <w:tr w:rsidR="00E003DB" w:rsidRPr="00255135" w14:paraId="48BFA418" w14:textId="77777777" w:rsidTr="00255135">
        <w:trPr>
          <w:trHeight w:val="105"/>
        </w:trPr>
        <w:tc>
          <w:tcPr>
            <w:tcW w:w="5000" w:type="pct"/>
            <w:gridSpan w:val="2"/>
            <w:shd w:val="clear" w:color="auto" w:fill="1B556B"/>
            <w:vAlign w:val="center"/>
            <w:hideMark/>
          </w:tcPr>
          <w:p w14:paraId="64DE8C77" w14:textId="77777777" w:rsidR="00E003DB" w:rsidRPr="00255135" w:rsidRDefault="00E003DB" w:rsidP="00A52A00">
            <w:pPr>
              <w:spacing w:line="240" w:lineRule="auto"/>
              <w:jc w:val="left"/>
              <w:textAlignment w:val="baseline"/>
              <w:rPr>
                <w:rFonts w:cs="Calibri"/>
                <w:b/>
                <w:color w:val="FFFFFF"/>
              </w:rPr>
            </w:pPr>
            <w:r w:rsidRPr="00255135">
              <w:rPr>
                <w:rFonts w:cs="Calibri"/>
                <w:b/>
                <w:color w:val="FFFFFF"/>
              </w:rPr>
              <w:t>Summary of governance of trading options </w:t>
            </w:r>
          </w:p>
        </w:tc>
      </w:tr>
      <w:tr w:rsidR="00E003DB" w:rsidRPr="00255135" w14:paraId="2BF7A6C1" w14:textId="77777777" w:rsidTr="00255135">
        <w:trPr>
          <w:trHeight w:val="105"/>
        </w:trPr>
        <w:tc>
          <w:tcPr>
            <w:tcW w:w="1445" w:type="pct"/>
            <w:tcBorders>
              <w:bottom w:val="single" w:sz="4" w:space="0" w:color="FFFFFF" w:themeColor="background1"/>
            </w:tcBorders>
            <w:shd w:val="clear" w:color="auto" w:fill="D2DDE2"/>
          </w:tcPr>
          <w:p w14:paraId="7B071803" w14:textId="77777777" w:rsidR="00E003DB" w:rsidRPr="00255135" w:rsidRDefault="00E003DB" w:rsidP="00A52A00">
            <w:pPr>
              <w:spacing w:line="240" w:lineRule="auto"/>
              <w:ind w:firstLine="30"/>
              <w:jc w:val="left"/>
              <w:textAlignment w:val="baseline"/>
              <w:rPr>
                <w:rFonts w:cs="Calibri"/>
                <w:b/>
                <w:color w:val="1B556B"/>
              </w:rPr>
            </w:pPr>
            <w:r w:rsidRPr="00255135">
              <w:rPr>
                <w:rFonts w:cs="Calibri"/>
                <w:b/>
                <w:color w:val="1B556B"/>
              </w:rPr>
              <w:t>Status quo</w:t>
            </w:r>
          </w:p>
        </w:tc>
        <w:tc>
          <w:tcPr>
            <w:tcW w:w="3555" w:type="pct"/>
            <w:tcBorders>
              <w:bottom w:val="single" w:sz="4" w:space="0" w:color="FFFFFF" w:themeColor="background1"/>
            </w:tcBorders>
            <w:shd w:val="clear" w:color="auto" w:fill="D2DDE2"/>
          </w:tcPr>
          <w:p w14:paraId="5A312F7D" w14:textId="77777777" w:rsidR="00E003DB" w:rsidRPr="00255135" w:rsidRDefault="00E003DB" w:rsidP="00255135">
            <w:pPr>
              <w:spacing w:line="240" w:lineRule="auto"/>
              <w:ind w:left="142"/>
              <w:jc w:val="left"/>
              <w:textAlignment w:val="baseline"/>
              <w:rPr>
                <w:rFonts w:cs="Calibri"/>
                <w:color w:val="1B556B"/>
              </w:rPr>
            </w:pPr>
            <w:r w:rsidRPr="00255135">
              <w:rPr>
                <w:rFonts w:cs="Calibri"/>
                <w:color w:val="1B556B"/>
              </w:rPr>
              <w:t>No new tools to address governance of trading risks.</w:t>
            </w:r>
          </w:p>
        </w:tc>
      </w:tr>
      <w:tr w:rsidR="00E003DB" w:rsidRPr="00255135" w14:paraId="183F40CC" w14:textId="77777777" w:rsidTr="00255135">
        <w:trPr>
          <w:trHeight w:val="105"/>
        </w:trPr>
        <w:tc>
          <w:tcPr>
            <w:tcW w:w="1445" w:type="pct"/>
            <w:tcBorders>
              <w:top w:val="single" w:sz="4" w:space="0" w:color="FFFFFF" w:themeColor="background1"/>
              <w:bottom w:val="single" w:sz="4" w:space="0" w:color="FFFFFF" w:themeColor="background1"/>
            </w:tcBorders>
            <w:shd w:val="clear" w:color="auto" w:fill="D2DDE2"/>
            <w:hideMark/>
          </w:tcPr>
          <w:p w14:paraId="56C4F382" w14:textId="77777777" w:rsidR="00E003DB" w:rsidRPr="00255135" w:rsidRDefault="00E003DB" w:rsidP="00A52A00">
            <w:pPr>
              <w:spacing w:line="240" w:lineRule="auto"/>
              <w:ind w:firstLine="30"/>
              <w:jc w:val="left"/>
              <w:textAlignment w:val="baseline"/>
              <w:rPr>
                <w:rFonts w:cs="Calibri"/>
                <w:b/>
                <w:color w:val="1B556B"/>
              </w:rPr>
            </w:pPr>
            <w:r w:rsidRPr="00255135">
              <w:rPr>
                <w:rFonts w:cs="Calibri"/>
                <w:b/>
                <w:color w:val="1B556B"/>
              </w:rPr>
              <w:t>Voluntary reporting of trades</w:t>
            </w:r>
          </w:p>
        </w:tc>
        <w:tc>
          <w:tcPr>
            <w:tcW w:w="3555" w:type="pct"/>
            <w:tcBorders>
              <w:top w:val="single" w:sz="4" w:space="0" w:color="FFFFFF" w:themeColor="background1"/>
              <w:bottom w:val="single" w:sz="4" w:space="0" w:color="FFFFFF" w:themeColor="background1"/>
            </w:tcBorders>
            <w:shd w:val="clear" w:color="auto" w:fill="D2DDE2"/>
          </w:tcPr>
          <w:p w14:paraId="5CBEA14F" w14:textId="77777777" w:rsidR="00E003DB" w:rsidRPr="00255135" w:rsidRDefault="00E003DB" w:rsidP="00255135">
            <w:pPr>
              <w:spacing w:line="240" w:lineRule="auto"/>
              <w:ind w:left="142"/>
              <w:jc w:val="left"/>
              <w:textAlignment w:val="baseline"/>
              <w:rPr>
                <w:rFonts w:cs="Calibri"/>
                <w:color w:val="1B556B"/>
              </w:rPr>
            </w:pPr>
            <w:r w:rsidRPr="00255135">
              <w:rPr>
                <w:rFonts w:cs="Calibri"/>
                <w:color w:val="1B556B"/>
              </w:rPr>
              <w:t>Introduce a mechanism for NZU market users to voluntarily report market transactions to increase post-trade transparency. This reporting allows a regulator to monitor market developments and investigate suspected market abuse. </w:t>
            </w:r>
          </w:p>
        </w:tc>
      </w:tr>
      <w:tr w:rsidR="00E003DB" w:rsidRPr="00255135" w14:paraId="7B577367" w14:textId="77777777" w:rsidTr="00255135">
        <w:trPr>
          <w:trHeight w:val="105"/>
        </w:trPr>
        <w:tc>
          <w:tcPr>
            <w:tcW w:w="1445" w:type="pct"/>
            <w:tcBorders>
              <w:top w:val="single" w:sz="4" w:space="0" w:color="FFFFFF" w:themeColor="background1"/>
              <w:bottom w:val="single" w:sz="4" w:space="0" w:color="FFFFFF" w:themeColor="background1"/>
            </w:tcBorders>
            <w:shd w:val="clear" w:color="auto" w:fill="D2DDE2"/>
          </w:tcPr>
          <w:p w14:paraId="4DA59791" w14:textId="77777777" w:rsidR="00E003DB" w:rsidRPr="00255135" w:rsidRDefault="00E003DB" w:rsidP="00A52A00">
            <w:pPr>
              <w:spacing w:line="240" w:lineRule="auto"/>
              <w:ind w:firstLine="30"/>
              <w:jc w:val="left"/>
              <w:textAlignment w:val="baseline"/>
              <w:rPr>
                <w:rFonts w:cs="Calibri"/>
                <w:b/>
                <w:color w:val="1B556B"/>
              </w:rPr>
            </w:pPr>
            <w:r w:rsidRPr="00255135">
              <w:rPr>
                <w:rFonts w:cs="Calibri"/>
                <w:b/>
                <w:color w:val="1B556B"/>
              </w:rPr>
              <w:t>Participant position reporting</w:t>
            </w:r>
          </w:p>
        </w:tc>
        <w:tc>
          <w:tcPr>
            <w:tcW w:w="3555" w:type="pct"/>
            <w:tcBorders>
              <w:top w:val="single" w:sz="4" w:space="0" w:color="FFFFFF" w:themeColor="background1"/>
              <w:bottom w:val="single" w:sz="4" w:space="0" w:color="FFFFFF" w:themeColor="background1"/>
            </w:tcBorders>
            <w:shd w:val="clear" w:color="auto" w:fill="D2DDE2"/>
          </w:tcPr>
          <w:p w14:paraId="64B47E20" w14:textId="77777777" w:rsidR="00E003DB" w:rsidRPr="00255135" w:rsidRDefault="00E003DB" w:rsidP="00255135">
            <w:pPr>
              <w:spacing w:line="240" w:lineRule="auto"/>
              <w:ind w:left="142"/>
              <w:jc w:val="left"/>
              <w:textAlignment w:val="baseline"/>
              <w:rPr>
                <w:rFonts w:cs="Calibri"/>
                <w:color w:val="1B556B"/>
              </w:rPr>
            </w:pPr>
            <w:r w:rsidRPr="00255135">
              <w:rPr>
                <w:rFonts w:cs="Calibri"/>
                <w:color w:val="1B556B"/>
              </w:rPr>
              <w:t>Require NZU market users to disclose the number of NZUs they are holding or borrowing. Position reporting increases transparency of the distribution of market power, counterparty risk and market conditions. </w:t>
            </w:r>
          </w:p>
        </w:tc>
      </w:tr>
      <w:tr w:rsidR="00E003DB" w:rsidRPr="00255135" w14:paraId="0F85826C" w14:textId="77777777" w:rsidTr="00255135">
        <w:trPr>
          <w:trHeight w:val="105"/>
        </w:trPr>
        <w:tc>
          <w:tcPr>
            <w:tcW w:w="1445" w:type="pct"/>
            <w:tcBorders>
              <w:top w:val="single" w:sz="4" w:space="0" w:color="FFFFFF" w:themeColor="background1"/>
            </w:tcBorders>
            <w:shd w:val="clear" w:color="auto" w:fill="D2DDE2"/>
          </w:tcPr>
          <w:p w14:paraId="64F33831" w14:textId="77777777" w:rsidR="00E003DB" w:rsidRPr="00255135" w:rsidRDefault="00E003DB" w:rsidP="00A52A00">
            <w:pPr>
              <w:spacing w:line="240" w:lineRule="auto"/>
              <w:ind w:firstLine="30"/>
              <w:jc w:val="left"/>
              <w:textAlignment w:val="baseline"/>
              <w:rPr>
                <w:rFonts w:cs="Calibri"/>
                <w:b/>
                <w:color w:val="1B556B"/>
              </w:rPr>
            </w:pPr>
            <w:r w:rsidRPr="00255135">
              <w:rPr>
                <w:rFonts w:cs="Calibri"/>
                <w:b/>
                <w:color w:val="1B556B"/>
              </w:rPr>
              <w:t>Requiring exchange-based trading</w:t>
            </w:r>
          </w:p>
        </w:tc>
        <w:tc>
          <w:tcPr>
            <w:tcW w:w="3555" w:type="pct"/>
            <w:tcBorders>
              <w:top w:val="single" w:sz="4" w:space="0" w:color="FFFFFF" w:themeColor="background1"/>
            </w:tcBorders>
            <w:shd w:val="clear" w:color="auto" w:fill="D2DDE2"/>
          </w:tcPr>
          <w:p w14:paraId="61BFA0B7" w14:textId="168BD2D2" w:rsidR="00E003DB" w:rsidRPr="00255135" w:rsidRDefault="00E003DB" w:rsidP="00255135">
            <w:pPr>
              <w:spacing w:line="240" w:lineRule="auto"/>
              <w:ind w:left="142"/>
              <w:jc w:val="left"/>
              <w:textAlignment w:val="baseline"/>
              <w:rPr>
                <w:rFonts w:cs="Calibri"/>
                <w:color w:val="1B556B"/>
              </w:rPr>
            </w:pPr>
            <w:r w:rsidRPr="00255135">
              <w:rPr>
                <w:rFonts w:cs="Calibri"/>
                <w:color w:val="1B556B"/>
              </w:rPr>
              <w:t>A regulated exchange that could be licensed and that would subject NZU market users to certain registration and conduct obligations, to increase oversight of trades, reduce counterparty risk and help detect market misconduct.</w:t>
            </w:r>
          </w:p>
        </w:tc>
      </w:tr>
      <w:tr w:rsidR="00E003DB" w:rsidRPr="00255135" w14:paraId="7C6F8A41" w14:textId="77777777" w:rsidTr="00255135">
        <w:trPr>
          <w:trHeight w:val="105"/>
        </w:trPr>
        <w:tc>
          <w:tcPr>
            <w:tcW w:w="5000" w:type="pct"/>
            <w:gridSpan w:val="2"/>
            <w:shd w:val="clear" w:color="auto" w:fill="1B556B"/>
            <w:vAlign w:val="center"/>
            <w:hideMark/>
          </w:tcPr>
          <w:p w14:paraId="0FE918F8" w14:textId="77777777" w:rsidR="00E003DB" w:rsidRPr="00255135" w:rsidRDefault="00E003DB" w:rsidP="00A52A00">
            <w:pPr>
              <w:spacing w:line="240" w:lineRule="auto"/>
              <w:jc w:val="left"/>
              <w:textAlignment w:val="baseline"/>
              <w:rPr>
                <w:rFonts w:cs="Calibri"/>
                <w:b/>
                <w:color w:val="FFFFFF"/>
              </w:rPr>
            </w:pPr>
            <w:r w:rsidRPr="00255135">
              <w:rPr>
                <w:rFonts w:cs="Calibri"/>
                <w:b/>
                <w:color w:val="FFFFFF"/>
              </w:rPr>
              <w:t>Summary of governance of market conduct options </w:t>
            </w:r>
          </w:p>
        </w:tc>
      </w:tr>
      <w:tr w:rsidR="00E003DB" w:rsidRPr="00255135" w14:paraId="1E8AC8B5" w14:textId="77777777" w:rsidTr="00255135">
        <w:trPr>
          <w:trHeight w:val="105"/>
        </w:trPr>
        <w:tc>
          <w:tcPr>
            <w:tcW w:w="1445" w:type="pct"/>
            <w:tcBorders>
              <w:bottom w:val="single" w:sz="4" w:space="0" w:color="FFFFFF" w:themeColor="background1"/>
            </w:tcBorders>
            <w:shd w:val="clear" w:color="auto" w:fill="D2DDE2"/>
          </w:tcPr>
          <w:p w14:paraId="5E17C73D" w14:textId="77777777" w:rsidR="00E003DB" w:rsidRPr="00255135" w:rsidRDefault="00E003DB" w:rsidP="00A52A00">
            <w:pPr>
              <w:spacing w:line="240" w:lineRule="auto"/>
              <w:ind w:firstLine="30"/>
              <w:jc w:val="left"/>
              <w:textAlignment w:val="baseline"/>
              <w:rPr>
                <w:rFonts w:cs="Calibri"/>
                <w:b/>
                <w:color w:val="1B556B"/>
              </w:rPr>
            </w:pPr>
            <w:r w:rsidRPr="00255135">
              <w:rPr>
                <w:rFonts w:cs="Calibri"/>
                <w:b/>
                <w:color w:val="1B556B"/>
              </w:rPr>
              <w:t>Status quo</w:t>
            </w:r>
          </w:p>
        </w:tc>
        <w:tc>
          <w:tcPr>
            <w:tcW w:w="3555" w:type="pct"/>
            <w:tcBorders>
              <w:bottom w:val="single" w:sz="4" w:space="0" w:color="FFFFFF" w:themeColor="background1"/>
            </w:tcBorders>
            <w:shd w:val="clear" w:color="auto" w:fill="D2DDE2"/>
          </w:tcPr>
          <w:p w14:paraId="51435117" w14:textId="77777777" w:rsidR="00E003DB" w:rsidRPr="00255135" w:rsidRDefault="00E003DB" w:rsidP="00255135">
            <w:pPr>
              <w:spacing w:line="240" w:lineRule="auto"/>
              <w:ind w:left="142"/>
              <w:jc w:val="left"/>
              <w:textAlignment w:val="baseline"/>
              <w:rPr>
                <w:rFonts w:cs="Calibri"/>
                <w:color w:val="1B556B"/>
              </w:rPr>
            </w:pPr>
            <w:r w:rsidRPr="00255135">
              <w:rPr>
                <w:rFonts w:cs="Calibri"/>
                <w:color w:val="1B556B"/>
              </w:rPr>
              <w:t>No new tools to address governance of market conduct risks.</w:t>
            </w:r>
          </w:p>
        </w:tc>
      </w:tr>
      <w:tr w:rsidR="00E003DB" w:rsidRPr="00255135" w14:paraId="767CC38C" w14:textId="77777777" w:rsidTr="00255135">
        <w:trPr>
          <w:trHeight w:val="105"/>
        </w:trPr>
        <w:tc>
          <w:tcPr>
            <w:tcW w:w="1445" w:type="pct"/>
            <w:tcBorders>
              <w:top w:val="single" w:sz="4" w:space="0" w:color="FFFFFF" w:themeColor="background1"/>
              <w:bottom w:val="single" w:sz="4" w:space="0" w:color="FFFFFF" w:themeColor="background1"/>
            </w:tcBorders>
            <w:shd w:val="clear" w:color="auto" w:fill="D2DDE2"/>
            <w:hideMark/>
          </w:tcPr>
          <w:p w14:paraId="4D428A11" w14:textId="77777777" w:rsidR="00E003DB" w:rsidRPr="00255135" w:rsidRDefault="00E003DB" w:rsidP="00A52A00">
            <w:pPr>
              <w:spacing w:line="240" w:lineRule="auto"/>
              <w:ind w:firstLine="30"/>
              <w:jc w:val="left"/>
              <w:textAlignment w:val="baseline"/>
              <w:rPr>
                <w:rFonts w:cs="Calibri"/>
                <w:b/>
                <w:color w:val="1B556B"/>
              </w:rPr>
            </w:pPr>
            <w:r w:rsidRPr="00255135">
              <w:rPr>
                <w:rFonts w:cs="Calibri"/>
                <w:b/>
                <w:color w:val="1B556B"/>
              </w:rPr>
              <w:t>Position and purchase limits</w:t>
            </w:r>
          </w:p>
        </w:tc>
        <w:tc>
          <w:tcPr>
            <w:tcW w:w="3555" w:type="pct"/>
            <w:tcBorders>
              <w:top w:val="single" w:sz="4" w:space="0" w:color="FFFFFF" w:themeColor="background1"/>
              <w:bottom w:val="single" w:sz="4" w:space="0" w:color="FFFFFF" w:themeColor="background1"/>
            </w:tcBorders>
            <w:shd w:val="clear" w:color="auto" w:fill="D2DDE2"/>
          </w:tcPr>
          <w:p w14:paraId="0CB77E81" w14:textId="77777777" w:rsidR="00E003DB" w:rsidRPr="00255135" w:rsidRDefault="00E003DB" w:rsidP="00255135">
            <w:pPr>
              <w:spacing w:line="240" w:lineRule="auto"/>
              <w:ind w:left="142"/>
              <w:jc w:val="left"/>
              <w:textAlignment w:val="baseline"/>
              <w:rPr>
                <w:rFonts w:cs="Calibri"/>
                <w:color w:val="1B556B"/>
              </w:rPr>
            </w:pPr>
            <w:r w:rsidRPr="00255135">
              <w:rPr>
                <w:rFonts w:cs="Calibri"/>
                <w:color w:val="1B556B"/>
              </w:rPr>
              <w:t>Position limits restrict the number of NZUs an NZU market user can hold at any one time, limiting their ability to exercise market power. Similarly, purchase limits restrict the maximum number of NZUs any NZ ETS user can purchase at primary NZU auctions. Typically, NZ ETS participants with surrender obligations can purchase more units than speculative traders. </w:t>
            </w:r>
          </w:p>
        </w:tc>
      </w:tr>
      <w:tr w:rsidR="00E003DB" w:rsidRPr="00255135" w14:paraId="729EDDD7" w14:textId="77777777" w:rsidTr="00255135">
        <w:trPr>
          <w:trHeight w:val="105"/>
        </w:trPr>
        <w:tc>
          <w:tcPr>
            <w:tcW w:w="1445" w:type="pct"/>
            <w:tcBorders>
              <w:top w:val="single" w:sz="4" w:space="0" w:color="FFFFFF" w:themeColor="background1"/>
              <w:bottom w:val="single" w:sz="4" w:space="0" w:color="FFFFFF" w:themeColor="background1"/>
            </w:tcBorders>
            <w:shd w:val="clear" w:color="auto" w:fill="D2DDE2"/>
          </w:tcPr>
          <w:p w14:paraId="2B66C3E7" w14:textId="77777777" w:rsidR="00E003DB" w:rsidRPr="00255135" w:rsidRDefault="00E003DB" w:rsidP="00A52A00">
            <w:pPr>
              <w:spacing w:line="240" w:lineRule="auto"/>
              <w:ind w:firstLine="30"/>
              <w:jc w:val="left"/>
              <w:textAlignment w:val="baseline"/>
              <w:rPr>
                <w:rFonts w:cs="Calibri"/>
                <w:b/>
                <w:color w:val="1B556B"/>
              </w:rPr>
            </w:pPr>
            <w:r w:rsidRPr="00255135">
              <w:rPr>
                <w:rFonts w:cs="Calibri"/>
                <w:b/>
                <w:color w:val="1B556B"/>
              </w:rPr>
              <w:lastRenderedPageBreak/>
              <w:t xml:space="preserve">Price reporting </w:t>
            </w:r>
          </w:p>
        </w:tc>
        <w:tc>
          <w:tcPr>
            <w:tcW w:w="3555" w:type="pct"/>
            <w:tcBorders>
              <w:top w:val="single" w:sz="4" w:space="0" w:color="FFFFFF" w:themeColor="background1"/>
              <w:bottom w:val="single" w:sz="4" w:space="0" w:color="FFFFFF" w:themeColor="background1"/>
            </w:tcBorders>
            <w:shd w:val="clear" w:color="auto" w:fill="D2DDE2"/>
          </w:tcPr>
          <w:p w14:paraId="20763A14" w14:textId="77777777" w:rsidR="00E003DB" w:rsidRPr="00255135" w:rsidRDefault="00E003DB" w:rsidP="00255135">
            <w:pPr>
              <w:spacing w:line="240" w:lineRule="auto"/>
              <w:ind w:left="142"/>
              <w:jc w:val="left"/>
              <w:textAlignment w:val="baseline"/>
              <w:rPr>
                <w:rFonts w:cs="Calibri"/>
                <w:color w:val="1B556B"/>
              </w:rPr>
            </w:pPr>
            <w:r w:rsidRPr="00255135">
              <w:rPr>
                <w:rFonts w:cs="Calibri"/>
                <w:color w:val="1B556B"/>
              </w:rPr>
              <w:t>Require price disclosure to the regulator for all NZU trades, to increase transparency and protect against fraudulent activity and price manipulation. </w:t>
            </w:r>
          </w:p>
        </w:tc>
      </w:tr>
      <w:tr w:rsidR="00E003DB" w:rsidRPr="00255135" w14:paraId="7E75571B" w14:textId="77777777" w:rsidTr="00255135">
        <w:trPr>
          <w:trHeight w:val="105"/>
        </w:trPr>
        <w:tc>
          <w:tcPr>
            <w:tcW w:w="1445" w:type="pct"/>
            <w:tcBorders>
              <w:top w:val="single" w:sz="4" w:space="0" w:color="FFFFFF" w:themeColor="background1"/>
            </w:tcBorders>
            <w:shd w:val="clear" w:color="auto" w:fill="D2DDE2"/>
          </w:tcPr>
          <w:p w14:paraId="53B1735F" w14:textId="77777777" w:rsidR="00E003DB" w:rsidRPr="00255135" w:rsidRDefault="00E003DB" w:rsidP="00A52A00">
            <w:pPr>
              <w:spacing w:line="240" w:lineRule="auto"/>
              <w:ind w:firstLine="30"/>
              <w:jc w:val="left"/>
              <w:textAlignment w:val="baseline"/>
              <w:rPr>
                <w:rFonts w:cs="Calibri"/>
                <w:b/>
                <w:color w:val="1B556B"/>
              </w:rPr>
            </w:pPr>
            <w:r w:rsidRPr="00255135">
              <w:rPr>
                <w:rFonts w:cs="Calibri"/>
                <w:b/>
                <w:color w:val="1B556B"/>
              </w:rPr>
              <w:t>Full transaction detail reporting</w:t>
            </w:r>
          </w:p>
        </w:tc>
        <w:tc>
          <w:tcPr>
            <w:tcW w:w="3555" w:type="pct"/>
            <w:tcBorders>
              <w:top w:val="single" w:sz="4" w:space="0" w:color="FFFFFF" w:themeColor="background1"/>
            </w:tcBorders>
            <w:shd w:val="clear" w:color="auto" w:fill="D2DDE2"/>
          </w:tcPr>
          <w:p w14:paraId="59A3DD80" w14:textId="77777777" w:rsidR="00E003DB" w:rsidRPr="00255135" w:rsidRDefault="00E003DB" w:rsidP="00255135">
            <w:pPr>
              <w:spacing w:line="240" w:lineRule="auto"/>
              <w:ind w:left="142"/>
              <w:jc w:val="left"/>
              <w:textAlignment w:val="baseline"/>
              <w:rPr>
                <w:rFonts w:cs="Calibri"/>
                <w:color w:val="1B556B"/>
              </w:rPr>
            </w:pPr>
            <w:r w:rsidRPr="00255135">
              <w:rPr>
                <w:rFonts w:cs="Calibri"/>
                <w:color w:val="1B556B"/>
              </w:rPr>
              <w:t>Require full transaction disclosure and reporting to the regulator, to increase transparency and protect against fraudulent activity, price manipulation, money laundering and financing of terrorism. </w:t>
            </w:r>
          </w:p>
        </w:tc>
      </w:tr>
      <w:tr w:rsidR="00E003DB" w:rsidRPr="00255135" w14:paraId="4B157ED7" w14:textId="77777777" w:rsidTr="00255135">
        <w:trPr>
          <w:trHeight w:val="105"/>
        </w:trPr>
        <w:tc>
          <w:tcPr>
            <w:tcW w:w="5000" w:type="pct"/>
            <w:gridSpan w:val="2"/>
            <w:shd w:val="clear" w:color="auto" w:fill="1B556B"/>
            <w:vAlign w:val="center"/>
            <w:hideMark/>
          </w:tcPr>
          <w:p w14:paraId="769B9E51" w14:textId="77777777" w:rsidR="00E003DB" w:rsidRPr="00255135" w:rsidRDefault="00E003DB" w:rsidP="00A52A00">
            <w:pPr>
              <w:spacing w:line="240" w:lineRule="auto"/>
              <w:jc w:val="left"/>
              <w:textAlignment w:val="baseline"/>
              <w:rPr>
                <w:rFonts w:cs="Calibri"/>
                <w:b/>
                <w:color w:val="FFFFFF"/>
              </w:rPr>
            </w:pPr>
            <w:r w:rsidRPr="00255135">
              <w:rPr>
                <w:rFonts w:cs="Calibri"/>
                <w:b/>
                <w:color w:val="FFFFFF"/>
              </w:rPr>
              <w:t>Summary of options to appoint a regulator </w:t>
            </w:r>
          </w:p>
        </w:tc>
      </w:tr>
      <w:tr w:rsidR="00E003DB" w:rsidRPr="00255135" w14:paraId="302B0070" w14:textId="77777777" w:rsidTr="00255135">
        <w:trPr>
          <w:trHeight w:val="105"/>
        </w:trPr>
        <w:tc>
          <w:tcPr>
            <w:tcW w:w="1445" w:type="pct"/>
            <w:tcBorders>
              <w:bottom w:val="single" w:sz="4" w:space="0" w:color="FFFFFF" w:themeColor="background1"/>
            </w:tcBorders>
            <w:shd w:val="clear" w:color="auto" w:fill="D2DDE2"/>
          </w:tcPr>
          <w:p w14:paraId="12AFC9DC" w14:textId="77777777" w:rsidR="00E003DB" w:rsidRPr="00255135" w:rsidRDefault="00E003DB" w:rsidP="00A52A00">
            <w:pPr>
              <w:spacing w:line="240" w:lineRule="auto"/>
              <w:ind w:firstLine="30"/>
              <w:jc w:val="left"/>
              <w:textAlignment w:val="baseline"/>
              <w:rPr>
                <w:rFonts w:cs="Calibri"/>
                <w:b/>
                <w:color w:val="1B556B"/>
              </w:rPr>
            </w:pPr>
            <w:r w:rsidRPr="00255135">
              <w:rPr>
                <w:rFonts w:cs="Calibri"/>
                <w:b/>
                <w:color w:val="1B556B"/>
              </w:rPr>
              <w:t>Status quo</w:t>
            </w:r>
          </w:p>
        </w:tc>
        <w:tc>
          <w:tcPr>
            <w:tcW w:w="3555" w:type="pct"/>
            <w:tcBorders>
              <w:bottom w:val="single" w:sz="4" w:space="0" w:color="FFFFFF" w:themeColor="background1"/>
            </w:tcBorders>
            <w:shd w:val="clear" w:color="auto" w:fill="D2DDE2"/>
          </w:tcPr>
          <w:p w14:paraId="7CDFC8E5" w14:textId="77777777" w:rsidR="00E003DB" w:rsidRPr="00255135" w:rsidRDefault="00E003DB" w:rsidP="00255135">
            <w:pPr>
              <w:spacing w:line="240" w:lineRule="auto"/>
              <w:ind w:left="142"/>
              <w:jc w:val="left"/>
              <w:textAlignment w:val="baseline"/>
              <w:rPr>
                <w:rFonts w:cs="Calibri"/>
                <w:color w:val="1B556B"/>
              </w:rPr>
            </w:pPr>
            <w:r w:rsidRPr="00255135">
              <w:rPr>
                <w:rFonts w:cs="Calibri"/>
                <w:color w:val="1B556B"/>
              </w:rPr>
              <w:t>Do not appoint a regulator.</w:t>
            </w:r>
          </w:p>
        </w:tc>
      </w:tr>
      <w:tr w:rsidR="00E003DB" w:rsidRPr="00255135" w14:paraId="4865DF86" w14:textId="77777777" w:rsidTr="00255135">
        <w:trPr>
          <w:trHeight w:val="105"/>
        </w:trPr>
        <w:tc>
          <w:tcPr>
            <w:tcW w:w="1445" w:type="pct"/>
            <w:tcBorders>
              <w:top w:val="single" w:sz="4" w:space="0" w:color="FFFFFF" w:themeColor="background1"/>
              <w:bottom w:val="single" w:sz="4" w:space="0" w:color="FFFFFF" w:themeColor="background1"/>
            </w:tcBorders>
            <w:shd w:val="clear" w:color="auto" w:fill="D2DDE2"/>
            <w:hideMark/>
          </w:tcPr>
          <w:p w14:paraId="7CBC9D47" w14:textId="77777777" w:rsidR="00E003DB" w:rsidRPr="00255135" w:rsidRDefault="00E003DB" w:rsidP="00A52A00">
            <w:pPr>
              <w:spacing w:line="240" w:lineRule="auto"/>
              <w:ind w:firstLine="30"/>
              <w:jc w:val="left"/>
              <w:textAlignment w:val="baseline"/>
              <w:rPr>
                <w:rFonts w:cs="Calibri"/>
                <w:b/>
                <w:color w:val="1B556B"/>
              </w:rPr>
            </w:pPr>
            <w:r w:rsidRPr="00255135">
              <w:rPr>
                <w:rFonts w:cs="Calibri"/>
                <w:b/>
                <w:color w:val="1B556B"/>
              </w:rPr>
              <w:t xml:space="preserve">Self-regulating body </w:t>
            </w:r>
          </w:p>
        </w:tc>
        <w:tc>
          <w:tcPr>
            <w:tcW w:w="3555" w:type="pct"/>
            <w:tcBorders>
              <w:top w:val="single" w:sz="4" w:space="0" w:color="FFFFFF" w:themeColor="background1"/>
              <w:bottom w:val="single" w:sz="4" w:space="0" w:color="FFFFFF" w:themeColor="background1"/>
            </w:tcBorders>
            <w:shd w:val="clear" w:color="auto" w:fill="D2DDE2"/>
          </w:tcPr>
          <w:p w14:paraId="6AEAAFC4" w14:textId="77777777" w:rsidR="00E003DB" w:rsidRPr="00255135" w:rsidRDefault="00E003DB" w:rsidP="00255135">
            <w:pPr>
              <w:spacing w:line="240" w:lineRule="auto"/>
              <w:ind w:left="142"/>
              <w:jc w:val="left"/>
              <w:textAlignment w:val="baseline"/>
              <w:rPr>
                <w:rFonts w:cs="Calibri"/>
                <w:color w:val="1B556B"/>
              </w:rPr>
            </w:pPr>
            <w:r w:rsidRPr="00255135">
              <w:rPr>
                <w:rFonts w:cs="Calibri"/>
                <w:color w:val="1B556B"/>
              </w:rPr>
              <w:t>Establish a voluntary framework led by a self-regulating body to oversee market governance. </w:t>
            </w:r>
          </w:p>
        </w:tc>
      </w:tr>
      <w:tr w:rsidR="00E003DB" w:rsidRPr="00255135" w14:paraId="406BAE6D" w14:textId="77777777" w:rsidTr="00255135">
        <w:trPr>
          <w:trHeight w:val="105"/>
        </w:trPr>
        <w:tc>
          <w:tcPr>
            <w:tcW w:w="1445" w:type="pct"/>
            <w:tcBorders>
              <w:top w:val="single" w:sz="4" w:space="0" w:color="FFFFFF" w:themeColor="background1"/>
              <w:bottom w:val="single" w:sz="4" w:space="0" w:color="FFFFFF" w:themeColor="background1"/>
            </w:tcBorders>
            <w:shd w:val="clear" w:color="auto" w:fill="D2DDE2"/>
          </w:tcPr>
          <w:p w14:paraId="073CF21F" w14:textId="77777777" w:rsidR="00E003DB" w:rsidRPr="00255135" w:rsidRDefault="00E003DB" w:rsidP="00A52A00">
            <w:pPr>
              <w:spacing w:line="240" w:lineRule="auto"/>
              <w:ind w:firstLine="30"/>
              <w:jc w:val="left"/>
              <w:textAlignment w:val="baseline"/>
              <w:rPr>
                <w:rFonts w:cs="Calibri"/>
                <w:b/>
                <w:color w:val="1B556B"/>
              </w:rPr>
            </w:pPr>
            <w:r w:rsidRPr="00255135">
              <w:rPr>
                <w:rFonts w:cs="Calibri"/>
                <w:b/>
                <w:color w:val="1B556B"/>
              </w:rPr>
              <w:t>Advisory regulator</w:t>
            </w:r>
          </w:p>
        </w:tc>
        <w:tc>
          <w:tcPr>
            <w:tcW w:w="3555" w:type="pct"/>
            <w:tcBorders>
              <w:top w:val="single" w:sz="4" w:space="0" w:color="FFFFFF" w:themeColor="background1"/>
              <w:bottom w:val="single" w:sz="4" w:space="0" w:color="FFFFFF" w:themeColor="background1"/>
            </w:tcBorders>
            <w:shd w:val="clear" w:color="auto" w:fill="D2DDE2"/>
          </w:tcPr>
          <w:p w14:paraId="48214BF4" w14:textId="77777777" w:rsidR="00E003DB" w:rsidRPr="00255135" w:rsidRDefault="00E003DB" w:rsidP="00255135">
            <w:pPr>
              <w:spacing w:line="240" w:lineRule="auto"/>
              <w:ind w:left="142"/>
              <w:jc w:val="left"/>
              <w:textAlignment w:val="baseline"/>
              <w:rPr>
                <w:rFonts w:cs="Calibri"/>
                <w:color w:val="1B556B"/>
              </w:rPr>
            </w:pPr>
            <w:r w:rsidRPr="00255135">
              <w:rPr>
                <w:rFonts w:cs="Calibri"/>
                <w:color w:val="1B556B"/>
              </w:rPr>
              <w:t xml:space="preserve">Establish an advisory regulator to provide independent advice to the Government, without investigative or enforcement powers. </w:t>
            </w:r>
          </w:p>
        </w:tc>
      </w:tr>
      <w:tr w:rsidR="00E003DB" w:rsidRPr="00255135" w14:paraId="02BD5077" w14:textId="77777777" w:rsidTr="00255135">
        <w:trPr>
          <w:trHeight w:val="105"/>
        </w:trPr>
        <w:tc>
          <w:tcPr>
            <w:tcW w:w="1445" w:type="pct"/>
            <w:tcBorders>
              <w:top w:val="single" w:sz="4" w:space="0" w:color="FFFFFF" w:themeColor="background1"/>
              <w:bottom w:val="single" w:sz="4" w:space="0" w:color="FFFFFF" w:themeColor="background1"/>
            </w:tcBorders>
            <w:shd w:val="clear" w:color="auto" w:fill="D2DDE2"/>
          </w:tcPr>
          <w:p w14:paraId="7E0F5CD1" w14:textId="77777777" w:rsidR="00E003DB" w:rsidRPr="00255135" w:rsidRDefault="00E003DB" w:rsidP="00A52A00">
            <w:pPr>
              <w:spacing w:line="240" w:lineRule="auto"/>
              <w:ind w:firstLine="30"/>
              <w:jc w:val="left"/>
              <w:textAlignment w:val="baseline"/>
              <w:rPr>
                <w:rFonts w:cs="Calibri"/>
                <w:b/>
                <w:color w:val="1B556B"/>
              </w:rPr>
            </w:pPr>
            <w:r w:rsidRPr="00255135">
              <w:rPr>
                <w:rFonts w:cs="Calibri"/>
                <w:b/>
                <w:color w:val="1B556B"/>
              </w:rPr>
              <w:t>Market monitoring regulator</w:t>
            </w:r>
          </w:p>
        </w:tc>
        <w:tc>
          <w:tcPr>
            <w:tcW w:w="3555" w:type="pct"/>
            <w:tcBorders>
              <w:top w:val="single" w:sz="4" w:space="0" w:color="FFFFFF" w:themeColor="background1"/>
              <w:bottom w:val="single" w:sz="4" w:space="0" w:color="FFFFFF" w:themeColor="background1"/>
            </w:tcBorders>
            <w:shd w:val="clear" w:color="auto" w:fill="D2DDE2"/>
          </w:tcPr>
          <w:p w14:paraId="2E68BA3C" w14:textId="77777777" w:rsidR="00E003DB" w:rsidRPr="00255135" w:rsidRDefault="00E003DB" w:rsidP="00255135">
            <w:pPr>
              <w:spacing w:line="240" w:lineRule="auto"/>
              <w:ind w:left="142"/>
              <w:jc w:val="left"/>
              <w:textAlignment w:val="baseline"/>
              <w:rPr>
                <w:rFonts w:cs="Calibri"/>
                <w:color w:val="1B556B"/>
              </w:rPr>
            </w:pPr>
            <w:r w:rsidRPr="00255135">
              <w:rPr>
                <w:rFonts w:cs="Calibri"/>
                <w:color w:val="1B556B"/>
              </w:rPr>
              <w:t>Establish a market monitoring regulator with investigatory powers to collect information from NZU market users and monitor compliance with existing Acts and regulations. The regulator does not have enforcement powers and reports its findings to the Government. </w:t>
            </w:r>
          </w:p>
        </w:tc>
      </w:tr>
      <w:tr w:rsidR="00E003DB" w:rsidRPr="00255135" w14:paraId="3F9776A8" w14:textId="77777777" w:rsidTr="00255135">
        <w:trPr>
          <w:trHeight w:val="105"/>
        </w:trPr>
        <w:tc>
          <w:tcPr>
            <w:tcW w:w="1445" w:type="pct"/>
            <w:tcBorders>
              <w:top w:val="single" w:sz="4" w:space="0" w:color="FFFFFF" w:themeColor="background1"/>
              <w:bottom w:val="single" w:sz="4" w:space="0" w:color="FFFFFF" w:themeColor="background1"/>
            </w:tcBorders>
            <w:shd w:val="clear" w:color="auto" w:fill="D2DDE2"/>
          </w:tcPr>
          <w:p w14:paraId="33C48F57" w14:textId="77777777" w:rsidR="00E003DB" w:rsidRPr="00255135" w:rsidRDefault="00E003DB" w:rsidP="00A52A00">
            <w:pPr>
              <w:spacing w:line="240" w:lineRule="auto"/>
              <w:ind w:firstLine="30"/>
              <w:jc w:val="left"/>
              <w:textAlignment w:val="baseline"/>
              <w:rPr>
                <w:rFonts w:cs="Calibri"/>
                <w:b/>
                <w:color w:val="1B556B"/>
              </w:rPr>
            </w:pPr>
            <w:r w:rsidRPr="00255135">
              <w:rPr>
                <w:rFonts w:cs="Calibri"/>
                <w:b/>
                <w:color w:val="1B556B"/>
              </w:rPr>
              <w:t>Market compliance regulator</w:t>
            </w:r>
          </w:p>
        </w:tc>
        <w:tc>
          <w:tcPr>
            <w:tcW w:w="3555" w:type="pct"/>
            <w:tcBorders>
              <w:top w:val="single" w:sz="4" w:space="0" w:color="FFFFFF" w:themeColor="background1"/>
              <w:bottom w:val="single" w:sz="4" w:space="0" w:color="FFFFFF" w:themeColor="background1"/>
            </w:tcBorders>
            <w:shd w:val="clear" w:color="auto" w:fill="D2DDE2"/>
          </w:tcPr>
          <w:p w14:paraId="16BBD999" w14:textId="77777777" w:rsidR="00E003DB" w:rsidRPr="00255135" w:rsidRDefault="00E003DB" w:rsidP="00255135">
            <w:pPr>
              <w:spacing w:line="240" w:lineRule="auto"/>
              <w:ind w:left="142"/>
              <w:jc w:val="left"/>
              <w:textAlignment w:val="baseline"/>
              <w:rPr>
                <w:rFonts w:cs="Calibri"/>
                <w:color w:val="1B556B"/>
              </w:rPr>
            </w:pPr>
            <w:r w:rsidRPr="00255135">
              <w:rPr>
                <w:rFonts w:cs="Calibri"/>
                <w:color w:val="1B556B"/>
              </w:rPr>
              <w:t xml:space="preserve">Establish a market compliance regulator with investigatory powers to collect information from NZU market users, monitor compliance with existing Acts and regulations, and enforce compliance. </w:t>
            </w:r>
          </w:p>
        </w:tc>
      </w:tr>
      <w:tr w:rsidR="00E003DB" w:rsidRPr="00255135" w14:paraId="051DC385" w14:textId="77777777" w:rsidTr="00255135">
        <w:trPr>
          <w:trHeight w:val="105"/>
        </w:trPr>
        <w:tc>
          <w:tcPr>
            <w:tcW w:w="1445" w:type="pct"/>
            <w:tcBorders>
              <w:top w:val="single" w:sz="4" w:space="0" w:color="FFFFFF" w:themeColor="background1"/>
            </w:tcBorders>
            <w:shd w:val="clear" w:color="auto" w:fill="D2DDE2"/>
          </w:tcPr>
          <w:p w14:paraId="30AFEE16" w14:textId="77777777" w:rsidR="00E003DB" w:rsidRPr="00255135" w:rsidRDefault="00E003DB" w:rsidP="00A52A00">
            <w:pPr>
              <w:spacing w:line="240" w:lineRule="auto"/>
              <w:ind w:firstLine="30"/>
              <w:jc w:val="left"/>
              <w:textAlignment w:val="baseline"/>
              <w:rPr>
                <w:rFonts w:cs="Calibri"/>
                <w:b/>
                <w:color w:val="1B556B"/>
              </w:rPr>
            </w:pPr>
            <w:r w:rsidRPr="00255135">
              <w:rPr>
                <w:rFonts w:cs="Calibri"/>
                <w:b/>
                <w:color w:val="1B556B"/>
              </w:rPr>
              <w:t>Market design regulator</w:t>
            </w:r>
          </w:p>
        </w:tc>
        <w:tc>
          <w:tcPr>
            <w:tcW w:w="3555" w:type="pct"/>
            <w:tcBorders>
              <w:top w:val="single" w:sz="4" w:space="0" w:color="FFFFFF" w:themeColor="background1"/>
            </w:tcBorders>
            <w:shd w:val="clear" w:color="auto" w:fill="D2DDE2"/>
          </w:tcPr>
          <w:p w14:paraId="684DA0C6" w14:textId="0D23862D" w:rsidR="00E003DB" w:rsidRPr="00255135" w:rsidRDefault="00E003DB" w:rsidP="00255135">
            <w:pPr>
              <w:spacing w:line="240" w:lineRule="auto"/>
              <w:ind w:left="142"/>
              <w:jc w:val="left"/>
              <w:textAlignment w:val="baseline"/>
              <w:rPr>
                <w:rFonts w:cs="Calibri"/>
                <w:color w:val="1B556B"/>
              </w:rPr>
            </w:pPr>
            <w:r w:rsidRPr="00255135">
              <w:rPr>
                <w:rFonts w:cs="Calibri"/>
                <w:color w:val="1B556B"/>
              </w:rPr>
              <w:t xml:space="preserve">Establish a market design regulator with the power to design and administer an industry participation code </w:t>
            </w:r>
            <w:r w:rsidR="00224BE0">
              <w:rPr>
                <w:rFonts w:cs="Calibri"/>
                <w:color w:val="1B556B"/>
              </w:rPr>
              <w:t>that</w:t>
            </w:r>
            <w:r w:rsidR="00224BE0" w:rsidRPr="00255135">
              <w:rPr>
                <w:rFonts w:cs="Calibri"/>
                <w:color w:val="1B556B"/>
              </w:rPr>
              <w:t xml:space="preserve"> </w:t>
            </w:r>
            <w:r w:rsidRPr="00255135">
              <w:rPr>
                <w:rFonts w:cs="Calibri"/>
                <w:color w:val="1B556B"/>
              </w:rPr>
              <w:t>defines the obligations of industry participants. The regulator may also amend and update the participation code to ensure the governance framework remains fit for purpose. </w:t>
            </w:r>
          </w:p>
        </w:tc>
      </w:tr>
    </w:tbl>
    <w:p w14:paraId="61E274E5" w14:textId="77777777" w:rsidR="00E003DB" w:rsidRPr="00747EF6" w:rsidRDefault="00E003DB" w:rsidP="00E003DB">
      <w:pPr>
        <w:pStyle w:val="BodyText"/>
      </w:pPr>
    </w:p>
    <w:p w14:paraId="47AB5C25" w14:textId="77777777" w:rsidR="00A52A00" w:rsidRDefault="00D10DE4" w:rsidP="00D10DE4">
      <w:pPr>
        <w:spacing w:before="0" w:after="160" w:line="259" w:lineRule="auto"/>
        <w:jc w:val="left"/>
        <w:sectPr w:rsidR="00A52A00" w:rsidSect="008A7498">
          <w:pgSz w:w="11907" w:h="16840" w:code="9"/>
          <w:pgMar w:top="1134" w:right="1701" w:bottom="1134" w:left="1701" w:header="567" w:footer="567" w:gutter="0"/>
          <w:cols w:space="720"/>
          <w:docGrid w:linePitch="299"/>
        </w:sectPr>
      </w:pPr>
      <w:r w:rsidRPr="00747EF6">
        <w:br w:type="page"/>
      </w:r>
    </w:p>
    <w:p w14:paraId="13FAC0F3" w14:textId="77777777" w:rsidR="00255135" w:rsidRDefault="00255135" w:rsidP="00255135">
      <w:pPr>
        <w:pStyle w:val="Heading1"/>
      </w:pPr>
      <w:bookmarkStart w:id="184" w:name="_Toc118703560"/>
      <w:bookmarkStart w:id="185" w:name="_Toc118953613"/>
      <w:r w:rsidRPr="00747EF6">
        <w:lastRenderedPageBreak/>
        <w:t xml:space="preserve">Appendix B: Topic 1 </w:t>
      </w:r>
      <w:r>
        <w:t>o</w:t>
      </w:r>
      <w:r w:rsidRPr="00747EF6">
        <w:t>ption</w:t>
      </w:r>
      <w:r>
        <w:t>s</w:t>
      </w:r>
      <w:r w:rsidRPr="00747EF6">
        <w:t xml:space="preserve"> and </w:t>
      </w:r>
      <w:bookmarkEnd w:id="184"/>
      <w:r>
        <w:t>r</w:t>
      </w:r>
      <w:r w:rsidRPr="00747EF6">
        <w:t xml:space="preserve">isk </w:t>
      </w:r>
      <w:r>
        <w:t>a</w:t>
      </w:r>
      <w:r w:rsidRPr="00747EF6">
        <w:t>nalysis</w:t>
      </w:r>
      <w:bookmarkEnd w:id="185"/>
    </w:p>
    <w:p w14:paraId="1FAC9EEB" w14:textId="4885148D" w:rsidR="005A01AF" w:rsidRPr="00747EF6" w:rsidRDefault="005A01AF" w:rsidP="005A01AF">
      <w:pPr>
        <w:pStyle w:val="BodyText"/>
      </w:pPr>
      <w:r w:rsidRPr="00747EF6">
        <w:t>Options are assessed for how well they perform for each criterion, against the status quo.</w:t>
      </w:r>
      <w:r w:rsidR="00534624">
        <w:t xml:space="preserve"> Table 16 </w:t>
      </w:r>
      <w:r>
        <w:t xml:space="preserve">provides a key of symbols representing the </w:t>
      </w:r>
      <w:r w:rsidRPr="00747EF6">
        <w:t>results of the assessment</w:t>
      </w:r>
      <w:r>
        <w:t>.</w:t>
      </w:r>
      <w:r w:rsidRPr="00747EF6">
        <w:t xml:space="preserve"> </w:t>
      </w:r>
    </w:p>
    <w:p w14:paraId="3C59683A" w14:textId="7762F1F9" w:rsidR="005A01AF" w:rsidRDefault="005A01AF" w:rsidP="005A01AF">
      <w:pPr>
        <w:pStyle w:val="Tableheading"/>
      </w:pPr>
      <w:r>
        <w:t xml:space="preserve">Table </w:t>
      </w:r>
      <w:fldSimple w:instr=" SEQ Table \* ARABIC ">
        <w:r w:rsidR="00534624">
          <w:rPr>
            <w:noProof/>
          </w:rPr>
          <w:t>16</w:t>
        </w:r>
      </w:fldSimple>
      <w:r>
        <w:t xml:space="preserve">: </w:t>
      </w:r>
      <w:r>
        <w:tab/>
        <w:t>Key to criteria analysis assessment</w:t>
      </w:r>
    </w:p>
    <w:tbl>
      <w:tblPr>
        <w:tblStyle w:val="TableGrid"/>
        <w:tblW w:w="0" w:type="auto"/>
        <w:jc w:val="center"/>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CellMar>
          <w:top w:w="57" w:type="dxa"/>
          <w:left w:w="57" w:type="dxa"/>
          <w:bottom w:w="57" w:type="dxa"/>
          <w:right w:w="57" w:type="dxa"/>
        </w:tblCellMar>
        <w:tblLook w:val="04A0" w:firstRow="1" w:lastRow="0" w:firstColumn="1" w:lastColumn="0" w:noHBand="0" w:noVBand="1"/>
      </w:tblPr>
      <w:tblGrid>
        <w:gridCol w:w="1006"/>
        <w:gridCol w:w="7513"/>
      </w:tblGrid>
      <w:tr w:rsidR="005A01AF" w:rsidRPr="00D10DE4" w14:paraId="1EF2171B" w14:textId="77777777" w:rsidTr="00265198">
        <w:trPr>
          <w:trHeight w:hRule="exact" w:val="340"/>
          <w:jc w:val="center"/>
        </w:trPr>
        <w:tc>
          <w:tcPr>
            <w:tcW w:w="1006" w:type="dxa"/>
            <w:shd w:val="clear" w:color="auto" w:fill="1C556C"/>
            <w:tcMar>
              <w:top w:w="57" w:type="dxa"/>
              <w:left w:w="57" w:type="dxa"/>
              <w:right w:w="57" w:type="dxa"/>
            </w:tcMar>
          </w:tcPr>
          <w:p w14:paraId="4D003E27" w14:textId="77777777" w:rsidR="005A01AF" w:rsidRPr="00D10DE4" w:rsidRDefault="005A01AF" w:rsidP="00265198">
            <w:pPr>
              <w:pStyle w:val="TableText"/>
              <w:spacing w:before="40" w:after="40" w:line="240" w:lineRule="auto"/>
              <w:rPr>
                <w:b/>
                <w:bCs/>
                <w:color w:val="FFFFFF" w:themeColor="background1"/>
              </w:rPr>
            </w:pPr>
            <w:r w:rsidRPr="00D10DE4">
              <w:rPr>
                <w:b/>
                <w:bCs/>
                <w:color w:val="FFFFFF" w:themeColor="background1"/>
              </w:rPr>
              <w:t>Symbol</w:t>
            </w:r>
          </w:p>
        </w:tc>
        <w:tc>
          <w:tcPr>
            <w:tcW w:w="7513" w:type="dxa"/>
            <w:shd w:val="clear" w:color="auto" w:fill="1C556C"/>
            <w:tcMar>
              <w:top w:w="57" w:type="dxa"/>
              <w:left w:w="57" w:type="dxa"/>
              <w:right w:w="57" w:type="dxa"/>
            </w:tcMar>
          </w:tcPr>
          <w:p w14:paraId="1D5D4A24" w14:textId="77777777" w:rsidR="005A01AF" w:rsidRPr="00D10DE4" w:rsidRDefault="005A01AF" w:rsidP="00265198">
            <w:pPr>
              <w:pStyle w:val="TableText"/>
              <w:spacing w:before="40" w:after="40" w:line="240" w:lineRule="auto"/>
              <w:rPr>
                <w:b/>
                <w:bCs/>
                <w:color w:val="FFFFFF" w:themeColor="background1"/>
              </w:rPr>
            </w:pPr>
            <w:r w:rsidRPr="00D10DE4">
              <w:rPr>
                <w:b/>
                <w:bCs/>
                <w:color w:val="FFFFFF" w:themeColor="background1"/>
              </w:rPr>
              <w:t>Meaning</w:t>
            </w:r>
          </w:p>
        </w:tc>
      </w:tr>
      <w:tr w:rsidR="005A01AF" w:rsidRPr="00747EF6" w14:paraId="10436DA1" w14:textId="77777777" w:rsidTr="00683EFA">
        <w:trPr>
          <w:trHeight w:hRule="exact" w:val="340"/>
          <w:jc w:val="center"/>
        </w:trPr>
        <w:tc>
          <w:tcPr>
            <w:tcW w:w="1006" w:type="dxa"/>
            <w:shd w:val="clear" w:color="auto" w:fill="FFFFFF" w:themeFill="background1"/>
            <w:tcMar>
              <w:top w:w="57" w:type="dxa"/>
              <w:left w:w="57" w:type="dxa"/>
              <w:right w:w="57" w:type="dxa"/>
            </w:tcMar>
            <w:vAlign w:val="center"/>
          </w:tcPr>
          <w:p w14:paraId="486D19FC" w14:textId="77777777" w:rsidR="005A01AF" w:rsidRPr="005A0E86" w:rsidRDefault="005A01AF" w:rsidP="00265198">
            <w:pPr>
              <w:pStyle w:val="TableText0"/>
              <w:spacing w:before="40" w:after="40" w:line="240" w:lineRule="auto"/>
              <w:jc w:val="center"/>
              <w:rPr>
                <w:rFonts w:ascii="Segoe UI" w:hAnsi="Segoe UI" w:cs="Segoe UI"/>
                <w:b/>
                <w:bCs/>
                <w:color w:val="00B050"/>
                <w:lang w:val="en-NZ" w:eastAsia="en-GB"/>
              </w:rPr>
            </w:pPr>
            <w:r w:rsidRPr="005A0E86">
              <w:rPr>
                <w:rStyle w:val="cf01"/>
                <w:rFonts w:eastAsia="Cambria Math"/>
                <w:b/>
                <w:bCs/>
                <w:color w:val="00B050"/>
                <w:sz w:val="20"/>
                <w:szCs w:val="20"/>
                <w:lang w:val="en-NZ"/>
              </w:rPr>
              <w:t>++</w:t>
            </w:r>
          </w:p>
        </w:tc>
        <w:tc>
          <w:tcPr>
            <w:tcW w:w="7513" w:type="dxa"/>
            <w:tcMar>
              <w:top w:w="57" w:type="dxa"/>
              <w:left w:w="57" w:type="dxa"/>
              <w:right w:w="57" w:type="dxa"/>
            </w:tcMar>
          </w:tcPr>
          <w:p w14:paraId="1C8AB4B6" w14:textId="77777777" w:rsidR="005A01AF" w:rsidRPr="00747EF6" w:rsidRDefault="005A01AF" w:rsidP="00265198">
            <w:pPr>
              <w:pStyle w:val="TableText"/>
              <w:spacing w:before="40" w:after="40" w:line="240" w:lineRule="auto"/>
            </w:pPr>
            <w:r w:rsidRPr="00747EF6">
              <w:rPr>
                <w:rStyle w:val="cf11"/>
              </w:rPr>
              <w:t>much better than doing nothing/the status quo/counterfactual</w:t>
            </w:r>
          </w:p>
        </w:tc>
      </w:tr>
      <w:tr w:rsidR="005A01AF" w:rsidRPr="00747EF6" w14:paraId="4EAFDAF6" w14:textId="77777777" w:rsidTr="00683EFA">
        <w:trPr>
          <w:trHeight w:hRule="exact" w:val="340"/>
          <w:jc w:val="center"/>
        </w:trPr>
        <w:tc>
          <w:tcPr>
            <w:tcW w:w="1006" w:type="dxa"/>
            <w:shd w:val="clear" w:color="auto" w:fill="FFFFFF" w:themeFill="background1"/>
            <w:tcMar>
              <w:top w:w="57" w:type="dxa"/>
              <w:left w:w="57" w:type="dxa"/>
              <w:right w:w="57" w:type="dxa"/>
            </w:tcMar>
            <w:vAlign w:val="center"/>
          </w:tcPr>
          <w:p w14:paraId="05D18638" w14:textId="77777777" w:rsidR="005A01AF" w:rsidRPr="005A0E86" w:rsidRDefault="005A01AF" w:rsidP="00265198">
            <w:pPr>
              <w:pStyle w:val="TableText0"/>
              <w:spacing w:before="40" w:after="40" w:line="240" w:lineRule="auto"/>
              <w:jc w:val="center"/>
              <w:rPr>
                <w:b/>
                <w:bCs/>
                <w:color w:val="00B050"/>
                <w:lang w:val="en-NZ"/>
              </w:rPr>
            </w:pPr>
            <w:r w:rsidRPr="005A0E86">
              <w:rPr>
                <w:rStyle w:val="cf01"/>
                <w:rFonts w:eastAsia="Cambria Math"/>
                <w:b/>
                <w:bCs/>
                <w:color w:val="00B050"/>
                <w:sz w:val="20"/>
                <w:szCs w:val="20"/>
                <w:lang w:val="en-NZ"/>
              </w:rPr>
              <w:t>+</w:t>
            </w:r>
          </w:p>
        </w:tc>
        <w:tc>
          <w:tcPr>
            <w:tcW w:w="7513" w:type="dxa"/>
            <w:tcMar>
              <w:top w:w="57" w:type="dxa"/>
              <w:left w:w="57" w:type="dxa"/>
              <w:right w:w="57" w:type="dxa"/>
            </w:tcMar>
          </w:tcPr>
          <w:p w14:paraId="5216C5D2" w14:textId="77777777" w:rsidR="005A01AF" w:rsidRPr="00747EF6" w:rsidRDefault="005A01AF" w:rsidP="00265198">
            <w:pPr>
              <w:pStyle w:val="TableText"/>
              <w:spacing w:before="40" w:after="40" w:line="240" w:lineRule="auto"/>
            </w:pPr>
            <w:r w:rsidRPr="00747EF6">
              <w:rPr>
                <w:rStyle w:val="cf11"/>
              </w:rPr>
              <w:t>better than doing nothing/the status quo/counterfactual</w:t>
            </w:r>
          </w:p>
        </w:tc>
      </w:tr>
      <w:tr w:rsidR="005A01AF" w:rsidRPr="00747EF6" w14:paraId="21C34D25" w14:textId="77777777" w:rsidTr="00683EFA">
        <w:trPr>
          <w:trHeight w:hRule="exact" w:val="340"/>
          <w:jc w:val="center"/>
        </w:trPr>
        <w:tc>
          <w:tcPr>
            <w:tcW w:w="1006" w:type="dxa"/>
            <w:shd w:val="clear" w:color="auto" w:fill="FFFFFF" w:themeFill="background1"/>
            <w:tcMar>
              <w:top w:w="57" w:type="dxa"/>
              <w:left w:w="57" w:type="dxa"/>
              <w:right w:w="57" w:type="dxa"/>
            </w:tcMar>
            <w:vAlign w:val="center"/>
          </w:tcPr>
          <w:p w14:paraId="4B6FE8C2" w14:textId="77777777" w:rsidR="005A01AF" w:rsidRPr="005A0E86" w:rsidRDefault="005A01AF" w:rsidP="00265198">
            <w:pPr>
              <w:pStyle w:val="Numberedparagraph"/>
              <w:numPr>
                <w:ilvl w:val="0"/>
                <w:numId w:val="0"/>
              </w:numPr>
              <w:spacing w:before="40" w:after="40" w:line="240" w:lineRule="auto"/>
              <w:jc w:val="center"/>
              <w:rPr>
                <w:b/>
                <w:bCs/>
              </w:rPr>
            </w:pPr>
            <w:r w:rsidRPr="005A0E86">
              <w:rPr>
                <w:rStyle w:val="cf11"/>
                <w:b/>
                <w:bCs/>
                <w:sz w:val="20"/>
                <w:szCs w:val="20"/>
              </w:rPr>
              <w:t>0</w:t>
            </w:r>
          </w:p>
        </w:tc>
        <w:tc>
          <w:tcPr>
            <w:tcW w:w="7513" w:type="dxa"/>
            <w:tcMar>
              <w:top w:w="57" w:type="dxa"/>
              <w:left w:w="57" w:type="dxa"/>
              <w:right w:w="57" w:type="dxa"/>
            </w:tcMar>
          </w:tcPr>
          <w:p w14:paraId="1F4128B4" w14:textId="77777777" w:rsidR="005A01AF" w:rsidRPr="00747EF6" w:rsidRDefault="005A01AF" w:rsidP="00265198">
            <w:pPr>
              <w:pStyle w:val="TableText"/>
              <w:spacing w:before="40" w:after="40" w:line="240" w:lineRule="auto"/>
            </w:pPr>
            <w:r w:rsidRPr="00747EF6">
              <w:rPr>
                <w:rStyle w:val="cf11"/>
              </w:rPr>
              <w:t>about the same as doing nothing/the status quo/counterfactual</w:t>
            </w:r>
          </w:p>
        </w:tc>
      </w:tr>
      <w:tr w:rsidR="005A01AF" w:rsidRPr="00747EF6" w14:paraId="27DA35A2" w14:textId="77777777" w:rsidTr="00683EFA">
        <w:trPr>
          <w:trHeight w:hRule="exact" w:val="340"/>
          <w:jc w:val="center"/>
        </w:trPr>
        <w:tc>
          <w:tcPr>
            <w:tcW w:w="1006" w:type="dxa"/>
            <w:shd w:val="clear" w:color="auto" w:fill="FFFFFF" w:themeFill="background1"/>
            <w:tcMar>
              <w:top w:w="57" w:type="dxa"/>
              <w:left w:w="57" w:type="dxa"/>
              <w:right w:w="57" w:type="dxa"/>
            </w:tcMar>
            <w:vAlign w:val="center"/>
          </w:tcPr>
          <w:p w14:paraId="5C73506B" w14:textId="77777777" w:rsidR="005A01AF" w:rsidRPr="005A0E86" w:rsidRDefault="005A01AF" w:rsidP="00265198">
            <w:pPr>
              <w:pStyle w:val="TableText0"/>
              <w:spacing w:before="40" w:after="40" w:line="240" w:lineRule="auto"/>
              <w:jc w:val="center"/>
              <w:rPr>
                <w:bCs/>
                <w:lang w:val="en-NZ"/>
              </w:rPr>
            </w:pPr>
            <w:r w:rsidRPr="005A0E86">
              <w:rPr>
                <w:rStyle w:val="cf31"/>
                <w:sz w:val="20"/>
                <w:szCs w:val="20"/>
                <w:lang w:val="en-NZ"/>
              </w:rPr>
              <w:t>-</w:t>
            </w:r>
          </w:p>
        </w:tc>
        <w:tc>
          <w:tcPr>
            <w:tcW w:w="7513" w:type="dxa"/>
            <w:tcMar>
              <w:top w:w="57" w:type="dxa"/>
              <w:left w:w="57" w:type="dxa"/>
              <w:right w:w="57" w:type="dxa"/>
            </w:tcMar>
          </w:tcPr>
          <w:p w14:paraId="4EE0F9C1" w14:textId="77777777" w:rsidR="005A01AF" w:rsidRPr="00747EF6" w:rsidRDefault="005A01AF" w:rsidP="00265198">
            <w:pPr>
              <w:pStyle w:val="TableText"/>
              <w:spacing w:before="40" w:after="40" w:line="240" w:lineRule="auto"/>
            </w:pPr>
            <w:r w:rsidRPr="00747EF6">
              <w:rPr>
                <w:rStyle w:val="cf11"/>
              </w:rPr>
              <w:t>worse than doing nothing/the status quo/counterfactual</w:t>
            </w:r>
          </w:p>
        </w:tc>
      </w:tr>
      <w:tr w:rsidR="005A01AF" w:rsidRPr="00747EF6" w14:paraId="3870C41F" w14:textId="77777777" w:rsidTr="00683EFA">
        <w:trPr>
          <w:trHeight w:hRule="exact" w:val="340"/>
          <w:jc w:val="center"/>
        </w:trPr>
        <w:tc>
          <w:tcPr>
            <w:tcW w:w="1006" w:type="dxa"/>
            <w:shd w:val="clear" w:color="auto" w:fill="FFFFFF" w:themeFill="background1"/>
            <w:tcMar>
              <w:top w:w="57" w:type="dxa"/>
              <w:left w:w="57" w:type="dxa"/>
              <w:right w:w="57" w:type="dxa"/>
            </w:tcMar>
            <w:vAlign w:val="center"/>
          </w:tcPr>
          <w:p w14:paraId="79485D7E" w14:textId="77777777" w:rsidR="005A01AF" w:rsidRPr="005A0E86" w:rsidRDefault="005A01AF" w:rsidP="00265198">
            <w:pPr>
              <w:pStyle w:val="TableText0"/>
              <w:spacing w:before="40" w:after="40" w:line="240" w:lineRule="auto"/>
              <w:jc w:val="center"/>
              <w:rPr>
                <w:bCs/>
                <w:lang w:val="en-NZ"/>
              </w:rPr>
            </w:pPr>
            <w:r w:rsidRPr="005A0E86">
              <w:rPr>
                <w:rStyle w:val="cf31"/>
                <w:sz w:val="20"/>
                <w:szCs w:val="20"/>
                <w:lang w:val="en-NZ"/>
              </w:rPr>
              <w:t>- -</w:t>
            </w:r>
          </w:p>
        </w:tc>
        <w:tc>
          <w:tcPr>
            <w:tcW w:w="7513" w:type="dxa"/>
            <w:tcMar>
              <w:top w:w="57" w:type="dxa"/>
              <w:left w:w="57" w:type="dxa"/>
              <w:right w:w="57" w:type="dxa"/>
            </w:tcMar>
          </w:tcPr>
          <w:p w14:paraId="68379C36" w14:textId="77777777" w:rsidR="005A01AF" w:rsidRPr="00747EF6" w:rsidRDefault="005A01AF" w:rsidP="00265198">
            <w:pPr>
              <w:pStyle w:val="TableText"/>
              <w:spacing w:before="40" w:after="40" w:line="240" w:lineRule="auto"/>
            </w:pPr>
            <w:r w:rsidRPr="00747EF6">
              <w:rPr>
                <w:rStyle w:val="cf11"/>
              </w:rPr>
              <w:t>much worse than doing nothing/the status quo/counterfactual</w:t>
            </w:r>
          </w:p>
        </w:tc>
      </w:tr>
    </w:tbl>
    <w:p w14:paraId="1CC6A1B2" w14:textId="77777777" w:rsidR="00265198" w:rsidRDefault="00265198" w:rsidP="00255135">
      <w:pPr>
        <w:pStyle w:val="Heading3"/>
      </w:pPr>
    </w:p>
    <w:p w14:paraId="312E892D" w14:textId="77777777" w:rsidR="00265198" w:rsidRDefault="00265198">
      <w:pPr>
        <w:spacing w:before="0" w:after="200" w:line="276" w:lineRule="auto"/>
        <w:jc w:val="left"/>
        <w:rPr>
          <w:rFonts w:ascii="Georgia" w:eastAsiaTheme="majorEastAsia" w:hAnsi="Georgia" w:cstheme="majorBidi"/>
          <w:b/>
          <w:bCs/>
          <w:sz w:val="28"/>
        </w:rPr>
      </w:pPr>
      <w:r>
        <w:br w:type="page"/>
      </w:r>
    </w:p>
    <w:p w14:paraId="5706DA3D" w14:textId="77777777" w:rsidR="00255135" w:rsidRDefault="00255135" w:rsidP="00255135">
      <w:pPr>
        <w:pStyle w:val="Heading3"/>
      </w:pPr>
      <w:bookmarkStart w:id="186" w:name="_Ref116482979"/>
      <w:r w:rsidRPr="00747EF6">
        <w:lastRenderedPageBreak/>
        <w:t xml:space="preserve">Options </w:t>
      </w:r>
      <w:r>
        <w:t>a</w:t>
      </w:r>
      <w:r w:rsidRPr="00747EF6">
        <w:t>nalysis</w:t>
      </w:r>
    </w:p>
    <w:p w14:paraId="3CEF45CE" w14:textId="2151CA7E" w:rsidR="00255135" w:rsidRPr="000E173D" w:rsidRDefault="00534624" w:rsidP="00255135">
      <w:pPr>
        <w:pStyle w:val="BodyText"/>
      </w:pPr>
      <w:r>
        <w:t xml:space="preserve">Table 17 </w:t>
      </w:r>
      <w:r w:rsidR="00255135">
        <w:t>below provides the impact analysis of the topic 1 options.</w:t>
      </w:r>
    </w:p>
    <w:p w14:paraId="4255BC0A" w14:textId="59D2015D" w:rsidR="00255135" w:rsidRDefault="00255135" w:rsidP="00255135">
      <w:pPr>
        <w:pStyle w:val="Tableheading"/>
      </w:pPr>
      <w:bookmarkStart w:id="187" w:name="_Toc118953834"/>
      <w:bookmarkEnd w:id="186"/>
      <w:r w:rsidDel="00E91C6C">
        <w:t>Table</w:t>
      </w:r>
      <w:r w:rsidR="0065227C">
        <w:t xml:space="preserve"> 1</w:t>
      </w:r>
      <w:r w:rsidR="00534624">
        <w:t>7</w:t>
      </w:r>
      <w:r>
        <w:t xml:space="preserve">: </w:t>
      </w:r>
      <w:r>
        <w:tab/>
        <w:t>Impact analysis for insider trading and market manipulation</w:t>
      </w:r>
      <w:bookmarkEnd w:id="187"/>
    </w:p>
    <w:tbl>
      <w:tblPr>
        <w:tblW w:w="4963" w:type="pct"/>
        <w:tblInd w:w="108"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529"/>
        <w:gridCol w:w="1469"/>
        <w:gridCol w:w="6067"/>
        <w:gridCol w:w="5393"/>
      </w:tblGrid>
      <w:tr w:rsidR="00255135" w:rsidRPr="009A3E08" w14:paraId="3D0B8F15" w14:textId="77777777" w:rsidTr="00022AC2">
        <w:trPr>
          <w:trHeight w:val="1001"/>
          <w:tblHeader/>
        </w:trPr>
        <w:tc>
          <w:tcPr>
            <w:tcW w:w="529" w:type="pct"/>
            <w:shd w:val="clear" w:color="auto" w:fill="1B556B"/>
            <w:vAlign w:val="center"/>
          </w:tcPr>
          <w:p w14:paraId="6E1B9B0E" w14:textId="77777777" w:rsidR="00255135" w:rsidRPr="00E112B9" w:rsidRDefault="00255135" w:rsidP="00006371">
            <w:pPr>
              <w:pStyle w:val="TableText"/>
              <w:rPr>
                <w:color w:val="FFFFFF" w:themeColor="background1"/>
                <w:szCs w:val="18"/>
              </w:rPr>
            </w:pPr>
          </w:p>
        </w:tc>
        <w:tc>
          <w:tcPr>
            <w:tcW w:w="508" w:type="pct"/>
            <w:shd w:val="clear" w:color="auto" w:fill="1B556B"/>
            <w:vAlign w:val="center"/>
          </w:tcPr>
          <w:p w14:paraId="3418569B" w14:textId="77777777" w:rsidR="00255135" w:rsidRPr="00E112B9" w:rsidRDefault="00255135" w:rsidP="00255135">
            <w:pPr>
              <w:pStyle w:val="TableText"/>
              <w:jc w:val="center"/>
              <w:rPr>
                <w:b/>
                <w:color w:val="FFFFFF" w:themeColor="background1"/>
                <w:szCs w:val="18"/>
              </w:rPr>
            </w:pPr>
            <w:r w:rsidRPr="00E112B9">
              <w:rPr>
                <w:b/>
                <w:color w:val="FFFFFF" w:themeColor="background1"/>
                <w:szCs w:val="18"/>
              </w:rPr>
              <w:t>Option one (status quo):</w:t>
            </w:r>
            <w:r w:rsidRPr="00E112B9">
              <w:rPr>
                <w:color w:val="FFFFFF" w:themeColor="background1"/>
                <w:szCs w:val="18"/>
              </w:rPr>
              <w:t xml:space="preserve"> Crimes Act 1961</w:t>
            </w:r>
          </w:p>
        </w:tc>
        <w:tc>
          <w:tcPr>
            <w:tcW w:w="2098" w:type="pct"/>
            <w:shd w:val="clear" w:color="auto" w:fill="1B556B"/>
            <w:vAlign w:val="center"/>
          </w:tcPr>
          <w:p w14:paraId="24BF4F27" w14:textId="77777777" w:rsidR="00255135" w:rsidRPr="00E112B9" w:rsidRDefault="00255135" w:rsidP="00255135">
            <w:pPr>
              <w:pStyle w:val="TableText"/>
              <w:jc w:val="center"/>
              <w:rPr>
                <w:color w:val="FFFFFF" w:themeColor="background1"/>
                <w:szCs w:val="18"/>
              </w:rPr>
            </w:pPr>
            <w:r w:rsidRPr="00E112B9">
              <w:rPr>
                <w:b/>
                <w:color w:val="FFFFFF" w:themeColor="background1"/>
                <w:szCs w:val="18"/>
              </w:rPr>
              <w:t>Option two:</w:t>
            </w:r>
            <w:r>
              <w:rPr>
                <w:b/>
                <w:color w:val="FFFFFF" w:themeColor="background1"/>
                <w:szCs w:val="18"/>
              </w:rPr>
              <w:br/>
            </w:r>
            <w:r w:rsidRPr="00E112B9">
              <w:rPr>
                <w:color w:val="FFFFFF" w:themeColor="background1"/>
                <w:szCs w:val="18"/>
              </w:rPr>
              <w:t>FMC Act with suitable modifications</w:t>
            </w:r>
          </w:p>
        </w:tc>
        <w:tc>
          <w:tcPr>
            <w:tcW w:w="1865" w:type="pct"/>
            <w:shd w:val="clear" w:color="auto" w:fill="1B556B"/>
            <w:vAlign w:val="center"/>
          </w:tcPr>
          <w:p w14:paraId="5A4C52A6" w14:textId="77777777" w:rsidR="00255135" w:rsidRPr="00E112B9" w:rsidRDefault="00255135" w:rsidP="00255135">
            <w:pPr>
              <w:pStyle w:val="TableText"/>
              <w:jc w:val="center"/>
              <w:rPr>
                <w:color w:val="FFFFFF" w:themeColor="background1"/>
                <w:szCs w:val="18"/>
              </w:rPr>
            </w:pPr>
            <w:r w:rsidRPr="00E112B9">
              <w:rPr>
                <w:b/>
                <w:color w:val="FFFFFF" w:themeColor="background1"/>
                <w:szCs w:val="18"/>
              </w:rPr>
              <w:t>Option three:</w:t>
            </w:r>
            <w:r>
              <w:rPr>
                <w:b/>
                <w:color w:val="FFFFFF" w:themeColor="background1"/>
                <w:szCs w:val="18"/>
              </w:rPr>
              <w:t xml:space="preserve"> </w:t>
            </w:r>
            <w:r>
              <w:rPr>
                <w:b/>
                <w:color w:val="FFFFFF" w:themeColor="background1"/>
                <w:szCs w:val="18"/>
              </w:rPr>
              <w:br/>
            </w:r>
            <w:r w:rsidRPr="00E112B9">
              <w:rPr>
                <w:color w:val="FFFFFF" w:themeColor="background1"/>
                <w:szCs w:val="18"/>
              </w:rPr>
              <w:t>Crimes Act 1961 and market manipulation prohibitions</w:t>
            </w:r>
          </w:p>
        </w:tc>
      </w:tr>
      <w:tr w:rsidR="00255135" w:rsidRPr="00106763" w14:paraId="420CF587" w14:textId="77777777" w:rsidTr="00022AC2">
        <w:trPr>
          <w:cantSplit/>
          <w:trHeight w:val="615"/>
        </w:trPr>
        <w:tc>
          <w:tcPr>
            <w:tcW w:w="529" w:type="pct"/>
            <w:shd w:val="clear" w:color="auto" w:fill="1C556C"/>
            <w:vAlign w:val="center"/>
          </w:tcPr>
          <w:p w14:paraId="7F7CFE3A" w14:textId="77777777" w:rsidR="00255135" w:rsidRPr="00A14499" w:rsidRDefault="00255135" w:rsidP="00006371">
            <w:pPr>
              <w:pStyle w:val="TableText"/>
              <w:rPr>
                <w:b/>
                <w:color w:val="FFFFFF" w:themeColor="background1"/>
                <w:szCs w:val="18"/>
              </w:rPr>
            </w:pPr>
            <w:r w:rsidRPr="00A14499">
              <w:rPr>
                <w:b/>
                <w:color w:val="FFFFFF" w:themeColor="background1"/>
                <w:szCs w:val="18"/>
              </w:rPr>
              <w:t>Integrity</w:t>
            </w:r>
          </w:p>
        </w:tc>
        <w:tc>
          <w:tcPr>
            <w:tcW w:w="508" w:type="pct"/>
            <w:shd w:val="clear" w:color="auto" w:fill="EDEDED"/>
            <w:vAlign w:val="center"/>
          </w:tcPr>
          <w:p w14:paraId="793202F5" w14:textId="77777777" w:rsidR="00255135" w:rsidRPr="00A14499" w:rsidRDefault="00255135" w:rsidP="00006371">
            <w:pPr>
              <w:pStyle w:val="TableText"/>
              <w:jc w:val="center"/>
              <w:rPr>
                <w:b/>
                <w:szCs w:val="18"/>
              </w:rPr>
            </w:pPr>
            <w:r w:rsidRPr="00A14499">
              <w:rPr>
                <w:b/>
                <w:szCs w:val="18"/>
              </w:rPr>
              <w:t>0</w:t>
            </w:r>
          </w:p>
        </w:tc>
        <w:tc>
          <w:tcPr>
            <w:tcW w:w="2098" w:type="pct"/>
            <w:shd w:val="clear" w:color="auto" w:fill="C5E0B3"/>
            <w:vAlign w:val="center"/>
          </w:tcPr>
          <w:p w14:paraId="0EA87601" w14:textId="77777777" w:rsidR="00255135" w:rsidRPr="00CB4599" w:rsidRDefault="00255135" w:rsidP="00006371">
            <w:pPr>
              <w:pStyle w:val="TableText"/>
              <w:jc w:val="center"/>
              <w:rPr>
                <w:b/>
                <w:color w:val="00B050"/>
                <w:szCs w:val="18"/>
              </w:rPr>
            </w:pPr>
            <w:r w:rsidRPr="00CB4599">
              <w:rPr>
                <w:b/>
                <w:color w:val="00B050"/>
                <w:szCs w:val="18"/>
              </w:rPr>
              <w:t>++</w:t>
            </w:r>
          </w:p>
          <w:p w14:paraId="6FC3C7B9" w14:textId="77777777" w:rsidR="00255135" w:rsidRPr="00CB4599" w:rsidRDefault="00255135" w:rsidP="00006371">
            <w:pPr>
              <w:pStyle w:val="TableText"/>
              <w:jc w:val="center"/>
              <w:rPr>
                <w:b/>
                <w:color w:val="00B050"/>
                <w:szCs w:val="18"/>
              </w:rPr>
            </w:pPr>
            <w:r w:rsidRPr="00CB4599">
              <w:rPr>
                <w:szCs w:val="18"/>
              </w:rPr>
              <w:t>Provides highest integrity. Well tested in financial markets</w:t>
            </w:r>
          </w:p>
        </w:tc>
        <w:tc>
          <w:tcPr>
            <w:tcW w:w="1865" w:type="pct"/>
            <w:shd w:val="clear" w:color="auto" w:fill="E2EFD9"/>
            <w:vAlign w:val="center"/>
          </w:tcPr>
          <w:p w14:paraId="44D1E95C" w14:textId="77777777" w:rsidR="00255135" w:rsidRPr="005E6732" w:rsidRDefault="00255135" w:rsidP="00006371">
            <w:pPr>
              <w:pStyle w:val="TableText"/>
              <w:jc w:val="center"/>
              <w:rPr>
                <w:b/>
                <w:color w:val="00B050"/>
                <w:szCs w:val="18"/>
              </w:rPr>
            </w:pPr>
            <w:r w:rsidRPr="00DF157E">
              <w:rPr>
                <w:b/>
                <w:color w:val="00B050"/>
                <w:szCs w:val="18"/>
              </w:rPr>
              <w:t>+</w:t>
            </w:r>
          </w:p>
          <w:p w14:paraId="43F250A7" w14:textId="77777777" w:rsidR="00255135" w:rsidRPr="00DC36F3" w:rsidRDefault="00255135" w:rsidP="00006371">
            <w:pPr>
              <w:pStyle w:val="TableText"/>
              <w:jc w:val="center"/>
              <w:rPr>
                <w:szCs w:val="18"/>
              </w:rPr>
            </w:pPr>
            <w:r w:rsidRPr="00F61688">
              <w:rPr>
                <w:szCs w:val="18"/>
              </w:rPr>
              <w:t>Slight improvement in integrity by prohibiting market manipulation.</w:t>
            </w:r>
          </w:p>
        </w:tc>
      </w:tr>
      <w:tr w:rsidR="00255135" w:rsidRPr="00106763" w14:paraId="57E1FBA5" w14:textId="77777777" w:rsidTr="00022AC2">
        <w:trPr>
          <w:cantSplit/>
          <w:trHeight w:val="378"/>
        </w:trPr>
        <w:tc>
          <w:tcPr>
            <w:tcW w:w="529" w:type="pct"/>
            <w:shd w:val="clear" w:color="auto" w:fill="1C556C"/>
            <w:vAlign w:val="center"/>
          </w:tcPr>
          <w:p w14:paraId="0634143D" w14:textId="77777777" w:rsidR="00255135" w:rsidRPr="00DC36F3" w:rsidRDefault="00255135" w:rsidP="00006371">
            <w:pPr>
              <w:pStyle w:val="TableText"/>
              <w:rPr>
                <w:b/>
                <w:color w:val="FFFFFF" w:themeColor="background1"/>
                <w:szCs w:val="18"/>
              </w:rPr>
            </w:pPr>
            <w:r w:rsidRPr="00DC36F3">
              <w:rPr>
                <w:b/>
                <w:color w:val="FFFFFF" w:themeColor="background1"/>
                <w:szCs w:val="18"/>
              </w:rPr>
              <w:t>Minimal complexity and administrative cost</w:t>
            </w:r>
          </w:p>
        </w:tc>
        <w:tc>
          <w:tcPr>
            <w:tcW w:w="508" w:type="pct"/>
            <w:shd w:val="clear" w:color="auto" w:fill="EDEDED"/>
            <w:vAlign w:val="center"/>
          </w:tcPr>
          <w:p w14:paraId="16F9139F" w14:textId="77777777" w:rsidR="00255135" w:rsidRPr="00A84B9A" w:rsidRDefault="00255135" w:rsidP="00006371">
            <w:pPr>
              <w:pStyle w:val="TableText"/>
              <w:jc w:val="center"/>
              <w:rPr>
                <w:b/>
                <w:szCs w:val="18"/>
              </w:rPr>
            </w:pPr>
            <w:r w:rsidRPr="00A84B9A">
              <w:rPr>
                <w:b/>
                <w:szCs w:val="18"/>
              </w:rPr>
              <w:t>0</w:t>
            </w:r>
          </w:p>
        </w:tc>
        <w:tc>
          <w:tcPr>
            <w:tcW w:w="2098" w:type="pct"/>
            <w:shd w:val="clear" w:color="auto" w:fill="E2EFD9"/>
            <w:vAlign w:val="center"/>
          </w:tcPr>
          <w:p w14:paraId="6C727BB9" w14:textId="77777777" w:rsidR="00255135" w:rsidRPr="00A84B9A" w:rsidRDefault="00255135" w:rsidP="00006371">
            <w:pPr>
              <w:pStyle w:val="TableText"/>
              <w:jc w:val="center"/>
              <w:rPr>
                <w:b/>
                <w:color w:val="00B050"/>
                <w:szCs w:val="18"/>
              </w:rPr>
            </w:pPr>
            <w:r w:rsidRPr="00A84B9A">
              <w:rPr>
                <w:b/>
                <w:color w:val="00B050"/>
                <w:szCs w:val="18"/>
              </w:rPr>
              <w:t>+</w:t>
            </w:r>
          </w:p>
          <w:p w14:paraId="7F01548D" w14:textId="688B3276" w:rsidR="00255135" w:rsidRPr="00F03895" w:rsidRDefault="00255135" w:rsidP="00006371">
            <w:pPr>
              <w:pStyle w:val="TableText"/>
              <w:jc w:val="center"/>
              <w:rPr>
                <w:color w:val="00B050"/>
                <w:szCs w:val="18"/>
              </w:rPr>
            </w:pPr>
            <w:r w:rsidRPr="000E0064">
              <w:rPr>
                <w:szCs w:val="18"/>
              </w:rPr>
              <w:t>Cost</w:t>
            </w:r>
            <w:r>
              <w:rPr>
                <w:szCs w:val="18"/>
              </w:rPr>
              <w:t>s</w:t>
            </w:r>
            <w:r w:rsidRPr="00FB360F">
              <w:rPr>
                <w:szCs w:val="18"/>
              </w:rPr>
              <w:t xml:space="preserve"> to administer are minimised by leveraging existing frameworks. Rules and impacts are clear, well</w:t>
            </w:r>
            <w:r>
              <w:rPr>
                <w:szCs w:val="18"/>
              </w:rPr>
              <w:t xml:space="preserve"> </w:t>
            </w:r>
            <w:r w:rsidRPr="00F03895">
              <w:rPr>
                <w:szCs w:val="18"/>
              </w:rPr>
              <w:t>tested and understood (although application to NZU markets will need to be considered</w:t>
            </w:r>
            <w:r>
              <w:rPr>
                <w:szCs w:val="18"/>
              </w:rPr>
              <w:t>,</w:t>
            </w:r>
            <w:r w:rsidRPr="00F03895">
              <w:rPr>
                <w:szCs w:val="18"/>
              </w:rPr>
              <w:t xml:space="preserve"> given different market structures and to account for parties with surrender obligations that are required to trade). There may be licensing costs for unlicensed market operators. Those </w:t>
            </w:r>
            <w:r w:rsidR="00D24FCF">
              <w:rPr>
                <w:szCs w:val="18"/>
              </w:rPr>
              <w:t>who</w:t>
            </w:r>
            <w:r w:rsidR="00D24FCF" w:rsidRPr="00F03895">
              <w:rPr>
                <w:szCs w:val="18"/>
              </w:rPr>
              <w:t xml:space="preserve"> </w:t>
            </w:r>
            <w:r w:rsidRPr="00F03895">
              <w:rPr>
                <w:szCs w:val="18"/>
              </w:rPr>
              <w:t>use the market might be subject to compliance costs (but some unnecessary obligations are removed).</w:t>
            </w:r>
          </w:p>
        </w:tc>
        <w:tc>
          <w:tcPr>
            <w:tcW w:w="1865" w:type="pct"/>
            <w:shd w:val="clear" w:color="auto" w:fill="EDEDED"/>
            <w:vAlign w:val="center"/>
          </w:tcPr>
          <w:p w14:paraId="7115983C" w14:textId="77777777" w:rsidR="00255135" w:rsidRPr="00F03895" w:rsidRDefault="00255135" w:rsidP="00006371">
            <w:pPr>
              <w:pStyle w:val="TableText"/>
              <w:jc w:val="center"/>
              <w:rPr>
                <w:b/>
                <w:szCs w:val="18"/>
              </w:rPr>
            </w:pPr>
            <w:r w:rsidRPr="00F03895">
              <w:rPr>
                <w:b/>
                <w:szCs w:val="18"/>
              </w:rPr>
              <w:t>0</w:t>
            </w:r>
          </w:p>
          <w:p w14:paraId="647E2F1B" w14:textId="77777777" w:rsidR="00255135" w:rsidRPr="00F03895" w:rsidRDefault="00255135" w:rsidP="00006371">
            <w:pPr>
              <w:pStyle w:val="TableText"/>
              <w:jc w:val="center"/>
              <w:rPr>
                <w:szCs w:val="18"/>
              </w:rPr>
            </w:pPr>
            <w:r w:rsidRPr="00F03895">
              <w:rPr>
                <w:szCs w:val="18"/>
              </w:rPr>
              <w:t>Relies on NZ ETS market users to identify and detect market manipulation, and report to the regulator. Lack of access to information held by the market operator may lead to difficulty in investigating insider trading and market manipulation.</w:t>
            </w:r>
          </w:p>
        </w:tc>
      </w:tr>
      <w:tr w:rsidR="00255135" w:rsidRPr="00106763" w14:paraId="6EA7D1F2" w14:textId="77777777" w:rsidTr="00022AC2">
        <w:trPr>
          <w:cantSplit/>
          <w:trHeight w:val="378"/>
        </w:trPr>
        <w:tc>
          <w:tcPr>
            <w:tcW w:w="529" w:type="pct"/>
            <w:shd w:val="clear" w:color="auto" w:fill="1C556C"/>
            <w:vAlign w:val="center"/>
          </w:tcPr>
          <w:p w14:paraId="137FC4CE" w14:textId="77777777" w:rsidR="00255135" w:rsidRPr="00F03895" w:rsidRDefault="00255135" w:rsidP="00006371">
            <w:pPr>
              <w:pStyle w:val="TableText"/>
              <w:rPr>
                <w:b/>
                <w:color w:val="FFFFFF" w:themeColor="background1"/>
                <w:szCs w:val="18"/>
              </w:rPr>
            </w:pPr>
            <w:r w:rsidRPr="00F03895">
              <w:rPr>
                <w:b/>
                <w:color w:val="FFFFFF" w:themeColor="background1"/>
                <w:szCs w:val="18"/>
              </w:rPr>
              <w:t>Consistency and proportionality</w:t>
            </w:r>
          </w:p>
        </w:tc>
        <w:tc>
          <w:tcPr>
            <w:tcW w:w="508" w:type="pct"/>
            <w:shd w:val="clear" w:color="auto" w:fill="EDEDED"/>
            <w:vAlign w:val="center"/>
          </w:tcPr>
          <w:p w14:paraId="27ADE0D7" w14:textId="77777777" w:rsidR="00255135" w:rsidRPr="00F03895" w:rsidRDefault="00255135" w:rsidP="00006371">
            <w:pPr>
              <w:pStyle w:val="TableText"/>
              <w:jc w:val="center"/>
              <w:rPr>
                <w:b/>
                <w:szCs w:val="18"/>
              </w:rPr>
            </w:pPr>
            <w:r w:rsidRPr="00F03895">
              <w:rPr>
                <w:b/>
                <w:szCs w:val="18"/>
              </w:rPr>
              <w:t>0</w:t>
            </w:r>
          </w:p>
        </w:tc>
        <w:tc>
          <w:tcPr>
            <w:tcW w:w="2098" w:type="pct"/>
            <w:shd w:val="clear" w:color="auto" w:fill="C5E0B3"/>
            <w:vAlign w:val="center"/>
          </w:tcPr>
          <w:p w14:paraId="54974EF4" w14:textId="77777777" w:rsidR="00255135" w:rsidRPr="00F03895" w:rsidRDefault="00255135" w:rsidP="00006371">
            <w:pPr>
              <w:pStyle w:val="TableText"/>
              <w:jc w:val="center"/>
              <w:rPr>
                <w:b/>
                <w:color w:val="00B050"/>
                <w:szCs w:val="18"/>
              </w:rPr>
            </w:pPr>
            <w:r w:rsidRPr="00F03895">
              <w:rPr>
                <w:b/>
                <w:color w:val="00B050"/>
                <w:szCs w:val="18"/>
              </w:rPr>
              <w:t>++</w:t>
            </w:r>
          </w:p>
          <w:p w14:paraId="4BBCBEFB" w14:textId="3F1BC55D" w:rsidR="00255135" w:rsidRPr="00F03895" w:rsidRDefault="00255135" w:rsidP="00006371">
            <w:pPr>
              <w:pStyle w:val="TableText"/>
              <w:jc w:val="center"/>
              <w:rPr>
                <w:color w:val="00B050"/>
                <w:szCs w:val="18"/>
              </w:rPr>
            </w:pPr>
            <w:r w:rsidRPr="00F03895">
              <w:rPr>
                <w:szCs w:val="18"/>
              </w:rPr>
              <w:t>Most of the rules are consistent with other financial markets. Carve</w:t>
            </w:r>
            <w:r w:rsidR="00A3194C">
              <w:rPr>
                <w:szCs w:val="18"/>
              </w:rPr>
              <w:t>-</w:t>
            </w:r>
            <w:r w:rsidRPr="00F03895">
              <w:rPr>
                <w:szCs w:val="18"/>
              </w:rPr>
              <w:t>outs relating to disclosure obligations differ from financial markets. However, this approach provides the most proportional response to risks in the NZ</w:t>
            </w:r>
            <w:r>
              <w:rPr>
                <w:szCs w:val="18"/>
              </w:rPr>
              <w:t> </w:t>
            </w:r>
            <w:r w:rsidRPr="00F03895">
              <w:rPr>
                <w:szCs w:val="18"/>
              </w:rPr>
              <w:t>ETS market</w:t>
            </w:r>
          </w:p>
        </w:tc>
        <w:tc>
          <w:tcPr>
            <w:tcW w:w="1865" w:type="pct"/>
            <w:shd w:val="clear" w:color="auto" w:fill="EDEDED"/>
            <w:vAlign w:val="center"/>
          </w:tcPr>
          <w:p w14:paraId="22F782F2" w14:textId="77777777" w:rsidR="00255135" w:rsidRPr="00F03895" w:rsidRDefault="00255135" w:rsidP="00006371">
            <w:pPr>
              <w:pStyle w:val="TableText"/>
              <w:jc w:val="center"/>
              <w:rPr>
                <w:b/>
                <w:szCs w:val="18"/>
              </w:rPr>
            </w:pPr>
            <w:r w:rsidRPr="00F03895">
              <w:rPr>
                <w:b/>
                <w:szCs w:val="18"/>
              </w:rPr>
              <w:t>0</w:t>
            </w:r>
          </w:p>
          <w:p w14:paraId="0C6736A3" w14:textId="77777777" w:rsidR="00255135" w:rsidRPr="00F03895" w:rsidRDefault="00255135" w:rsidP="00006371">
            <w:pPr>
              <w:pStyle w:val="TableText"/>
              <w:jc w:val="center"/>
              <w:rPr>
                <w:szCs w:val="18"/>
              </w:rPr>
            </w:pPr>
            <w:r w:rsidRPr="00F03895">
              <w:rPr>
                <w:szCs w:val="18"/>
              </w:rPr>
              <w:t>Treats insider trading and market manipulation in the NZ ETS differently to domestic financial markets and international carbon markets. May not be proportional</w:t>
            </w:r>
            <w:r>
              <w:rPr>
                <w:szCs w:val="18"/>
              </w:rPr>
              <w:t>,</w:t>
            </w:r>
            <w:r w:rsidRPr="00F03895">
              <w:rPr>
                <w:szCs w:val="18"/>
              </w:rPr>
              <w:t xml:space="preserve"> given government officials are treated differently to others.</w:t>
            </w:r>
          </w:p>
        </w:tc>
      </w:tr>
      <w:tr w:rsidR="00255135" w:rsidRPr="00106763" w14:paraId="0CC6ED7A" w14:textId="77777777" w:rsidTr="00022AC2">
        <w:trPr>
          <w:cantSplit/>
          <w:trHeight w:val="395"/>
        </w:trPr>
        <w:tc>
          <w:tcPr>
            <w:tcW w:w="529" w:type="pct"/>
            <w:shd w:val="clear" w:color="auto" w:fill="1C556C"/>
            <w:vAlign w:val="center"/>
          </w:tcPr>
          <w:p w14:paraId="372E1CBD" w14:textId="77777777" w:rsidR="00255135" w:rsidRPr="00F03895" w:rsidRDefault="00255135" w:rsidP="00006371">
            <w:pPr>
              <w:pStyle w:val="TableText"/>
              <w:rPr>
                <w:b/>
                <w:color w:val="FFFFFF" w:themeColor="background1"/>
                <w:szCs w:val="18"/>
              </w:rPr>
            </w:pPr>
            <w:r w:rsidRPr="00F03895">
              <w:rPr>
                <w:b/>
                <w:color w:val="FFFFFF" w:themeColor="background1"/>
                <w:szCs w:val="18"/>
              </w:rPr>
              <w:t>Clarity and transparency</w:t>
            </w:r>
          </w:p>
        </w:tc>
        <w:tc>
          <w:tcPr>
            <w:tcW w:w="508" w:type="pct"/>
            <w:shd w:val="clear" w:color="auto" w:fill="EDEDED"/>
            <w:vAlign w:val="center"/>
          </w:tcPr>
          <w:p w14:paraId="7F1140D1" w14:textId="77777777" w:rsidR="00255135" w:rsidRPr="00F03895" w:rsidRDefault="00255135" w:rsidP="00006371">
            <w:pPr>
              <w:pStyle w:val="TableText"/>
              <w:jc w:val="center"/>
              <w:rPr>
                <w:b/>
                <w:szCs w:val="18"/>
              </w:rPr>
            </w:pPr>
            <w:r w:rsidRPr="00F03895">
              <w:rPr>
                <w:b/>
                <w:szCs w:val="18"/>
              </w:rPr>
              <w:t>0</w:t>
            </w:r>
          </w:p>
        </w:tc>
        <w:tc>
          <w:tcPr>
            <w:tcW w:w="2098" w:type="pct"/>
            <w:shd w:val="clear" w:color="auto" w:fill="C5E0B3"/>
            <w:vAlign w:val="center"/>
          </w:tcPr>
          <w:p w14:paraId="53F0A10A" w14:textId="77777777" w:rsidR="00255135" w:rsidRPr="00F03895" w:rsidRDefault="00255135" w:rsidP="00006371">
            <w:pPr>
              <w:pStyle w:val="TableText"/>
              <w:jc w:val="center"/>
              <w:rPr>
                <w:b/>
                <w:color w:val="00B050"/>
                <w:szCs w:val="18"/>
              </w:rPr>
            </w:pPr>
            <w:r w:rsidRPr="00F03895">
              <w:rPr>
                <w:b/>
                <w:color w:val="00B050"/>
                <w:szCs w:val="18"/>
              </w:rPr>
              <w:t>++</w:t>
            </w:r>
          </w:p>
          <w:p w14:paraId="515ED413" w14:textId="77777777" w:rsidR="00255135" w:rsidRPr="00461397" w:rsidRDefault="00255135" w:rsidP="00006371">
            <w:pPr>
              <w:pStyle w:val="TableText"/>
              <w:jc w:val="center"/>
              <w:rPr>
                <w:color w:val="00B050"/>
                <w:szCs w:val="18"/>
              </w:rPr>
            </w:pPr>
            <w:r w:rsidRPr="009E139A">
              <w:rPr>
                <w:szCs w:val="18"/>
              </w:rPr>
              <w:t>High clarity and transparency</w:t>
            </w:r>
            <w:r>
              <w:rPr>
                <w:szCs w:val="18"/>
              </w:rPr>
              <w:t>,</w:t>
            </w:r>
            <w:r w:rsidRPr="00931C9E">
              <w:rPr>
                <w:szCs w:val="18"/>
              </w:rPr>
              <w:t xml:space="preserve"> as all relevant market information is already public</w:t>
            </w:r>
            <w:r>
              <w:rPr>
                <w:szCs w:val="18"/>
              </w:rPr>
              <w:t xml:space="preserve"> (</w:t>
            </w:r>
            <w:r w:rsidRPr="00CD0B43">
              <w:rPr>
                <w:szCs w:val="18"/>
              </w:rPr>
              <w:t>or licensed market operators can collect the information</w:t>
            </w:r>
            <w:r>
              <w:rPr>
                <w:szCs w:val="18"/>
              </w:rPr>
              <w:t>)</w:t>
            </w:r>
            <w:r w:rsidRPr="00DB732F">
              <w:rPr>
                <w:szCs w:val="18"/>
              </w:rPr>
              <w:t>. Understood by many stakeholders. Structured guidance from the regulator provides clarity.</w:t>
            </w:r>
          </w:p>
        </w:tc>
        <w:tc>
          <w:tcPr>
            <w:tcW w:w="1865" w:type="pct"/>
            <w:shd w:val="clear" w:color="auto" w:fill="EDEDED"/>
            <w:vAlign w:val="center"/>
          </w:tcPr>
          <w:p w14:paraId="3DFAB5C5" w14:textId="77777777" w:rsidR="00255135" w:rsidRPr="00255AED" w:rsidRDefault="00255135" w:rsidP="00006371">
            <w:pPr>
              <w:pStyle w:val="TableText"/>
              <w:jc w:val="center"/>
              <w:rPr>
                <w:b/>
                <w:szCs w:val="18"/>
              </w:rPr>
            </w:pPr>
            <w:r w:rsidRPr="00255AED">
              <w:rPr>
                <w:b/>
                <w:szCs w:val="18"/>
              </w:rPr>
              <w:t>0</w:t>
            </w:r>
          </w:p>
          <w:p w14:paraId="561C0A60" w14:textId="77777777" w:rsidR="00255135" w:rsidRPr="00255AED" w:rsidRDefault="00255135" w:rsidP="00006371">
            <w:pPr>
              <w:pStyle w:val="TableText"/>
              <w:jc w:val="center"/>
              <w:rPr>
                <w:szCs w:val="18"/>
              </w:rPr>
            </w:pPr>
            <w:r w:rsidRPr="00255AED">
              <w:rPr>
                <w:szCs w:val="18"/>
              </w:rPr>
              <w:t>Low transparency about operations of secondary market.</w:t>
            </w:r>
          </w:p>
        </w:tc>
      </w:tr>
      <w:tr w:rsidR="00255135" w:rsidRPr="00106763" w14:paraId="192313B0" w14:textId="77777777" w:rsidTr="00022AC2">
        <w:trPr>
          <w:cantSplit/>
          <w:trHeight w:val="378"/>
        </w:trPr>
        <w:tc>
          <w:tcPr>
            <w:tcW w:w="529" w:type="pct"/>
            <w:shd w:val="clear" w:color="auto" w:fill="1C556C"/>
            <w:vAlign w:val="center"/>
          </w:tcPr>
          <w:p w14:paraId="46912AAD" w14:textId="77777777" w:rsidR="00255135" w:rsidRPr="00255AED" w:rsidRDefault="00255135" w:rsidP="00006371">
            <w:pPr>
              <w:pStyle w:val="TableText"/>
              <w:rPr>
                <w:b/>
                <w:color w:val="FFFFFF" w:themeColor="background1"/>
                <w:szCs w:val="18"/>
              </w:rPr>
            </w:pPr>
            <w:r w:rsidRPr="00255AED">
              <w:rPr>
                <w:b/>
                <w:color w:val="FFFFFF" w:themeColor="background1"/>
                <w:szCs w:val="18"/>
              </w:rPr>
              <w:lastRenderedPageBreak/>
              <w:t>Market efficiency</w:t>
            </w:r>
          </w:p>
        </w:tc>
        <w:tc>
          <w:tcPr>
            <w:tcW w:w="508" w:type="pct"/>
            <w:shd w:val="clear" w:color="auto" w:fill="EDEDED"/>
            <w:vAlign w:val="center"/>
          </w:tcPr>
          <w:p w14:paraId="4A1F0205" w14:textId="77777777" w:rsidR="00255135" w:rsidRPr="00255AED" w:rsidRDefault="00255135" w:rsidP="00006371">
            <w:pPr>
              <w:pStyle w:val="TableText"/>
              <w:jc w:val="center"/>
              <w:rPr>
                <w:b/>
                <w:szCs w:val="18"/>
              </w:rPr>
            </w:pPr>
            <w:r w:rsidRPr="00255AED">
              <w:rPr>
                <w:b/>
                <w:szCs w:val="18"/>
              </w:rPr>
              <w:t>0</w:t>
            </w:r>
          </w:p>
        </w:tc>
        <w:tc>
          <w:tcPr>
            <w:tcW w:w="2098" w:type="pct"/>
            <w:shd w:val="clear" w:color="auto" w:fill="E2EFD9"/>
            <w:vAlign w:val="center"/>
          </w:tcPr>
          <w:p w14:paraId="229D451F" w14:textId="77777777" w:rsidR="00255135" w:rsidRPr="00255AED" w:rsidRDefault="00255135" w:rsidP="00006371">
            <w:pPr>
              <w:pStyle w:val="TableText"/>
              <w:jc w:val="center"/>
              <w:rPr>
                <w:b/>
                <w:color w:val="00B050"/>
                <w:szCs w:val="18"/>
              </w:rPr>
            </w:pPr>
            <w:r w:rsidRPr="00255AED">
              <w:rPr>
                <w:b/>
                <w:color w:val="00B050"/>
                <w:szCs w:val="18"/>
              </w:rPr>
              <w:t>+</w:t>
            </w:r>
          </w:p>
          <w:p w14:paraId="06717ECC" w14:textId="77777777" w:rsidR="00255135" w:rsidRPr="00255AED" w:rsidRDefault="00255135" w:rsidP="00006371">
            <w:pPr>
              <w:pStyle w:val="TableText"/>
              <w:jc w:val="center"/>
              <w:rPr>
                <w:color w:val="00B050"/>
                <w:szCs w:val="18"/>
              </w:rPr>
            </w:pPr>
            <w:r w:rsidRPr="00255AED">
              <w:rPr>
                <w:szCs w:val="18"/>
              </w:rPr>
              <w:t>Creates rules and oversight</w:t>
            </w:r>
            <w:r>
              <w:rPr>
                <w:szCs w:val="18"/>
              </w:rPr>
              <w:t xml:space="preserve">s </w:t>
            </w:r>
            <w:r w:rsidRPr="00255AED">
              <w:rPr>
                <w:szCs w:val="18"/>
              </w:rPr>
              <w:t xml:space="preserve">to guard against the risks of </w:t>
            </w:r>
            <w:r>
              <w:rPr>
                <w:szCs w:val="18"/>
              </w:rPr>
              <w:t xml:space="preserve">price </w:t>
            </w:r>
            <w:r w:rsidRPr="00255AED">
              <w:rPr>
                <w:szCs w:val="18"/>
              </w:rPr>
              <w:t>manipulation and insider trading. Produces a reliable price signal that helps inform investment decisions. Supports efficient carbon price discovery. Unclear whether costs of using licensed markets would inefficiently discourage use of that market.</w:t>
            </w:r>
          </w:p>
        </w:tc>
        <w:tc>
          <w:tcPr>
            <w:tcW w:w="1865" w:type="pct"/>
            <w:shd w:val="clear" w:color="auto" w:fill="E2EFD9"/>
            <w:vAlign w:val="center"/>
          </w:tcPr>
          <w:p w14:paraId="4B1A04FE" w14:textId="77777777" w:rsidR="00255135" w:rsidRPr="00B85A72" w:rsidRDefault="00255135" w:rsidP="00006371">
            <w:pPr>
              <w:pStyle w:val="TableText"/>
              <w:jc w:val="center"/>
              <w:rPr>
                <w:b/>
                <w:szCs w:val="18"/>
              </w:rPr>
            </w:pPr>
            <w:r w:rsidRPr="00B85A72">
              <w:rPr>
                <w:b/>
                <w:color w:val="00B050"/>
                <w:szCs w:val="18"/>
              </w:rPr>
              <w:t>+</w:t>
            </w:r>
          </w:p>
          <w:p w14:paraId="403E568C" w14:textId="77777777" w:rsidR="00255135" w:rsidRPr="00B85A72" w:rsidRDefault="00255135" w:rsidP="00006371">
            <w:pPr>
              <w:pStyle w:val="TableText"/>
              <w:jc w:val="center"/>
              <w:rPr>
                <w:szCs w:val="18"/>
              </w:rPr>
            </w:pPr>
            <w:r w:rsidRPr="00B85A72">
              <w:rPr>
                <w:szCs w:val="18"/>
              </w:rPr>
              <w:t xml:space="preserve">Increased protection against market manipulation. </w:t>
            </w:r>
            <w:r w:rsidRPr="00B85A72" w:rsidDel="00ED3B01">
              <w:rPr>
                <w:szCs w:val="18"/>
              </w:rPr>
              <w:t>No change in oversight to guard against the risks of market manipulation</w:t>
            </w:r>
          </w:p>
          <w:p w14:paraId="328AFD45" w14:textId="77777777" w:rsidR="00255135" w:rsidRPr="00B85A72" w:rsidRDefault="00255135" w:rsidP="00006371">
            <w:pPr>
              <w:pStyle w:val="TableText"/>
              <w:jc w:val="center"/>
              <w:rPr>
                <w:szCs w:val="18"/>
              </w:rPr>
            </w:pPr>
          </w:p>
        </w:tc>
      </w:tr>
      <w:tr w:rsidR="00255135" w:rsidRPr="00106763" w14:paraId="1F4FD3ED" w14:textId="77777777" w:rsidTr="00022AC2">
        <w:trPr>
          <w:cantSplit/>
          <w:trHeight w:val="584"/>
        </w:trPr>
        <w:tc>
          <w:tcPr>
            <w:tcW w:w="529" w:type="pct"/>
            <w:shd w:val="clear" w:color="auto" w:fill="1C556C"/>
            <w:vAlign w:val="center"/>
          </w:tcPr>
          <w:p w14:paraId="71B715AF" w14:textId="77777777" w:rsidR="00255135" w:rsidRPr="00B85A72" w:rsidRDefault="00255135" w:rsidP="00006371">
            <w:pPr>
              <w:pStyle w:val="TableText"/>
              <w:rPr>
                <w:b/>
                <w:color w:val="FFFFFF" w:themeColor="background1"/>
                <w:szCs w:val="18"/>
              </w:rPr>
            </w:pPr>
            <w:r w:rsidRPr="00B85A72">
              <w:rPr>
                <w:b/>
                <w:color w:val="FFFFFF" w:themeColor="background1"/>
                <w:szCs w:val="18"/>
              </w:rPr>
              <w:t>Overall assessment</w:t>
            </w:r>
          </w:p>
        </w:tc>
        <w:tc>
          <w:tcPr>
            <w:tcW w:w="508" w:type="pct"/>
            <w:shd w:val="clear" w:color="auto" w:fill="EDEDED"/>
            <w:vAlign w:val="center"/>
          </w:tcPr>
          <w:p w14:paraId="17C7D71C" w14:textId="77777777" w:rsidR="00255135" w:rsidRPr="00743E88" w:rsidRDefault="00255135" w:rsidP="00006371">
            <w:pPr>
              <w:pStyle w:val="TableText"/>
              <w:jc w:val="center"/>
              <w:rPr>
                <w:b/>
                <w:szCs w:val="18"/>
              </w:rPr>
            </w:pPr>
            <w:r w:rsidRPr="00743E88">
              <w:rPr>
                <w:b/>
                <w:szCs w:val="18"/>
              </w:rPr>
              <w:t>0</w:t>
            </w:r>
          </w:p>
        </w:tc>
        <w:tc>
          <w:tcPr>
            <w:tcW w:w="2098" w:type="pct"/>
            <w:shd w:val="clear" w:color="auto" w:fill="C5E0B3"/>
            <w:vAlign w:val="center"/>
          </w:tcPr>
          <w:p w14:paraId="6893FC73" w14:textId="77777777" w:rsidR="00255135" w:rsidRPr="00743E88" w:rsidRDefault="00255135" w:rsidP="00006371">
            <w:pPr>
              <w:pStyle w:val="TableText"/>
              <w:jc w:val="center"/>
              <w:rPr>
                <w:b/>
                <w:color w:val="00B050"/>
                <w:szCs w:val="18"/>
              </w:rPr>
            </w:pPr>
            <w:r w:rsidRPr="00743E88">
              <w:rPr>
                <w:b/>
                <w:color w:val="00B050"/>
                <w:szCs w:val="18"/>
              </w:rPr>
              <w:t>++</w:t>
            </w:r>
          </w:p>
          <w:p w14:paraId="1048B939" w14:textId="77777777" w:rsidR="00255135" w:rsidRPr="005B3AB5" w:rsidRDefault="00255135" w:rsidP="00006371">
            <w:pPr>
              <w:pStyle w:val="TableText"/>
              <w:jc w:val="center"/>
              <w:rPr>
                <w:b/>
                <w:szCs w:val="18"/>
              </w:rPr>
            </w:pPr>
            <w:r w:rsidRPr="005B3AB5">
              <w:rPr>
                <w:b/>
                <w:szCs w:val="18"/>
              </w:rPr>
              <w:t>(Preferred option)</w:t>
            </w:r>
          </w:p>
          <w:p w14:paraId="50F67355" w14:textId="77777777" w:rsidR="00255135" w:rsidRPr="005B3AB5" w:rsidRDefault="00255135" w:rsidP="00006371">
            <w:pPr>
              <w:pStyle w:val="TableText"/>
              <w:jc w:val="center"/>
              <w:rPr>
                <w:b/>
                <w:color w:val="00B050"/>
                <w:szCs w:val="18"/>
              </w:rPr>
            </w:pPr>
            <w:r w:rsidRPr="005B3AB5">
              <w:rPr>
                <w:b/>
                <w:szCs w:val="18"/>
              </w:rPr>
              <w:t>Provides the most proportional response to the risks of market misconduct by leveraging existing financial market frameworks, but tailors some obligations to be proportional to NZ ETS market risks.</w:t>
            </w:r>
          </w:p>
        </w:tc>
        <w:tc>
          <w:tcPr>
            <w:tcW w:w="1865" w:type="pct"/>
            <w:shd w:val="clear" w:color="auto" w:fill="EDEDED"/>
            <w:vAlign w:val="center"/>
          </w:tcPr>
          <w:p w14:paraId="19B3637D" w14:textId="77777777" w:rsidR="00255135" w:rsidRPr="005B3AB5" w:rsidRDefault="00255135" w:rsidP="00006371">
            <w:pPr>
              <w:pStyle w:val="TableText"/>
              <w:jc w:val="center"/>
              <w:rPr>
                <w:b/>
                <w:szCs w:val="18"/>
              </w:rPr>
            </w:pPr>
            <w:r w:rsidRPr="005B3AB5">
              <w:rPr>
                <w:b/>
                <w:szCs w:val="18"/>
              </w:rPr>
              <w:t>0</w:t>
            </w:r>
          </w:p>
          <w:p w14:paraId="11FC8390" w14:textId="276F5B3A" w:rsidR="00255135" w:rsidRPr="006031B6" w:rsidRDefault="00255135" w:rsidP="00006371">
            <w:pPr>
              <w:pStyle w:val="TableText"/>
              <w:jc w:val="center"/>
              <w:rPr>
                <w:b/>
                <w:color w:val="00B050"/>
                <w:szCs w:val="18"/>
              </w:rPr>
            </w:pPr>
            <w:r w:rsidRPr="006031B6">
              <w:rPr>
                <w:szCs w:val="18"/>
              </w:rPr>
              <w:t>Prohibits market manipulation but provides no robust mechanisms to detect price manipulation. No substantial change in insider</w:t>
            </w:r>
            <w:r w:rsidR="0085199E">
              <w:rPr>
                <w:szCs w:val="18"/>
              </w:rPr>
              <w:t>-</w:t>
            </w:r>
            <w:r w:rsidRPr="006031B6">
              <w:rPr>
                <w:szCs w:val="18"/>
              </w:rPr>
              <w:t>trading scope or obligations.</w:t>
            </w:r>
          </w:p>
        </w:tc>
      </w:tr>
    </w:tbl>
    <w:p w14:paraId="5481EFCE" w14:textId="77777777" w:rsidR="00255135" w:rsidRPr="00747EF6" w:rsidRDefault="00255135" w:rsidP="00255135">
      <w:pPr>
        <w:tabs>
          <w:tab w:val="left" w:pos="2533"/>
        </w:tabs>
      </w:pPr>
    </w:p>
    <w:p w14:paraId="17D9A155" w14:textId="77777777" w:rsidR="00255135" w:rsidRDefault="00255135" w:rsidP="00255135">
      <w:pPr>
        <w:spacing w:before="0" w:after="160" w:line="259" w:lineRule="auto"/>
        <w:jc w:val="left"/>
        <w:rPr>
          <w:rFonts w:ascii="Georgia" w:hAnsi="Georgia"/>
          <w:b/>
          <w:bCs/>
          <w:sz w:val="28"/>
        </w:rPr>
      </w:pPr>
      <w:r>
        <w:br w:type="page"/>
      </w:r>
    </w:p>
    <w:p w14:paraId="130EF826" w14:textId="77777777" w:rsidR="00255135" w:rsidRPr="00747EF6" w:rsidRDefault="00255135" w:rsidP="00255135">
      <w:pPr>
        <w:pStyle w:val="Heading3"/>
      </w:pPr>
      <w:r w:rsidRPr="00747EF6">
        <w:lastRenderedPageBreak/>
        <w:t xml:space="preserve">Risk </w:t>
      </w:r>
      <w:r>
        <w:t>a</w:t>
      </w:r>
      <w:r w:rsidRPr="00747EF6">
        <w:t>nalysis</w:t>
      </w:r>
    </w:p>
    <w:p w14:paraId="40527B1C" w14:textId="6669826C" w:rsidR="00255135" w:rsidRPr="00747EF6" w:rsidRDefault="0085199E" w:rsidP="00255135">
      <w:pPr>
        <w:pStyle w:val="BodyText"/>
      </w:pPr>
      <w:r>
        <w:t>Tabl</w:t>
      </w:r>
      <w:r w:rsidR="00534624">
        <w:t xml:space="preserve">e 18 </w:t>
      </w:r>
      <w:r w:rsidR="00255135">
        <w:t>below provides the</w:t>
      </w:r>
      <w:r w:rsidR="00255135" w:rsidRPr="00747EF6">
        <w:t xml:space="preserve"> risk analysis of the </w:t>
      </w:r>
      <w:r w:rsidR="00255135">
        <w:t xml:space="preserve">topic 1 </w:t>
      </w:r>
      <w:r w:rsidR="00255135" w:rsidRPr="00747EF6">
        <w:t xml:space="preserve">options. </w:t>
      </w:r>
    </w:p>
    <w:p w14:paraId="3749A894" w14:textId="1038DC46" w:rsidR="00255135" w:rsidRDefault="00255135" w:rsidP="00255135">
      <w:pPr>
        <w:pStyle w:val="Tableheading"/>
      </w:pPr>
      <w:bookmarkStart w:id="188" w:name="_Toc118953835"/>
      <w:r w:rsidDel="009D408F">
        <w:t>Table</w:t>
      </w:r>
      <w:bookmarkStart w:id="189" w:name="_Ref118633632"/>
      <w:r w:rsidR="00534624">
        <w:t xml:space="preserve"> 18</w:t>
      </w:r>
      <w:bookmarkEnd w:id="189"/>
      <w:r>
        <w:t xml:space="preserve">: </w:t>
      </w:r>
      <w:r>
        <w:tab/>
      </w:r>
      <w:r w:rsidRPr="00DF07F9">
        <w:t>Risk analysis for insider trading and market manipulation</w:t>
      </w:r>
      <w:bookmarkEnd w:id="188"/>
    </w:p>
    <w:tbl>
      <w:tblPr>
        <w:tblW w:w="4963" w:type="pct"/>
        <w:tblInd w:w="108"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633"/>
        <w:gridCol w:w="1937"/>
        <w:gridCol w:w="4444"/>
        <w:gridCol w:w="4444"/>
      </w:tblGrid>
      <w:tr w:rsidR="00255135" w:rsidRPr="008F3ED2" w14:paraId="7EB9FFCB" w14:textId="77777777" w:rsidTr="00022AC2">
        <w:trPr>
          <w:trHeight w:val="395"/>
          <w:tblHeader/>
        </w:trPr>
        <w:tc>
          <w:tcPr>
            <w:tcW w:w="1256" w:type="pct"/>
            <w:shd w:val="clear" w:color="auto" w:fill="1C556C"/>
            <w:vAlign w:val="center"/>
          </w:tcPr>
          <w:p w14:paraId="1FD51394" w14:textId="77777777" w:rsidR="00255135" w:rsidRPr="00392103" w:rsidRDefault="00255135" w:rsidP="00006371">
            <w:pPr>
              <w:pStyle w:val="TableText"/>
              <w:rPr>
                <w:color w:val="FFFFFF" w:themeColor="background1"/>
                <w:szCs w:val="18"/>
              </w:rPr>
            </w:pPr>
          </w:p>
        </w:tc>
        <w:tc>
          <w:tcPr>
            <w:tcW w:w="670" w:type="pct"/>
            <w:shd w:val="clear" w:color="auto" w:fill="1C556C"/>
            <w:vAlign w:val="center"/>
          </w:tcPr>
          <w:p w14:paraId="4C5CD820" w14:textId="77777777" w:rsidR="00255135" w:rsidRPr="00392103" w:rsidRDefault="00255135" w:rsidP="00006371">
            <w:pPr>
              <w:pStyle w:val="TableText"/>
              <w:jc w:val="center"/>
              <w:rPr>
                <w:rFonts w:cs="Arial"/>
                <w:b/>
                <w:color w:val="FFFFFF" w:themeColor="background1"/>
                <w:szCs w:val="18"/>
              </w:rPr>
            </w:pPr>
            <w:r w:rsidRPr="00392103">
              <w:rPr>
                <w:b/>
                <w:color w:val="FFFFFF" w:themeColor="background1"/>
                <w:szCs w:val="18"/>
              </w:rPr>
              <w:t xml:space="preserve">Option one </w:t>
            </w:r>
            <w:r w:rsidR="00022AC2">
              <w:rPr>
                <w:b/>
                <w:color w:val="FFFFFF" w:themeColor="background1"/>
                <w:szCs w:val="18"/>
              </w:rPr>
              <w:br/>
            </w:r>
            <w:r w:rsidRPr="00392103">
              <w:rPr>
                <w:b/>
                <w:color w:val="FFFFFF" w:themeColor="background1"/>
                <w:szCs w:val="18"/>
              </w:rPr>
              <w:t>(</w:t>
            </w:r>
            <w:r>
              <w:rPr>
                <w:rFonts w:cs="Arial"/>
                <w:b/>
                <w:color w:val="FFFFFF" w:themeColor="background1"/>
                <w:szCs w:val="18"/>
              </w:rPr>
              <w:t>s</w:t>
            </w:r>
            <w:r w:rsidRPr="00392103">
              <w:rPr>
                <w:rFonts w:cs="Arial"/>
                <w:b/>
                <w:color w:val="FFFFFF" w:themeColor="background1"/>
                <w:szCs w:val="18"/>
              </w:rPr>
              <w:t>tatus quo</w:t>
            </w:r>
            <w:r w:rsidRPr="00392103">
              <w:rPr>
                <w:b/>
                <w:color w:val="FFFFFF" w:themeColor="background1"/>
                <w:szCs w:val="18"/>
              </w:rPr>
              <w:t>):</w:t>
            </w:r>
            <w:r w:rsidRPr="00392103">
              <w:rPr>
                <w:color w:val="FFFFFF" w:themeColor="background1"/>
                <w:szCs w:val="18"/>
              </w:rPr>
              <w:t xml:space="preserve"> </w:t>
            </w:r>
            <w:r w:rsidR="00022AC2">
              <w:rPr>
                <w:color w:val="FFFFFF" w:themeColor="background1"/>
                <w:szCs w:val="18"/>
              </w:rPr>
              <w:br/>
            </w:r>
            <w:r w:rsidRPr="00392103">
              <w:rPr>
                <w:rFonts w:cs="Arial"/>
                <w:color w:val="FFFFFF" w:themeColor="background1"/>
                <w:szCs w:val="18"/>
              </w:rPr>
              <w:t>Crimes Act 1961</w:t>
            </w:r>
          </w:p>
        </w:tc>
        <w:tc>
          <w:tcPr>
            <w:tcW w:w="1537" w:type="pct"/>
            <w:shd w:val="clear" w:color="auto" w:fill="1C556C"/>
            <w:vAlign w:val="center"/>
          </w:tcPr>
          <w:p w14:paraId="20DC28C8" w14:textId="77777777" w:rsidR="00255135" w:rsidRPr="005B0AE9" w:rsidRDefault="00255135" w:rsidP="00022AC2">
            <w:pPr>
              <w:pStyle w:val="TableText"/>
              <w:jc w:val="center"/>
              <w:rPr>
                <w:rFonts w:cs="Arial"/>
                <w:b/>
                <w:color w:val="FFFFFF" w:themeColor="background1"/>
                <w:szCs w:val="18"/>
              </w:rPr>
            </w:pPr>
            <w:r w:rsidRPr="00392103">
              <w:rPr>
                <w:rFonts w:cs="Arial"/>
                <w:b/>
                <w:color w:val="FFFFFF" w:themeColor="background1"/>
                <w:szCs w:val="18"/>
              </w:rPr>
              <w:t>Option two</w:t>
            </w:r>
            <w:r>
              <w:rPr>
                <w:rFonts w:cs="Arial"/>
                <w:b/>
                <w:color w:val="FFFFFF" w:themeColor="background1"/>
                <w:szCs w:val="18"/>
              </w:rPr>
              <w:t>:</w:t>
            </w:r>
            <w:r w:rsidR="00022AC2">
              <w:rPr>
                <w:rFonts w:cs="Arial"/>
                <w:b/>
                <w:color w:val="FFFFFF" w:themeColor="background1"/>
                <w:szCs w:val="18"/>
              </w:rPr>
              <w:t xml:space="preserve"> </w:t>
            </w:r>
            <w:r w:rsidR="00022AC2">
              <w:rPr>
                <w:rFonts w:cs="Arial"/>
                <w:b/>
                <w:color w:val="FFFFFF" w:themeColor="background1"/>
                <w:szCs w:val="18"/>
              </w:rPr>
              <w:br/>
            </w:r>
            <w:r w:rsidRPr="005B0AE9">
              <w:rPr>
                <w:rFonts w:cs="Arial"/>
                <w:color w:val="FFFFFF" w:themeColor="background1"/>
                <w:szCs w:val="18"/>
              </w:rPr>
              <w:t>FMC Act with suitable modifications</w:t>
            </w:r>
          </w:p>
        </w:tc>
        <w:tc>
          <w:tcPr>
            <w:tcW w:w="1537" w:type="pct"/>
            <w:shd w:val="clear" w:color="auto" w:fill="1C556C"/>
            <w:vAlign w:val="center"/>
          </w:tcPr>
          <w:p w14:paraId="39153C60" w14:textId="77777777" w:rsidR="00255135" w:rsidRPr="005B0AE9" w:rsidRDefault="00255135" w:rsidP="00022AC2">
            <w:pPr>
              <w:pStyle w:val="TableText"/>
              <w:jc w:val="center"/>
              <w:rPr>
                <w:b/>
                <w:color w:val="FFFFFF" w:themeColor="background1"/>
                <w:szCs w:val="18"/>
              </w:rPr>
            </w:pPr>
            <w:r w:rsidRPr="005B0AE9">
              <w:rPr>
                <w:b/>
                <w:color w:val="FFFFFF" w:themeColor="background1"/>
                <w:szCs w:val="18"/>
              </w:rPr>
              <w:t>Option three</w:t>
            </w:r>
            <w:r>
              <w:rPr>
                <w:b/>
                <w:color w:val="FFFFFF" w:themeColor="background1"/>
                <w:szCs w:val="18"/>
              </w:rPr>
              <w:t>:</w:t>
            </w:r>
            <w:r w:rsidR="00022AC2">
              <w:rPr>
                <w:b/>
                <w:color w:val="FFFFFF" w:themeColor="background1"/>
                <w:szCs w:val="18"/>
              </w:rPr>
              <w:t xml:space="preserve"> </w:t>
            </w:r>
            <w:r w:rsidR="00022AC2">
              <w:rPr>
                <w:b/>
                <w:color w:val="FFFFFF" w:themeColor="background1"/>
                <w:szCs w:val="18"/>
              </w:rPr>
              <w:br/>
            </w:r>
            <w:r w:rsidRPr="005B0AE9">
              <w:rPr>
                <w:rFonts w:cs="Arial"/>
                <w:color w:val="FFFFFF" w:themeColor="background1"/>
                <w:szCs w:val="18"/>
              </w:rPr>
              <w:t>Crimes Act 1961 and market manipulation prohibitions</w:t>
            </w:r>
          </w:p>
        </w:tc>
      </w:tr>
      <w:tr w:rsidR="00255135" w:rsidRPr="008F3ED2" w14:paraId="3D18DEE1" w14:textId="77777777" w:rsidTr="00022AC2">
        <w:trPr>
          <w:cantSplit/>
          <w:trHeight w:val="615"/>
        </w:trPr>
        <w:tc>
          <w:tcPr>
            <w:tcW w:w="1256" w:type="pct"/>
            <w:shd w:val="clear" w:color="auto" w:fill="1C556C"/>
            <w:vAlign w:val="center"/>
          </w:tcPr>
          <w:p w14:paraId="4097158B" w14:textId="77777777" w:rsidR="00255135" w:rsidRPr="005B0AE9" w:rsidRDefault="00255135" w:rsidP="00006371">
            <w:pPr>
              <w:pStyle w:val="TableText"/>
              <w:rPr>
                <w:rFonts w:cs="Arial"/>
                <w:b/>
                <w:color w:val="FFFFFF" w:themeColor="background1"/>
                <w:szCs w:val="18"/>
              </w:rPr>
            </w:pPr>
            <w:r w:rsidRPr="005B0AE9">
              <w:rPr>
                <w:rFonts w:cs="Arial"/>
                <w:b/>
                <w:color w:val="FFFFFF" w:themeColor="background1"/>
                <w:szCs w:val="18"/>
              </w:rPr>
              <w:t>Risk 3: Potential lack of transparency, oversight, and monitoring of trades in the secondary NZU market</w:t>
            </w:r>
          </w:p>
        </w:tc>
        <w:tc>
          <w:tcPr>
            <w:tcW w:w="670" w:type="pct"/>
            <w:shd w:val="clear" w:color="auto" w:fill="EDEDED"/>
            <w:vAlign w:val="center"/>
          </w:tcPr>
          <w:p w14:paraId="7F2246A4" w14:textId="77777777" w:rsidR="00255135" w:rsidRPr="005B0AE9" w:rsidRDefault="00255135" w:rsidP="00006371">
            <w:pPr>
              <w:pStyle w:val="TableText"/>
              <w:jc w:val="center"/>
              <w:rPr>
                <w:b/>
                <w:szCs w:val="18"/>
              </w:rPr>
            </w:pPr>
            <w:r>
              <w:rPr>
                <w:b/>
                <w:bCs/>
                <w:szCs w:val="18"/>
              </w:rPr>
              <w:t>0</w:t>
            </w:r>
          </w:p>
        </w:tc>
        <w:tc>
          <w:tcPr>
            <w:tcW w:w="1537" w:type="pct"/>
            <w:shd w:val="clear" w:color="auto" w:fill="C5E0B3"/>
          </w:tcPr>
          <w:p w14:paraId="60FCF6EA" w14:textId="77777777" w:rsidR="00255135" w:rsidRPr="00022AC2" w:rsidRDefault="00255135" w:rsidP="00022AC2">
            <w:pPr>
              <w:pStyle w:val="TableText"/>
              <w:jc w:val="center"/>
              <w:rPr>
                <w:rFonts w:cstheme="minorHAnsi"/>
                <w:b/>
                <w:color w:val="00B050"/>
                <w:szCs w:val="18"/>
              </w:rPr>
            </w:pPr>
            <w:r w:rsidRPr="00022AC2">
              <w:rPr>
                <w:rFonts w:cstheme="minorHAnsi"/>
                <w:b/>
                <w:color w:val="00B050"/>
                <w:szCs w:val="18"/>
              </w:rPr>
              <w:t>++</w:t>
            </w:r>
          </w:p>
          <w:p w14:paraId="63995A3A" w14:textId="77777777" w:rsidR="00255135" w:rsidRPr="005B0AE9" w:rsidRDefault="00255135" w:rsidP="00022AC2">
            <w:pPr>
              <w:pStyle w:val="TableText"/>
              <w:jc w:val="center"/>
              <w:rPr>
                <w:rFonts w:cstheme="minorHAnsi"/>
                <w:b/>
                <w:color w:val="00B050"/>
                <w:szCs w:val="18"/>
              </w:rPr>
            </w:pPr>
            <w:r w:rsidRPr="005B0AE9">
              <w:rPr>
                <w:rFonts w:cstheme="minorHAnsi"/>
                <w:szCs w:val="18"/>
              </w:rPr>
              <w:t>A licensed market operator is responsible for detecting potential insider trading and market manipulation</w:t>
            </w:r>
            <w:r>
              <w:rPr>
                <w:rFonts w:cstheme="minorHAnsi"/>
                <w:szCs w:val="18"/>
              </w:rPr>
              <w:t>,</w:t>
            </w:r>
            <w:r w:rsidRPr="005B0AE9">
              <w:rPr>
                <w:rFonts w:cstheme="minorHAnsi"/>
                <w:szCs w:val="18"/>
              </w:rPr>
              <w:t xml:space="preserve"> and the FMA is responsible for overseeing those operators</w:t>
            </w:r>
            <w:r>
              <w:rPr>
                <w:rFonts w:cstheme="minorHAnsi"/>
                <w:szCs w:val="18"/>
              </w:rPr>
              <w:t>.</w:t>
            </w:r>
          </w:p>
        </w:tc>
        <w:tc>
          <w:tcPr>
            <w:tcW w:w="1537" w:type="pct"/>
            <w:shd w:val="clear" w:color="auto" w:fill="E2EFD9"/>
          </w:tcPr>
          <w:p w14:paraId="0D276081" w14:textId="77777777" w:rsidR="00255135" w:rsidRPr="005B0AE9" w:rsidRDefault="00255135" w:rsidP="00022AC2">
            <w:pPr>
              <w:pStyle w:val="TableText"/>
              <w:jc w:val="center"/>
              <w:rPr>
                <w:rFonts w:cstheme="minorHAnsi"/>
                <w:b/>
                <w:color w:val="00B050"/>
                <w:szCs w:val="18"/>
              </w:rPr>
            </w:pPr>
            <w:r w:rsidRPr="005B0AE9">
              <w:rPr>
                <w:rFonts w:cstheme="minorHAnsi"/>
                <w:b/>
                <w:color w:val="00B050"/>
                <w:szCs w:val="18"/>
              </w:rPr>
              <w:t>+</w:t>
            </w:r>
          </w:p>
          <w:p w14:paraId="3AADEAE3" w14:textId="77777777" w:rsidR="00255135" w:rsidRPr="005B0AE9" w:rsidRDefault="00255135" w:rsidP="00022AC2">
            <w:pPr>
              <w:pStyle w:val="TableText"/>
              <w:jc w:val="center"/>
              <w:rPr>
                <w:rFonts w:cstheme="minorHAnsi"/>
                <w:b/>
                <w:color w:val="00B050"/>
                <w:szCs w:val="18"/>
              </w:rPr>
            </w:pPr>
            <w:r w:rsidRPr="005B0AE9">
              <w:rPr>
                <w:rFonts w:cstheme="minorHAnsi"/>
                <w:szCs w:val="18"/>
              </w:rPr>
              <w:t>Market manipulation is prohibited. However</w:t>
            </w:r>
            <w:r>
              <w:rPr>
                <w:rFonts w:cstheme="minorHAnsi"/>
                <w:szCs w:val="18"/>
              </w:rPr>
              <w:t>,</w:t>
            </w:r>
            <w:r w:rsidRPr="005B0AE9">
              <w:rPr>
                <w:rFonts w:cstheme="minorHAnsi"/>
                <w:szCs w:val="18"/>
              </w:rPr>
              <w:t xml:space="preserve"> there are no licensed market operators to detect potential misconduct</w:t>
            </w:r>
            <w:r>
              <w:rPr>
                <w:rFonts w:cstheme="minorHAnsi"/>
                <w:szCs w:val="18"/>
              </w:rPr>
              <w:t>.</w:t>
            </w:r>
          </w:p>
        </w:tc>
      </w:tr>
      <w:tr w:rsidR="00255135" w:rsidRPr="008F3ED2" w14:paraId="2A4A7F01" w14:textId="77777777" w:rsidTr="00022AC2">
        <w:trPr>
          <w:cantSplit/>
          <w:trHeight w:val="615"/>
        </w:trPr>
        <w:tc>
          <w:tcPr>
            <w:tcW w:w="1256" w:type="pct"/>
            <w:shd w:val="clear" w:color="auto" w:fill="1C556C"/>
            <w:vAlign w:val="center"/>
          </w:tcPr>
          <w:p w14:paraId="7E2B4476" w14:textId="77777777" w:rsidR="00255135" w:rsidRPr="005B0AE9" w:rsidRDefault="00255135" w:rsidP="00006371">
            <w:pPr>
              <w:pStyle w:val="TableText"/>
              <w:rPr>
                <w:rFonts w:cs="Arial"/>
                <w:b/>
                <w:color w:val="FFFFFF" w:themeColor="background1"/>
                <w:szCs w:val="18"/>
              </w:rPr>
            </w:pPr>
            <w:r w:rsidRPr="005B0AE9">
              <w:rPr>
                <w:rFonts w:cs="Arial"/>
                <w:b/>
                <w:color w:val="FFFFFF" w:themeColor="background1"/>
                <w:szCs w:val="18"/>
              </w:rPr>
              <w:t>Risk 4: Credit and counterparty risk</w:t>
            </w:r>
          </w:p>
        </w:tc>
        <w:tc>
          <w:tcPr>
            <w:tcW w:w="670" w:type="pct"/>
            <w:shd w:val="clear" w:color="auto" w:fill="EDEDED"/>
            <w:vAlign w:val="center"/>
          </w:tcPr>
          <w:p w14:paraId="5CEE6431" w14:textId="77777777" w:rsidR="00255135" w:rsidRPr="005B0AE9" w:rsidRDefault="00255135" w:rsidP="00006371">
            <w:pPr>
              <w:pStyle w:val="TableText"/>
              <w:jc w:val="center"/>
              <w:rPr>
                <w:b/>
                <w:szCs w:val="18"/>
              </w:rPr>
            </w:pPr>
            <w:r>
              <w:rPr>
                <w:b/>
                <w:bCs/>
                <w:szCs w:val="18"/>
              </w:rPr>
              <w:t>0</w:t>
            </w:r>
          </w:p>
        </w:tc>
        <w:tc>
          <w:tcPr>
            <w:tcW w:w="1537" w:type="pct"/>
            <w:shd w:val="clear" w:color="auto" w:fill="E2EFD9"/>
          </w:tcPr>
          <w:p w14:paraId="4086996C" w14:textId="77777777" w:rsidR="00255135" w:rsidRPr="005B0AE9" w:rsidRDefault="00255135" w:rsidP="00022AC2">
            <w:pPr>
              <w:pStyle w:val="TableText"/>
              <w:jc w:val="center"/>
              <w:rPr>
                <w:rFonts w:ascii="Arial" w:hAnsi="Arial"/>
                <w:szCs w:val="18"/>
                <w:shd w:val="clear" w:color="auto" w:fill="F7E1D3" w:themeFill="accent6" w:themeFillTint="33"/>
              </w:rPr>
            </w:pPr>
            <w:r w:rsidRPr="005B0AE9">
              <w:rPr>
                <w:rFonts w:ascii="Arial" w:hAnsi="Arial"/>
                <w:b/>
                <w:color w:val="00B050"/>
                <w:szCs w:val="18"/>
              </w:rPr>
              <w:t>+</w:t>
            </w:r>
          </w:p>
          <w:p w14:paraId="06B8941D" w14:textId="77777777" w:rsidR="00255135" w:rsidRPr="005B0AE9" w:rsidRDefault="00255135" w:rsidP="00022AC2">
            <w:pPr>
              <w:pStyle w:val="TableText"/>
              <w:jc w:val="center"/>
              <w:rPr>
                <w:szCs w:val="18"/>
              </w:rPr>
            </w:pPr>
            <w:r w:rsidRPr="005B0AE9">
              <w:rPr>
                <w:szCs w:val="18"/>
              </w:rPr>
              <w:t>Licensed market operators are responsible</w:t>
            </w:r>
            <w:r>
              <w:rPr>
                <w:szCs w:val="18"/>
              </w:rPr>
              <w:t xml:space="preserve"> for</w:t>
            </w:r>
            <w:r w:rsidRPr="005B0AE9">
              <w:rPr>
                <w:szCs w:val="18"/>
              </w:rPr>
              <w:t xml:space="preserve"> running their market in a fair and orderly manner. </w:t>
            </w:r>
            <w:r>
              <w:rPr>
                <w:szCs w:val="18"/>
              </w:rPr>
              <w:t xml:space="preserve">The </w:t>
            </w:r>
            <w:r w:rsidRPr="005B0AE9">
              <w:rPr>
                <w:szCs w:val="18"/>
              </w:rPr>
              <w:t xml:space="preserve">FMC Act requires they must develop market rules. These typically include rules that deal with </w:t>
            </w:r>
            <w:r>
              <w:rPr>
                <w:szCs w:val="18"/>
              </w:rPr>
              <w:t>credit and counterparty</w:t>
            </w:r>
            <w:r w:rsidRPr="005B0AE9">
              <w:rPr>
                <w:szCs w:val="18"/>
              </w:rPr>
              <w:t xml:space="preserve"> risk. The FMA must approve these market rules</w:t>
            </w:r>
            <w:r>
              <w:rPr>
                <w:szCs w:val="18"/>
              </w:rPr>
              <w:t>.</w:t>
            </w:r>
          </w:p>
        </w:tc>
        <w:tc>
          <w:tcPr>
            <w:tcW w:w="1537" w:type="pct"/>
            <w:shd w:val="clear" w:color="auto" w:fill="EDEDED"/>
          </w:tcPr>
          <w:p w14:paraId="7216C1C6" w14:textId="77777777" w:rsidR="00255135" w:rsidRPr="005B0AE9" w:rsidRDefault="00255135" w:rsidP="00022AC2">
            <w:pPr>
              <w:pStyle w:val="TableText"/>
              <w:jc w:val="center"/>
              <w:rPr>
                <w:rFonts w:cs="Arial"/>
                <w:b/>
                <w:szCs w:val="18"/>
              </w:rPr>
            </w:pPr>
            <w:r w:rsidRPr="005B0AE9">
              <w:rPr>
                <w:rFonts w:cs="Arial"/>
                <w:b/>
                <w:bCs/>
                <w:szCs w:val="18"/>
              </w:rPr>
              <w:t>0</w:t>
            </w:r>
          </w:p>
          <w:p w14:paraId="6E14AD55" w14:textId="77777777" w:rsidR="00255135" w:rsidRPr="005B0AE9" w:rsidRDefault="00255135" w:rsidP="00022AC2">
            <w:pPr>
              <w:pStyle w:val="TableText"/>
              <w:jc w:val="center"/>
              <w:rPr>
                <w:rFonts w:cs="Arial"/>
                <w:szCs w:val="18"/>
              </w:rPr>
            </w:pPr>
            <w:r w:rsidRPr="005B0AE9">
              <w:rPr>
                <w:szCs w:val="18"/>
              </w:rPr>
              <w:t>No change to credit and counter party rules from the status quo</w:t>
            </w:r>
            <w:r>
              <w:rPr>
                <w:szCs w:val="18"/>
              </w:rPr>
              <w:t>.</w:t>
            </w:r>
          </w:p>
        </w:tc>
      </w:tr>
      <w:tr w:rsidR="00255135" w:rsidRPr="008F3ED2" w14:paraId="6A1A8BD6" w14:textId="77777777" w:rsidTr="00022AC2">
        <w:trPr>
          <w:cantSplit/>
          <w:trHeight w:val="378"/>
        </w:trPr>
        <w:tc>
          <w:tcPr>
            <w:tcW w:w="1256" w:type="pct"/>
            <w:shd w:val="clear" w:color="auto" w:fill="1C556C"/>
            <w:vAlign w:val="center"/>
          </w:tcPr>
          <w:p w14:paraId="06F71D36" w14:textId="77777777" w:rsidR="00255135" w:rsidRPr="005B0AE9" w:rsidRDefault="00255135" w:rsidP="00006371">
            <w:pPr>
              <w:pStyle w:val="TableText"/>
              <w:rPr>
                <w:rFonts w:cs="Arial"/>
                <w:b/>
                <w:color w:val="FFFFFF" w:themeColor="background1"/>
                <w:szCs w:val="18"/>
              </w:rPr>
            </w:pPr>
            <w:r w:rsidRPr="005B0AE9">
              <w:rPr>
                <w:rFonts w:cs="Arial"/>
                <w:b/>
                <w:color w:val="FFFFFF" w:themeColor="background1"/>
                <w:szCs w:val="18"/>
              </w:rPr>
              <w:t>Risk 5: Insider trading and information asymmetry</w:t>
            </w:r>
          </w:p>
        </w:tc>
        <w:tc>
          <w:tcPr>
            <w:tcW w:w="670" w:type="pct"/>
            <w:shd w:val="clear" w:color="auto" w:fill="EDEDED"/>
            <w:vAlign w:val="center"/>
          </w:tcPr>
          <w:p w14:paraId="51285DE8" w14:textId="77777777" w:rsidR="00255135" w:rsidRPr="00A57673" w:rsidRDefault="00255135" w:rsidP="00006371">
            <w:pPr>
              <w:pStyle w:val="TableText"/>
              <w:jc w:val="center"/>
              <w:rPr>
                <w:b/>
                <w:szCs w:val="18"/>
              </w:rPr>
            </w:pPr>
            <w:r>
              <w:rPr>
                <w:b/>
                <w:bCs/>
                <w:szCs w:val="18"/>
              </w:rPr>
              <w:t>0</w:t>
            </w:r>
          </w:p>
        </w:tc>
        <w:tc>
          <w:tcPr>
            <w:tcW w:w="1537" w:type="pct"/>
            <w:shd w:val="clear" w:color="auto" w:fill="C5E0B3"/>
          </w:tcPr>
          <w:p w14:paraId="14A77D74" w14:textId="77777777" w:rsidR="00255135" w:rsidRPr="00A57673" w:rsidRDefault="00255135" w:rsidP="00022AC2">
            <w:pPr>
              <w:pStyle w:val="TableText"/>
              <w:jc w:val="center"/>
              <w:rPr>
                <w:rFonts w:ascii="Arial" w:hAnsi="Arial"/>
                <w:b/>
                <w:color w:val="00B050"/>
                <w:szCs w:val="18"/>
              </w:rPr>
            </w:pPr>
            <w:r w:rsidRPr="00A57673">
              <w:rPr>
                <w:rFonts w:ascii="Arial" w:hAnsi="Arial"/>
                <w:b/>
                <w:color w:val="00B050"/>
                <w:szCs w:val="18"/>
              </w:rPr>
              <w:t>++</w:t>
            </w:r>
          </w:p>
          <w:p w14:paraId="78847B64" w14:textId="77777777" w:rsidR="00255135" w:rsidRPr="00A57673" w:rsidRDefault="00255135" w:rsidP="00022AC2">
            <w:pPr>
              <w:pStyle w:val="TableText"/>
              <w:jc w:val="center"/>
              <w:rPr>
                <w:szCs w:val="18"/>
              </w:rPr>
            </w:pPr>
            <w:r w:rsidRPr="00A57673">
              <w:rPr>
                <w:szCs w:val="18"/>
              </w:rPr>
              <w:t>Insider trading by the public using government policy information is prohibited, reducing the risk of misconduct, increasing confidence and integrity</w:t>
            </w:r>
            <w:r>
              <w:rPr>
                <w:szCs w:val="18"/>
              </w:rPr>
              <w:t>.</w:t>
            </w:r>
          </w:p>
        </w:tc>
        <w:tc>
          <w:tcPr>
            <w:tcW w:w="1537" w:type="pct"/>
            <w:shd w:val="clear" w:color="auto" w:fill="EDEDED"/>
          </w:tcPr>
          <w:p w14:paraId="0D7EAAA2" w14:textId="77777777" w:rsidR="00255135" w:rsidRPr="00A57673" w:rsidRDefault="00255135" w:rsidP="00022AC2">
            <w:pPr>
              <w:pStyle w:val="TableText"/>
              <w:jc w:val="center"/>
              <w:rPr>
                <w:rFonts w:cs="Arial"/>
                <w:b/>
                <w:szCs w:val="18"/>
              </w:rPr>
            </w:pPr>
            <w:r w:rsidRPr="00A57673">
              <w:rPr>
                <w:rFonts w:cs="Arial"/>
                <w:b/>
                <w:bCs/>
                <w:szCs w:val="18"/>
              </w:rPr>
              <w:t>0</w:t>
            </w:r>
          </w:p>
          <w:p w14:paraId="4F64D3B4" w14:textId="70673362" w:rsidR="00255135" w:rsidRPr="00A57673" w:rsidRDefault="00255135" w:rsidP="00022AC2">
            <w:pPr>
              <w:pStyle w:val="TableText"/>
              <w:jc w:val="center"/>
              <w:rPr>
                <w:rFonts w:cs="Arial"/>
                <w:szCs w:val="18"/>
              </w:rPr>
            </w:pPr>
            <w:r w:rsidRPr="00A57673">
              <w:rPr>
                <w:szCs w:val="18"/>
              </w:rPr>
              <w:t>No change to insider</w:t>
            </w:r>
            <w:r w:rsidR="0085314A">
              <w:rPr>
                <w:szCs w:val="18"/>
              </w:rPr>
              <w:t>-</w:t>
            </w:r>
            <w:r w:rsidRPr="00A57673">
              <w:rPr>
                <w:szCs w:val="18"/>
              </w:rPr>
              <w:t>trading prohibitions from the status quo</w:t>
            </w:r>
            <w:r>
              <w:rPr>
                <w:szCs w:val="18"/>
              </w:rPr>
              <w:t>.</w:t>
            </w:r>
          </w:p>
        </w:tc>
      </w:tr>
      <w:tr w:rsidR="00255135" w:rsidRPr="008F3ED2" w14:paraId="31B8262D" w14:textId="77777777" w:rsidTr="00022AC2">
        <w:trPr>
          <w:cantSplit/>
          <w:trHeight w:val="378"/>
        </w:trPr>
        <w:tc>
          <w:tcPr>
            <w:tcW w:w="1256" w:type="pct"/>
            <w:shd w:val="clear" w:color="auto" w:fill="1C556C"/>
            <w:vAlign w:val="center"/>
          </w:tcPr>
          <w:p w14:paraId="17737CB7" w14:textId="2771C8B4" w:rsidR="00255135" w:rsidRPr="00A57673" w:rsidRDefault="00255135" w:rsidP="00006371">
            <w:pPr>
              <w:pStyle w:val="TableText"/>
              <w:rPr>
                <w:rFonts w:cstheme="minorHAnsi"/>
                <w:color w:val="FFFFFF" w:themeColor="background1"/>
                <w:szCs w:val="18"/>
              </w:rPr>
            </w:pPr>
            <w:r w:rsidRPr="00B711D1">
              <w:rPr>
                <w:rFonts w:cstheme="minorHAnsi"/>
                <w:b/>
                <w:bCs/>
                <w:color w:val="FFFFFF" w:themeColor="background1"/>
                <w:szCs w:val="18"/>
              </w:rPr>
              <w:t xml:space="preserve">Risk </w:t>
            </w:r>
            <w:proofErr w:type="gramStart"/>
            <w:r w:rsidRPr="00B711D1">
              <w:rPr>
                <w:rFonts w:cstheme="minorHAnsi"/>
                <w:b/>
                <w:bCs/>
                <w:color w:val="FFFFFF" w:themeColor="background1"/>
                <w:szCs w:val="18"/>
              </w:rPr>
              <w:t>6</w:t>
            </w:r>
            <w:r w:rsidRPr="00B711D1">
              <w:rPr>
                <w:rFonts w:cstheme="minorHAnsi"/>
                <w:b/>
                <w:bCs/>
                <w:color w:val="FFFFFF" w:themeColor="background1"/>
                <w:szCs w:val="18"/>
                <w:rtl/>
              </w:rPr>
              <w:t xml:space="preserve"> </w:t>
            </w:r>
            <w:r w:rsidR="00B5106E" w:rsidRPr="00B711D1">
              <w:rPr>
                <w:rFonts w:cstheme="minorHAnsi"/>
                <w:b/>
                <w:bCs/>
                <w:color w:val="FFFFFF" w:themeColor="background1"/>
                <w:szCs w:val="18"/>
                <w:rtl/>
              </w:rPr>
              <w:t>:</w:t>
            </w:r>
            <w:proofErr w:type="gramEnd"/>
            <w:r w:rsidR="00B5106E">
              <w:rPr>
                <w:rFonts w:cstheme="minorHAnsi" w:hint="cs"/>
                <w:color w:val="FFFFFF" w:themeColor="background1"/>
                <w:szCs w:val="18"/>
                <w:rtl/>
              </w:rPr>
              <w:t xml:space="preserve"> </w:t>
            </w:r>
            <w:r w:rsidR="00CC0C15">
              <w:rPr>
                <w:rFonts w:cstheme="minorHAnsi"/>
                <w:bCs/>
                <w:color w:val="FFFFFF" w:themeColor="background1"/>
                <w:szCs w:val="18"/>
              </w:rPr>
              <w:t>Ma</w:t>
            </w:r>
            <w:r w:rsidRPr="00A57673">
              <w:rPr>
                <w:rFonts w:cstheme="minorHAnsi"/>
                <w:bCs/>
                <w:color w:val="FFFFFF" w:themeColor="background1"/>
                <w:szCs w:val="18"/>
              </w:rPr>
              <w:t>nipulation</w:t>
            </w:r>
            <w:r w:rsidRPr="00A57673">
              <w:rPr>
                <w:rFonts w:cstheme="minorHAnsi"/>
                <w:color w:val="FFFFFF" w:themeColor="background1"/>
                <w:szCs w:val="18"/>
                <w:rtl/>
              </w:rPr>
              <w:t xml:space="preserve"> </w:t>
            </w:r>
            <w:r w:rsidRPr="00A57673">
              <w:rPr>
                <w:rFonts w:cstheme="minorHAnsi"/>
                <w:color w:val="FFFFFF" w:themeColor="background1"/>
                <w:szCs w:val="18"/>
              </w:rPr>
              <w:t>of</w:t>
            </w:r>
            <w:r w:rsidRPr="00A57673">
              <w:rPr>
                <w:rFonts w:cstheme="minorHAnsi"/>
                <w:color w:val="FFFFFF" w:themeColor="background1"/>
                <w:szCs w:val="18"/>
                <w:rtl/>
              </w:rPr>
              <w:t xml:space="preserve"> </w:t>
            </w:r>
            <w:r w:rsidRPr="00A57673">
              <w:rPr>
                <w:rFonts w:cstheme="minorHAnsi"/>
                <w:color w:val="FFFFFF" w:themeColor="background1"/>
                <w:szCs w:val="18"/>
              </w:rPr>
              <w:t>NZU</w:t>
            </w:r>
            <w:r w:rsidRPr="00A57673">
              <w:rPr>
                <w:rFonts w:cstheme="minorHAnsi"/>
                <w:color w:val="FFFFFF" w:themeColor="background1"/>
                <w:szCs w:val="18"/>
                <w:rtl/>
              </w:rPr>
              <w:t xml:space="preserve"> </w:t>
            </w:r>
            <w:r w:rsidRPr="00A57673">
              <w:rPr>
                <w:rFonts w:cstheme="minorHAnsi"/>
                <w:color w:val="FFFFFF" w:themeColor="background1"/>
                <w:szCs w:val="18"/>
              </w:rPr>
              <w:t>prices</w:t>
            </w:r>
          </w:p>
        </w:tc>
        <w:tc>
          <w:tcPr>
            <w:tcW w:w="670" w:type="pct"/>
            <w:shd w:val="clear" w:color="auto" w:fill="EDEDED"/>
            <w:vAlign w:val="center"/>
          </w:tcPr>
          <w:p w14:paraId="44844881" w14:textId="77777777" w:rsidR="00255135" w:rsidRPr="00A57673" w:rsidRDefault="00255135" w:rsidP="00006371">
            <w:pPr>
              <w:pStyle w:val="TableText"/>
              <w:jc w:val="center"/>
              <w:rPr>
                <w:b/>
                <w:szCs w:val="18"/>
              </w:rPr>
            </w:pPr>
            <w:r>
              <w:rPr>
                <w:b/>
                <w:bCs/>
                <w:szCs w:val="18"/>
              </w:rPr>
              <w:t>0</w:t>
            </w:r>
          </w:p>
        </w:tc>
        <w:tc>
          <w:tcPr>
            <w:tcW w:w="1537" w:type="pct"/>
            <w:shd w:val="clear" w:color="auto" w:fill="C5E0B3"/>
          </w:tcPr>
          <w:p w14:paraId="21DE5668" w14:textId="77777777" w:rsidR="00255135" w:rsidRPr="00A57673" w:rsidRDefault="00255135" w:rsidP="00022AC2">
            <w:pPr>
              <w:pStyle w:val="TableText"/>
              <w:jc w:val="center"/>
              <w:rPr>
                <w:rFonts w:ascii="Arial" w:hAnsi="Arial"/>
                <w:b/>
                <w:color w:val="00B050"/>
                <w:szCs w:val="18"/>
              </w:rPr>
            </w:pPr>
            <w:r w:rsidRPr="00A57673">
              <w:rPr>
                <w:rFonts w:ascii="Arial" w:hAnsi="Arial"/>
                <w:b/>
                <w:color w:val="00B050"/>
                <w:szCs w:val="18"/>
              </w:rPr>
              <w:t>++</w:t>
            </w:r>
          </w:p>
          <w:p w14:paraId="69A58994" w14:textId="532D7695" w:rsidR="00255135" w:rsidRPr="00A57673" w:rsidRDefault="00255135" w:rsidP="00022AC2">
            <w:pPr>
              <w:pStyle w:val="TableText"/>
              <w:jc w:val="center"/>
            </w:pPr>
            <w:r w:rsidRPr="00A57673">
              <w:t xml:space="preserve">Market manipulation is prohibited, and licensed market operators are </w:t>
            </w:r>
            <w:r w:rsidR="00C9495E">
              <w:t>monitorin</w:t>
            </w:r>
            <w:r w:rsidR="00794A3C">
              <w:t>g</w:t>
            </w:r>
            <w:r w:rsidRPr="00A57673">
              <w:t xml:space="preserve"> for manipulation</w:t>
            </w:r>
            <w:r>
              <w:t>.</w:t>
            </w:r>
          </w:p>
        </w:tc>
        <w:tc>
          <w:tcPr>
            <w:tcW w:w="1537" w:type="pct"/>
            <w:shd w:val="clear" w:color="auto" w:fill="E2EFD9"/>
          </w:tcPr>
          <w:p w14:paraId="0E9BDCA5" w14:textId="77777777" w:rsidR="00255135" w:rsidRPr="00A57673" w:rsidRDefault="00255135" w:rsidP="00022AC2">
            <w:pPr>
              <w:pStyle w:val="TableText"/>
              <w:jc w:val="center"/>
              <w:rPr>
                <w:rFonts w:ascii="Arial" w:hAnsi="Arial"/>
                <w:b/>
                <w:color w:val="00B050"/>
                <w:szCs w:val="18"/>
              </w:rPr>
            </w:pPr>
            <w:r w:rsidRPr="00A57673">
              <w:rPr>
                <w:rFonts w:ascii="Arial" w:hAnsi="Arial"/>
                <w:b/>
                <w:color w:val="00B050"/>
                <w:szCs w:val="18"/>
              </w:rPr>
              <w:t>+</w:t>
            </w:r>
          </w:p>
          <w:p w14:paraId="0C6C4C4F" w14:textId="77777777" w:rsidR="00255135" w:rsidRPr="00A57673" w:rsidRDefault="00255135" w:rsidP="00022AC2">
            <w:pPr>
              <w:pStyle w:val="TableText"/>
              <w:jc w:val="center"/>
              <w:rPr>
                <w:rFonts w:ascii="Arial" w:hAnsi="Arial"/>
                <w:b/>
                <w:color w:val="00B050"/>
                <w:szCs w:val="18"/>
              </w:rPr>
            </w:pPr>
            <w:r w:rsidRPr="00A57673">
              <w:rPr>
                <w:rFonts w:cs="Arial"/>
                <w:szCs w:val="18"/>
              </w:rPr>
              <w:t>Market manipulation is prohibited, reducing the risk of misconduct, increasing confidence and integrity</w:t>
            </w:r>
            <w:r>
              <w:rPr>
                <w:rFonts w:cs="Arial"/>
                <w:szCs w:val="18"/>
              </w:rPr>
              <w:t>.</w:t>
            </w:r>
          </w:p>
        </w:tc>
      </w:tr>
      <w:tr w:rsidR="00255135" w:rsidRPr="008F3ED2" w14:paraId="067992B8" w14:textId="77777777" w:rsidTr="00022AC2">
        <w:trPr>
          <w:cantSplit/>
          <w:trHeight w:val="378"/>
        </w:trPr>
        <w:tc>
          <w:tcPr>
            <w:tcW w:w="1256" w:type="pct"/>
            <w:shd w:val="clear" w:color="auto" w:fill="1C556C"/>
            <w:vAlign w:val="center"/>
          </w:tcPr>
          <w:p w14:paraId="009D5E06" w14:textId="77777777" w:rsidR="00255135" w:rsidRPr="00A57673" w:rsidRDefault="00255135" w:rsidP="00006371">
            <w:pPr>
              <w:pStyle w:val="TableText"/>
              <w:rPr>
                <w:rFonts w:cs="Arial"/>
                <w:b/>
                <w:color w:val="FFFFFF" w:themeColor="background1"/>
                <w:szCs w:val="18"/>
              </w:rPr>
            </w:pPr>
            <w:r w:rsidRPr="00A57673">
              <w:rPr>
                <w:rFonts w:cs="Arial"/>
                <w:b/>
                <w:color w:val="FFFFFF" w:themeColor="background1"/>
                <w:szCs w:val="18"/>
              </w:rPr>
              <w:t>Overall assessment</w:t>
            </w:r>
          </w:p>
        </w:tc>
        <w:tc>
          <w:tcPr>
            <w:tcW w:w="670" w:type="pct"/>
            <w:shd w:val="clear" w:color="auto" w:fill="EDEDED"/>
            <w:vAlign w:val="center"/>
          </w:tcPr>
          <w:p w14:paraId="302CBF35" w14:textId="77777777" w:rsidR="00255135" w:rsidRPr="00A57673" w:rsidRDefault="00255135" w:rsidP="00006371">
            <w:pPr>
              <w:pStyle w:val="TableText"/>
              <w:jc w:val="center"/>
              <w:rPr>
                <w:b/>
                <w:szCs w:val="18"/>
              </w:rPr>
            </w:pPr>
            <w:r>
              <w:rPr>
                <w:b/>
                <w:bCs/>
                <w:szCs w:val="18"/>
              </w:rPr>
              <w:t>0</w:t>
            </w:r>
          </w:p>
          <w:p w14:paraId="3FB0227B" w14:textId="77777777" w:rsidR="00255135" w:rsidRPr="00A57673" w:rsidRDefault="00255135" w:rsidP="00006371">
            <w:pPr>
              <w:pStyle w:val="TableText"/>
              <w:jc w:val="center"/>
              <w:rPr>
                <w:b/>
                <w:szCs w:val="18"/>
              </w:rPr>
            </w:pPr>
          </w:p>
        </w:tc>
        <w:tc>
          <w:tcPr>
            <w:tcW w:w="1537" w:type="pct"/>
            <w:shd w:val="clear" w:color="auto" w:fill="C5E0B3"/>
          </w:tcPr>
          <w:p w14:paraId="63279FF0" w14:textId="77777777" w:rsidR="00255135" w:rsidRPr="00A57673" w:rsidRDefault="00255135" w:rsidP="00022AC2">
            <w:pPr>
              <w:pStyle w:val="TableText"/>
              <w:jc w:val="center"/>
              <w:rPr>
                <w:rFonts w:ascii="Arial" w:hAnsi="Arial" w:cs="Arial"/>
                <w:b/>
                <w:szCs w:val="18"/>
              </w:rPr>
            </w:pPr>
            <w:r w:rsidRPr="00A57673">
              <w:rPr>
                <w:rFonts w:ascii="Arial" w:hAnsi="Arial"/>
                <w:b/>
                <w:color w:val="00B050"/>
                <w:szCs w:val="18"/>
              </w:rPr>
              <w:t>++</w:t>
            </w:r>
          </w:p>
          <w:p w14:paraId="022F94DB" w14:textId="77777777" w:rsidR="00255135" w:rsidRPr="00A57673" w:rsidRDefault="00255135" w:rsidP="00022AC2">
            <w:pPr>
              <w:pStyle w:val="TableText"/>
              <w:jc w:val="center"/>
              <w:rPr>
                <w:b/>
              </w:rPr>
            </w:pPr>
            <w:r w:rsidRPr="00A57673">
              <w:rPr>
                <w:b/>
              </w:rPr>
              <w:t>(Preferred option)</w:t>
            </w:r>
          </w:p>
          <w:p w14:paraId="766E40CA" w14:textId="77777777" w:rsidR="00255135" w:rsidRPr="00A57673" w:rsidRDefault="00255135" w:rsidP="00022AC2">
            <w:pPr>
              <w:pStyle w:val="TableText"/>
              <w:jc w:val="center"/>
            </w:pPr>
            <w:r w:rsidRPr="00A57673">
              <w:rPr>
                <w:b/>
              </w:rPr>
              <w:t>This option is much better than the status quo, as it provides a notable increase in mitigating every risk</w:t>
            </w:r>
            <w:r>
              <w:rPr>
                <w:b/>
              </w:rPr>
              <w:t>.</w:t>
            </w:r>
          </w:p>
        </w:tc>
        <w:tc>
          <w:tcPr>
            <w:tcW w:w="1537" w:type="pct"/>
            <w:shd w:val="clear" w:color="auto" w:fill="E2EFD9"/>
          </w:tcPr>
          <w:p w14:paraId="7EB87E2B" w14:textId="77777777" w:rsidR="00255135" w:rsidRPr="00A57673" w:rsidRDefault="00255135" w:rsidP="00022AC2">
            <w:pPr>
              <w:pStyle w:val="TableText"/>
              <w:jc w:val="center"/>
              <w:rPr>
                <w:rFonts w:ascii="Arial" w:hAnsi="Arial"/>
                <w:b/>
                <w:color w:val="00B050"/>
                <w:szCs w:val="18"/>
              </w:rPr>
            </w:pPr>
            <w:r w:rsidRPr="00A57673">
              <w:rPr>
                <w:rFonts w:ascii="Arial" w:hAnsi="Arial"/>
                <w:b/>
                <w:color w:val="00B050"/>
                <w:szCs w:val="18"/>
              </w:rPr>
              <w:t>+</w:t>
            </w:r>
          </w:p>
          <w:p w14:paraId="06CD210D" w14:textId="77777777" w:rsidR="00255135" w:rsidRPr="00001747" w:rsidRDefault="00255135" w:rsidP="00022AC2">
            <w:pPr>
              <w:pStyle w:val="TableText"/>
              <w:jc w:val="center"/>
              <w:rPr>
                <w:rFonts w:ascii="Arial" w:hAnsi="Arial"/>
                <w:b/>
                <w:color w:val="00B050"/>
                <w:szCs w:val="18"/>
              </w:rPr>
            </w:pPr>
            <w:r w:rsidRPr="00A57673">
              <w:rPr>
                <w:szCs w:val="18"/>
              </w:rPr>
              <w:t xml:space="preserve">This option is better than the status quo at addressing the market risks, </w:t>
            </w:r>
            <w:r>
              <w:rPr>
                <w:szCs w:val="18"/>
              </w:rPr>
              <w:t>but</w:t>
            </w:r>
            <w:r w:rsidRPr="00A57673">
              <w:rPr>
                <w:szCs w:val="18"/>
              </w:rPr>
              <w:t xml:space="preserve"> it still leaves vulnerabilities in the</w:t>
            </w:r>
            <w:r>
              <w:rPr>
                <w:szCs w:val="18"/>
              </w:rPr>
              <w:t> </w:t>
            </w:r>
            <w:r w:rsidRPr="00A57673">
              <w:rPr>
                <w:szCs w:val="18"/>
              </w:rPr>
              <w:t>market</w:t>
            </w:r>
            <w:r>
              <w:rPr>
                <w:szCs w:val="18"/>
              </w:rPr>
              <w:t>.</w:t>
            </w:r>
          </w:p>
        </w:tc>
      </w:tr>
    </w:tbl>
    <w:p w14:paraId="00FE49A8" w14:textId="77777777" w:rsidR="00255135" w:rsidRPr="00747EF6" w:rsidRDefault="00255135" w:rsidP="00255135">
      <w:pPr>
        <w:spacing w:before="0" w:after="160" w:line="259" w:lineRule="auto"/>
        <w:jc w:val="left"/>
      </w:pPr>
      <w:r w:rsidRPr="00747EF6">
        <w:br w:type="page"/>
      </w:r>
    </w:p>
    <w:p w14:paraId="365C56F9" w14:textId="77777777" w:rsidR="00255135" w:rsidRDefault="00255135" w:rsidP="00255135">
      <w:pPr>
        <w:pStyle w:val="Heading1"/>
      </w:pPr>
      <w:bookmarkStart w:id="190" w:name="_Appendix_C:_Topic"/>
      <w:bookmarkStart w:id="191" w:name="_Toc118703561"/>
      <w:bookmarkStart w:id="192" w:name="_Toc118953614"/>
      <w:bookmarkEnd w:id="190"/>
      <w:r w:rsidRPr="00747EF6">
        <w:lastRenderedPageBreak/>
        <w:t xml:space="preserve">Appendix C: Topic 2 </w:t>
      </w:r>
      <w:r>
        <w:t>o</w:t>
      </w:r>
      <w:r w:rsidRPr="00747EF6">
        <w:t>ption</w:t>
      </w:r>
      <w:r>
        <w:t>s</w:t>
      </w:r>
      <w:r w:rsidRPr="00747EF6">
        <w:t xml:space="preserve"> and </w:t>
      </w:r>
      <w:bookmarkEnd w:id="191"/>
      <w:r>
        <w:t>r</w:t>
      </w:r>
      <w:r w:rsidRPr="00747EF6">
        <w:t xml:space="preserve">isk </w:t>
      </w:r>
      <w:r>
        <w:t>a</w:t>
      </w:r>
      <w:r w:rsidRPr="00747EF6">
        <w:t>nalysis</w:t>
      </w:r>
      <w:bookmarkEnd w:id="192"/>
    </w:p>
    <w:p w14:paraId="6FF3069E" w14:textId="77777777" w:rsidR="00255135" w:rsidRDefault="00255135" w:rsidP="00255135">
      <w:pPr>
        <w:pStyle w:val="Heading3"/>
      </w:pPr>
      <w:bookmarkStart w:id="193" w:name="_Toc116391420"/>
      <w:r w:rsidRPr="00747EF6">
        <w:t xml:space="preserve">Options </w:t>
      </w:r>
      <w:bookmarkEnd w:id="193"/>
      <w:r>
        <w:t>a</w:t>
      </w:r>
      <w:r w:rsidRPr="00747EF6">
        <w:t>nalysis</w:t>
      </w:r>
    </w:p>
    <w:p w14:paraId="5951CC04" w14:textId="33A54503" w:rsidR="00255135" w:rsidRPr="00460935" w:rsidRDefault="00534624" w:rsidP="00255135">
      <w:pPr>
        <w:pStyle w:val="BodyText"/>
      </w:pPr>
      <w:r>
        <w:t>Table 19</w:t>
      </w:r>
      <w:r w:rsidR="00255135">
        <w:t xml:space="preserve"> below provides the impact analysis of the topic 2 options.</w:t>
      </w:r>
    </w:p>
    <w:p w14:paraId="320C8F98" w14:textId="716F02BF" w:rsidR="00255135" w:rsidRDefault="00255135" w:rsidP="00255135">
      <w:pPr>
        <w:pStyle w:val="Tableheading"/>
      </w:pPr>
      <w:bookmarkStart w:id="194" w:name="_Toc118953836"/>
      <w:r w:rsidDel="00982A22">
        <w:t>Table</w:t>
      </w:r>
      <w:bookmarkStart w:id="195" w:name="_Ref118634085"/>
      <w:r w:rsidR="00534624">
        <w:t xml:space="preserve"> 19</w:t>
      </w:r>
      <w:bookmarkEnd w:id="195"/>
      <w:r>
        <w:t xml:space="preserve">: </w:t>
      </w:r>
      <w:r>
        <w:tab/>
        <w:t>Options analysis for regulating NZU financial advice, transactional and/or custodial services</w:t>
      </w:r>
      <w:bookmarkEnd w:id="194"/>
    </w:p>
    <w:tbl>
      <w:tblPr>
        <w:tblW w:w="4963" w:type="pct"/>
        <w:tblInd w:w="108"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804"/>
        <w:gridCol w:w="1238"/>
        <w:gridCol w:w="6616"/>
        <w:gridCol w:w="4800"/>
      </w:tblGrid>
      <w:tr w:rsidR="00255135" w:rsidRPr="00B9752F" w14:paraId="7DCAC886" w14:textId="77777777" w:rsidTr="00022AC2">
        <w:trPr>
          <w:trHeight w:val="395"/>
          <w:tblHeader/>
        </w:trPr>
        <w:tc>
          <w:tcPr>
            <w:tcW w:w="624" w:type="pct"/>
            <w:shd w:val="clear" w:color="auto" w:fill="1C556C"/>
            <w:vAlign w:val="center"/>
          </w:tcPr>
          <w:p w14:paraId="26ED8167" w14:textId="77777777" w:rsidR="00255135" w:rsidRPr="00A00C13" w:rsidRDefault="00255135" w:rsidP="00006371">
            <w:pPr>
              <w:pStyle w:val="TableText"/>
              <w:rPr>
                <w:color w:val="FFFFFF" w:themeColor="background1"/>
              </w:rPr>
            </w:pPr>
          </w:p>
        </w:tc>
        <w:tc>
          <w:tcPr>
            <w:tcW w:w="428" w:type="pct"/>
            <w:shd w:val="clear" w:color="auto" w:fill="1C556C"/>
            <w:vAlign w:val="center"/>
          </w:tcPr>
          <w:p w14:paraId="008A1554" w14:textId="77777777" w:rsidR="00255135" w:rsidRPr="00A00C13" w:rsidRDefault="00255135" w:rsidP="00022AC2">
            <w:pPr>
              <w:pStyle w:val="TableText"/>
              <w:jc w:val="center"/>
              <w:rPr>
                <w:color w:val="FFFFFF" w:themeColor="background1"/>
              </w:rPr>
            </w:pPr>
            <w:r w:rsidRPr="00A00C13">
              <w:rPr>
                <w:b/>
                <w:color w:val="FFFFFF" w:themeColor="background1"/>
              </w:rPr>
              <w:t>Option one (status quo):</w:t>
            </w:r>
            <w:r w:rsidR="00022AC2">
              <w:rPr>
                <w:b/>
                <w:color w:val="FFFFFF" w:themeColor="background1"/>
              </w:rPr>
              <w:t xml:space="preserve"> </w:t>
            </w:r>
            <w:r w:rsidRPr="00A00C13">
              <w:rPr>
                <w:color w:val="FFFFFF" w:themeColor="background1"/>
              </w:rPr>
              <w:t>Existing legislation</w:t>
            </w:r>
          </w:p>
        </w:tc>
        <w:tc>
          <w:tcPr>
            <w:tcW w:w="2288" w:type="pct"/>
            <w:shd w:val="clear" w:color="auto" w:fill="1C556C"/>
            <w:vAlign w:val="center"/>
          </w:tcPr>
          <w:p w14:paraId="4C60E0E0" w14:textId="77777777" w:rsidR="00255135" w:rsidRPr="00A00C13" w:rsidRDefault="00255135" w:rsidP="00022AC2">
            <w:pPr>
              <w:pStyle w:val="TableText"/>
              <w:jc w:val="center"/>
              <w:rPr>
                <w:color w:val="FFFFFF" w:themeColor="background1"/>
              </w:rPr>
            </w:pPr>
            <w:r w:rsidRPr="00A00C13">
              <w:rPr>
                <w:b/>
                <w:color w:val="FFFFFF" w:themeColor="background1"/>
              </w:rPr>
              <w:t>Option two:</w:t>
            </w:r>
            <w:r w:rsidR="00022AC2">
              <w:rPr>
                <w:b/>
                <w:color w:val="FFFFFF" w:themeColor="background1"/>
              </w:rPr>
              <w:br/>
            </w:r>
            <w:r w:rsidRPr="00A00C13">
              <w:rPr>
                <w:color w:val="FFFFFF" w:themeColor="background1"/>
              </w:rPr>
              <w:t>Regulating NZU financial advice, transactional and/or custodial services</w:t>
            </w:r>
          </w:p>
        </w:tc>
        <w:tc>
          <w:tcPr>
            <w:tcW w:w="1660" w:type="pct"/>
            <w:shd w:val="clear" w:color="auto" w:fill="1C556C"/>
            <w:vAlign w:val="center"/>
          </w:tcPr>
          <w:p w14:paraId="3B9FD568" w14:textId="77777777" w:rsidR="00255135" w:rsidRPr="00A00C13" w:rsidRDefault="00255135" w:rsidP="00022AC2">
            <w:pPr>
              <w:pStyle w:val="TableText"/>
              <w:jc w:val="center"/>
              <w:rPr>
                <w:b/>
                <w:color w:val="FFFFFF" w:themeColor="background1"/>
              </w:rPr>
            </w:pPr>
            <w:r w:rsidRPr="00A00C13">
              <w:rPr>
                <w:b/>
                <w:color w:val="FFFFFF" w:themeColor="background1"/>
              </w:rPr>
              <w:t>Option three:</w:t>
            </w:r>
            <w:r w:rsidR="00022AC2">
              <w:rPr>
                <w:b/>
                <w:color w:val="FFFFFF" w:themeColor="background1"/>
              </w:rPr>
              <w:br/>
            </w:r>
            <w:r w:rsidRPr="00A00C13">
              <w:rPr>
                <w:color w:val="FFFFFF" w:themeColor="background1"/>
              </w:rPr>
              <w:t>Applying FMC Act wholesale client settings</w:t>
            </w:r>
          </w:p>
        </w:tc>
      </w:tr>
      <w:tr w:rsidR="00255135" w:rsidRPr="00747EF6" w14:paraId="6EA3ED90" w14:textId="77777777" w:rsidTr="00022AC2">
        <w:trPr>
          <w:cantSplit/>
          <w:trHeight w:val="615"/>
        </w:trPr>
        <w:tc>
          <w:tcPr>
            <w:tcW w:w="624" w:type="pct"/>
            <w:shd w:val="clear" w:color="auto" w:fill="1C556C"/>
            <w:vAlign w:val="center"/>
          </w:tcPr>
          <w:p w14:paraId="677BC366" w14:textId="77777777" w:rsidR="00255135" w:rsidRPr="00E51B6F" w:rsidRDefault="00255135" w:rsidP="00006371">
            <w:pPr>
              <w:pStyle w:val="TableText"/>
              <w:rPr>
                <w:b/>
                <w:color w:val="FFFFFF" w:themeColor="background1"/>
              </w:rPr>
            </w:pPr>
            <w:r w:rsidRPr="00E51B6F">
              <w:rPr>
                <w:b/>
                <w:color w:val="FFFFFF" w:themeColor="background1"/>
              </w:rPr>
              <w:t>Integrity</w:t>
            </w:r>
          </w:p>
        </w:tc>
        <w:tc>
          <w:tcPr>
            <w:tcW w:w="428" w:type="pct"/>
            <w:shd w:val="clear" w:color="auto" w:fill="EDEDED"/>
            <w:vAlign w:val="center"/>
          </w:tcPr>
          <w:p w14:paraId="120410AD" w14:textId="77777777" w:rsidR="00255135" w:rsidRPr="00E51B6F" w:rsidRDefault="00255135" w:rsidP="00006371">
            <w:pPr>
              <w:pStyle w:val="TableText"/>
              <w:jc w:val="center"/>
              <w:rPr>
                <w:b/>
              </w:rPr>
            </w:pPr>
            <w:r w:rsidRPr="00E51B6F">
              <w:rPr>
                <w:b/>
              </w:rPr>
              <w:t>0</w:t>
            </w:r>
          </w:p>
        </w:tc>
        <w:tc>
          <w:tcPr>
            <w:tcW w:w="2288" w:type="pct"/>
            <w:shd w:val="clear" w:color="auto" w:fill="C5E0B3"/>
          </w:tcPr>
          <w:p w14:paraId="4100708C" w14:textId="77777777" w:rsidR="00255135" w:rsidRPr="00022AC2" w:rsidRDefault="00255135" w:rsidP="00022AC2">
            <w:pPr>
              <w:pStyle w:val="TableText"/>
              <w:jc w:val="center"/>
              <w:rPr>
                <w:b/>
                <w:color w:val="00B050"/>
              </w:rPr>
            </w:pPr>
            <w:r w:rsidRPr="00022AC2">
              <w:rPr>
                <w:b/>
                <w:color w:val="00B050"/>
              </w:rPr>
              <w:t>++</w:t>
            </w:r>
          </w:p>
          <w:p w14:paraId="48EA9170" w14:textId="4AC949C7" w:rsidR="00255135" w:rsidRPr="00747EF6" w:rsidRDefault="00255135" w:rsidP="00022AC2">
            <w:pPr>
              <w:pStyle w:val="TableText"/>
              <w:jc w:val="center"/>
              <w:rPr>
                <w:b/>
                <w:color w:val="00B050"/>
              </w:rPr>
            </w:pPr>
            <w:r w:rsidRPr="00747EF6">
              <w:t>Provides highest integrity by ensuring all providers, whether licensed or not, are regulated to comply with fair</w:t>
            </w:r>
            <w:r w:rsidR="00FA0D81">
              <w:t>-</w:t>
            </w:r>
            <w:r w:rsidRPr="00747EF6">
              <w:t>dealing provisions. Provides greater level of protection for consumers</w:t>
            </w:r>
            <w:r w:rsidRPr="00747EF6" w:rsidDel="00B9752F">
              <w:t>.</w:t>
            </w:r>
          </w:p>
        </w:tc>
        <w:tc>
          <w:tcPr>
            <w:tcW w:w="1660" w:type="pct"/>
            <w:shd w:val="clear" w:color="auto" w:fill="C5E0B3"/>
          </w:tcPr>
          <w:p w14:paraId="69DA42B6" w14:textId="77777777" w:rsidR="00255135" w:rsidRPr="00747EF6" w:rsidRDefault="00255135" w:rsidP="00022AC2">
            <w:pPr>
              <w:pStyle w:val="TableText"/>
              <w:jc w:val="center"/>
              <w:rPr>
                <w:b/>
                <w:color w:val="00B050"/>
              </w:rPr>
            </w:pPr>
            <w:r w:rsidRPr="00747EF6">
              <w:rPr>
                <w:b/>
                <w:color w:val="00B050"/>
              </w:rPr>
              <w:t>+</w:t>
            </w:r>
          </w:p>
          <w:p w14:paraId="753E35D4" w14:textId="77777777" w:rsidR="00255135" w:rsidRPr="00747EF6" w:rsidRDefault="00255135" w:rsidP="00022AC2">
            <w:pPr>
              <w:pStyle w:val="TableText"/>
              <w:jc w:val="center"/>
              <w:rPr>
                <w:b/>
                <w:color w:val="00B050"/>
              </w:rPr>
            </w:pPr>
            <w:r w:rsidRPr="00747EF6">
              <w:rPr>
                <w:iCs/>
              </w:rPr>
              <w:t>Obligations to prioritise client</w:t>
            </w:r>
            <w:r>
              <w:rPr>
                <w:iCs/>
              </w:rPr>
              <w:t>’</w:t>
            </w:r>
            <w:r w:rsidRPr="00747EF6">
              <w:rPr>
                <w:iCs/>
              </w:rPr>
              <w:t>s interests and exercise care, diligence and skill increase integrity in the market.</w:t>
            </w:r>
          </w:p>
        </w:tc>
      </w:tr>
      <w:tr w:rsidR="00255135" w:rsidRPr="00747EF6" w14:paraId="66BA7F83" w14:textId="77777777" w:rsidTr="00022AC2">
        <w:trPr>
          <w:cantSplit/>
          <w:trHeight w:val="378"/>
        </w:trPr>
        <w:tc>
          <w:tcPr>
            <w:tcW w:w="624" w:type="pct"/>
            <w:shd w:val="clear" w:color="auto" w:fill="1C556C"/>
            <w:vAlign w:val="center"/>
          </w:tcPr>
          <w:p w14:paraId="21DDAEB7" w14:textId="77777777" w:rsidR="00255135" w:rsidRPr="00E51B6F" w:rsidRDefault="00255135" w:rsidP="00006371">
            <w:pPr>
              <w:pStyle w:val="TableText"/>
              <w:rPr>
                <w:b/>
                <w:color w:val="FFFFFF" w:themeColor="background1"/>
              </w:rPr>
            </w:pPr>
            <w:r w:rsidRPr="00E51B6F">
              <w:rPr>
                <w:b/>
                <w:color w:val="FFFFFF" w:themeColor="background1"/>
              </w:rPr>
              <w:t>Minimal complexity and administrative cost</w:t>
            </w:r>
          </w:p>
        </w:tc>
        <w:tc>
          <w:tcPr>
            <w:tcW w:w="428" w:type="pct"/>
            <w:shd w:val="clear" w:color="auto" w:fill="EDEDED"/>
            <w:vAlign w:val="center"/>
          </w:tcPr>
          <w:p w14:paraId="508470A1" w14:textId="77777777" w:rsidR="00255135" w:rsidRPr="00E51B6F" w:rsidRDefault="00255135" w:rsidP="00006371">
            <w:pPr>
              <w:pStyle w:val="TableText"/>
              <w:jc w:val="center"/>
              <w:rPr>
                <w:b/>
              </w:rPr>
            </w:pPr>
            <w:r w:rsidRPr="00E51B6F">
              <w:rPr>
                <w:b/>
              </w:rPr>
              <w:t>0</w:t>
            </w:r>
          </w:p>
        </w:tc>
        <w:tc>
          <w:tcPr>
            <w:tcW w:w="2288" w:type="pct"/>
            <w:shd w:val="clear" w:color="auto" w:fill="E2EFD9"/>
          </w:tcPr>
          <w:p w14:paraId="03E1BBA4" w14:textId="77777777" w:rsidR="00255135" w:rsidRPr="00747EF6" w:rsidRDefault="00255135" w:rsidP="00022AC2">
            <w:pPr>
              <w:pStyle w:val="TableText"/>
              <w:jc w:val="center"/>
              <w:rPr>
                <w:b/>
                <w:color w:val="00B050"/>
              </w:rPr>
            </w:pPr>
            <w:r w:rsidRPr="00747EF6">
              <w:rPr>
                <w:b/>
                <w:color w:val="00B050"/>
              </w:rPr>
              <w:t>+</w:t>
            </w:r>
          </w:p>
          <w:p w14:paraId="05E82C51" w14:textId="77777777" w:rsidR="00255135" w:rsidRPr="00747EF6" w:rsidRDefault="00255135" w:rsidP="00022AC2">
            <w:pPr>
              <w:pStyle w:val="TableText"/>
              <w:jc w:val="center"/>
            </w:pPr>
            <w:r w:rsidRPr="00747EF6">
              <w:t>Lower complexity through clearer obligations on parties. More statutory obligations and licensing conditions if servicing retail clients</w:t>
            </w:r>
            <w:r>
              <w:t>,</w:t>
            </w:r>
            <w:r w:rsidRPr="00747EF6">
              <w:t xml:space="preserve"> which means higher compliance costs. Some compliance costs may be passed onto clients.</w:t>
            </w:r>
          </w:p>
        </w:tc>
        <w:tc>
          <w:tcPr>
            <w:tcW w:w="1660" w:type="pct"/>
            <w:shd w:val="clear" w:color="auto" w:fill="C5E0B3"/>
          </w:tcPr>
          <w:p w14:paraId="36F8D992" w14:textId="77777777" w:rsidR="00255135" w:rsidRPr="00747EF6" w:rsidRDefault="00255135" w:rsidP="00022AC2">
            <w:pPr>
              <w:pStyle w:val="TableText"/>
              <w:jc w:val="center"/>
              <w:rPr>
                <w:b/>
                <w:color w:val="00B050"/>
              </w:rPr>
            </w:pPr>
            <w:r w:rsidRPr="00747EF6">
              <w:rPr>
                <w:b/>
                <w:color w:val="00B050"/>
              </w:rPr>
              <w:t>++</w:t>
            </w:r>
          </w:p>
          <w:p w14:paraId="03BF8E15" w14:textId="77777777" w:rsidR="00255135" w:rsidRPr="00747EF6" w:rsidRDefault="00255135" w:rsidP="00022AC2">
            <w:pPr>
              <w:pStyle w:val="TableText"/>
              <w:jc w:val="center"/>
              <w:rPr>
                <w:b/>
                <w:color w:val="00B050"/>
              </w:rPr>
            </w:pPr>
            <w:r w:rsidRPr="00747EF6">
              <w:t>Lower complexity through clearer obligations on parties. Lower cost through no licensing and lighter obligations.</w:t>
            </w:r>
          </w:p>
        </w:tc>
      </w:tr>
      <w:tr w:rsidR="00255135" w:rsidRPr="00747EF6" w14:paraId="666D8DC7" w14:textId="77777777" w:rsidTr="00022AC2">
        <w:trPr>
          <w:cantSplit/>
          <w:trHeight w:val="378"/>
        </w:trPr>
        <w:tc>
          <w:tcPr>
            <w:tcW w:w="624" w:type="pct"/>
            <w:shd w:val="clear" w:color="auto" w:fill="1C556C"/>
            <w:vAlign w:val="center"/>
          </w:tcPr>
          <w:p w14:paraId="1BBAB429" w14:textId="77777777" w:rsidR="00255135" w:rsidRPr="00E51B6F" w:rsidRDefault="00255135" w:rsidP="00006371">
            <w:pPr>
              <w:pStyle w:val="TableText"/>
              <w:rPr>
                <w:b/>
                <w:color w:val="FFFFFF" w:themeColor="background1"/>
              </w:rPr>
            </w:pPr>
            <w:r w:rsidRPr="00E51B6F">
              <w:rPr>
                <w:b/>
                <w:color w:val="FFFFFF" w:themeColor="background1"/>
              </w:rPr>
              <w:t>Consistency and proportionality</w:t>
            </w:r>
          </w:p>
        </w:tc>
        <w:tc>
          <w:tcPr>
            <w:tcW w:w="428" w:type="pct"/>
            <w:shd w:val="clear" w:color="auto" w:fill="EDEDED"/>
            <w:vAlign w:val="center"/>
          </w:tcPr>
          <w:p w14:paraId="649E4E20" w14:textId="77777777" w:rsidR="00255135" w:rsidRPr="00CE3482" w:rsidRDefault="00255135" w:rsidP="00006371">
            <w:pPr>
              <w:pStyle w:val="TableText"/>
              <w:jc w:val="center"/>
              <w:rPr>
                <w:b/>
              </w:rPr>
            </w:pPr>
            <w:r w:rsidRPr="00CE3482">
              <w:rPr>
                <w:b/>
              </w:rPr>
              <w:t>0</w:t>
            </w:r>
          </w:p>
        </w:tc>
        <w:tc>
          <w:tcPr>
            <w:tcW w:w="2288" w:type="pct"/>
            <w:shd w:val="clear" w:color="auto" w:fill="E2EFD9"/>
          </w:tcPr>
          <w:p w14:paraId="28281B89" w14:textId="77777777" w:rsidR="00255135" w:rsidRPr="00747EF6" w:rsidRDefault="00255135" w:rsidP="00022AC2">
            <w:pPr>
              <w:pStyle w:val="TableText"/>
              <w:jc w:val="center"/>
              <w:rPr>
                <w:b/>
                <w:color w:val="00B050"/>
              </w:rPr>
            </w:pPr>
            <w:r w:rsidRPr="00747EF6">
              <w:rPr>
                <w:b/>
                <w:color w:val="00B050"/>
              </w:rPr>
              <w:t>+</w:t>
            </w:r>
          </w:p>
          <w:p w14:paraId="25B51E8E" w14:textId="77777777" w:rsidR="00255135" w:rsidRPr="00747EF6" w:rsidRDefault="00255135" w:rsidP="00022AC2">
            <w:pPr>
              <w:pStyle w:val="TableText"/>
              <w:jc w:val="center"/>
              <w:rPr>
                <w:b/>
                <w:color w:val="00B050"/>
              </w:rPr>
            </w:pPr>
            <w:r w:rsidRPr="00747EF6">
              <w:t>Treats NZUs consistently with other financial products under the FMC Act. Likely to be more proportional</w:t>
            </w:r>
            <w:r>
              <w:t>,</w:t>
            </w:r>
            <w:r w:rsidRPr="00747EF6">
              <w:t xml:space="preserve"> given the risk of poor and misleading financial advice. Obligations in relation to retail clients may be burdensome</w:t>
            </w:r>
            <w:r>
              <w:t>,</w:t>
            </w:r>
            <w:r w:rsidRPr="00747EF6">
              <w:t xml:space="preserve"> given relatively narrow scope of advice proposed to be regulated. The impact is expected to be minimal for providers who already adhere to FMC</w:t>
            </w:r>
            <w:r>
              <w:t> </w:t>
            </w:r>
            <w:r w:rsidRPr="00747EF6">
              <w:t>Act rules. Maximum penalties more proportional given current and increasing values of NZUs.</w:t>
            </w:r>
          </w:p>
        </w:tc>
        <w:tc>
          <w:tcPr>
            <w:tcW w:w="1660" w:type="pct"/>
            <w:shd w:val="clear" w:color="auto" w:fill="E2EFD9"/>
          </w:tcPr>
          <w:p w14:paraId="3061E183" w14:textId="77777777" w:rsidR="00255135" w:rsidRPr="00747EF6" w:rsidRDefault="00255135" w:rsidP="00022AC2">
            <w:pPr>
              <w:pStyle w:val="TableText"/>
              <w:jc w:val="center"/>
              <w:rPr>
                <w:b/>
                <w:color w:val="00B050"/>
              </w:rPr>
            </w:pPr>
            <w:r w:rsidRPr="00747EF6">
              <w:rPr>
                <w:b/>
                <w:color w:val="00B050"/>
              </w:rPr>
              <w:t>+</w:t>
            </w:r>
          </w:p>
          <w:p w14:paraId="361533B6" w14:textId="77777777" w:rsidR="00255135" w:rsidRPr="00747EF6" w:rsidRDefault="00255135" w:rsidP="00022AC2">
            <w:pPr>
              <w:pStyle w:val="TableText"/>
              <w:jc w:val="center"/>
              <w:rPr>
                <w:b/>
                <w:color w:val="00B050"/>
              </w:rPr>
            </w:pPr>
            <w:r w:rsidRPr="00747EF6">
              <w:t>More aligned with financial product obligations, but fewer protections for retail clients compared to other financial product markets</w:t>
            </w:r>
            <w:r>
              <w:t>.</w:t>
            </w:r>
          </w:p>
        </w:tc>
      </w:tr>
      <w:tr w:rsidR="00255135" w:rsidRPr="00747EF6" w14:paraId="4A674415" w14:textId="77777777" w:rsidTr="00022AC2">
        <w:trPr>
          <w:cantSplit/>
          <w:trHeight w:val="395"/>
        </w:trPr>
        <w:tc>
          <w:tcPr>
            <w:tcW w:w="624" w:type="pct"/>
            <w:shd w:val="clear" w:color="auto" w:fill="1C556C"/>
            <w:vAlign w:val="center"/>
          </w:tcPr>
          <w:p w14:paraId="13E50222" w14:textId="77777777" w:rsidR="00255135" w:rsidRPr="00751236" w:rsidRDefault="00255135" w:rsidP="00006371">
            <w:pPr>
              <w:pStyle w:val="TableText"/>
              <w:rPr>
                <w:b/>
                <w:color w:val="FFFFFF" w:themeColor="background1"/>
              </w:rPr>
            </w:pPr>
            <w:r w:rsidRPr="00751236">
              <w:rPr>
                <w:b/>
                <w:color w:val="FFFFFF" w:themeColor="background1"/>
              </w:rPr>
              <w:lastRenderedPageBreak/>
              <w:t>Clarity and transparency</w:t>
            </w:r>
          </w:p>
        </w:tc>
        <w:tc>
          <w:tcPr>
            <w:tcW w:w="428" w:type="pct"/>
            <w:shd w:val="clear" w:color="auto" w:fill="EDEDED"/>
            <w:vAlign w:val="center"/>
          </w:tcPr>
          <w:p w14:paraId="538F88F9" w14:textId="77777777" w:rsidR="00255135" w:rsidRPr="00751236" w:rsidRDefault="00255135" w:rsidP="00006371">
            <w:pPr>
              <w:pStyle w:val="TableText"/>
              <w:jc w:val="center"/>
              <w:rPr>
                <w:b/>
              </w:rPr>
            </w:pPr>
            <w:r w:rsidRPr="00751236">
              <w:rPr>
                <w:b/>
              </w:rPr>
              <w:t>0</w:t>
            </w:r>
          </w:p>
        </w:tc>
        <w:tc>
          <w:tcPr>
            <w:tcW w:w="2288" w:type="pct"/>
            <w:shd w:val="clear" w:color="auto" w:fill="E2EFD9"/>
          </w:tcPr>
          <w:p w14:paraId="4486A241" w14:textId="77777777" w:rsidR="00255135" w:rsidRPr="00747EF6" w:rsidRDefault="00255135" w:rsidP="00022AC2">
            <w:pPr>
              <w:pStyle w:val="TableText"/>
              <w:jc w:val="center"/>
              <w:rPr>
                <w:b/>
                <w:color w:val="00B050"/>
              </w:rPr>
            </w:pPr>
            <w:r w:rsidRPr="00747EF6">
              <w:rPr>
                <w:b/>
                <w:color w:val="00B050"/>
              </w:rPr>
              <w:t>+</w:t>
            </w:r>
          </w:p>
          <w:p w14:paraId="7C0B83BB" w14:textId="272042D1" w:rsidR="00255135" w:rsidRPr="00747EF6" w:rsidRDefault="00255135" w:rsidP="00022AC2">
            <w:pPr>
              <w:pStyle w:val="TableText"/>
              <w:jc w:val="center"/>
            </w:pPr>
            <w:r w:rsidRPr="00747EF6">
              <w:t>Market rules are clearly presented</w:t>
            </w:r>
            <w:r>
              <w:t>,</w:t>
            </w:r>
            <w:r w:rsidRPr="00747EF6">
              <w:t xml:space="preserve"> and stakeholders better understand their obligations, protections and what type of conduct is expected of them.</w:t>
            </w:r>
          </w:p>
        </w:tc>
        <w:tc>
          <w:tcPr>
            <w:tcW w:w="1660" w:type="pct"/>
            <w:shd w:val="clear" w:color="auto" w:fill="E2EFD9"/>
          </w:tcPr>
          <w:p w14:paraId="60C9A141" w14:textId="77777777" w:rsidR="00255135" w:rsidRPr="00747EF6" w:rsidRDefault="00255135" w:rsidP="00022AC2">
            <w:pPr>
              <w:pStyle w:val="TableText"/>
              <w:jc w:val="center"/>
              <w:rPr>
                <w:b/>
                <w:color w:val="00B050"/>
              </w:rPr>
            </w:pPr>
            <w:r w:rsidRPr="00747EF6">
              <w:rPr>
                <w:b/>
                <w:color w:val="00B050"/>
              </w:rPr>
              <w:t>+</w:t>
            </w:r>
          </w:p>
          <w:p w14:paraId="323C326D" w14:textId="1BB01881" w:rsidR="00255135" w:rsidRPr="00747EF6" w:rsidRDefault="00255135" w:rsidP="00022AC2">
            <w:pPr>
              <w:pStyle w:val="TableText"/>
              <w:jc w:val="center"/>
              <w:rPr>
                <w:b/>
                <w:color w:val="00B050"/>
              </w:rPr>
            </w:pPr>
            <w:r w:rsidRPr="00747EF6">
              <w:t>Market rules are clearly presented</w:t>
            </w:r>
            <w:r>
              <w:t>,</w:t>
            </w:r>
            <w:r w:rsidRPr="00747EF6">
              <w:t xml:space="preserve"> and stakeholders better understand their obligations, protections and what type of conduct is expected of them.</w:t>
            </w:r>
          </w:p>
        </w:tc>
      </w:tr>
      <w:tr w:rsidR="00255135" w:rsidRPr="00747EF6" w14:paraId="70937060" w14:textId="77777777" w:rsidTr="00022AC2">
        <w:trPr>
          <w:cantSplit/>
          <w:trHeight w:val="378"/>
        </w:trPr>
        <w:tc>
          <w:tcPr>
            <w:tcW w:w="624" w:type="pct"/>
            <w:shd w:val="clear" w:color="auto" w:fill="1C556C"/>
            <w:vAlign w:val="center"/>
          </w:tcPr>
          <w:p w14:paraId="76ABB437" w14:textId="77777777" w:rsidR="00255135" w:rsidRPr="00751236" w:rsidRDefault="00255135" w:rsidP="00006371">
            <w:pPr>
              <w:pStyle w:val="TableText"/>
              <w:rPr>
                <w:b/>
                <w:color w:val="FFFFFF" w:themeColor="background1"/>
              </w:rPr>
            </w:pPr>
            <w:r w:rsidRPr="00751236">
              <w:rPr>
                <w:b/>
                <w:color w:val="FFFFFF" w:themeColor="background1"/>
              </w:rPr>
              <w:t>Market efficiency</w:t>
            </w:r>
          </w:p>
        </w:tc>
        <w:tc>
          <w:tcPr>
            <w:tcW w:w="428" w:type="pct"/>
            <w:shd w:val="clear" w:color="auto" w:fill="EDEDED"/>
            <w:vAlign w:val="center"/>
          </w:tcPr>
          <w:p w14:paraId="342D92F9" w14:textId="77777777" w:rsidR="00255135" w:rsidRPr="00B86967" w:rsidRDefault="00255135" w:rsidP="00006371">
            <w:pPr>
              <w:pStyle w:val="TableText"/>
              <w:jc w:val="center"/>
              <w:rPr>
                <w:b/>
              </w:rPr>
            </w:pPr>
            <w:r w:rsidRPr="00B86967">
              <w:rPr>
                <w:b/>
              </w:rPr>
              <w:t>0</w:t>
            </w:r>
          </w:p>
        </w:tc>
        <w:tc>
          <w:tcPr>
            <w:tcW w:w="2288" w:type="pct"/>
            <w:shd w:val="clear" w:color="auto" w:fill="C5E0B3"/>
          </w:tcPr>
          <w:p w14:paraId="536C3100" w14:textId="77777777" w:rsidR="00255135" w:rsidRPr="00747EF6" w:rsidRDefault="00255135" w:rsidP="00022AC2">
            <w:pPr>
              <w:pStyle w:val="TableText"/>
              <w:jc w:val="center"/>
              <w:rPr>
                <w:b/>
                <w:color w:val="00B050"/>
              </w:rPr>
            </w:pPr>
            <w:r w:rsidRPr="00747EF6">
              <w:rPr>
                <w:b/>
                <w:color w:val="00B050"/>
              </w:rPr>
              <w:t>++</w:t>
            </w:r>
          </w:p>
          <w:p w14:paraId="78A09EF8" w14:textId="4DA8D8C4" w:rsidR="00255135" w:rsidRPr="00747EF6" w:rsidRDefault="00255135" w:rsidP="00022AC2">
            <w:pPr>
              <w:pStyle w:val="TableText"/>
              <w:jc w:val="center"/>
              <w:rPr>
                <w:b/>
                <w:color w:val="00B050"/>
              </w:rPr>
            </w:pPr>
            <w:r w:rsidRPr="00747EF6">
              <w:t xml:space="preserve">Allows for better market participation through increased protections suitable for retail and wholesale </w:t>
            </w:r>
            <w:proofErr w:type="gramStart"/>
            <w:r w:rsidRPr="00747EF6">
              <w:t>clients</w:t>
            </w:r>
            <w:r w:rsidR="00D87B3B">
              <w:t>,</w:t>
            </w:r>
            <w:r w:rsidRPr="00747EF6">
              <w:t xml:space="preserve"> and</w:t>
            </w:r>
            <w:proofErr w:type="gramEnd"/>
            <w:r w:rsidRPr="00747EF6">
              <w:t xml:space="preserve"> provides stakeholders with comprehensive coverage from misconduct. However, there is a risk that providers will stop providing NZU financial advice </w:t>
            </w:r>
            <w:r w:rsidR="00720D05" w:rsidRPr="00747EF6">
              <w:t>to</w:t>
            </w:r>
            <w:r w:rsidRPr="00747EF6">
              <w:t xml:space="preserve"> avoid the burden of licensing or that compliance costs will be passed onto clients</w:t>
            </w:r>
          </w:p>
        </w:tc>
        <w:tc>
          <w:tcPr>
            <w:tcW w:w="1660" w:type="pct"/>
            <w:shd w:val="clear" w:color="auto" w:fill="E2EFD9"/>
          </w:tcPr>
          <w:p w14:paraId="44FF855B" w14:textId="77777777" w:rsidR="00255135" w:rsidRPr="00747EF6" w:rsidRDefault="00255135" w:rsidP="00022AC2">
            <w:pPr>
              <w:pStyle w:val="TableText"/>
              <w:jc w:val="center"/>
              <w:rPr>
                <w:b/>
                <w:color w:val="00B050"/>
              </w:rPr>
            </w:pPr>
            <w:r w:rsidRPr="00747EF6">
              <w:rPr>
                <w:b/>
                <w:color w:val="00B050"/>
              </w:rPr>
              <w:t>+</w:t>
            </w:r>
          </w:p>
          <w:p w14:paraId="19ABD83E" w14:textId="6190B11E" w:rsidR="00255135" w:rsidRPr="00747EF6" w:rsidRDefault="00255135" w:rsidP="00022AC2">
            <w:pPr>
              <w:pStyle w:val="TableText"/>
              <w:jc w:val="center"/>
              <w:rPr>
                <w:b/>
                <w:color w:val="00B050"/>
              </w:rPr>
            </w:pPr>
            <w:r w:rsidRPr="00747EF6">
              <w:t xml:space="preserve">Improved market participation through increased protections suitable for wholesale </w:t>
            </w:r>
            <w:proofErr w:type="gramStart"/>
            <w:r w:rsidRPr="00747EF6">
              <w:t>clients</w:t>
            </w:r>
            <w:r w:rsidR="002952CB">
              <w:t>,</w:t>
            </w:r>
            <w:r w:rsidRPr="00747EF6">
              <w:t xml:space="preserve"> and</w:t>
            </w:r>
            <w:proofErr w:type="gramEnd"/>
            <w:r w:rsidRPr="00747EF6">
              <w:t xml:space="preserve"> provides stakeholders with comprehensive coverage from misconduct.</w:t>
            </w:r>
          </w:p>
        </w:tc>
      </w:tr>
      <w:tr w:rsidR="00255135" w:rsidRPr="00747EF6" w14:paraId="043567BF" w14:textId="77777777" w:rsidTr="00022AC2">
        <w:trPr>
          <w:cantSplit/>
          <w:trHeight w:val="584"/>
        </w:trPr>
        <w:tc>
          <w:tcPr>
            <w:tcW w:w="624" w:type="pct"/>
            <w:shd w:val="clear" w:color="auto" w:fill="1C556C"/>
            <w:vAlign w:val="center"/>
          </w:tcPr>
          <w:p w14:paraId="634B195F" w14:textId="77777777" w:rsidR="00255135" w:rsidRPr="00B86967" w:rsidRDefault="00255135" w:rsidP="00006371">
            <w:pPr>
              <w:pStyle w:val="TableText"/>
              <w:rPr>
                <w:b/>
                <w:color w:val="FFFFFF" w:themeColor="background1"/>
              </w:rPr>
            </w:pPr>
            <w:r w:rsidRPr="00B86967">
              <w:rPr>
                <w:b/>
                <w:color w:val="FFFFFF" w:themeColor="background1"/>
              </w:rPr>
              <w:t>Overall assessment</w:t>
            </w:r>
          </w:p>
        </w:tc>
        <w:tc>
          <w:tcPr>
            <w:tcW w:w="428" w:type="pct"/>
            <w:shd w:val="clear" w:color="auto" w:fill="EDEDED"/>
            <w:vAlign w:val="center"/>
          </w:tcPr>
          <w:p w14:paraId="53192D26" w14:textId="77777777" w:rsidR="00255135" w:rsidRPr="00B86967" w:rsidRDefault="00255135" w:rsidP="00006371">
            <w:pPr>
              <w:pStyle w:val="TableText"/>
              <w:jc w:val="center"/>
              <w:rPr>
                <w:b/>
              </w:rPr>
            </w:pPr>
            <w:r w:rsidRPr="00B86967">
              <w:rPr>
                <w:b/>
              </w:rPr>
              <w:t>0</w:t>
            </w:r>
          </w:p>
        </w:tc>
        <w:tc>
          <w:tcPr>
            <w:tcW w:w="2288" w:type="pct"/>
            <w:shd w:val="clear" w:color="auto" w:fill="C5E0B3"/>
          </w:tcPr>
          <w:p w14:paraId="07E5EA44" w14:textId="77777777" w:rsidR="00255135" w:rsidRPr="00982A22" w:rsidRDefault="00255135" w:rsidP="00022AC2">
            <w:pPr>
              <w:pStyle w:val="TableText"/>
              <w:jc w:val="center"/>
              <w:rPr>
                <w:b/>
                <w:color w:val="00B050"/>
              </w:rPr>
            </w:pPr>
            <w:r w:rsidRPr="00982A22">
              <w:rPr>
                <w:b/>
                <w:color w:val="00B050"/>
              </w:rPr>
              <w:t>++</w:t>
            </w:r>
          </w:p>
          <w:p w14:paraId="1A58F5EB" w14:textId="77777777" w:rsidR="00255135" w:rsidRPr="00982A22" w:rsidRDefault="00255135" w:rsidP="00022AC2">
            <w:pPr>
              <w:pStyle w:val="TableText"/>
              <w:jc w:val="center"/>
              <w:rPr>
                <w:b/>
              </w:rPr>
            </w:pPr>
            <w:r w:rsidRPr="00982A22">
              <w:rPr>
                <w:b/>
              </w:rPr>
              <w:t>(Preferred option)</w:t>
            </w:r>
          </w:p>
          <w:p w14:paraId="61DEE939" w14:textId="77777777" w:rsidR="00255135" w:rsidRPr="00747EF6" w:rsidRDefault="00255135" w:rsidP="00022AC2">
            <w:pPr>
              <w:pStyle w:val="TableText"/>
              <w:jc w:val="center"/>
              <w:rPr>
                <w:b/>
                <w:color w:val="00B050"/>
              </w:rPr>
            </w:pPr>
            <w:r w:rsidRPr="00B86967">
              <w:rPr>
                <w:b/>
              </w:rPr>
              <w:t>Provides a comprehensive protection framework for misleading and deceptive conduct in relation to financial products and financial advice service. Both retail and wholesale clients are protected.</w:t>
            </w:r>
          </w:p>
        </w:tc>
        <w:tc>
          <w:tcPr>
            <w:tcW w:w="1660" w:type="pct"/>
            <w:shd w:val="clear" w:color="auto" w:fill="E2EFD9"/>
          </w:tcPr>
          <w:p w14:paraId="3FA61A08" w14:textId="77777777" w:rsidR="00255135" w:rsidRPr="00747EF6" w:rsidRDefault="00255135" w:rsidP="00022AC2">
            <w:pPr>
              <w:pStyle w:val="TableText"/>
              <w:jc w:val="center"/>
              <w:rPr>
                <w:b/>
                <w:color w:val="00B050"/>
              </w:rPr>
            </w:pPr>
            <w:r w:rsidRPr="00747EF6">
              <w:rPr>
                <w:b/>
                <w:color w:val="00B050"/>
              </w:rPr>
              <w:t>+</w:t>
            </w:r>
          </w:p>
          <w:p w14:paraId="62417514" w14:textId="77777777" w:rsidR="00255135" w:rsidRPr="00747EF6" w:rsidRDefault="00255135" w:rsidP="00022AC2">
            <w:pPr>
              <w:pStyle w:val="TableText"/>
              <w:jc w:val="center"/>
              <w:rPr>
                <w:b/>
                <w:color w:val="00B050"/>
              </w:rPr>
            </w:pPr>
            <w:r w:rsidRPr="00747EF6">
              <w:t>Better than the status quo</w:t>
            </w:r>
            <w:r>
              <w:t>,</w:t>
            </w:r>
            <w:r w:rsidRPr="00747EF6">
              <w:t xml:space="preserve"> by providing obligations and protections </w:t>
            </w:r>
            <w:proofErr w:type="gramStart"/>
            <w:r w:rsidRPr="00747EF6">
              <w:t>similar to</w:t>
            </w:r>
            <w:proofErr w:type="gramEnd"/>
            <w:r>
              <w:t xml:space="preserve"> </w:t>
            </w:r>
            <w:r w:rsidRPr="00747EF6">
              <w:t>wholesale client obligations in financial markets</w:t>
            </w:r>
            <w:r>
              <w:t>.</w:t>
            </w:r>
          </w:p>
        </w:tc>
      </w:tr>
    </w:tbl>
    <w:p w14:paraId="0FD9B7F2" w14:textId="77777777" w:rsidR="00255135" w:rsidRDefault="00255135" w:rsidP="00255135">
      <w:pPr>
        <w:pStyle w:val="BodyText"/>
      </w:pPr>
    </w:p>
    <w:p w14:paraId="2E72832D" w14:textId="77777777" w:rsidR="00255135" w:rsidRDefault="00255135" w:rsidP="00255135">
      <w:pPr>
        <w:pStyle w:val="BodyText"/>
        <w:rPr>
          <w:rFonts w:ascii="Georgia" w:hAnsi="Georgia"/>
          <w:sz w:val="28"/>
        </w:rPr>
      </w:pPr>
      <w:r>
        <w:br w:type="page"/>
      </w:r>
    </w:p>
    <w:p w14:paraId="7A1F1B07" w14:textId="77777777" w:rsidR="00255135" w:rsidRPr="00747EF6" w:rsidRDefault="00255135" w:rsidP="00255135">
      <w:pPr>
        <w:pStyle w:val="Heading3"/>
      </w:pPr>
      <w:r w:rsidRPr="00747EF6">
        <w:lastRenderedPageBreak/>
        <w:t xml:space="preserve">Risk </w:t>
      </w:r>
      <w:r>
        <w:t>a</w:t>
      </w:r>
      <w:r w:rsidRPr="00747EF6">
        <w:t>nalysis</w:t>
      </w:r>
    </w:p>
    <w:p w14:paraId="165CD8E7" w14:textId="7FA01766" w:rsidR="00255135" w:rsidRPr="00747EF6" w:rsidRDefault="00534624" w:rsidP="00255135">
      <w:pPr>
        <w:pStyle w:val="BodyText"/>
      </w:pPr>
      <w:r>
        <w:t>Table 20</w:t>
      </w:r>
      <w:r w:rsidR="00255135">
        <w:t xml:space="preserve"> below provides the</w:t>
      </w:r>
      <w:r w:rsidR="00255135" w:rsidRPr="00747EF6">
        <w:t xml:space="preserve"> risk analysis of the </w:t>
      </w:r>
      <w:r w:rsidR="00255135">
        <w:t xml:space="preserve">topic 2 </w:t>
      </w:r>
      <w:r w:rsidR="00255135" w:rsidRPr="00747EF6">
        <w:t>options</w:t>
      </w:r>
      <w:r w:rsidR="00255135">
        <w:t>.</w:t>
      </w:r>
      <w:r w:rsidR="00255135" w:rsidRPr="00747EF6">
        <w:t xml:space="preserve"> </w:t>
      </w:r>
    </w:p>
    <w:p w14:paraId="02F9C50D" w14:textId="34311D20" w:rsidR="00255135" w:rsidRDefault="00534624" w:rsidP="00255135">
      <w:pPr>
        <w:pStyle w:val="Tableheading"/>
      </w:pPr>
      <w:bookmarkStart w:id="196" w:name="_Toc118953837"/>
      <w:r>
        <w:t>Table 20</w:t>
      </w:r>
      <w:r w:rsidR="00255135">
        <w:t xml:space="preserve">: </w:t>
      </w:r>
      <w:r w:rsidR="00255135">
        <w:tab/>
        <w:t xml:space="preserve">Risk </w:t>
      </w:r>
      <w:r w:rsidR="00255135" w:rsidRPr="00E15940">
        <w:t>analysis for regulating NZU financial advice, transactional and/or custodial services</w:t>
      </w:r>
      <w:bookmarkEnd w:id="196"/>
    </w:p>
    <w:tbl>
      <w:tblPr>
        <w:tblW w:w="4963" w:type="pct"/>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2943"/>
        <w:gridCol w:w="1416"/>
        <w:gridCol w:w="5970"/>
        <w:gridCol w:w="4125"/>
      </w:tblGrid>
      <w:tr w:rsidR="00255135" w:rsidRPr="00391F97" w14:paraId="6D6D675E" w14:textId="77777777" w:rsidTr="00022AC2">
        <w:trPr>
          <w:trHeight w:val="395"/>
        </w:trPr>
        <w:tc>
          <w:tcPr>
            <w:tcW w:w="1018" w:type="pct"/>
            <w:shd w:val="clear" w:color="auto" w:fill="1C556C"/>
            <w:vAlign w:val="center"/>
          </w:tcPr>
          <w:p w14:paraId="430940DD" w14:textId="77777777" w:rsidR="00255135" w:rsidRPr="00BB0B4C" w:rsidRDefault="00255135" w:rsidP="00006371">
            <w:pPr>
              <w:pStyle w:val="TableText"/>
              <w:rPr>
                <w:rFonts w:cstheme="minorHAnsi"/>
                <w:color w:val="FFFFFF" w:themeColor="background1"/>
                <w:szCs w:val="18"/>
              </w:rPr>
            </w:pPr>
          </w:p>
        </w:tc>
        <w:tc>
          <w:tcPr>
            <w:tcW w:w="490" w:type="pct"/>
            <w:shd w:val="clear" w:color="auto" w:fill="1C556C"/>
            <w:vAlign w:val="center"/>
          </w:tcPr>
          <w:p w14:paraId="550A4084" w14:textId="77777777" w:rsidR="00255135" w:rsidRPr="00BB0B4C" w:rsidRDefault="00255135" w:rsidP="00022AC2">
            <w:pPr>
              <w:pStyle w:val="TableText"/>
              <w:jc w:val="center"/>
              <w:rPr>
                <w:rFonts w:cstheme="minorHAnsi"/>
                <w:color w:val="FFFFFF" w:themeColor="background1"/>
                <w:szCs w:val="18"/>
              </w:rPr>
            </w:pPr>
            <w:r w:rsidRPr="00BB0B4C">
              <w:rPr>
                <w:rFonts w:cstheme="minorHAnsi"/>
                <w:b/>
                <w:color w:val="FFFFFF" w:themeColor="background1"/>
                <w:szCs w:val="18"/>
              </w:rPr>
              <w:t>Option one</w:t>
            </w:r>
            <w:r w:rsidRPr="00391F97">
              <w:rPr>
                <w:rFonts w:cstheme="minorHAnsi"/>
                <w:b/>
                <w:color w:val="FFFFFF" w:themeColor="background1"/>
                <w:szCs w:val="18"/>
              </w:rPr>
              <w:t xml:space="preserve"> (s</w:t>
            </w:r>
            <w:r w:rsidRPr="00BB0B4C">
              <w:rPr>
                <w:rFonts w:cstheme="minorHAnsi"/>
                <w:b/>
                <w:color w:val="FFFFFF" w:themeColor="background1"/>
                <w:szCs w:val="18"/>
              </w:rPr>
              <w:t>tatus quo</w:t>
            </w:r>
            <w:r w:rsidRPr="00391F97">
              <w:rPr>
                <w:rFonts w:cstheme="minorHAnsi"/>
                <w:b/>
                <w:color w:val="FFFFFF" w:themeColor="background1"/>
                <w:szCs w:val="18"/>
              </w:rPr>
              <w:t>):</w:t>
            </w:r>
            <w:r w:rsidR="00022AC2">
              <w:rPr>
                <w:rFonts w:cstheme="minorHAnsi"/>
                <w:b/>
                <w:color w:val="FFFFFF" w:themeColor="background1"/>
                <w:szCs w:val="18"/>
              </w:rPr>
              <w:br/>
            </w:r>
            <w:r w:rsidRPr="00BB0B4C">
              <w:rPr>
                <w:rFonts w:cstheme="minorHAnsi"/>
                <w:color w:val="FFFFFF" w:themeColor="background1"/>
                <w:szCs w:val="18"/>
              </w:rPr>
              <w:t>Existing legislation</w:t>
            </w:r>
          </w:p>
        </w:tc>
        <w:tc>
          <w:tcPr>
            <w:tcW w:w="2065" w:type="pct"/>
            <w:shd w:val="clear" w:color="auto" w:fill="1C556C"/>
            <w:vAlign w:val="center"/>
          </w:tcPr>
          <w:p w14:paraId="0559FDD2" w14:textId="77777777" w:rsidR="00255135" w:rsidRPr="00BB0B4C" w:rsidRDefault="00255135" w:rsidP="00022AC2">
            <w:pPr>
              <w:pStyle w:val="TableText"/>
              <w:jc w:val="center"/>
              <w:rPr>
                <w:rFonts w:cstheme="minorHAnsi"/>
                <w:color w:val="FFFFFF" w:themeColor="background1"/>
                <w:szCs w:val="18"/>
              </w:rPr>
            </w:pPr>
            <w:r w:rsidRPr="00BB0B4C">
              <w:rPr>
                <w:rFonts w:cstheme="minorHAnsi"/>
                <w:b/>
                <w:color w:val="FFFFFF" w:themeColor="background1"/>
                <w:szCs w:val="18"/>
              </w:rPr>
              <w:t>Option two</w:t>
            </w:r>
            <w:r w:rsidRPr="00391F97">
              <w:rPr>
                <w:rFonts w:cstheme="minorHAnsi"/>
                <w:b/>
                <w:color w:val="FFFFFF" w:themeColor="background1"/>
                <w:szCs w:val="18"/>
              </w:rPr>
              <w:t>:</w:t>
            </w:r>
            <w:r w:rsidR="00022AC2">
              <w:rPr>
                <w:rFonts w:cstheme="minorHAnsi"/>
                <w:b/>
                <w:color w:val="FFFFFF" w:themeColor="background1"/>
                <w:szCs w:val="18"/>
              </w:rPr>
              <w:t xml:space="preserve"> </w:t>
            </w:r>
            <w:r w:rsidR="00022AC2">
              <w:rPr>
                <w:rFonts w:cstheme="minorHAnsi"/>
                <w:b/>
                <w:color w:val="FFFFFF" w:themeColor="background1"/>
                <w:szCs w:val="18"/>
              </w:rPr>
              <w:br/>
            </w:r>
            <w:r w:rsidRPr="00BB0B4C">
              <w:rPr>
                <w:rFonts w:cstheme="minorHAnsi"/>
                <w:color w:val="FFFFFF" w:themeColor="background1"/>
                <w:szCs w:val="18"/>
              </w:rPr>
              <w:t>Regulating NZU financial advice, transactional and/or custodial services</w:t>
            </w:r>
          </w:p>
        </w:tc>
        <w:tc>
          <w:tcPr>
            <w:tcW w:w="1427" w:type="pct"/>
            <w:shd w:val="clear" w:color="auto" w:fill="1C556C"/>
            <w:vAlign w:val="center"/>
          </w:tcPr>
          <w:p w14:paraId="686B0A0C" w14:textId="77777777" w:rsidR="00255135" w:rsidRPr="00BB0B4C" w:rsidRDefault="00255135" w:rsidP="00022AC2">
            <w:pPr>
              <w:pStyle w:val="TableText"/>
              <w:jc w:val="center"/>
              <w:rPr>
                <w:rFonts w:cstheme="minorHAnsi"/>
                <w:b/>
                <w:color w:val="FFFFFF" w:themeColor="background1"/>
                <w:szCs w:val="18"/>
              </w:rPr>
            </w:pPr>
            <w:r w:rsidRPr="00BB0B4C">
              <w:rPr>
                <w:rFonts w:cstheme="minorHAnsi"/>
                <w:b/>
                <w:color w:val="FFFFFF" w:themeColor="background1"/>
                <w:szCs w:val="18"/>
              </w:rPr>
              <w:t>Option three</w:t>
            </w:r>
            <w:r w:rsidRPr="00391F97">
              <w:rPr>
                <w:rFonts w:cstheme="minorHAnsi"/>
                <w:b/>
                <w:color w:val="FFFFFF" w:themeColor="background1"/>
                <w:szCs w:val="18"/>
              </w:rPr>
              <w:t>:</w:t>
            </w:r>
            <w:r w:rsidR="00022AC2">
              <w:rPr>
                <w:rFonts w:cstheme="minorHAnsi"/>
                <w:b/>
                <w:color w:val="FFFFFF" w:themeColor="background1"/>
                <w:szCs w:val="18"/>
              </w:rPr>
              <w:br/>
            </w:r>
            <w:r w:rsidRPr="00BB0B4C">
              <w:rPr>
                <w:rFonts w:cstheme="minorHAnsi"/>
                <w:color w:val="FFFFFF" w:themeColor="background1"/>
                <w:szCs w:val="18"/>
              </w:rPr>
              <w:t>Applying FMC Act wholesale client settings</w:t>
            </w:r>
          </w:p>
        </w:tc>
      </w:tr>
      <w:tr w:rsidR="00255135" w:rsidRPr="00391F97" w14:paraId="3258A33A" w14:textId="77777777" w:rsidTr="00022AC2">
        <w:trPr>
          <w:cantSplit/>
          <w:trHeight w:val="615"/>
        </w:trPr>
        <w:tc>
          <w:tcPr>
            <w:tcW w:w="1018" w:type="pct"/>
            <w:shd w:val="clear" w:color="auto" w:fill="1C556C"/>
            <w:vAlign w:val="center"/>
          </w:tcPr>
          <w:p w14:paraId="19236867" w14:textId="77777777" w:rsidR="00255135" w:rsidRPr="00BB0B4C" w:rsidRDefault="00255135" w:rsidP="00006371">
            <w:pPr>
              <w:pStyle w:val="TableText"/>
              <w:rPr>
                <w:rFonts w:cstheme="minorHAnsi"/>
                <w:b/>
                <w:color w:val="FFFFFF" w:themeColor="background1"/>
                <w:szCs w:val="18"/>
              </w:rPr>
            </w:pPr>
            <w:r w:rsidRPr="00BB0B4C">
              <w:rPr>
                <w:rFonts w:cstheme="minorHAnsi"/>
                <w:b/>
                <w:color w:val="FFFFFF" w:themeColor="background1"/>
                <w:szCs w:val="18"/>
              </w:rPr>
              <w:t xml:space="preserve">Risk 1: Inadequate, </w:t>
            </w:r>
            <w:proofErr w:type="gramStart"/>
            <w:r w:rsidRPr="00BB0B4C">
              <w:rPr>
                <w:rFonts w:cstheme="minorHAnsi"/>
                <w:b/>
                <w:color w:val="FFFFFF" w:themeColor="background1"/>
                <w:szCs w:val="18"/>
              </w:rPr>
              <w:t>false</w:t>
            </w:r>
            <w:proofErr w:type="gramEnd"/>
            <w:r w:rsidRPr="00BB0B4C">
              <w:rPr>
                <w:rFonts w:cstheme="minorHAnsi"/>
                <w:b/>
                <w:color w:val="FFFFFF" w:themeColor="background1"/>
                <w:szCs w:val="18"/>
              </w:rPr>
              <w:t xml:space="preserve"> or misleading advice relating to NZUs</w:t>
            </w:r>
          </w:p>
        </w:tc>
        <w:tc>
          <w:tcPr>
            <w:tcW w:w="490" w:type="pct"/>
            <w:shd w:val="clear" w:color="auto" w:fill="EDEDED"/>
            <w:vAlign w:val="center"/>
          </w:tcPr>
          <w:p w14:paraId="7E68F694" w14:textId="77777777" w:rsidR="00255135" w:rsidRPr="00BB0B4C" w:rsidRDefault="00255135" w:rsidP="00006371">
            <w:pPr>
              <w:pStyle w:val="TableText"/>
              <w:jc w:val="center"/>
              <w:rPr>
                <w:rFonts w:cstheme="minorHAnsi"/>
                <w:szCs w:val="18"/>
              </w:rPr>
            </w:pPr>
            <w:r w:rsidRPr="00391F97">
              <w:rPr>
                <w:rFonts w:cstheme="minorHAnsi"/>
                <w:b/>
                <w:bCs/>
                <w:szCs w:val="18"/>
              </w:rPr>
              <w:t>0</w:t>
            </w:r>
          </w:p>
        </w:tc>
        <w:tc>
          <w:tcPr>
            <w:tcW w:w="2065" w:type="pct"/>
            <w:shd w:val="clear" w:color="auto" w:fill="C5E0B3"/>
          </w:tcPr>
          <w:p w14:paraId="1BC890B1" w14:textId="77777777" w:rsidR="00255135" w:rsidRPr="00BB0B4C" w:rsidRDefault="00255135" w:rsidP="00022AC2">
            <w:pPr>
              <w:pStyle w:val="TableText"/>
              <w:jc w:val="center"/>
              <w:rPr>
                <w:rFonts w:cstheme="minorHAnsi"/>
                <w:szCs w:val="18"/>
                <w:shd w:val="clear" w:color="auto" w:fill="F7E1D3" w:themeFill="accent6" w:themeFillTint="33"/>
              </w:rPr>
            </w:pPr>
            <w:r w:rsidRPr="00BB0B4C">
              <w:rPr>
                <w:rFonts w:cstheme="minorHAnsi"/>
                <w:b/>
                <w:color w:val="00B050"/>
                <w:szCs w:val="18"/>
              </w:rPr>
              <w:t>++</w:t>
            </w:r>
          </w:p>
          <w:p w14:paraId="786392C4" w14:textId="77777777" w:rsidR="00255135" w:rsidRPr="00BB0B4C" w:rsidRDefault="00255135" w:rsidP="00022AC2">
            <w:pPr>
              <w:pStyle w:val="TableText"/>
              <w:jc w:val="center"/>
              <w:rPr>
                <w:rFonts w:cstheme="minorHAnsi"/>
                <w:szCs w:val="18"/>
              </w:rPr>
            </w:pPr>
            <w:r w:rsidRPr="00BB0B4C">
              <w:rPr>
                <w:rFonts w:cstheme="minorHAnsi"/>
                <w:szCs w:val="18"/>
              </w:rPr>
              <w:t>Same protections as currently apply to retail and wholesale clients under the FMC Act.</w:t>
            </w:r>
          </w:p>
          <w:p w14:paraId="1F025973" w14:textId="5B3712F7" w:rsidR="00255135" w:rsidRPr="00BB0B4C" w:rsidRDefault="00255135" w:rsidP="00022AC2">
            <w:pPr>
              <w:pStyle w:val="TableText"/>
              <w:jc w:val="center"/>
              <w:rPr>
                <w:rFonts w:cstheme="minorHAnsi"/>
                <w:szCs w:val="18"/>
              </w:rPr>
            </w:pPr>
            <w:r w:rsidRPr="00BB0B4C">
              <w:rPr>
                <w:rFonts w:cstheme="minorHAnsi"/>
                <w:szCs w:val="18"/>
              </w:rPr>
              <w:t>Provides additional protection for retail clients compared to wholesale clients and alternative options. Advis</w:t>
            </w:r>
            <w:r w:rsidR="0075539B">
              <w:rPr>
                <w:rFonts w:cstheme="minorHAnsi"/>
                <w:szCs w:val="18"/>
              </w:rPr>
              <w:t>e</w:t>
            </w:r>
            <w:r w:rsidRPr="00BB0B4C">
              <w:rPr>
                <w:rFonts w:cstheme="minorHAnsi"/>
                <w:szCs w:val="18"/>
              </w:rPr>
              <w:t xml:space="preserve">rs giving NZU financial advice to retail clients are required to be licensed by the FMA, meet minimum competence </w:t>
            </w:r>
            <w:proofErr w:type="gramStart"/>
            <w:r w:rsidRPr="00BB0B4C">
              <w:rPr>
                <w:rFonts w:cstheme="minorHAnsi"/>
                <w:szCs w:val="18"/>
              </w:rPr>
              <w:t>requirements</w:t>
            </w:r>
            <w:proofErr w:type="gramEnd"/>
            <w:r w:rsidRPr="00BB0B4C">
              <w:rPr>
                <w:rFonts w:cstheme="minorHAnsi"/>
                <w:szCs w:val="18"/>
              </w:rPr>
              <w:t xml:space="preserve"> and comply with </w:t>
            </w:r>
            <w:hyperlink r:id="rId69" w:history="1">
              <w:r w:rsidRPr="00BB0B4C">
                <w:rPr>
                  <w:rStyle w:val="Hyperlink"/>
                  <w:rFonts w:cstheme="minorHAnsi"/>
                  <w:szCs w:val="18"/>
                </w:rPr>
                <w:t>Code of Professional Conduct for Financial Advice Services</w:t>
              </w:r>
            </w:hyperlink>
            <w:r w:rsidRPr="00BB0B4C">
              <w:rPr>
                <w:rFonts w:cstheme="minorHAnsi"/>
                <w:szCs w:val="18"/>
              </w:rPr>
              <w:t>.</w:t>
            </w:r>
          </w:p>
        </w:tc>
        <w:tc>
          <w:tcPr>
            <w:tcW w:w="1427" w:type="pct"/>
            <w:shd w:val="clear" w:color="auto" w:fill="C5E0B3"/>
          </w:tcPr>
          <w:p w14:paraId="382E4826" w14:textId="77777777" w:rsidR="00255135" w:rsidRPr="00BB0B4C" w:rsidRDefault="00255135" w:rsidP="00022AC2">
            <w:pPr>
              <w:pStyle w:val="TableText"/>
              <w:jc w:val="center"/>
              <w:rPr>
                <w:rFonts w:cstheme="minorHAnsi"/>
                <w:szCs w:val="18"/>
              </w:rPr>
            </w:pPr>
            <w:r w:rsidRPr="00BB0B4C">
              <w:rPr>
                <w:rFonts w:cstheme="minorHAnsi"/>
                <w:b/>
                <w:color w:val="00B050"/>
                <w:szCs w:val="18"/>
              </w:rPr>
              <w:t>+</w:t>
            </w:r>
          </w:p>
          <w:p w14:paraId="6292BC8F" w14:textId="77777777" w:rsidR="00255135" w:rsidRPr="00BB0B4C" w:rsidRDefault="00255135" w:rsidP="00022AC2">
            <w:pPr>
              <w:pStyle w:val="TableText"/>
              <w:jc w:val="center"/>
              <w:rPr>
                <w:rFonts w:cstheme="minorHAnsi"/>
                <w:b/>
                <w:color w:val="00B050"/>
                <w:szCs w:val="18"/>
              </w:rPr>
            </w:pPr>
            <w:r w:rsidRPr="00BB0B4C">
              <w:rPr>
                <w:rFonts w:cstheme="minorHAnsi"/>
                <w:szCs w:val="18"/>
              </w:rPr>
              <w:t xml:space="preserve">Some statutory duties </w:t>
            </w:r>
            <w:r>
              <w:rPr>
                <w:rFonts w:cstheme="minorHAnsi"/>
                <w:szCs w:val="18"/>
              </w:rPr>
              <w:t xml:space="preserve">apply </w:t>
            </w:r>
            <w:r w:rsidRPr="00BB0B4C">
              <w:rPr>
                <w:rFonts w:cstheme="minorHAnsi"/>
                <w:szCs w:val="18"/>
              </w:rPr>
              <w:t>(</w:t>
            </w:r>
            <w:proofErr w:type="spellStart"/>
            <w:r w:rsidRPr="00BB0B4C">
              <w:rPr>
                <w:rFonts w:cstheme="minorHAnsi"/>
                <w:szCs w:val="18"/>
              </w:rPr>
              <w:t>eg</w:t>
            </w:r>
            <w:proofErr w:type="spellEnd"/>
            <w:r>
              <w:rPr>
                <w:rFonts w:cstheme="minorHAnsi"/>
                <w:szCs w:val="18"/>
              </w:rPr>
              <w:t>,</w:t>
            </w:r>
            <w:r w:rsidRPr="00BB0B4C">
              <w:rPr>
                <w:rFonts w:cstheme="minorHAnsi"/>
                <w:szCs w:val="18"/>
              </w:rPr>
              <w:t xml:space="preserve"> to exercise care, </w:t>
            </w:r>
            <w:proofErr w:type="gramStart"/>
            <w:r w:rsidRPr="00BB0B4C">
              <w:rPr>
                <w:rFonts w:cstheme="minorHAnsi"/>
                <w:szCs w:val="18"/>
              </w:rPr>
              <w:t>diligence</w:t>
            </w:r>
            <w:proofErr w:type="gramEnd"/>
            <w:r w:rsidRPr="00BB0B4C">
              <w:rPr>
                <w:rFonts w:cstheme="minorHAnsi"/>
                <w:szCs w:val="18"/>
              </w:rPr>
              <w:t xml:space="preserve"> and skill). No licensing, minimum </w:t>
            </w:r>
            <w:proofErr w:type="gramStart"/>
            <w:r w:rsidRPr="00BB0B4C">
              <w:rPr>
                <w:rFonts w:cstheme="minorHAnsi"/>
                <w:szCs w:val="18"/>
              </w:rPr>
              <w:t>competence</w:t>
            </w:r>
            <w:proofErr w:type="gramEnd"/>
            <w:r w:rsidRPr="00BB0B4C">
              <w:rPr>
                <w:rFonts w:cstheme="minorHAnsi"/>
                <w:szCs w:val="18"/>
              </w:rPr>
              <w:t xml:space="preserve"> or code of conduct requirements.</w:t>
            </w:r>
          </w:p>
        </w:tc>
      </w:tr>
      <w:tr w:rsidR="00255135" w:rsidRPr="00391F97" w14:paraId="4D2B7D4E" w14:textId="77777777" w:rsidTr="00022AC2">
        <w:trPr>
          <w:cantSplit/>
          <w:trHeight w:val="378"/>
        </w:trPr>
        <w:tc>
          <w:tcPr>
            <w:tcW w:w="1018" w:type="pct"/>
            <w:shd w:val="clear" w:color="auto" w:fill="1C556C"/>
            <w:vAlign w:val="center"/>
          </w:tcPr>
          <w:p w14:paraId="0D7AA36B" w14:textId="77777777" w:rsidR="00255135" w:rsidRPr="00BB0B4C" w:rsidRDefault="00255135" w:rsidP="00006371">
            <w:pPr>
              <w:pStyle w:val="TableText"/>
              <w:rPr>
                <w:rFonts w:cstheme="minorHAnsi"/>
                <w:b/>
                <w:color w:val="FFFFFF" w:themeColor="background1"/>
                <w:szCs w:val="18"/>
              </w:rPr>
            </w:pPr>
            <w:r w:rsidRPr="00BB0B4C">
              <w:rPr>
                <w:rFonts w:cstheme="minorHAnsi"/>
                <w:b/>
                <w:color w:val="FFFFFF" w:themeColor="background1"/>
                <w:szCs w:val="18"/>
              </w:rPr>
              <w:t xml:space="preserve">Risk 2: Conflicts of interest involving the </w:t>
            </w:r>
            <w:r w:rsidRPr="00391F97">
              <w:rPr>
                <w:rFonts w:cstheme="minorHAnsi"/>
                <w:b/>
                <w:color w:val="FFFFFF" w:themeColor="background1"/>
                <w:szCs w:val="18"/>
              </w:rPr>
              <w:t>NZETR</w:t>
            </w:r>
          </w:p>
        </w:tc>
        <w:tc>
          <w:tcPr>
            <w:tcW w:w="490" w:type="pct"/>
            <w:shd w:val="clear" w:color="auto" w:fill="EDEDED"/>
            <w:vAlign w:val="center"/>
          </w:tcPr>
          <w:p w14:paraId="34DBEDF4" w14:textId="77777777" w:rsidR="00255135" w:rsidRPr="00BB0B4C" w:rsidRDefault="00255135" w:rsidP="00006371">
            <w:pPr>
              <w:pStyle w:val="TableText"/>
              <w:jc w:val="center"/>
              <w:rPr>
                <w:rFonts w:cstheme="minorHAnsi"/>
                <w:szCs w:val="18"/>
              </w:rPr>
            </w:pPr>
            <w:r w:rsidRPr="00391F97">
              <w:rPr>
                <w:rFonts w:cstheme="minorHAnsi"/>
                <w:b/>
                <w:bCs/>
                <w:szCs w:val="18"/>
              </w:rPr>
              <w:t>0</w:t>
            </w:r>
          </w:p>
        </w:tc>
        <w:tc>
          <w:tcPr>
            <w:tcW w:w="2065" w:type="pct"/>
            <w:shd w:val="clear" w:color="auto" w:fill="C5E0B3"/>
          </w:tcPr>
          <w:p w14:paraId="74447850" w14:textId="77777777" w:rsidR="00255135" w:rsidRPr="00BB0B4C" w:rsidRDefault="00255135" w:rsidP="00022AC2">
            <w:pPr>
              <w:pStyle w:val="TableText"/>
              <w:jc w:val="center"/>
              <w:rPr>
                <w:rFonts w:cstheme="minorHAnsi"/>
                <w:b/>
                <w:color w:val="00B050"/>
                <w:szCs w:val="18"/>
                <w:vertAlign w:val="subscript"/>
              </w:rPr>
            </w:pPr>
            <w:r w:rsidRPr="00BB0B4C">
              <w:rPr>
                <w:rFonts w:cstheme="minorHAnsi"/>
                <w:b/>
                <w:color w:val="00B050"/>
                <w:szCs w:val="18"/>
              </w:rPr>
              <w:t>++</w:t>
            </w:r>
          </w:p>
          <w:p w14:paraId="01C88AA1" w14:textId="77777777" w:rsidR="00255135" w:rsidRPr="00BB0B4C" w:rsidRDefault="00255135" w:rsidP="00022AC2">
            <w:pPr>
              <w:pStyle w:val="TableText"/>
              <w:jc w:val="center"/>
              <w:rPr>
                <w:rFonts w:cstheme="minorHAnsi"/>
                <w:szCs w:val="18"/>
              </w:rPr>
            </w:pPr>
            <w:r w:rsidRPr="00BB0B4C">
              <w:rPr>
                <w:rFonts w:cstheme="minorHAnsi"/>
                <w:szCs w:val="18"/>
              </w:rPr>
              <w:t>Provides some additional protection for retail clients compared to alternative option, including requirement to disclose conflicts of interest to retail clients.</w:t>
            </w:r>
          </w:p>
        </w:tc>
        <w:tc>
          <w:tcPr>
            <w:tcW w:w="1427" w:type="pct"/>
            <w:shd w:val="clear" w:color="auto" w:fill="C5E0B3"/>
          </w:tcPr>
          <w:p w14:paraId="057AF5D1" w14:textId="77777777" w:rsidR="00255135" w:rsidRPr="00BB0B4C" w:rsidRDefault="00255135" w:rsidP="00022AC2">
            <w:pPr>
              <w:pStyle w:val="TableText"/>
              <w:jc w:val="center"/>
              <w:rPr>
                <w:rFonts w:cstheme="minorHAnsi"/>
                <w:b/>
                <w:color w:val="00B050"/>
                <w:szCs w:val="18"/>
              </w:rPr>
            </w:pPr>
            <w:r w:rsidRPr="00BB0B4C">
              <w:rPr>
                <w:rFonts w:cstheme="minorHAnsi"/>
                <w:b/>
                <w:color w:val="00B050"/>
                <w:szCs w:val="18"/>
              </w:rPr>
              <w:t>+</w:t>
            </w:r>
          </w:p>
          <w:p w14:paraId="593516A9" w14:textId="6ADF6C5D" w:rsidR="00255135" w:rsidRPr="00BB0B4C" w:rsidRDefault="00255135" w:rsidP="00022AC2">
            <w:pPr>
              <w:pStyle w:val="TableText"/>
              <w:jc w:val="center"/>
              <w:rPr>
                <w:rFonts w:cstheme="minorHAnsi"/>
                <w:szCs w:val="18"/>
              </w:rPr>
            </w:pPr>
            <w:r w:rsidRPr="00BB0B4C">
              <w:rPr>
                <w:rFonts w:cstheme="minorHAnsi"/>
                <w:szCs w:val="18"/>
              </w:rPr>
              <w:t>Advis</w:t>
            </w:r>
            <w:r w:rsidR="0075539B">
              <w:rPr>
                <w:rFonts w:cstheme="minorHAnsi"/>
                <w:szCs w:val="18"/>
              </w:rPr>
              <w:t>e</w:t>
            </w:r>
            <w:r w:rsidRPr="00BB0B4C">
              <w:rPr>
                <w:rFonts w:cstheme="minorHAnsi"/>
                <w:szCs w:val="18"/>
              </w:rPr>
              <w:t>rs must give priority to client’s interest if there is a conflict.</w:t>
            </w:r>
          </w:p>
          <w:p w14:paraId="64B34A05" w14:textId="7DE41E2B" w:rsidR="00255135" w:rsidRPr="00BB0B4C" w:rsidRDefault="00255135" w:rsidP="00022AC2">
            <w:pPr>
              <w:pStyle w:val="TableText"/>
              <w:jc w:val="center"/>
              <w:rPr>
                <w:rFonts w:cstheme="minorHAnsi"/>
                <w:b/>
                <w:color w:val="00B050"/>
                <w:szCs w:val="18"/>
              </w:rPr>
            </w:pPr>
            <w:r w:rsidRPr="00BB0B4C">
              <w:rPr>
                <w:rFonts w:cstheme="minorHAnsi"/>
                <w:szCs w:val="18"/>
              </w:rPr>
              <w:t xml:space="preserve">Unlike </w:t>
            </w:r>
            <w:r w:rsidR="000929D6">
              <w:rPr>
                <w:rFonts w:cstheme="minorHAnsi"/>
                <w:szCs w:val="18"/>
              </w:rPr>
              <w:t>preferred option</w:t>
            </w:r>
            <w:r w:rsidRPr="00BB0B4C">
              <w:rPr>
                <w:rFonts w:cstheme="minorHAnsi"/>
                <w:szCs w:val="18"/>
              </w:rPr>
              <w:t>, advis</w:t>
            </w:r>
            <w:r w:rsidR="0075539B">
              <w:rPr>
                <w:rFonts w:cstheme="minorHAnsi"/>
                <w:szCs w:val="18"/>
              </w:rPr>
              <w:t>e</w:t>
            </w:r>
            <w:r w:rsidRPr="00BB0B4C">
              <w:rPr>
                <w:rFonts w:cstheme="minorHAnsi"/>
                <w:szCs w:val="18"/>
              </w:rPr>
              <w:t>rs are not required to provide retail clients with disclosure information about conflicts of interest.</w:t>
            </w:r>
          </w:p>
        </w:tc>
      </w:tr>
      <w:tr w:rsidR="00255135" w:rsidRPr="00391F97" w14:paraId="141D08A3" w14:textId="77777777" w:rsidTr="00022AC2">
        <w:trPr>
          <w:cantSplit/>
          <w:trHeight w:val="378"/>
        </w:trPr>
        <w:tc>
          <w:tcPr>
            <w:tcW w:w="1018" w:type="pct"/>
            <w:shd w:val="clear" w:color="auto" w:fill="1C556C"/>
            <w:vAlign w:val="center"/>
          </w:tcPr>
          <w:p w14:paraId="1872EADC" w14:textId="77777777" w:rsidR="00255135" w:rsidRPr="00BB0B4C" w:rsidRDefault="00255135" w:rsidP="00006371">
            <w:pPr>
              <w:pStyle w:val="TableText"/>
              <w:rPr>
                <w:rFonts w:cstheme="minorHAnsi"/>
                <w:b/>
                <w:color w:val="FFFFFF" w:themeColor="background1"/>
                <w:szCs w:val="18"/>
              </w:rPr>
            </w:pPr>
            <w:r w:rsidRPr="00BB0B4C">
              <w:rPr>
                <w:rFonts w:cstheme="minorHAnsi"/>
                <w:b/>
                <w:color w:val="FFFFFF" w:themeColor="background1"/>
                <w:szCs w:val="18"/>
              </w:rPr>
              <w:t>Overall assessment</w:t>
            </w:r>
          </w:p>
        </w:tc>
        <w:tc>
          <w:tcPr>
            <w:tcW w:w="490" w:type="pct"/>
            <w:shd w:val="clear" w:color="auto" w:fill="EDEDED"/>
            <w:vAlign w:val="center"/>
          </w:tcPr>
          <w:p w14:paraId="0BA8C561" w14:textId="77777777" w:rsidR="00255135" w:rsidRPr="00BB0B4C" w:rsidRDefault="00255135" w:rsidP="00006371">
            <w:pPr>
              <w:pStyle w:val="TableText"/>
              <w:jc w:val="center"/>
              <w:rPr>
                <w:rFonts w:cstheme="minorHAnsi"/>
                <w:szCs w:val="18"/>
              </w:rPr>
            </w:pPr>
            <w:r w:rsidRPr="00391F97">
              <w:rPr>
                <w:rFonts w:cstheme="minorHAnsi"/>
                <w:b/>
                <w:bCs/>
                <w:szCs w:val="18"/>
              </w:rPr>
              <w:t>0</w:t>
            </w:r>
          </w:p>
        </w:tc>
        <w:tc>
          <w:tcPr>
            <w:tcW w:w="2065" w:type="pct"/>
            <w:shd w:val="clear" w:color="auto" w:fill="C5E0B3"/>
          </w:tcPr>
          <w:p w14:paraId="64A8CA57" w14:textId="77777777" w:rsidR="00255135" w:rsidRPr="00BB0B4C" w:rsidRDefault="00255135" w:rsidP="00022AC2">
            <w:pPr>
              <w:pStyle w:val="TableText"/>
              <w:jc w:val="center"/>
              <w:rPr>
                <w:rFonts w:cstheme="minorHAnsi"/>
                <w:b/>
                <w:szCs w:val="18"/>
              </w:rPr>
            </w:pPr>
            <w:r w:rsidRPr="00BB0B4C">
              <w:rPr>
                <w:rFonts w:cstheme="minorHAnsi"/>
                <w:b/>
                <w:color w:val="00B050"/>
                <w:szCs w:val="18"/>
              </w:rPr>
              <w:t>++</w:t>
            </w:r>
          </w:p>
          <w:p w14:paraId="3A675CF9" w14:textId="77777777" w:rsidR="00255135" w:rsidRPr="00BB0B4C" w:rsidRDefault="00255135" w:rsidP="00022AC2">
            <w:pPr>
              <w:pStyle w:val="TableText"/>
              <w:jc w:val="center"/>
              <w:rPr>
                <w:rFonts w:cstheme="minorHAnsi"/>
                <w:b/>
                <w:szCs w:val="18"/>
              </w:rPr>
            </w:pPr>
            <w:r w:rsidRPr="00BB0B4C">
              <w:rPr>
                <w:rFonts w:cstheme="minorHAnsi"/>
                <w:b/>
                <w:szCs w:val="18"/>
              </w:rPr>
              <w:t>(Preferred option)</w:t>
            </w:r>
          </w:p>
          <w:p w14:paraId="2A668F7B" w14:textId="3366464B" w:rsidR="00255135" w:rsidRPr="00BB0B4C" w:rsidRDefault="00255135" w:rsidP="00022AC2">
            <w:pPr>
              <w:pStyle w:val="TableText"/>
              <w:jc w:val="center"/>
              <w:rPr>
                <w:rFonts w:cstheme="minorHAnsi"/>
                <w:szCs w:val="18"/>
              </w:rPr>
            </w:pPr>
            <w:r w:rsidRPr="00BB0B4C">
              <w:rPr>
                <w:rFonts w:cstheme="minorHAnsi"/>
                <w:b/>
                <w:szCs w:val="18"/>
              </w:rPr>
              <w:t>Addresses risks and can minimise risks of poor advice and conflict of interest in the NZ ETS.</w:t>
            </w:r>
          </w:p>
        </w:tc>
        <w:tc>
          <w:tcPr>
            <w:tcW w:w="1427" w:type="pct"/>
            <w:shd w:val="clear" w:color="auto" w:fill="C5E0B3"/>
          </w:tcPr>
          <w:p w14:paraId="3B9B1F0D" w14:textId="77777777" w:rsidR="00255135" w:rsidRPr="00BB0B4C" w:rsidRDefault="00255135" w:rsidP="00022AC2">
            <w:pPr>
              <w:pStyle w:val="TableText"/>
              <w:jc w:val="center"/>
              <w:rPr>
                <w:rFonts w:cstheme="minorHAnsi"/>
                <w:b/>
                <w:color w:val="00B050"/>
                <w:szCs w:val="18"/>
              </w:rPr>
            </w:pPr>
            <w:r w:rsidRPr="00BB0B4C">
              <w:rPr>
                <w:rFonts w:cstheme="minorHAnsi"/>
                <w:b/>
                <w:color w:val="00B050"/>
                <w:szCs w:val="18"/>
              </w:rPr>
              <w:t>+</w:t>
            </w:r>
          </w:p>
          <w:p w14:paraId="4903067F" w14:textId="77777777" w:rsidR="00255135" w:rsidRPr="00BB0B4C" w:rsidRDefault="00255135" w:rsidP="00022AC2">
            <w:pPr>
              <w:pStyle w:val="TableText"/>
              <w:jc w:val="center"/>
              <w:rPr>
                <w:rFonts w:cstheme="minorHAnsi"/>
                <w:szCs w:val="18"/>
              </w:rPr>
            </w:pPr>
            <w:r w:rsidRPr="00BB0B4C">
              <w:rPr>
                <w:rFonts w:cstheme="minorHAnsi"/>
                <w:szCs w:val="18"/>
              </w:rPr>
              <w:t>Provides minimum statutory obligations for wholesale and retail clients.</w:t>
            </w:r>
          </w:p>
        </w:tc>
      </w:tr>
    </w:tbl>
    <w:p w14:paraId="38E1082B" w14:textId="77777777" w:rsidR="00255135" w:rsidRPr="00747EF6" w:rsidRDefault="00255135" w:rsidP="00255135">
      <w:pPr>
        <w:spacing w:before="0" w:after="160" w:line="259" w:lineRule="auto"/>
        <w:jc w:val="left"/>
      </w:pPr>
      <w:r w:rsidRPr="00747EF6">
        <w:br w:type="page"/>
      </w:r>
    </w:p>
    <w:p w14:paraId="2C0320E1" w14:textId="77777777" w:rsidR="00255135" w:rsidRDefault="00255135" w:rsidP="00255135">
      <w:pPr>
        <w:pStyle w:val="Heading1"/>
      </w:pPr>
      <w:bookmarkStart w:id="197" w:name="_Appendix_D:_Topic"/>
      <w:bookmarkStart w:id="198" w:name="_Toc118703562"/>
      <w:bookmarkStart w:id="199" w:name="_Toc118953615"/>
      <w:bookmarkEnd w:id="197"/>
      <w:r w:rsidRPr="00747EF6">
        <w:lastRenderedPageBreak/>
        <w:t xml:space="preserve">Appendix D: Topic 3 </w:t>
      </w:r>
      <w:r>
        <w:t>o</w:t>
      </w:r>
      <w:r w:rsidRPr="00747EF6">
        <w:t>ption</w:t>
      </w:r>
      <w:r>
        <w:t>s</w:t>
      </w:r>
      <w:r w:rsidRPr="00747EF6">
        <w:t xml:space="preserve"> and </w:t>
      </w:r>
      <w:bookmarkEnd w:id="198"/>
      <w:r>
        <w:t>r</w:t>
      </w:r>
      <w:r w:rsidRPr="00747EF6">
        <w:t xml:space="preserve">isk </w:t>
      </w:r>
      <w:r>
        <w:t>a</w:t>
      </w:r>
      <w:r w:rsidRPr="00747EF6">
        <w:t>nalys</w:t>
      </w:r>
      <w:r>
        <w:t>i</w:t>
      </w:r>
      <w:r w:rsidRPr="00747EF6">
        <w:t>s</w:t>
      </w:r>
      <w:bookmarkEnd w:id="199"/>
    </w:p>
    <w:p w14:paraId="20297DA4" w14:textId="77777777" w:rsidR="00255135" w:rsidRDefault="00255135" w:rsidP="00255135">
      <w:pPr>
        <w:pStyle w:val="Heading3"/>
      </w:pPr>
      <w:r w:rsidRPr="00747EF6">
        <w:t xml:space="preserve">Options </w:t>
      </w:r>
      <w:r>
        <w:t>a</w:t>
      </w:r>
      <w:r w:rsidRPr="00747EF6">
        <w:t>nalysis</w:t>
      </w:r>
    </w:p>
    <w:p w14:paraId="72C5BA9E" w14:textId="392BE6C2" w:rsidR="00255135" w:rsidRPr="00460935" w:rsidRDefault="006D0648" w:rsidP="00255135">
      <w:pPr>
        <w:pStyle w:val="BodyText"/>
      </w:pPr>
      <w:r>
        <w:t xml:space="preserve">Table </w:t>
      </w:r>
      <w:r w:rsidR="00534624">
        <w:t>21</w:t>
      </w:r>
      <w:r w:rsidR="00255135">
        <w:t xml:space="preserve"> below provides the impact analysis of the topic 3 options.</w:t>
      </w:r>
    </w:p>
    <w:p w14:paraId="26952886" w14:textId="163D02A6" w:rsidR="00255135" w:rsidRDefault="00255135" w:rsidP="00255135">
      <w:pPr>
        <w:pStyle w:val="Tableheading"/>
      </w:pPr>
      <w:bookmarkStart w:id="200" w:name="_Toc118953838"/>
      <w:r w:rsidDel="00FB6593">
        <w:t>Table</w:t>
      </w:r>
      <w:r w:rsidR="00534624">
        <w:t xml:space="preserve"> 21</w:t>
      </w:r>
      <w:r>
        <w:t xml:space="preserve">: </w:t>
      </w:r>
      <w:r>
        <w:tab/>
      </w:r>
      <w:r w:rsidRPr="00B11275">
        <w:t>Options analysis for improved transaction reporting</w:t>
      </w:r>
      <w:bookmarkEnd w:id="200"/>
    </w:p>
    <w:tbl>
      <w:tblPr>
        <w:tblW w:w="4963" w:type="pct"/>
        <w:tblInd w:w="108"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660"/>
        <w:gridCol w:w="1339"/>
        <w:gridCol w:w="5656"/>
        <w:gridCol w:w="5803"/>
      </w:tblGrid>
      <w:tr w:rsidR="00255135" w:rsidRPr="00FB6593" w14:paraId="708146C2" w14:textId="77777777" w:rsidTr="005B0F5C">
        <w:trPr>
          <w:trHeight w:val="395"/>
          <w:tblHeader/>
        </w:trPr>
        <w:tc>
          <w:tcPr>
            <w:tcW w:w="574" w:type="pct"/>
            <w:shd w:val="clear" w:color="auto" w:fill="1C556C"/>
            <w:vAlign w:val="center"/>
          </w:tcPr>
          <w:p w14:paraId="43407086" w14:textId="77777777" w:rsidR="00255135" w:rsidRPr="00BB0B4C" w:rsidRDefault="00255135" w:rsidP="00006371">
            <w:pPr>
              <w:pStyle w:val="TableText"/>
              <w:rPr>
                <w:rFonts w:cstheme="minorHAnsi"/>
                <w:color w:val="FFFFFF" w:themeColor="background1"/>
                <w:szCs w:val="18"/>
              </w:rPr>
            </w:pPr>
          </w:p>
        </w:tc>
        <w:tc>
          <w:tcPr>
            <w:tcW w:w="463" w:type="pct"/>
            <w:shd w:val="clear" w:color="auto" w:fill="1C556C"/>
            <w:vAlign w:val="center"/>
          </w:tcPr>
          <w:p w14:paraId="1A29A856" w14:textId="77777777" w:rsidR="00255135" w:rsidRPr="00BB0B4C" w:rsidRDefault="00255135" w:rsidP="00022AC2">
            <w:pPr>
              <w:pStyle w:val="TableText"/>
              <w:jc w:val="center"/>
              <w:rPr>
                <w:rFonts w:cstheme="minorHAnsi"/>
                <w:b/>
                <w:color w:val="FFFFFF" w:themeColor="background1"/>
                <w:szCs w:val="18"/>
              </w:rPr>
            </w:pPr>
            <w:r w:rsidRPr="00BB0B4C">
              <w:rPr>
                <w:rFonts w:cstheme="minorHAnsi"/>
                <w:b/>
                <w:color w:val="FFFFFF" w:themeColor="background1"/>
                <w:szCs w:val="18"/>
              </w:rPr>
              <w:t>Option one (status quo):</w:t>
            </w:r>
            <w:r w:rsidR="00022AC2">
              <w:rPr>
                <w:rFonts w:cstheme="minorHAnsi"/>
                <w:b/>
                <w:color w:val="FFFFFF" w:themeColor="background1"/>
                <w:szCs w:val="18"/>
              </w:rPr>
              <w:t xml:space="preserve"> </w:t>
            </w:r>
            <w:r w:rsidR="00022AC2">
              <w:rPr>
                <w:rFonts w:cstheme="minorHAnsi"/>
                <w:b/>
                <w:color w:val="FFFFFF" w:themeColor="background1"/>
                <w:szCs w:val="18"/>
              </w:rPr>
              <w:br/>
            </w:r>
            <w:r w:rsidRPr="00BB0B4C">
              <w:rPr>
                <w:rFonts w:cstheme="minorHAnsi"/>
                <w:color w:val="FFFFFF" w:themeColor="background1"/>
                <w:szCs w:val="18"/>
              </w:rPr>
              <w:t>Current reporting obligations</w:t>
            </w:r>
          </w:p>
        </w:tc>
        <w:tc>
          <w:tcPr>
            <w:tcW w:w="1956" w:type="pct"/>
            <w:shd w:val="clear" w:color="auto" w:fill="1C556C"/>
            <w:vAlign w:val="center"/>
          </w:tcPr>
          <w:p w14:paraId="4B2BB50C" w14:textId="77777777" w:rsidR="00255135" w:rsidRPr="00BB0B4C" w:rsidRDefault="00255135" w:rsidP="00022AC2">
            <w:pPr>
              <w:pStyle w:val="TableText"/>
              <w:jc w:val="center"/>
              <w:rPr>
                <w:rFonts w:cstheme="minorHAnsi"/>
                <w:b/>
                <w:color w:val="FFFFFF" w:themeColor="background1"/>
                <w:szCs w:val="18"/>
              </w:rPr>
            </w:pPr>
            <w:r w:rsidRPr="00BB0B4C">
              <w:rPr>
                <w:rFonts w:cstheme="minorHAnsi"/>
                <w:b/>
                <w:color w:val="FFFFFF" w:themeColor="background1"/>
                <w:szCs w:val="18"/>
              </w:rPr>
              <w:t>Option two:</w:t>
            </w:r>
            <w:r w:rsidR="00022AC2">
              <w:rPr>
                <w:rFonts w:cstheme="minorHAnsi"/>
                <w:b/>
                <w:color w:val="FFFFFF" w:themeColor="background1"/>
                <w:szCs w:val="18"/>
              </w:rPr>
              <w:br/>
            </w:r>
            <w:r w:rsidRPr="00BB0B4C">
              <w:rPr>
                <w:rFonts w:cstheme="minorHAnsi"/>
                <w:color w:val="FFFFFF" w:themeColor="background1"/>
                <w:szCs w:val="18"/>
              </w:rPr>
              <w:t>Improved transaction reporting</w:t>
            </w:r>
          </w:p>
        </w:tc>
        <w:tc>
          <w:tcPr>
            <w:tcW w:w="2007" w:type="pct"/>
            <w:shd w:val="clear" w:color="auto" w:fill="1C556C"/>
            <w:vAlign w:val="center"/>
          </w:tcPr>
          <w:p w14:paraId="66CD63F9" w14:textId="77777777" w:rsidR="00255135" w:rsidRPr="00BB0B4C" w:rsidRDefault="00255135" w:rsidP="00022AC2">
            <w:pPr>
              <w:pStyle w:val="TableText"/>
              <w:jc w:val="center"/>
              <w:rPr>
                <w:rFonts w:cstheme="minorHAnsi"/>
                <w:color w:val="FFFFFF" w:themeColor="background1"/>
                <w:szCs w:val="18"/>
              </w:rPr>
            </w:pPr>
            <w:r w:rsidRPr="00BB0B4C">
              <w:rPr>
                <w:rFonts w:cstheme="minorHAnsi"/>
                <w:b/>
                <w:color w:val="FFFFFF" w:themeColor="background1"/>
                <w:szCs w:val="18"/>
              </w:rPr>
              <w:t>Option three:</w:t>
            </w:r>
            <w:r w:rsidR="00022AC2">
              <w:rPr>
                <w:rFonts w:cstheme="minorHAnsi"/>
                <w:b/>
                <w:color w:val="FFFFFF" w:themeColor="background1"/>
                <w:szCs w:val="18"/>
              </w:rPr>
              <w:br/>
            </w:r>
            <w:r w:rsidRPr="00BB0B4C">
              <w:rPr>
                <w:rFonts w:cstheme="minorHAnsi"/>
                <w:color w:val="FFFFFF" w:themeColor="background1"/>
                <w:szCs w:val="18"/>
              </w:rPr>
              <w:t>Full transaction detail</w:t>
            </w:r>
            <w:r>
              <w:rPr>
                <w:rFonts w:cstheme="minorHAnsi"/>
                <w:color w:val="FFFFFF" w:themeColor="background1"/>
                <w:szCs w:val="18"/>
              </w:rPr>
              <w:t xml:space="preserve"> reporting</w:t>
            </w:r>
          </w:p>
        </w:tc>
      </w:tr>
      <w:tr w:rsidR="00255135" w:rsidRPr="00FB6593" w14:paraId="6B38A001" w14:textId="77777777" w:rsidTr="005B0F5C">
        <w:trPr>
          <w:cantSplit/>
          <w:trHeight w:val="615"/>
        </w:trPr>
        <w:tc>
          <w:tcPr>
            <w:tcW w:w="574" w:type="pct"/>
            <w:shd w:val="clear" w:color="auto" w:fill="1C556C"/>
            <w:vAlign w:val="center"/>
          </w:tcPr>
          <w:p w14:paraId="2A84719F" w14:textId="77777777" w:rsidR="00255135" w:rsidRPr="00BB0B4C" w:rsidRDefault="00255135" w:rsidP="00006371">
            <w:pPr>
              <w:pStyle w:val="TableText"/>
              <w:rPr>
                <w:rFonts w:cstheme="minorHAnsi"/>
                <w:b/>
                <w:color w:val="FFFFFF" w:themeColor="background1"/>
                <w:szCs w:val="18"/>
              </w:rPr>
            </w:pPr>
            <w:r w:rsidRPr="00BB0B4C">
              <w:rPr>
                <w:rFonts w:cstheme="minorHAnsi"/>
                <w:b/>
                <w:color w:val="FFFFFF" w:themeColor="background1"/>
                <w:szCs w:val="18"/>
              </w:rPr>
              <w:t>Integrity</w:t>
            </w:r>
          </w:p>
        </w:tc>
        <w:tc>
          <w:tcPr>
            <w:tcW w:w="463" w:type="pct"/>
            <w:shd w:val="clear" w:color="auto" w:fill="EDEDED"/>
            <w:vAlign w:val="center"/>
          </w:tcPr>
          <w:p w14:paraId="36079F07" w14:textId="77777777" w:rsidR="00255135" w:rsidRPr="00BB0B4C" w:rsidRDefault="00255135" w:rsidP="00006371">
            <w:pPr>
              <w:pStyle w:val="TableText"/>
              <w:jc w:val="center"/>
              <w:rPr>
                <w:rFonts w:cstheme="minorHAnsi"/>
                <w:b/>
                <w:szCs w:val="18"/>
              </w:rPr>
            </w:pPr>
            <w:r w:rsidRPr="00BB0B4C">
              <w:rPr>
                <w:rFonts w:cstheme="minorHAnsi"/>
                <w:b/>
                <w:szCs w:val="18"/>
              </w:rPr>
              <w:t>0</w:t>
            </w:r>
          </w:p>
        </w:tc>
        <w:tc>
          <w:tcPr>
            <w:tcW w:w="1956" w:type="pct"/>
            <w:shd w:val="clear" w:color="auto" w:fill="C5E0B3"/>
            <w:vAlign w:val="center"/>
          </w:tcPr>
          <w:p w14:paraId="5D6CA735" w14:textId="77777777" w:rsidR="00255135" w:rsidRPr="00FB6593" w:rsidRDefault="00255135" w:rsidP="00006371">
            <w:pPr>
              <w:pStyle w:val="TableText"/>
              <w:jc w:val="center"/>
              <w:rPr>
                <w:rFonts w:cstheme="minorHAnsi"/>
                <w:b/>
                <w:bCs/>
                <w:color w:val="00B050"/>
                <w:szCs w:val="18"/>
              </w:rPr>
            </w:pPr>
            <w:r w:rsidRPr="00FB6593">
              <w:rPr>
                <w:rFonts w:cstheme="minorHAnsi"/>
                <w:b/>
                <w:bCs/>
                <w:color w:val="00B050"/>
                <w:szCs w:val="18"/>
              </w:rPr>
              <w:t>++</w:t>
            </w:r>
          </w:p>
          <w:p w14:paraId="2C578A06" w14:textId="77777777" w:rsidR="00255135" w:rsidRPr="00FB6593" w:rsidRDefault="00255135" w:rsidP="00006371">
            <w:pPr>
              <w:pStyle w:val="TableText"/>
              <w:jc w:val="center"/>
              <w:rPr>
                <w:rFonts w:cstheme="minorHAnsi"/>
                <w:b/>
                <w:bCs/>
                <w:color w:val="00B050"/>
                <w:szCs w:val="18"/>
              </w:rPr>
            </w:pPr>
            <w:r w:rsidRPr="00FB6593">
              <w:rPr>
                <w:rFonts w:cstheme="minorHAnsi"/>
                <w:szCs w:val="18"/>
              </w:rPr>
              <w:t>Improves integrity relative to the status quo by collecting key market information</w:t>
            </w:r>
            <w:r>
              <w:rPr>
                <w:rFonts w:cstheme="minorHAnsi"/>
                <w:szCs w:val="18"/>
              </w:rPr>
              <w:t>.</w:t>
            </w:r>
          </w:p>
        </w:tc>
        <w:tc>
          <w:tcPr>
            <w:tcW w:w="2007" w:type="pct"/>
            <w:shd w:val="clear" w:color="auto" w:fill="C5E0B3"/>
            <w:vAlign w:val="center"/>
          </w:tcPr>
          <w:p w14:paraId="3556E5FE" w14:textId="77777777" w:rsidR="00255135" w:rsidRPr="00FB6593" w:rsidRDefault="00255135" w:rsidP="00006371">
            <w:pPr>
              <w:pStyle w:val="TableText"/>
              <w:jc w:val="center"/>
              <w:rPr>
                <w:rFonts w:cstheme="minorHAnsi"/>
                <w:b/>
                <w:bCs/>
                <w:color w:val="00B050"/>
                <w:szCs w:val="18"/>
              </w:rPr>
            </w:pPr>
            <w:r w:rsidRPr="00FB6593">
              <w:rPr>
                <w:rFonts w:cstheme="minorHAnsi"/>
                <w:b/>
                <w:bCs/>
                <w:color w:val="00B050"/>
                <w:szCs w:val="18"/>
              </w:rPr>
              <w:t>++</w:t>
            </w:r>
          </w:p>
          <w:p w14:paraId="61C204A2" w14:textId="77777777" w:rsidR="00255135" w:rsidRPr="00FB6593" w:rsidRDefault="00255135" w:rsidP="00006371">
            <w:pPr>
              <w:pStyle w:val="TableText"/>
              <w:jc w:val="center"/>
              <w:rPr>
                <w:rFonts w:cstheme="minorHAnsi"/>
                <w:szCs w:val="18"/>
              </w:rPr>
            </w:pPr>
            <w:r w:rsidRPr="00FB6593">
              <w:rPr>
                <w:rFonts w:cstheme="minorHAnsi"/>
                <w:szCs w:val="18"/>
              </w:rPr>
              <w:t>Provides the greatest integrity overall through increased transparency for monitoring and oversight of the market</w:t>
            </w:r>
            <w:r>
              <w:rPr>
                <w:rFonts w:cstheme="minorHAnsi"/>
                <w:szCs w:val="18"/>
              </w:rPr>
              <w:t>.</w:t>
            </w:r>
          </w:p>
        </w:tc>
      </w:tr>
      <w:tr w:rsidR="00255135" w:rsidRPr="00FB6593" w14:paraId="623D1896" w14:textId="77777777" w:rsidTr="005B0F5C">
        <w:trPr>
          <w:cantSplit/>
          <w:trHeight w:val="378"/>
        </w:trPr>
        <w:tc>
          <w:tcPr>
            <w:tcW w:w="574" w:type="pct"/>
            <w:shd w:val="clear" w:color="auto" w:fill="1C556C"/>
            <w:vAlign w:val="center"/>
          </w:tcPr>
          <w:p w14:paraId="765F2871" w14:textId="77777777" w:rsidR="00255135" w:rsidRPr="00BB0B4C" w:rsidRDefault="00255135" w:rsidP="00006371">
            <w:pPr>
              <w:pStyle w:val="TableText"/>
              <w:rPr>
                <w:rFonts w:cstheme="minorHAnsi"/>
                <w:b/>
                <w:color w:val="FFFFFF" w:themeColor="background1"/>
                <w:szCs w:val="18"/>
              </w:rPr>
            </w:pPr>
            <w:r w:rsidRPr="00BB0B4C">
              <w:rPr>
                <w:rFonts w:cstheme="minorHAnsi"/>
                <w:b/>
                <w:color w:val="FFFFFF" w:themeColor="background1"/>
                <w:szCs w:val="18"/>
              </w:rPr>
              <w:t>Minimal complexity and administrative cost</w:t>
            </w:r>
          </w:p>
        </w:tc>
        <w:tc>
          <w:tcPr>
            <w:tcW w:w="463" w:type="pct"/>
            <w:shd w:val="clear" w:color="auto" w:fill="EDEDED"/>
            <w:vAlign w:val="center"/>
          </w:tcPr>
          <w:p w14:paraId="3B9F6E6A" w14:textId="77777777" w:rsidR="00255135" w:rsidRPr="00BB0B4C" w:rsidRDefault="00255135" w:rsidP="00006371">
            <w:pPr>
              <w:pStyle w:val="TableText"/>
              <w:jc w:val="center"/>
              <w:rPr>
                <w:rFonts w:cstheme="minorHAnsi"/>
                <w:b/>
                <w:szCs w:val="18"/>
              </w:rPr>
            </w:pPr>
            <w:r w:rsidRPr="00BB0B4C">
              <w:rPr>
                <w:rFonts w:cstheme="minorHAnsi"/>
                <w:b/>
                <w:szCs w:val="18"/>
              </w:rPr>
              <w:t>0</w:t>
            </w:r>
          </w:p>
        </w:tc>
        <w:tc>
          <w:tcPr>
            <w:tcW w:w="1956" w:type="pct"/>
            <w:shd w:val="clear" w:color="auto" w:fill="F7CAAC"/>
            <w:vAlign w:val="center"/>
          </w:tcPr>
          <w:p w14:paraId="6E5B999E" w14:textId="77777777" w:rsidR="00255135" w:rsidRPr="00FB6593" w:rsidRDefault="00255135" w:rsidP="00006371">
            <w:pPr>
              <w:pStyle w:val="TableText"/>
              <w:jc w:val="center"/>
              <w:rPr>
                <w:rFonts w:cstheme="minorHAnsi"/>
                <w:b/>
                <w:bCs/>
                <w:szCs w:val="18"/>
              </w:rPr>
            </w:pPr>
            <w:r w:rsidRPr="00FB6593">
              <w:rPr>
                <w:rFonts w:cstheme="minorHAnsi"/>
                <w:b/>
                <w:bCs/>
                <w:color w:val="FF0000"/>
                <w:szCs w:val="18"/>
              </w:rPr>
              <w:t>-</w:t>
            </w:r>
          </w:p>
          <w:p w14:paraId="4B213CAE" w14:textId="77777777" w:rsidR="00255135" w:rsidRPr="00FB6593" w:rsidRDefault="00255135" w:rsidP="00006371">
            <w:pPr>
              <w:pStyle w:val="TableText"/>
              <w:jc w:val="center"/>
              <w:rPr>
                <w:rFonts w:cstheme="minorHAnsi"/>
                <w:b/>
                <w:bCs/>
                <w:color w:val="FF0000"/>
                <w:szCs w:val="18"/>
              </w:rPr>
            </w:pPr>
            <w:r w:rsidRPr="00FB6593">
              <w:rPr>
                <w:rFonts w:cstheme="minorHAnsi"/>
                <w:szCs w:val="18"/>
              </w:rPr>
              <w:t>Low administrative cost</w:t>
            </w:r>
            <w:r>
              <w:rPr>
                <w:rFonts w:cstheme="minorHAnsi"/>
                <w:szCs w:val="18"/>
              </w:rPr>
              <w:t>,</w:t>
            </w:r>
            <w:r w:rsidRPr="00FB6593">
              <w:rPr>
                <w:rFonts w:cstheme="minorHAnsi"/>
                <w:szCs w:val="18"/>
              </w:rPr>
              <w:t xml:space="preserve"> as reporting has been minimised to key information only</w:t>
            </w:r>
            <w:r>
              <w:rPr>
                <w:rFonts w:cstheme="minorHAnsi"/>
                <w:szCs w:val="18"/>
              </w:rPr>
              <w:t>.</w:t>
            </w:r>
          </w:p>
        </w:tc>
        <w:tc>
          <w:tcPr>
            <w:tcW w:w="2007" w:type="pct"/>
            <w:shd w:val="clear" w:color="auto" w:fill="F7CAAC"/>
            <w:vAlign w:val="center"/>
          </w:tcPr>
          <w:p w14:paraId="5521C9D5" w14:textId="77777777" w:rsidR="00255135" w:rsidRPr="00FB6593" w:rsidRDefault="00255135" w:rsidP="00006371">
            <w:pPr>
              <w:pStyle w:val="TableText"/>
              <w:jc w:val="center"/>
              <w:rPr>
                <w:rFonts w:cstheme="minorHAnsi"/>
                <w:b/>
                <w:bCs/>
                <w:color w:val="FF0000"/>
                <w:szCs w:val="18"/>
              </w:rPr>
            </w:pPr>
            <w:r w:rsidRPr="00FB6593">
              <w:rPr>
                <w:rFonts w:cstheme="minorHAnsi"/>
                <w:b/>
                <w:bCs/>
                <w:color w:val="FF0000"/>
                <w:szCs w:val="18"/>
              </w:rPr>
              <w:t>- -</w:t>
            </w:r>
          </w:p>
          <w:p w14:paraId="0C48DC6E" w14:textId="77777777" w:rsidR="00255135" w:rsidRPr="00FB6593" w:rsidRDefault="00255135" w:rsidP="00006371">
            <w:pPr>
              <w:pStyle w:val="TableText"/>
              <w:jc w:val="center"/>
              <w:rPr>
                <w:rFonts w:cstheme="minorHAnsi"/>
                <w:szCs w:val="18"/>
              </w:rPr>
            </w:pPr>
            <w:r w:rsidRPr="00FB6593">
              <w:rPr>
                <w:rFonts w:cstheme="minorHAnsi"/>
                <w:szCs w:val="18"/>
              </w:rPr>
              <w:t>High administrative cost</w:t>
            </w:r>
            <w:r>
              <w:rPr>
                <w:rFonts w:cstheme="minorHAnsi"/>
                <w:szCs w:val="18"/>
              </w:rPr>
              <w:t>,</w:t>
            </w:r>
            <w:r w:rsidRPr="00FB6593">
              <w:rPr>
                <w:rFonts w:cstheme="minorHAnsi"/>
                <w:szCs w:val="18"/>
              </w:rPr>
              <w:t xml:space="preserve"> as reporting on several fields is likely to be too burdensome for traders</w:t>
            </w:r>
            <w:r>
              <w:rPr>
                <w:rFonts w:cstheme="minorHAnsi"/>
                <w:szCs w:val="18"/>
              </w:rPr>
              <w:t>.</w:t>
            </w:r>
          </w:p>
        </w:tc>
      </w:tr>
      <w:tr w:rsidR="00255135" w:rsidRPr="00FB6593" w14:paraId="48175284" w14:textId="77777777" w:rsidTr="005B0F5C">
        <w:trPr>
          <w:cantSplit/>
          <w:trHeight w:val="378"/>
        </w:trPr>
        <w:tc>
          <w:tcPr>
            <w:tcW w:w="574" w:type="pct"/>
            <w:shd w:val="clear" w:color="auto" w:fill="1C556C"/>
            <w:vAlign w:val="center"/>
          </w:tcPr>
          <w:p w14:paraId="5CE52E46" w14:textId="77777777" w:rsidR="00255135" w:rsidRPr="00BB0B4C" w:rsidRDefault="00255135" w:rsidP="00006371">
            <w:pPr>
              <w:pStyle w:val="TableText"/>
              <w:rPr>
                <w:rFonts w:cstheme="minorHAnsi"/>
                <w:b/>
                <w:color w:val="FFFFFF" w:themeColor="background1"/>
                <w:szCs w:val="18"/>
              </w:rPr>
            </w:pPr>
            <w:r w:rsidRPr="00BB0B4C">
              <w:rPr>
                <w:rFonts w:cstheme="minorHAnsi"/>
                <w:b/>
                <w:color w:val="FFFFFF" w:themeColor="background1"/>
                <w:szCs w:val="18"/>
              </w:rPr>
              <w:t>Consistency and proportionality</w:t>
            </w:r>
          </w:p>
        </w:tc>
        <w:tc>
          <w:tcPr>
            <w:tcW w:w="463" w:type="pct"/>
            <w:shd w:val="clear" w:color="auto" w:fill="EDEDED"/>
            <w:vAlign w:val="center"/>
          </w:tcPr>
          <w:p w14:paraId="5F2D0FF7" w14:textId="77777777" w:rsidR="00255135" w:rsidRPr="00BB0B4C" w:rsidRDefault="00255135" w:rsidP="00006371">
            <w:pPr>
              <w:pStyle w:val="TableText"/>
              <w:jc w:val="center"/>
              <w:rPr>
                <w:rFonts w:cstheme="minorHAnsi"/>
                <w:b/>
                <w:szCs w:val="18"/>
              </w:rPr>
            </w:pPr>
            <w:r w:rsidRPr="00BB0B4C">
              <w:rPr>
                <w:rFonts w:cstheme="minorHAnsi"/>
                <w:b/>
                <w:szCs w:val="18"/>
              </w:rPr>
              <w:t>0</w:t>
            </w:r>
          </w:p>
        </w:tc>
        <w:tc>
          <w:tcPr>
            <w:tcW w:w="1956" w:type="pct"/>
            <w:shd w:val="clear" w:color="auto" w:fill="E2EFD9"/>
            <w:vAlign w:val="center"/>
          </w:tcPr>
          <w:p w14:paraId="5ECA5D15" w14:textId="77777777" w:rsidR="00255135" w:rsidRPr="00BB0B4C" w:rsidRDefault="00255135" w:rsidP="00006371">
            <w:pPr>
              <w:pStyle w:val="TableText"/>
              <w:jc w:val="center"/>
              <w:rPr>
                <w:rFonts w:cstheme="minorHAnsi"/>
                <w:b/>
                <w:color w:val="00B050"/>
                <w:szCs w:val="18"/>
              </w:rPr>
            </w:pPr>
            <w:r w:rsidRPr="00BB0B4C">
              <w:rPr>
                <w:rFonts w:cstheme="minorHAnsi"/>
                <w:b/>
                <w:color w:val="00B050"/>
                <w:szCs w:val="18"/>
              </w:rPr>
              <w:t>+</w:t>
            </w:r>
          </w:p>
          <w:p w14:paraId="1461CD1E" w14:textId="77777777" w:rsidR="00255135" w:rsidRPr="00FB6593" w:rsidRDefault="00255135" w:rsidP="00006371">
            <w:pPr>
              <w:pStyle w:val="TableText"/>
              <w:jc w:val="center"/>
              <w:rPr>
                <w:rFonts w:cstheme="minorHAnsi"/>
                <w:color w:val="00B050"/>
                <w:szCs w:val="18"/>
              </w:rPr>
            </w:pPr>
            <w:r w:rsidRPr="00FB6593">
              <w:rPr>
                <w:rFonts w:cstheme="minorHAnsi"/>
                <w:szCs w:val="18"/>
              </w:rPr>
              <w:t>Likely to be more proportional to the risks faced in the NZU market. Data collection is tailored to information gaps in the NZU market.</w:t>
            </w:r>
          </w:p>
        </w:tc>
        <w:tc>
          <w:tcPr>
            <w:tcW w:w="2007" w:type="pct"/>
            <w:shd w:val="clear" w:color="auto" w:fill="F7CAAC"/>
            <w:vAlign w:val="center"/>
          </w:tcPr>
          <w:p w14:paraId="0706AD40" w14:textId="77777777" w:rsidR="00255135" w:rsidRPr="00FB6593" w:rsidRDefault="00255135" w:rsidP="00006371">
            <w:pPr>
              <w:pStyle w:val="TableText"/>
              <w:jc w:val="center"/>
              <w:rPr>
                <w:rFonts w:cstheme="minorHAnsi"/>
                <w:b/>
                <w:bCs/>
                <w:color w:val="FF0000"/>
                <w:szCs w:val="18"/>
              </w:rPr>
            </w:pPr>
            <w:r w:rsidRPr="00FB6593">
              <w:rPr>
                <w:rFonts w:cstheme="minorHAnsi"/>
                <w:b/>
                <w:bCs/>
                <w:color w:val="FF0000"/>
                <w:szCs w:val="18"/>
              </w:rPr>
              <w:t>- -</w:t>
            </w:r>
          </w:p>
          <w:p w14:paraId="26313051" w14:textId="77777777" w:rsidR="00255135" w:rsidRPr="00FB6593" w:rsidRDefault="00255135" w:rsidP="00006371">
            <w:pPr>
              <w:pStyle w:val="TableText"/>
              <w:jc w:val="center"/>
              <w:rPr>
                <w:rFonts w:cstheme="minorHAnsi"/>
                <w:szCs w:val="18"/>
              </w:rPr>
            </w:pPr>
            <w:r w:rsidRPr="00FB6593">
              <w:rPr>
                <w:rFonts w:cstheme="minorHAnsi"/>
                <w:szCs w:val="18"/>
              </w:rPr>
              <w:t>Inconsistent with financial market reporting and unlikely to be proportional</w:t>
            </w:r>
            <w:r>
              <w:rPr>
                <w:rFonts w:cstheme="minorHAnsi"/>
                <w:szCs w:val="18"/>
              </w:rPr>
              <w:t>,</w:t>
            </w:r>
            <w:r w:rsidRPr="00FB6593">
              <w:rPr>
                <w:rFonts w:cstheme="minorHAnsi"/>
                <w:szCs w:val="18"/>
              </w:rPr>
              <w:t xml:space="preserve"> given the level of risk of misconduct</w:t>
            </w:r>
            <w:r>
              <w:rPr>
                <w:rFonts w:cstheme="minorHAnsi"/>
                <w:szCs w:val="18"/>
              </w:rPr>
              <w:t>.</w:t>
            </w:r>
          </w:p>
        </w:tc>
      </w:tr>
      <w:tr w:rsidR="00255135" w:rsidRPr="00FB6593" w14:paraId="57B7FA6F" w14:textId="77777777" w:rsidTr="005B0F5C">
        <w:trPr>
          <w:cantSplit/>
          <w:trHeight w:val="395"/>
        </w:trPr>
        <w:tc>
          <w:tcPr>
            <w:tcW w:w="574" w:type="pct"/>
            <w:shd w:val="clear" w:color="auto" w:fill="1C556C"/>
            <w:vAlign w:val="center"/>
          </w:tcPr>
          <w:p w14:paraId="41C5698B" w14:textId="77777777" w:rsidR="00255135" w:rsidRPr="00BB0B4C" w:rsidRDefault="00255135" w:rsidP="00006371">
            <w:pPr>
              <w:pStyle w:val="TableText"/>
              <w:rPr>
                <w:rFonts w:cstheme="minorHAnsi"/>
                <w:b/>
                <w:color w:val="FFFFFF" w:themeColor="background1"/>
                <w:szCs w:val="18"/>
              </w:rPr>
            </w:pPr>
            <w:r w:rsidRPr="00BB0B4C">
              <w:rPr>
                <w:rFonts w:cstheme="minorHAnsi"/>
                <w:b/>
                <w:color w:val="FFFFFF" w:themeColor="background1"/>
                <w:szCs w:val="18"/>
              </w:rPr>
              <w:t>Clarity and transparency</w:t>
            </w:r>
          </w:p>
        </w:tc>
        <w:tc>
          <w:tcPr>
            <w:tcW w:w="463" w:type="pct"/>
            <w:shd w:val="clear" w:color="auto" w:fill="EDEDED"/>
            <w:vAlign w:val="center"/>
          </w:tcPr>
          <w:p w14:paraId="4D6EE04C" w14:textId="77777777" w:rsidR="00255135" w:rsidRPr="00BB0B4C" w:rsidRDefault="00255135" w:rsidP="00006371">
            <w:pPr>
              <w:pStyle w:val="TableText"/>
              <w:jc w:val="center"/>
              <w:rPr>
                <w:rFonts w:cstheme="minorHAnsi"/>
                <w:b/>
                <w:szCs w:val="18"/>
              </w:rPr>
            </w:pPr>
            <w:r w:rsidRPr="00BB0B4C">
              <w:rPr>
                <w:rFonts w:cstheme="minorHAnsi"/>
                <w:b/>
                <w:szCs w:val="18"/>
              </w:rPr>
              <w:t>0</w:t>
            </w:r>
          </w:p>
        </w:tc>
        <w:tc>
          <w:tcPr>
            <w:tcW w:w="1956" w:type="pct"/>
            <w:shd w:val="clear" w:color="auto" w:fill="E2EFD9"/>
            <w:vAlign w:val="center"/>
          </w:tcPr>
          <w:p w14:paraId="319FA58B" w14:textId="77777777" w:rsidR="00255135" w:rsidRPr="00FB6593" w:rsidRDefault="00255135" w:rsidP="00006371">
            <w:pPr>
              <w:pStyle w:val="TableText"/>
              <w:jc w:val="center"/>
              <w:rPr>
                <w:rFonts w:cstheme="minorHAnsi"/>
                <w:b/>
                <w:bCs/>
                <w:color w:val="00B050"/>
                <w:szCs w:val="18"/>
              </w:rPr>
            </w:pPr>
            <w:r w:rsidRPr="00FB6593">
              <w:rPr>
                <w:rFonts w:cstheme="minorHAnsi"/>
                <w:b/>
                <w:bCs/>
                <w:color w:val="00B050"/>
                <w:szCs w:val="18"/>
              </w:rPr>
              <w:t>+</w:t>
            </w:r>
          </w:p>
          <w:p w14:paraId="549E887B" w14:textId="77777777" w:rsidR="00255135" w:rsidRPr="00FB6593" w:rsidRDefault="00255135" w:rsidP="00006371">
            <w:pPr>
              <w:pStyle w:val="TableText"/>
              <w:jc w:val="center"/>
              <w:rPr>
                <w:rFonts w:cstheme="minorHAnsi"/>
                <w:b/>
                <w:bCs/>
                <w:color w:val="00B050"/>
                <w:szCs w:val="18"/>
              </w:rPr>
            </w:pPr>
            <w:r w:rsidRPr="00FB6593">
              <w:rPr>
                <w:rFonts w:cstheme="minorHAnsi"/>
                <w:szCs w:val="18"/>
              </w:rPr>
              <w:t>Clear reporting obligations and provides high levels of transparency for the regulator. However, not all information is useful for markets.</w:t>
            </w:r>
          </w:p>
        </w:tc>
        <w:tc>
          <w:tcPr>
            <w:tcW w:w="2007" w:type="pct"/>
            <w:shd w:val="clear" w:color="auto" w:fill="E2EFD9"/>
            <w:vAlign w:val="center"/>
          </w:tcPr>
          <w:p w14:paraId="60E6BF5B" w14:textId="77777777" w:rsidR="00255135" w:rsidRPr="00FB6593" w:rsidRDefault="00255135" w:rsidP="00006371">
            <w:pPr>
              <w:pStyle w:val="TableText"/>
              <w:jc w:val="center"/>
              <w:rPr>
                <w:rFonts w:cstheme="minorHAnsi"/>
                <w:b/>
                <w:bCs/>
                <w:color w:val="00B050"/>
                <w:szCs w:val="18"/>
              </w:rPr>
            </w:pPr>
            <w:r w:rsidRPr="00FB6593">
              <w:rPr>
                <w:rFonts w:cstheme="minorHAnsi"/>
                <w:b/>
                <w:bCs/>
                <w:color w:val="00B050"/>
                <w:szCs w:val="18"/>
              </w:rPr>
              <w:t>+</w:t>
            </w:r>
          </w:p>
          <w:p w14:paraId="0F47FCC0" w14:textId="77777777" w:rsidR="00255135" w:rsidRPr="00FB6593" w:rsidRDefault="00255135" w:rsidP="00006371">
            <w:pPr>
              <w:pStyle w:val="TableText"/>
              <w:jc w:val="center"/>
              <w:rPr>
                <w:rFonts w:cstheme="minorHAnsi"/>
                <w:szCs w:val="18"/>
              </w:rPr>
            </w:pPr>
            <w:r w:rsidRPr="00FB6593">
              <w:rPr>
                <w:rFonts w:cstheme="minorHAnsi"/>
                <w:szCs w:val="18"/>
              </w:rPr>
              <w:t>Clear reporting obligations and provides high levels of transparency for the regulator. However, not all information is useful for markets.</w:t>
            </w:r>
          </w:p>
        </w:tc>
      </w:tr>
      <w:tr w:rsidR="00255135" w:rsidRPr="00FB6593" w14:paraId="721AA620" w14:textId="77777777" w:rsidTr="005B0F5C">
        <w:trPr>
          <w:cantSplit/>
          <w:trHeight w:val="378"/>
        </w:trPr>
        <w:tc>
          <w:tcPr>
            <w:tcW w:w="574" w:type="pct"/>
            <w:shd w:val="clear" w:color="auto" w:fill="1C556C"/>
            <w:vAlign w:val="center"/>
          </w:tcPr>
          <w:p w14:paraId="480F665D" w14:textId="77777777" w:rsidR="00255135" w:rsidRPr="00BB0B4C" w:rsidRDefault="00255135" w:rsidP="00006371">
            <w:pPr>
              <w:pStyle w:val="TableText"/>
              <w:rPr>
                <w:rFonts w:cstheme="minorHAnsi"/>
                <w:b/>
                <w:color w:val="FFFFFF" w:themeColor="background1"/>
                <w:szCs w:val="18"/>
              </w:rPr>
            </w:pPr>
            <w:r w:rsidRPr="00BB0B4C">
              <w:rPr>
                <w:rFonts w:cstheme="minorHAnsi"/>
                <w:b/>
                <w:color w:val="FFFFFF" w:themeColor="background1"/>
                <w:szCs w:val="18"/>
              </w:rPr>
              <w:lastRenderedPageBreak/>
              <w:t>Market efficiency</w:t>
            </w:r>
          </w:p>
        </w:tc>
        <w:tc>
          <w:tcPr>
            <w:tcW w:w="463" w:type="pct"/>
            <w:shd w:val="clear" w:color="auto" w:fill="EDEDED"/>
            <w:vAlign w:val="center"/>
          </w:tcPr>
          <w:p w14:paraId="11D6E929" w14:textId="77777777" w:rsidR="00255135" w:rsidRPr="00BB0B4C" w:rsidRDefault="00255135" w:rsidP="00006371">
            <w:pPr>
              <w:pStyle w:val="TableText"/>
              <w:jc w:val="center"/>
              <w:rPr>
                <w:rFonts w:cstheme="minorHAnsi"/>
                <w:b/>
                <w:szCs w:val="18"/>
              </w:rPr>
            </w:pPr>
            <w:r w:rsidRPr="00BB0B4C">
              <w:rPr>
                <w:rFonts w:cstheme="minorHAnsi"/>
                <w:b/>
                <w:szCs w:val="18"/>
              </w:rPr>
              <w:t>0</w:t>
            </w:r>
          </w:p>
        </w:tc>
        <w:tc>
          <w:tcPr>
            <w:tcW w:w="1956" w:type="pct"/>
            <w:shd w:val="clear" w:color="auto" w:fill="C5E0B3"/>
            <w:vAlign w:val="center"/>
          </w:tcPr>
          <w:p w14:paraId="7CBB8888" w14:textId="77777777" w:rsidR="00255135" w:rsidRPr="00FB6593" w:rsidRDefault="00255135" w:rsidP="00006371">
            <w:pPr>
              <w:pStyle w:val="TableText"/>
              <w:jc w:val="center"/>
              <w:rPr>
                <w:rFonts w:cstheme="minorHAnsi"/>
                <w:b/>
                <w:bCs/>
                <w:color w:val="00B050"/>
                <w:szCs w:val="18"/>
              </w:rPr>
            </w:pPr>
            <w:r w:rsidRPr="00FB6593">
              <w:rPr>
                <w:rFonts w:cstheme="minorHAnsi"/>
                <w:b/>
                <w:bCs/>
                <w:color w:val="00B050"/>
                <w:szCs w:val="18"/>
              </w:rPr>
              <w:t>++</w:t>
            </w:r>
          </w:p>
          <w:p w14:paraId="4171C3EA" w14:textId="77777777" w:rsidR="00255135" w:rsidRPr="00FB6593" w:rsidRDefault="00255135" w:rsidP="00006371">
            <w:pPr>
              <w:pStyle w:val="TableText"/>
              <w:jc w:val="center"/>
              <w:rPr>
                <w:rFonts w:cstheme="minorHAnsi"/>
                <w:b/>
                <w:bCs/>
                <w:color w:val="00B050"/>
                <w:szCs w:val="18"/>
              </w:rPr>
            </w:pPr>
            <w:r w:rsidRPr="00FB6593">
              <w:rPr>
                <w:rFonts w:cstheme="minorHAnsi"/>
                <w:szCs w:val="18"/>
              </w:rPr>
              <w:t>Captures key market information which supports price discovery. Supports oversight to guard against price manipulation, insider trading and anti-competitive conduct.</w:t>
            </w:r>
          </w:p>
        </w:tc>
        <w:tc>
          <w:tcPr>
            <w:tcW w:w="2007" w:type="pct"/>
            <w:shd w:val="clear" w:color="auto" w:fill="C5E0B3"/>
            <w:vAlign w:val="center"/>
          </w:tcPr>
          <w:p w14:paraId="4475C13F" w14:textId="77777777" w:rsidR="00255135" w:rsidRPr="00FB6593" w:rsidRDefault="00255135" w:rsidP="00006371">
            <w:pPr>
              <w:pStyle w:val="TableText"/>
              <w:jc w:val="center"/>
              <w:rPr>
                <w:rFonts w:cstheme="minorHAnsi"/>
                <w:b/>
                <w:bCs/>
                <w:color w:val="00B050"/>
                <w:szCs w:val="18"/>
              </w:rPr>
            </w:pPr>
            <w:r w:rsidRPr="00FB6593">
              <w:rPr>
                <w:rFonts w:cstheme="minorHAnsi"/>
                <w:b/>
                <w:bCs/>
                <w:color w:val="00B050"/>
                <w:szCs w:val="18"/>
              </w:rPr>
              <w:t>++</w:t>
            </w:r>
          </w:p>
          <w:p w14:paraId="74837489" w14:textId="77777777" w:rsidR="00255135" w:rsidRPr="00FB6593" w:rsidRDefault="00255135" w:rsidP="00006371">
            <w:pPr>
              <w:pStyle w:val="TableText"/>
              <w:jc w:val="center"/>
              <w:rPr>
                <w:rFonts w:cstheme="minorHAnsi"/>
                <w:szCs w:val="18"/>
              </w:rPr>
            </w:pPr>
            <w:r w:rsidRPr="00FB6593">
              <w:rPr>
                <w:rFonts w:cstheme="minorHAnsi"/>
                <w:szCs w:val="18"/>
              </w:rPr>
              <w:t>Some information useful for price discovery. Supports oversight to guard against price manipulation, insider trading and anti-competitive conduct.</w:t>
            </w:r>
          </w:p>
        </w:tc>
      </w:tr>
      <w:tr w:rsidR="00255135" w:rsidRPr="00FB6593" w14:paraId="7C526CDE" w14:textId="77777777" w:rsidTr="005B0F5C">
        <w:trPr>
          <w:cantSplit/>
          <w:trHeight w:val="584"/>
        </w:trPr>
        <w:tc>
          <w:tcPr>
            <w:tcW w:w="574" w:type="pct"/>
            <w:shd w:val="clear" w:color="auto" w:fill="1C556C"/>
            <w:vAlign w:val="center"/>
          </w:tcPr>
          <w:p w14:paraId="03640B4C" w14:textId="77777777" w:rsidR="00255135" w:rsidRPr="00BB0B4C" w:rsidRDefault="00255135" w:rsidP="00006371">
            <w:pPr>
              <w:pStyle w:val="TableText"/>
              <w:rPr>
                <w:rFonts w:cstheme="minorHAnsi"/>
                <w:b/>
                <w:color w:val="FFFFFF" w:themeColor="background1"/>
                <w:szCs w:val="18"/>
              </w:rPr>
            </w:pPr>
            <w:r w:rsidRPr="00BB0B4C">
              <w:rPr>
                <w:rFonts w:cstheme="minorHAnsi"/>
                <w:b/>
                <w:color w:val="FFFFFF" w:themeColor="background1"/>
                <w:szCs w:val="18"/>
              </w:rPr>
              <w:t>Overall assessment</w:t>
            </w:r>
          </w:p>
        </w:tc>
        <w:tc>
          <w:tcPr>
            <w:tcW w:w="463" w:type="pct"/>
            <w:shd w:val="clear" w:color="auto" w:fill="EDEDED"/>
            <w:vAlign w:val="center"/>
          </w:tcPr>
          <w:p w14:paraId="301204DA" w14:textId="77777777" w:rsidR="00255135" w:rsidRPr="00BB0B4C" w:rsidRDefault="00255135" w:rsidP="00006371">
            <w:pPr>
              <w:pStyle w:val="TableText"/>
              <w:jc w:val="center"/>
              <w:rPr>
                <w:rFonts w:cstheme="minorHAnsi"/>
                <w:b/>
                <w:szCs w:val="18"/>
              </w:rPr>
            </w:pPr>
            <w:r w:rsidRPr="00BB0B4C">
              <w:rPr>
                <w:rFonts w:cstheme="minorHAnsi"/>
                <w:b/>
                <w:szCs w:val="18"/>
              </w:rPr>
              <w:t>0</w:t>
            </w:r>
          </w:p>
        </w:tc>
        <w:tc>
          <w:tcPr>
            <w:tcW w:w="1956" w:type="pct"/>
            <w:shd w:val="clear" w:color="auto" w:fill="E2EFD9"/>
            <w:vAlign w:val="center"/>
          </w:tcPr>
          <w:p w14:paraId="3E50F969" w14:textId="77777777" w:rsidR="00255135" w:rsidRPr="00FB6593" w:rsidRDefault="00255135" w:rsidP="00006371">
            <w:pPr>
              <w:pStyle w:val="TableText"/>
              <w:jc w:val="center"/>
              <w:rPr>
                <w:rFonts w:cstheme="minorHAnsi"/>
                <w:b/>
                <w:bCs/>
                <w:color w:val="00B050"/>
                <w:szCs w:val="18"/>
              </w:rPr>
            </w:pPr>
            <w:r w:rsidRPr="00FB6593">
              <w:rPr>
                <w:rFonts w:cstheme="minorHAnsi"/>
                <w:b/>
                <w:bCs/>
                <w:color w:val="00B050"/>
                <w:szCs w:val="18"/>
              </w:rPr>
              <w:t>++</w:t>
            </w:r>
          </w:p>
          <w:p w14:paraId="437CFF4B" w14:textId="77777777" w:rsidR="00255135" w:rsidRPr="00FB6593" w:rsidRDefault="00255135" w:rsidP="00006371">
            <w:pPr>
              <w:pStyle w:val="TableText"/>
              <w:jc w:val="center"/>
              <w:rPr>
                <w:rFonts w:cstheme="minorHAnsi"/>
                <w:b/>
                <w:bCs/>
                <w:szCs w:val="18"/>
              </w:rPr>
            </w:pPr>
            <w:r w:rsidRPr="00FB6593">
              <w:rPr>
                <w:rFonts w:cstheme="minorHAnsi"/>
                <w:b/>
                <w:bCs/>
                <w:szCs w:val="18"/>
              </w:rPr>
              <w:t>(Preferred option)</w:t>
            </w:r>
          </w:p>
          <w:p w14:paraId="2D5ACB65" w14:textId="77777777" w:rsidR="00255135" w:rsidRPr="00FB6593" w:rsidRDefault="00255135" w:rsidP="00006371">
            <w:pPr>
              <w:pStyle w:val="TableText"/>
              <w:jc w:val="center"/>
              <w:rPr>
                <w:rFonts w:cstheme="minorHAnsi"/>
                <w:b/>
                <w:bCs/>
                <w:color w:val="00B050"/>
                <w:szCs w:val="18"/>
              </w:rPr>
            </w:pPr>
            <w:r w:rsidRPr="00BB0B4C">
              <w:rPr>
                <w:rFonts w:cstheme="minorHAnsi"/>
                <w:b/>
                <w:szCs w:val="18"/>
              </w:rPr>
              <w:t>Captures key data gaps in the NZU market and provides a more proportional response to the market risks.</w:t>
            </w:r>
          </w:p>
        </w:tc>
        <w:tc>
          <w:tcPr>
            <w:tcW w:w="2007" w:type="pct"/>
            <w:shd w:val="clear" w:color="auto" w:fill="E2EFD9"/>
            <w:vAlign w:val="center"/>
          </w:tcPr>
          <w:p w14:paraId="0F39B1CB" w14:textId="77777777" w:rsidR="00255135" w:rsidRPr="00FB6593" w:rsidRDefault="00255135" w:rsidP="00006371">
            <w:pPr>
              <w:pStyle w:val="TableText"/>
              <w:jc w:val="center"/>
              <w:rPr>
                <w:rFonts w:cstheme="minorHAnsi"/>
                <w:b/>
                <w:bCs/>
                <w:color w:val="00B050"/>
                <w:szCs w:val="18"/>
              </w:rPr>
            </w:pPr>
            <w:r w:rsidRPr="00FB6593">
              <w:rPr>
                <w:rFonts w:cstheme="minorHAnsi"/>
                <w:b/>
                <w:bCs/>
                <w:color w:val="00B050"/>
                <w:szCs w:val="18"/>
              </w:rPr>
              <w:t>+</w:t>
            </w:r>
          </w:p>
          <w:p w14:paraId="336672E4" w14:textId="77777777" w:rsidR="00255135" w:rsidRPr="00FB6593" w:rsidRDefault="00255135" w:rsidP="00006371">
            <w:pPr>
              <w:pStyle w:val="TableText"/>
              <w:jc w:val="center"/>
              <w:rPr>
                <w:rFonts w:cstheme="minorHAnsi"/>
                <w:szCs w:val="18"/>
              </w:rPr>
            </w:pPr>
            <w:r w:rsidRPr="00FB6593">
              <w:rPr>
                <w:rFonts w:cstheme="minorHAnsi"/>
                <w:szCs w:val="18"/>
              </w:rPr>
              <w:t>Provides the greatest integrity but inconsistent with other carbon and financials markets and not proportional to the risks in the NZU market</w:t>
            </w:r>
            <w:r>
              <w:rPr>
                <w:rFonts w:cstheme="minorHAnsi"/>
                <w:szCs w:val="18"/>
              </w:rPr>
              <w:t>.</w:t>
            </w:r>
          </w:p>
        </w:tc>
      </w:tr>
    </w:tbl>
    <w:p w14:paraId="01276AE7" w14:textId="77777777" w:rsidR="00255135" w:rsidRPr="00747EF6" w:rsidRDefault="00255135" w:rsidP="00255135">
      <w:pPr>
        <w:pStyle w:val="Heading3"/>
      </w:pPr>
      <w:r w:rsidRPr="00747EF6">
        <w:t xml:space="preserve">Risk </w:t>
      </w:r>
      <w:r>
        <w:t>a</w:t>
      </w:r>
      <w:r w:rsidRPr="00747EF6">
        <w:t>nalysis</w:t>
      </w:r>
    </w:p>
    <w:p w14:paraId="603CC2E8" w14:textId="09432BFF" w:rsidR="00255135" w:rsidRPr="00747EF6" w:rsidRDefault="00534624" w:rsidP="00255135">
      <w:pPr>
        <w:pStyle w:val="BodyText"/>
      </w:pPr>
      <w:r>
        <w:t>Table 22</w:t>
      </w:r>
      <w:r w:rsidR="00255135">
        <w:t xml:space="preserve"> below provides the</w:t>
      </w:r>
      <w:r w:rsidR="00255135" w:rsidRPr="00747EF6">
        <w:t xml:space="preserve"> risk analysis of the </w:t>
      </w:r>
      <w:r w:rsidR="00255135">
        <w:t xml:space="preserve">topic 3 </w:t>
      </w:r>
      <w:r w:rsidR="00255135" w:rsidRPr="00747EF6">
        <w:t xml:space="preserve">options. </w:t>
      </w:r>
    </w:p>
    <w:p w14:paraId="160E37D2" w14:textId="7DD902EB" w:rsidR="00255135" w:rsidRDefault="00255135" w:rsidP="00255135">
      <w:pPr>
        <w:pStyle w:val="Tableheading"/>
      </w:pPr>
      <w:bookmarkStart w:id="201" w:name="_Toc118953839"/>
      <w:r w:rsidDel="00F22602">
        <w:t>Table</w:t>
      </w:r>
      <w:bookmarkStart w:id="202" w:name="_Ref118634938"/>
      <w:r w:rsidR="00534624">
        <w:t xml:space="preserve"> 22</w:t>
      </w:r>
      <w:bookmarkEnd w:id="202"/>
      <w:r>
        <w:t xml:space="preserve">: </w:t>
      </w:r>
      <w:r>
        <w:tab/>
        <w:t>Risk analysis for improved transaction reporting</w:t>
      </w:r>
      <w:bookmarkEnd w:id="201"/>
    </w:p>
    <w:tbl>
      <w:tblPr>
        <w:tblW w:w="4963" w:type="pct"/>
        <w:tblInd w:w="108"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146"/>
        <w:gridCol w:w="1480"/>
        <w:gridCol w:w="5182"/>
        <w:gridCol w:w="4650"/>
      </w:tblGrid>
      <w:tr w:rsidR="00255135" w:rsidRPr="00F22602" w14:paraId="7D4A52A8" w14:textId="77777777" w:rsidTr="005B0F5C">
        <w:trPr>
          <w:trHeight w:val="395"/>
        </w:trPr>
        <w:tc>
          <w:tcPr>
            <w:tcW w:w="1088" w:type="pct"/>
            <w:shd w:val="clear" w:color="auto" w:fill="1C556C"/>
            <w:vAlign w:val="center"/>
          </w:tcPr>
          <w:p w14:paraId="3A8023B2" w14:textId="77777777" w:rsidR="00255135" w:rsidRPr="00BB0B4C" w:rsidRDefault="00255135" w:rsidP="00006371">
            <w:pPr>
              <w:pStyle w:val="TableText"/>
              <w:rPr>
                <w:rFonts w:cstheme="minorHAnsi"/>
                <w:color w:val="FFFFFF" w:themeColor="background1"/>
                <w:szCs w:val="18"/>
              </w:rPr>
            </w:pPr>
          </w:p>
        </w:tc>
        <w:tc>
          <w:tcPr>
            <w:tcW w:w="512" w:type="pct"/>
            <w:shd w:val="clear" w:color="auto" w:fill="1C556C"/>
            <w:vAlign w:val="center"/>
          </w:tcPr>
          <w:p w14:paraId="60E6242D" w14:textId="77777777" w:rsidR="00255135" w:rsidRPr="00BB0B4C" w:rsidRDefault="00255135" w:rsidP="00022AC2">
            <w:pPr>
              <w:pStyle w:val="TableText"/>
              <w:jc w:val="center"/>
              <w:rPr>
                <w:rFonts w:cstheme="minorHAnsi"/>
                <w:color w:val="FFFFFF" w:themeColor="background1"/>
                <w:szCs w:val="18"/>
              </w:rPr>
            </w:pPr>
            <w:r w:rsidRPr="00BB0B4C">
              <w:rPr>
                <w:rFonts w:cstheme="minorHAnsi"/>
                <w:b/>
                <w:color w:val="FFFFFF" w:themeColor="background1"/>
                <w:szCs w:val="18"/>
              </w:rPr>
              <w:t>Status quo:</w:t>
            </w:r>
            <w:r w:rsidR="00022AC2">
              <w:rPr>
                <w:rFonts w:cstheme="minorHAnsi"/>
                <w:b/>
                <w:color w:val="FFFFFF" w:themeColor="background1"/>
                <w:szCs w:val="18"/>
              </w:rPr>
              <w:br/>
            </w:r>
            <w:r w:rsidRPr="00BB0B4C">
              <w:rPr>
                <w:rFonts w:cstheme="minorHAnsi"/>
                <w:color w:val="FFFFFF" w:themeColor="background1"/>
                <w:szCs w:val="18"/>
              </w:rPr>
              <w:t>Current reporting obligations</w:t>
            </w:r>
          </w:p>
        </w:tc>
        <w:tc>
          <w:tcPr>
            <w:tcW w:w="1792" w:type="pct"/>
            <w:shd w:val="clear" w:color="auto" w:fill="1C556C"/>
            <w:vAlign w:val="center"/>
          </w:tcPr>
          <w:p w14:paraId="7806BB3F" w14:textId="77777777" w:rsidR="00255135" w:rsidRPr="00BB0B4C" w:rsidRDefault="00255135" w:rsidP="00022AC2">
            <w:pPr>
              <w:pStyle w:val="TableText"/>
              <w:jc w:val="center"/>
              <w:rPr>
                <w:rFonts w:cstheme="minorHAnsi"/>
                <w:color w:val="FFFFFF" w:themeColor="background1"/>
                <w:szCs w:val="18"/>
              </w:rPr>
            </w:pPr>
            <w:r w:rsidRPr="00BB0B4C">
              <w:rPr>
                <w:rFonts w:cstheme="minorHAnsi"/>
                <w:b/>
                <w:color w:val="FFFFFF" w:themeColor="background1"/>
                <w:szCs w:val="18"/>
              </w:rPr>
              <w:t>Option two:</w:t>
            </w:r>
            <w:r w:rsidR="00022AC2">
              <w:rPr>
                <w:rFonts w:cstheme="minorHAnsi"/>
                <w:b/>
                <w:color w:val="FFFFFF" w:themeColor="background1"/>
                <w:szCs w:val="18"/>
              </w:rPr>
              <w:br/>
            </w:r>
            <w:r w:rsidRPr="00BB0B4C">
              <w:rPr>
                <w:rFonts w:cstheme="minorHAnsi"/>
                <w:color w:val="FFFFFF" w:themeColor="background1"/>
                <w:szCs w:val="18"/>
              </w:rPr>
              <w:t>Improved transaction reporting</w:t>
            </w:r>
          </w:p>
        </w:tc>
        <w:tc>
          <w:tcPr>
            <w:tcW w:w="1609" w:type="pct"/>
            <w:shd w:val="clear" w:color="auto" w:fill="1C556C"/>
            <w:vAlign w:val="center"/>
          </w:tcPr>
          <w:p w14:paraId="354A451E" w14:textId="77777777" w:rsidR="00255135" w:rsidRPr="00BB0B4C" w:rsidRDefault="00255135" w:rsidP="00022AC2">
            <w:pPr>
              <w:pStyle w:val="TableText"/>
              <w:jc w:val="center"/>
              <w:rPr>
                <w:rFonts w:cstheme="minorHAnsi"/>
                <w:b/>
                <w:color w:val="FFFFFF" w:themeColor="background1"/>
                <w:szCs w:val="18"/>
              </w:rPr>
            </w:pPr>
            <w:r w:rsidRPr="00BB0B4C">
              <w:rPr>
                <w:rFonts w:cstheme="minorHAnsi"/>
                <w:b/>
                <w:color w:val="FFFFFF" w:themeColor="background1"/>
                <w:szCs w:val="18"/>
              </w:rPr>
              <w:t>Option three:</w:t>
            </w:r>
            <w:r w:rsidR="00022AC2">
              <w:rPr>
                <w:rFonts w:cstheme="minorHAnsi"/>
                <w:b/>
                <w:color w:val="FFFFFF" w:themeColor="background1"/>
                <w:szCs w:val="18"/>
              </w:rPr>
              <w:br/>
            </w:r>
            <w:r w:rsidRPr="00BB0B4C">
              <w:rPr>
                <w:rFonts w:cstheme="minorHAnsi"/>
                <w:color w:val="FFFFFF" w:themeColor="background1"/>
                <w:szCs w:val="18"/>
              </w:rPr>
              <w:t>Full transaction detail reporting</w:t>
            </w:r>
          </w:p>
        </w:tc>
      </w:tr>
      <w:tr w:rsidR="00255135" w:rsidRPr="00FB6593" w14:paraId="6B63104C" w14:textId="77777777" w:rsidTr="005B0F5C">
        <w:trPr>
          <w:trHeight w:val="615"/>
        </w:trPr>
        <w:tc>
          <w:tcPr>
            <w:tcW w:w="1088" w:type="pct"/>
            <w:shd w:val="clear" w:color="auto" w:fill="1C556C"/>
            <w:vAlign w:val="center"/>
          </w:tcPr>
          <w:p w14:paraId="2751F12B" w14:textId="0951E956" w:rsidR="00255135" w:rsidRPr="00BB0B4C" w:rsidRDefault="00255135" w:rsidP="00006371">
            <w:pPr>
              <w:pStyle w:val="TableText"/>
              <w:rPr>
                <w:rFonts w:cstheme="minorHAnsi"/>
                <w:b/>
                <w:color w:val="FFFFFF" w:themeColor="background1"/>
                <w:szCs w:val="18"/>
              </w:rPr>
            </w:pPr>
            <w:r w:rsidRPr="00BB0B4C">
              <w:rPr>
                <w:rFonts w:cstheme="minorHAnsi"/>
                <w:b/>
                <w:color w:val="FFFFFF" w:themeColor="background1"/>
                <w:szCs w:val="18"/>
              </w:rPr>
              <w:t xml:space="preserve">Risk 3: Potential lack of transparency, </w:t>
            </w:r>
            <w:proofErr w:type="gramStart"/>
            <w:r w:rsidRPr="00BB0B4C">
              <w:rPr>
                <w:rFonts w:cstheme="minorHAnsi"/>
                <w:b/>
                <w:color w:val="FFFFFF" w:themeColor="background1"/>
                <w:szCs w:val="18"/>
              </w:rPr>
              <w:t>oversight</w:t>
            </w:r>
            <w:proofErr w:type="gramEnd"/>
            <w:r w:rsidRPr="00BB0B4C">
              <w:rPr>
                <w:rFonts w:cstheme="minorHAnsi"/>
                <w:b/>
                <w:color w:val="FFFFFF" w:themeColor="background1"/>
                <w:szCs w:val="18"/>
              </w:rPr>
              <w:t xml:space="preserve"> and monitoring of trades in the secondary NZU market</w:t>
            </w:r>
          </w:p>
        </w:tc>
        <w:tc>
          <w:tcPr>
            <w:tcW w:w="512" w:type="pct"/>
            <w:shd w:val="clear" w:color="auto" w:fill="EDEDED"/>
            <w:vAlign w:val="center"/>
          </w:tcPr>
          <w:p w14:paraId="0D9DB519" w14:textId="77777777" w:rsidR="00255135" w:rsidRPr="00BB0B4C" w:rsidRDefault="00255135" w:rsidP="00006371">
            <w:pPr>
              <w:pStyle w:val="TableText"/>
              <w:jc w:val="center"/>
              <w:rPr>
                <w:rFonts w:cstheme="minorHAnsi"/>
                <w:szCs w:val="18"/>
              </w:rPr>
            </w:pPr>
            <w:r w:rsidRPr="00610CD1">
              <w:rPr>
                <w:rFonts w:cstheme="minorHAnsi"/>
                <w:b/>
                <w:bCs/>
                <w:szCs w:val="18"/>
              </w:rPr>
              <w:t>0</w:t>
            </w:r>
          </w:p>
        </w:tc>
        <w:tc>
          <w:tcPr>
            <w:tcW w:w="1792" w:type="pct"/>
            <w:shd w:val="clear" w:color="auto" w:fill="E2EFD9"/>
            <w:vAlign w:val="center"/>
          </w:tcPr>
          <w:p w14:paraId="76393594" w14:textId="77777777" w:rsidR="00255135" w:rsidRPr="00BB0B4C" w:rsidRDefault="00255135" w:rsidP="00006371">
            <w:pPr>
              <w:pStyle w:val="TableText"/>
              <w:jc w:val="center"/>
              <w:rPr>
                <w:rFonts w:cstheme="minorHAnsi"/>
                <w:szCs w:val="18"/>
                <w:shd w:val="clear" w:color="auto" w:fill="F7E1D3" w:themeFill="accent6" w:themeFillTint="33"/>
              </w:rPr>
            </w:pPr>
            <w:r w:rsidRPr="00BB0B4C">
              <w:rPr>
                <w:rFonts w:cstheme="minorHAnsi"/>
                <w:b/>
                <w:color w:val="00B050"/>
                <w:szCs w:val="18"/>
              </w:rPr>
              <w:t>+</w:t>
            </w:r>
          </w:p>
          <w:p w14:paraId="0BC96322" w14:textId="77777777" w:rsidR="00255135" w:rsidRPr="00BB0B4C" w:rsidRDefault="00255135" w:rsidP="00006371">
            <w:pPr>
              <w:pStyle w:val="TableText"/>
              <w:jc w:val="center"/>
              <w:rPr>
                <w:rFonts w:cstheme="minorHAnsi"/>
                <w:szCs w:val="18"/>
              </w:rPr>
            </w:pPr>
            <w:r w:rsidRPr="00BB0B4C">
              <w:rPr>
                <w:rFonts w:cstheme="minorHAnsi"/>
                <w:szCs w:val="18"/>
              </w:rPr>
              <w:t>Provides key information relating to OTC trades</w:t>
            </w:r>
            <w:r>
              <w:rPr>
                <w:rFonts w:cstheme="minorHAnsi"/>
                <w:szCs w:val="18"/>
              </w:rPr>
              <w:t>,</w:t>
            </w:r>
            <w:r w:rsidRPr="00BB0B4C">
              <w:rPr>
                <w:rFonts w:cstheme="minorHAnsi"/>
                <w:szCs w:val="18"/>
              </w:rPr>
              <w:t xml:space="preserve"> contributing to transparency in the market</w:t>
            </w:r>
            <w:r>
              <w:rPr>
                <w:rFonts w:cstheme="minorHAnsi"/>
                <w:szCs w:val="18"/>
              </w:rPr>
              <w:t>.</w:t>
            </w:r>
          </w:p>
        </w:tc>
        <w:tc>
          <w:tcPr>
            <w:tcW w:w="1609" w:type="pct"/>
            <w:shd w:val="clear" w:color="auto" w:fill="C5E0B3"/>
            <w:vAlign w:val="center"/>
          </w:tcPr>
          <w:p w14:paraId="47ECC646" w14:textId="77777777" w:rsidR="00255135" w:rsidRPr="00BB0B4C" w:rsidRDefault="00255135" w:rsidP="00006371">
            <w:pPr>
              <w:pStyle w:val="TableText"/>
              <w:jc w:val="center"/>
              <w:rPr>
                <w:rFonts w:cstheme="minorHAnsi"/>
                <w:szCs w:val="18"/>
              </w:rPr>
            </w:pPr>
            <w:r w:rsidRPr="00BB0B4C">
              <w:rPr>
                <w:rFonts w:cstheme="minorHAnsi"/>
                <w:b/>
                <w:color w:val="00B050"/>
                <w:szCs w:val="18"/>
              </w:rPr>
              <w:t>++</w:t>
            </w:r>
          </w:p>
          <w:p w14:paraId="617F4ABD" w14:textId="77777777" w:rsidR="00255135" w:rsidRPr="00BB0B4C" w:rsidRDefault="00255135" w:rsidP="00006371">
            <w:pPr>
              <w:pStyle w:val="TableText"/>
              <w:jc w:val="center"/>
              <w:rPr>
                <w:rFonts w:cstheme="minorHAnsi"/>
                <w:b/>
                <w:color w:val="00B050"/>
                <w:szCs w:val="18"/>
              </w:rPr>
            </w:pPr>
            <w:r w:rsidRPr="00BB0B4C">
              <w:rPr>
                <w:rFonts w:cstheme="minorHAnsi"/>
                <w:szCs w:val="18"/>
              </w:rPr>
              <w:t>Provides a complete, detailed oversight of OTC trades occurring in the NZU market</w:t>
            </w:r>
            <w:r>
              <w:rPr>
                <w:rFonts w:cstheme="minorHAnsi"/>
                <w:szCs w:val="18"/>
              </w:rPr>
              <w:t>.</w:t>
            </w:r>
          </w:p>
        </w:tc>
      </w:tr>
      <w:tr w:rsidR="00255135" w:rsidRPr="00FB6593" w14:paraId="1B673A48" w14:textId="77777777" w:rsidTr="005B0F5C">
        <w:trPr>
          <w:trHeight w:val="378"/>
        </w:trPr>
        <w:tc>
          <w:tcPr>
            <w:tcW w:w="1088" w:type="pct"/>
            <w:shd w:val="clear" w:color="auto" w:fill="1C556C"/>
            <w:vAlign w:val="center"/>
          </w:tcPr>
          <w:p w14:paraId="52751311" w14:textId="77777777" w:rsidR="00255135" w:rsidRPr="00BB0B4C" w:rsidRDefault="00255135" w:rsidP="00006371">
            <w:pPr>
              <w:pStyle w:val="TableText"/>
              <w:rPr>
                <w:rFonts w:cstheme="minorHAnsi"/>
                <w:b/>
                <w:color w:val="FFFFFF" w:themeColor="background1"/>
                <w:szCs w:val="18"/>
              </w:rPr>
            </w:pPr>
            <w:r w:rsidRPr="00BB0B4C">
              <w:rPr>
                <w:rFonts w:cstheme="minorHAnsi"/>
                <w:b/>
                <w:color w:val="FFFFFF" w:themeColor="background1"/>
                <w:szCs w:val="18"/>
              </w:rPr>
              <w:t>Overall assessment</w:t>
            </w:r>
          </w:p>
        </w:tc>
        <w:tc>
          <w:tcPr>
            <w:tcW w:w="512" w:type="pct"/>
            <w:shd w:val="clear" w:color="auto" w:fill="EDEDED"/>
            <w:vAlign w:val="center"/>
          </w:tcPr>
          <w:p w14:paraId="70695CE6" w14:textId="77777777" w:rsidR="00255135" w:rsidRPr="00BB0B4C" w:rsidRDefault="00255135" w:rsidP="00006371">
            <w:pPr>
              <w:pStyle w:val="TableText"/>
              <w:jc w:val="center"/>
              <w:rPr>
                <w:rFonts w:cstheme="minorHAnsi"/>
                <w:szCs w:val="18"/>
              </w:rPr>
            </w:pPr>
            <w:r w:rsidRPr="00610CD1">
              <w:rPr>
                <w:rFonts w:cstheme="minorHAnsi"/>
                <w:b/>
                <w:bCs/>
                <w:szCs w:val="18"/>
              </w:rPr>
              <w:t>0</w:t>
            </w:r>
          </w:p>
        </w:tc>
        <w:tc>
          <w:tcPr>
            <w:tcW w:w="1792" w:type="pct"/>
            <w:shd w:val="clear" w:color="auto" w:fill="E2EFD9"/>
            <w:vAlign w:val="center"/>
          </w:tcPr>
          <w:p w14:paraId="151DC8B6" w14:textId="77777777" w:rsidR="00255135" w:rsidRPr="0020452D" w:rsidRDefault="00255135" w:rsidP="00006371">
            <w:pPr>
              <w:pStyle w:val="TableText"/>
              <w:jc w:val="center"/>
              <w:rPr>
                <w:rFonts w:cstheme="minorHAnsi"/>
                <w:b/>
                <w:color w:val="000000" w:themeColor="text1"/>
                <w:szCs w:val="18"/>
              </w:rPr>
            </w:pPr>
            <w:r w:rsidRPr="0020452D">
              <w:rPr>
                <w:rFonts w:cstheme="minorHAnsi"/>
                <w:b/>
                <w:color w:val="000000" w:themeColor="text1"/>
                <w:szCs w:val="18"/>
              </w:rPr>
              <w:t>+</w:t>
            </w:r>
          </w:p>
          <w:p w14:paraId="32A9A9FC" w14:textId="77777777" w:rsidR="00255135" w:rsidRPr="0020452D" w:rsidRDefault="00255135" w:rsidP="00006371">
            <w:pPr>
              <w:pStyle w:val="TableText"/>
              <w:jc w:val="center"/>
              <w:rPr>
                <w:rFonts w:cstheme="minorHAnsi"/>
                <w:color w:val="000000" w:themeColor="text1"/>
                <w:szCs w:val="18"/>
              </w:rPr>
            </w:pPr>
            <w:r w:rsidRPr="0020452D">
              <w:rPr>
                <w:rFonts w:cstheme="minorHAnsi"/>
                <w:b/>
                <w:color w:val="000000" w:themeColor="text1"/>
                <w:szCs w:val="18"/>
              </w:rPr>
              <w:t>Additional fields of information will enable greater transparency and detection of possible misconduct.</w:t>
            </w:r>
          </w:p>
        </w:tc>
        <w:tc>
          <w:tcPr>
            <w:tcW w:w="1609" w:type="pct"/>
            <w:shd w:val="clear" w:color="auto" w:fill="C5E0B3"/>
            <w:vAlign w:val="center"/>
          </w:tcPr>
          <w:p w14:paraId="31EB0768" w14:textId="77777777" w:rsidR="00255135" w:rsidRDefault="00255135" w:rsidP="00006371">
            <w:pPr>
              <w:pStyle w:val="TableText"/>
              <w:jc w:val="center"/>
              <w:rPr>
                <w:rFonts w:cstheme="minorHAnsi"/>
                <w:b/>
                <w:color w:val="00B050"/>
                <w:szCs w:val="18"/>
              </w:rPr>
            </w:pPr>
            <w:r w:rsidRPr="00BB0B4C">
              <w:rPr>
                <w:rFonts w:cstheme="minorHAnsi"/>
                <w:b/>
                <w:color w:val="00B050"/>
                <w:szCs w:val="18"/>
              </w:rPr>
              <w:t>++</w:t>
            </w:r>
          </w:p>
          <w:p w14:paraId="2087F8F9" w14:textId="702CF476" w:rsidR="00255135" w:rsidRPr="0020452D" w:rsidRDefault="00255135" w:rsidP="00006371">
            <w:pPr>
              <w:pStyle w:val="TableText"/>
              <w:jc w:val="center"/>
              <w:rPr>
                <w:rFonts w:cstheme="minorHAnsi"/>
                <w:b/>
                <w:color w:val="000000" w:themeColor="text1"/>
                <w:szCs w:val="18"/>
              </w:rPr>
            </w:pPr>
            <w:r w:rsidRPr="0020452D">
              <w:rPr>
                <w:rFonts w:cstheme="minorHAnsi"/>
                <w:b/>
                <w:color w:val="000000" w:themeColor="text1"/>
                <w:szCs w:val="18"/>
              </w:rPr>
              <w:t>Significantly more information to detect misconduct</w:t>
            </w:r>
            <w:r w:rsidR="000F7AEF">
              <w:rPr>
                <w:rFonts w:cstheme="minorHAnsi"/>
                <w:b/>
                <w:color w:val="000000" w:themeColor="text1"/>
                <w:szCs w:val="18"/>
              </w:rPr>
              <w:t>,</w:t>
            </w:r>
            <w:r w:rsidRPr="0020452D">
              <w:rPr>
                <w:rFonts w:cstheme="minorHAnsi"/>
                <w:b/>
                <w:color w:val="000000" w:themeColor="text1"/>
                <w:szCs w:val="18"/>
              </w:rPr>
              <w:t xml:space="preserve"> which will improve transparency and overall market efficiency. </w:t>
            </w:r>
          </w:p>
        </w:tc>
      </w:tr>
      <w:bookmarkEnd w:id="1"/>
    </w:tbl>
    <w:p w14:paraId="62339D1E" w14:textId="1BF7DC39" w:rsidR="00D009D8" w:rsidRPr="006B77BB" w:rsidRDefault="00D009D8" w:rsidP="00534624">
      <w:pPr>
        <w:spacing w:before="0" w:after="160" w:line="259" w:lineRule="auto"/>
        <w:jc w:val="left"/>
      </w:pPr>
    </w:p>
    <w:sectPr w:rsidR="00D009D8" w:rsidRPr="006B77BB" w:rsidSect="005B0F5C">
      <w:footerReference w:type="default" r:id="rId70"/>
      <w:pgSz w:w="16840" w:h="11907" w:orient="landscape" w:code="9"/>
      <w:pgMar w:top="1276" w:right="1134" w:bottom="1701"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27731" w14:textId="77777777" w:rsidR="00350CD6" w:rsidRDefault="00350CD6" w:rsidP="0080531E">
      <w:pPr>
        <w:spacing w:before="0" w:after="0" w:line="240" w:lineRule="auto"/>
      </w:pPr>
      <w:r>
        <w:separator/>
      </w:r>
    </w:p>
    <w:p w14:paraId="5A5393E7" w14:textId="77777777" w:rsidR="00350CD6" w:rsidRDefault="00350CD6"/>
  </w:endnote>
  <w:endnote w:type="continuationSeparator" w:id="0">
    <w:p w14:paraId="53098C37" w14:textId="77777777" w:rsidR="00350CD6" w:rsidRDefault="00350CD6" w:rsidP="0080531E">
      <w:pPr>
        <w:spacing w:before="0" w:after="0" w:line="240" w:lineRule="auto"/>
      </w:pPr>
      <w:r>
        <w:continuationSeparator/>
      </w:r>
    </w:p>
    <w:p w14:paraId="30550EF2" w14:textId="77777777" w:rsidR="00350CD6" w:rsidRDefault="00350CD6"/>
  </w:endnote>
  <w:endnote w:type="continuationNotice" w:id="1">
    <w:p w14:paraId="73C9C32D" w14:textId="77777777" w:rsidR="00350CD6" w:rsidRDefault="00350CD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Sans">
    <w:altName w:val="Calibri"/>
    <w:panose1 w:val="00000000000000000000"/>
    <w:charset w:val="00"/>
    <w:family w:val="moder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94CF1" w14:textId="77777777" w:rsidR="00A52A00" w:rsidRDefault="00A52A00" w:rsidP="009F1D7F">
    <w:pPr>
      <w:spacing w:before="0" w:after="0" w:line="240" w:lineRule="auto"/>
      <w:jc w:val="left"/>
    </w:pPr>
    <w:r>
      <w:rPr>
        <w:b/>
        <w:bCs/>
        <w:noProof/>
      </w:rPr>
      <w:drawing>
        <wp:inline distT="0" distB="0" distL="0" distR="0" wp14:anchorId="66CF060E" wp14:editId="2F282BDE">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E0218" w14:textId="77777777" w:rsidR="00A52A00" w:rsidRDefault="00A52A00"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48938" w14:textId="77777777" w:rsidR="00A52A00" w:rsidRDefault="00A52A0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5A4F2" w14:textId="77777777" w:rsidR="00A52A00" w:rsidRDefault="00A52A00"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Pr="00562487">
      <w:t xml:space="preserve">Market </w:t>
    </w:r>
    <w:r>
      <w:t>G</w:t>
    </w:r>
    <w:r w:rsidRPr="00562487">
      <w:t xml:space="preserve">overnance of the New Zealand Emissions Trading Scheme: Discussion </w:t>
    </w:r>
    <w:r>
      <w:t>D</w:t>
    </w:r>
    <w:r w:rsidRPr="00562487">
      <w:t>ocument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6588C" w14:textId="47E05D40" w:rsidR="00A52A00" w:rsidRDefault="00A52A00" w:rsidP="00CD25E1">
    <w:pPr>
      <w:pStyle w:val="Footerodd"/>
    </w:pPr>
    <w:r>
      <w:tab/>
    </w:r>
    <w:r w:rsidRPr="00562487">
      <w:t xml:space="preserve">Market </w:t>
    </w:r>
    <w:r w:rsidR="00994AFD">
      <w:t>g</w:t>
    </w:r>
    <w:r w:rsidRPr="00562487">
      <w:t xml:space="preserve">overnance of the New Zealand Emissions Trading Scheme: Discussion </w:t>
    </w:r>
    <w:r w:rsidR="00994AFD">
      <w:t>d</w:t>
    </w:r>
    <w:r w:rsidRPr="00562487">
      <w:t>ocument</w:t>
    </w:r>
    <w:r>
      <w:tab/>
    </w:r>
    <w:r>
      <w:fldChar w:fldCharType="begin"/>
    </w:r>
    <w:r>
      <w:instrText xml:space="preserve"> PAGE   \* MERGEFORMAT </w:instrText>
    </w:r>
    <w:r>
      <w:fldChar w:fldCharType="separate"/>
    </w:r>
    <w:r>
      <w:rPr>
        <w:noProof/>
      </w:rPr>
      <w:t>7</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3A91B" w14:textId="77777777" w:rsidR="00A52A00" w:rsidRDefault="00A52A00"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Pr="00562487">
      <w:t xml:space="preserve">Market </w:t>
    </w:r>
    <w:r>
      <w:t>G</w:t>
    </w:r>
    <w:r w:rsidRPr="00562487">
      <w:t xml:space="preserve">overnance of the New Zealand Emissions Trading Scheme: Discussion </w:t>
    </w:r>
    <w:r>
      <w:t>D</w:t>
    </w:r>
    <w:r w:rsidRPr="00562487">
      <w:t>ocument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8EE6C" w14:textId="33F5C185" w:rsidR="00A52A00" w:rsidRDefault="00A52A00"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Pr="00562487">
      <w:t xml:space="preserve">Market </w:t>
    </w:r>
    <w:r w:rsidR="00E5129A">
      <w:t>g</w:t>
    </w:r>
    <w:r w:rsidRPr="00562487">
      <w:t xml:space="preserve">overnance of the New Zealand Emissions Trading Scheme: Discussion </w:t>
    </w:r>
    <w:r w:rsidR="00E5129A">
      <w:t>d</w:t>
    </w:r>
    <w:r w:rsidR="00E5129A" w:rsidRPr="00562487">
      <w:t>ocument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5F1C8" w14:textId="1975C065" w:rsidR="00A52A00" w:rsidRDefault="00A52A00" w:rsidP="00A52A00">
    <w:pPr>
      <w:pStyle w:val="Footerodd"/>
      <w:tabs>
        <w:tab w:val="clear" w:pos="7938"/>
        <w:tab w:val="clear" w:pos="8505"/>
        <w:tab w:val="right" w:pos="13608"/>
        <w:tab w:val="right" w:pos="14175"/>
      </w:tabs>
    </w:pPr>
    <w:r>
      <w:tab/>
    </w:r>
    <w:r w:rsidRPr="00562487">
      <w:t xml:space="preserve">Market </w:t>
    </w:r>
    <w:r w:rsidR="00952A2F">
      <w:t>g</w:t>
    </w:r>
    <w:r w:rsidRPr="00562487">
      <w:t xml:space="preserve">overnance of the New Zealand Emissions Trading Scheme: Discussion </w:t>
    </w:r>
    <w:r w:rsidR="00952A2F">
      <w:t>d</w:t>
    </w:r>
    <w:r w:rsidRPr="00562487">
      <w:t>ocument</w:t>
    </w:r>
    <w:r>
      <w:tab/>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1BB3B" w14:textId="77777777" w:rsidR="00350CD6" w:rsidRDefault="00350CD6" w:rsidP="00CB5C5F">
      <w:pPr>
        <w:spacing w:before="0" w:after="80" w:line="240" w:lineRule="auto"/>
      </w:pPr>
      <w:r>
        <w:separator/>
      </w:r>
    </w:p>
  </w:footnote>
  <w:footnote w:type="continuationSeparator" w:id="0">
    <w:p w14:paraId="6D25D8AF" w14:textId="77777777" w:rsidR="00350CD6" w:rsidRDefault="00350CD6" w:rsidP="0080531E">
      <w:pPr>
        <w:spacing w:before="0" w:after="0" w:line="240" w:lineRule="auto"/>
      </w:pPr>
      <w:r>
        <w:continuationSeparator/>
      </w:r>
    </w:p>
    <w:p w14:paraId="5FF6B60C" w14:textId="77777777" w:rsidR="00350CD6" w:rsidRDefault="00350CD6"/>
  </w:footnote>
  <w:footnote w:type="continuationNotice" w:id="1">
    <w:p w14:paraId="63ECA0E3" w14:textId="77777777" w:rsidR="00350CD6" w:rsidRDefault="00350CD6">
      <w:pPr>
        <w:spacing w:before="0" w:after="0" w:line="240" w:lineRule="auto"/>
      </w:pPr>
    </w:p>
  </w:footnote>
  <w:footnote w:id="2">
    <w:p w14:paraId="59315F0F" w14:textId="760DCE13" w:rsidR="00A52A00" w:rsidRDefault="00A52A00" w:rsidP="00562487">
      <w:pPr>
        <w:pStyle w:val="FootnoteText"/>
      </w:pPr>
      <w:r w:rsidRPr="0041085D">
        <w:rPr>
          <w:rStyle w:val="FootnoteReference"/>
          <w:rFonts w:eastAsia="Yu Gothic Light"/>
        </w:rPr>
        <w:footnoteRef/>
      </w:r>
      <w:r>
        <w:t xml:space="preserve"> </w:t>
      </w:r>
      <w:r w:rsidRPr="00BB0B4C">
        <w:t xml:space="preserve">There is a distinction between the </w:t>
      </w:r>
      <w:r w:rsidR="00941D33">
        <w:t>use</w:t>
      </w:r>
      <w:r w:rsidR="00941D33" w:rsidRPr="00BB0B4C">
        <w:t xml:space="preserve"> </w:t>
      </w:r>
      <w:r w:rsidRPr="00BB0B4C">
        <w:t xml:space="preserve">of </w:t>
      </w:r>
      <w:r>
        <w:t>the terms</w:t>
      </w:r>
      <w:r w:rsidRPr="00821C2F" w:rsidDel="0041085D">
        <w:t xml:space="preserve"> </w:t>
      </w:r>
      <w:r>
        <w:t>‘</w:t>
      </w:r>
      <w:r w:rsidRPr="00821C2F">
        <w:t>NZ ETS</w:t>
      </w:r>
      <w:r>
        <w:t>’</w:t>
      </w:r>
      <w:r w:rsidRPr="00821C2F">
        <w:t xml:space="preserve"> and </w:t>
      </w:r>
      <w:r>
        <w:t>‘</w:t>
      </w:r>
      <w:r w:rsidRPr="00821C2F">
        <w:t>NZU market</w:t>
      </w:r>
      <w:r>
        <w:t>’</w:t>
      </w:r>
      <w:r w:rsidRPr="00821C2F">
        <w:t xml:space="preserve"> in this document. The NZ ETS refers</w:t>
      </w:r>
      <w:r>
        <w:t>, more broadly,</w:t>
      </w:r>
      <w:r w:rsidRPr="00821C2F">
        <w:t xml:space="preserve"> to the scheme, which has </w:t>
      </w:r>
      <w:proofErr w:type="gramStart"/>
      <w:r w:rsidRPr="00821C2F">
        <w:t>an underlying purpose</w:t>
      </w:r>
      <w:proofErr w:type="gramEnd"/>
      <w:r w:rsidRPr="00821C2F">
        <w:t xml:space="preserve"> to reduce emissions. </w:t>
      </w:r>
      <w:r>
        <w:t xml:space="preserve">The NZU market </w:t>
      </w:r>
      <w:r w:rsidRPr="00821C2F">
        <w:t xml:space="preserve">refers to </w:t>
      </w:r>
      <w:r>
        <w:t xml:space="preserve">governance – that is, </w:t>
      </w:r>
      <w:r w:rsidRPr="00821C2F">
        <w:t xml:space="preserve">the rules and oversight of different types of conduct in the NZ ETS market where </w:t>
      </w:r>
      <w:r>
        <w:t>NZUs</w:t>
      </w:r>
      <w:r w:rsidRPr="00821C2F">
        <w:t xml:space="preserve"> are traded. </w:t>
      </w:r>
      <w:r>
        <w:t>This distinction is</w:t>
      </w:r>
      <w:r w:rsidRPr="00821C2F">
        <w:t xml:space="preserve"> to differentiate the purpose of market governance reform </w:t>
      </w:r>
      <w:r>
        <w:t>from</w:t>
      </w:r>
      <w:r w:rsidRPr="00821C2F">
        <w:t xml:space="preserve"> the wider purpose of the NZ ETS as an emissions reduction scheme. This includes conduct that overlaps within the primary and secondary market of the NZ ETS. The term NZU market is used intentionally in this document </w:t>
      </w:r>
      <w:r>
        <w:t>to refer</w:t>
      </w:r>
      <w:r w:rsidRPr="00821C2F">
        <w:t xml:space="preserve"> to the part</w:t>
      </w:r>
      <w:r>
        <w:t>s</w:t>
      </w:r>
      <w:r w:rsidRPr="00821C2F">
        <w:t xml:space="preserve"> of the NZ ETS where there are risks in trading </w:t>
      </w:r>
      <w:r>
        <w:t>NZUs</w:t>
      </w:r>
      <w:r w:rsidRPr="00821C2F">
        <w:t>, which the proposals in this document are intend</w:t>
      </w:r>
      <w:r>
        <w:t>ed</w:t>
      </w:r>
      <w:r w:rsidRPr="00821C2F">
        <w:t xml:space="preserve"> to regulate. Refer to </w:t>
      </w:r>
      <w:hyperlink w:anchor="_Glossary" w:history="1">
        <w:r w:rsidRPr="00821C2F">
          <w:rPr>
            <w:rStyle w:val="Hyperlink"/>
          </w:rPr>
          <w:t>Glossary</w:t>
        </w:r>
      </w:hyperlink>
      <w:r w:rsidRPr="00821C2F">
        <w:t xml:space="preserve"> for full definitions of both terms.</w:t>
      </w:r>
    </w:p>
  </w:footnote>
  <w:footnote w:id="3">
    <w:p w14:paraId="5618A4C1" w14:textId="77777777" w:rsidR="00A52A00" w:rsidRPr="00C32730" w:rsidRDefault="00A52A00" w:rsidP="00313B34">
      <w:pPr>
        <w:pStyle w:val="FootnoteText"/>
      </w:pPr>
      <w:r w:rsidRPr="00D061BE">
        <w:rPr>
          <w:rStyle w:val="FootnoteReference"/>
          <w:rFonts w:asciiTheme="minorHAnsi" w:eastAsia="Yu Gothic Light" w:hAnsiTheme="minorHAnsi" w:cstheme="minorHAnsi"/>
          <w:color w:val="auto"/>
        </w:rPr>
        <w:footnoteRef/>
      </w:r>
      <w:r w:rsidRPr="004E415B">
        <w:t xml:space="preserve"> </w:t>
      </w:r>
      <w:hyperlink r:id="rId1" w:history="1">
        <w:r w:rsidRPr="00C32730">
          <w:t xml:space="preserve"> </w:t>
        </w:r>
        <w:r w:rsidRPr="00821C2F">
          <w:rPr>
            <w:rStyle w:val="Hyperlink"/>
          </w:rPr>
          <w:t xml:space="preserve">Ministry for the Environment. 2018. </w:t>
        </w:r>
        <w:r w:rsidRPr="00821C2F">
          <w:rPr>
            <w:rStyle w:val="Hyperlink"/>
            <w:i/>
          </w:rPr>
          <w:t>Improvements to the New Zealand Emissions Trading Scheme: Consultation document.</w:t>
        </w:r>
        <w:r w:rsidRPr="00821C2F">
          <w:rPr>
            <w:rStyle w:val="Hyperlink"/>
          </w:rPr>
          <w:t xml:space="preserve"> Wellington: Ministry for the Environment. </w:t>
        </w:r>
      </w:hyperlink>
    </w:p>
  </w:footnote>
  <w:footnote w:id="4">
    <w:p w14:paraId="0A7565F2" w14:textId="77777777" w:rsidR="00A52A00" w:rsidRPr="00821C2F" w:rsidRDefault="00A52A00" w:rsidP="00313B34">
      <w:pPr>
        <w:pStyle w:val="FootnoteText"/>
      </w:pPr>
      <w:r w:rsidRPr="00D061BE">
        <w:rPr>
          <w:rStyle w:val="FootnoteReference"/>
          <w:rFonts w:asciiTheme="minorHAnsi" w:eastAsia="Yu Gothic Light" w:hAnsiTheme="minorHAnsi" w:cstheme="minorHAnsi"/>
          <w:color w:val="auto"/>
        </w:rPr>
        <w:footnoteRef/>
      </w:r>
      <w:r w:rsidRPr="00821C2F">
        <w:t xml:space="preserve"> </w:t>
      </w:r>
      <w:hyperlink r:id="rId2" w:history="1">
        <w:r w:rsidRPr="00821C2F">
          <w:t xml:space="preserve"> </w:t>
        </w:r>
        <w:r w:rsidRPr="00821C2F">
          <w:rPr>
            <w:rStyle w:val="Hyperlink"/>
          </w:rPr>
          <w:t xml:space="preserve">Ministry for the Environment. 2021. </w:t>
        </w:r>
        <w:r w:rsidRPr="00821C2F">
          <w:rPr>
            <w:rStyle w:val="Hyperlink"/>
            <w:i/>
          </w:rPr>
          <w:t xml:space="preserve">Designing a governance framework for the New Zealand Emissions Trading Scheme: Consultation document. </w:t>
        </w:r>
        <w:r w:rsidRPr="00821C2F">
          <w:rPr>
            <w:rStyle w:val="Hyperlink"/>
          </w:rPr>
          <w:t>Wellington: Ministry for the Environment.</w:t>
        </w:r>
      </w:hyperlink>
    </w:p>
  </w:footnote>
  <w:footnote w:id="5">
    <w:p w14:paraId="54D4A29F" w14:textId="77777777" w:rsidR="00A52A00" w:rsidRPr="004E415B" w:rsidRDefault="00A52A00" w:rsidP="00313B34">
      <w:pPr>
        <w:pStyle w:val="FootnoteText"/>
      </w:pPr>
      <w:r w:rsidRPr="00D061BE">
        <w:rPr>
          <w:rStyle w:val="FootnoteReference"/>
          <w:rFonts w:asciiTheme="minorHAnsi" w:eastAsia="Yu Gothic Light" w:hAnsiTheme="minorHAnsi" w:cstheme="minorHAnsi"/>
        </w:rPr>
        <w:footnoteRef/>
      </w:r>
      <w:r w:rsidRPr="00C32730">
        <w:t xml:space="preserve"> While the term </w:t>
      </w:r>
      <w:r>
        <w:t>‘</w:t>
      </w:r>
      <w:r w:rsidRPr="00C32730">
        <w:t>financial product</w:t>
      </w:r>
      <w:r>
        <w:t>’</w:t>
      </w:r>
      <w:r w:rsidRPr="00C32730">
        <w:t xml:space="preserve"> is a defined term in</w:t>
      </w:r>
      <w:r w:rsidRPr="004E415B">
        <w:t xml:space="preserve"> </w:t>
      </w:r>
      <w:hyperlink r:id="rId3" w:history="1">
        <w:r w:rsidRPr="00627B1F">
          <w:rPr>
            <w:rStyle w:val="Hyperlink"/>
          </w:rPr>
          <w:t xml:space="preserve">section 7 of </w:t>
        </w:r>
        <w:r>
          <w:rPr>
            <w:rStyle w:val="Hyperlink"/>
          </w:rPr>
          <w:t>the FMC Act</w:t>
        </w:r>
      </w:hyperlink>
      <w:r>
        <w:t>,</w:t>
      </w:r>
      <w:r w:rsidRPr="004E415B">
        <w:t xml:space="preserve"> and it is one option to treat NZUs as if </w:t>
      </w:r>
      <w:r>
        <w:t>they</w:t>
      </w:r>
      <w:r w:rsidRPr="004E415B">
        <w:t xml:space="preserve"> were a financial product, the shape and form of legislative design of any ETS market governance reform package will be decided at a later stage. These proposals should not be treated as consulting on the use of any </w:t>
      </w:r>
      <w:proofErr w:type="gramStart"/>
      <w:r w:rsidRPr="004E415B">
        <w:t>particular regulatory</w:t>
      </w:r>
      <w:proofErr w:type="gramEnd"/>
      <w:r w:rsidRPr="004E415B">
        <w:t xml:space="preserve"> framework or design.</w:t>
      </w:r>
    </w:p>
  </w:footnote>
  <w:footnote w:id="6">
    <w:p w14:paraId="7C6F7FF4" w14:textId="77777777" w:rsidR="00A52A00" w:rsidRDefault="00A52A00" w:rsidP="00313B34">
      <w:pPr>
        <w:pStyle w:val="FootnoteText"/>
      </w:pPr>
      <w:r w:rsidRPr="00D061BE">
        <w:rPr>
          <w:rStyle w:val="FootnoteReference"/>
          <w:rFonts w:asciiTheme="minorHAnsi" w:eastAsia="Yu Gothic Light" w:hAnsiTheme="minorHAnsi" w:cstheme="minorHAnsi"/>
        </w:rPr>
        <w:footnoteRef/>
      </w:r>
      <w:r w:rsidRPr="004E415B">
        <w:t xml:space="preserve"> </w:t>
      </w:r>
      <w:r>
        <w:t xml:space="preserve">Note the distinction drawn between the NZ ETS and the NZU market, as outlined at n </w:t>
      </w:r>
      <w:r>
        <w:fldChar w:fldCharType="begin"/>
      </w:r>
      <w:r>
        <w:instrText xml:space="preserve"> NOTEREF _Ref118362477 \h </w:instrText>
      </w:r>
      <w:r>
        <w:fldChar w:fldCharType="separate"/>
      </w:r>
      <w:r w:rsidR="00C67DAB">
        <w:t>1</w:t>
      </w:r>
      <w:r>
        <w:fldChar w:fldCharType="end"/>
      </w:r>
      <w:r>
        <w:t xml:space="preserve"> above, and in the definitions of each term provided in the </w:t>
      </w:r>
      <w:hyperlink w:anchor="_Glossary" w:history="1">
        <w:r w:rsidRPr="00610CD1">
          <w:rPr>
            <w:rStyle w:val="Hyperlink"/>
          </w:rPr>
          <w:t>Glossary</w:t>
        </w:r>
      </w:hyperlink>
      <w:r>
        <w:t xml:space="preserve">.  </w:t>
      </w:r>
    </w:p>
  </w:footnote>
  <w:footnote w:id="7">
    <w:p w14:paraId="5C8CBDCF" w14:textId="77777777" w:rsidR="00A52A00" w:rsidRDefault="00A52A00" w:rsidP="00313B34">
      <w:pPr>
        <w:pStyle w:val="FootnoteText"/>
      </w:pPr>
      <w:r>
        <w:rPr>
          <w:rStyle w:val="FootnoteReference"/>
          <w:rFonts w:eastAsia="Yu Gothic Light"/>
        </w:rPr>
        <w:footnoteRef/>
      </w:r>
      <w:r>
        <w:t xml:space="preserve"> Above, n </w:t>
      </w:r>
      <w:r>
        <w:fldChar w:fldCharType="begin"/>
      </w:r>
      <w:r>
        <w:instrText xml:space="preserve"> NOTEREF _Ref118364691 \h </w:instrText>
      </w:r>
      <w:r>
        <w:fldChar w:fldCharType="separate"/>
      </w:r>
      <w:r w:rsidR="00C67DAB">
        <w:t>2</w:t>
      </w:r>
      <w:r>
        <w:fldChar w:fldCharType="end"/>
      </w:r>
      <w:r>
        <w:t>.</w:t>
      </w:r>
    </w:p>
  </w:footnote>
  <w:footnote w:id="8">
    <w:p w14:paraId="1E5A85F1" w14:textId="77777777" w:rsidR="00A52A00" w:rsidRDefault="00A52A00" w:rsidP="00313B34">
      <w:pPr>
        <w:pStyle w:val="FootnoteText"/>
      </w:pPr>
      <w:r>
        <w:rPr>
          <w:rStyle w:val="FootnoteReference"/>
          <w:rFonts w:eastAsia="Yu Gothic Light"/>
        </w:rPr>
        <w:footnoteRef/>
      </w:r>
      <w:r>
        <w:t xml:space="preserve"> Above, n </w:t>
      </w:r>
      <w:r>
        <w:fldChar w:fldCharType="begin"/>
      </w:r>
      <w:r>
        <w:instrText xml:space="preserve"> NOTEREF _Ref118364719 \h </w:instrText>
      </w:r>
      <w:r>
        <w:fldChar w:fldCharType="separate"/>
      </w:r>
      <w:r w:rsidR="00C67DAB">
        <w:t>3</w:t>
      </w:r>
      <w:r>
        <w:fldChar w:fldCharType="end"/>
      </w:r>
      <w:r>
        <w:t>.</w:t>
      </w:r>
    </w:p>
  </w:footnote>
  <w:footnote w:id="9">
    <w:p w14:paraId="11D13CEE" w14:textId="77777777" w:rsidR="00A52A00" w:rsidRPr="002A0905" w:rsidRDefault="00A52A00" w:rsidP="00D061BE">
      <w:pPr>
        <w:pStyle w:val="FootnoteText"/>
      </w:pPr>
      <w:r w:rsidRPr="00D061BE">
        <w:rPr>
          <w:rStyle w:val="FootnoteReference"/>
          <w:rFonts w:asciiTheme="minorHAnsi" w:eastAsia="Yu Gothic Light" w:hAnsiTheme="minorHAnsi" w:cstheme="minorHAnsi"/>
          <w:color w:val="auto"/>
        </w:rPr>
        <w:footnoteRef/>
      </w:r>
      <w:r w:rsidRPr="002A0905">
        <w:t xml:space="preserve"> </w:t>
      </w:r>
      <w:hyperlink r:id="rId4" w:history="1">
        <w:r w:rsidRPr="002A0905">
          <w:t xml:space="preserve"> </w:t>
        </w:r>
        <w:r w:rsidRPr="00821C2F">
          <w:rPr>
            <w:rStyle w:val="Hyperlink"/>
          </w:rPr>
          <w:t xml:space="preserve">Ministry for the Environment. 2016. </w:t>
        </w:r>
        <w:r w:rsidRPr="00821C2F">
          <w:rPr>
            <w:rStyle w:val="Hyperlink"/>
            <w:i/>
          </w:rPr>
          <w:t>The New Zealand Emissions Trading Scheme Evaluation 2016</w:t>
        </w:r>
        <w:r w:rsidRPr="00821C2F">
          <w:rPr>
            <w:rStyle w:val="Hyperlink"/>
          </w:rPr>
          <w:t>. Wellington: Ministry for the Environment.</w:t>
        </w:r>
      </w:hyperlink>
    </w:p>
  </w:footnote>
  <w:footnote w:id="10">
    <w:p w14:paraId="231B29CA" w14:textId="77777777" w:rsidR="00A52A00" w:rsidRPr="002A0905" w:rsidRDefault="00A52A00" w:rsidP="00D061BE">
      <w:pPr>
        <w:pStyle w:val="FootnoteText"/>
      </w:pPr>
      <w:r w:rsidRPr="00D061BE">
        <w:rPr>
          <w:rStyle w:val="FootnoteReference"/>
          <w:rFonts w:asciiTheme="minorHAnsi" w:eastAsia="Yu Gothic Light" w:hAnsiTheme="minorHAnsi" w:cstheme="minorHAnsi"/>
          <w:color w:val="auto"/>
        </w:rPr>
        <w:footnoteRef/>
      </w:r>
      <w:r w:rsidRPr="002A0905">
        <w:t xml:space="preserve"> </w:t>
      </w:r>
      <w:hyperlink r:id="rId5" w:history="1">
        <w:r w:rsidRPr="002A0905">
          <w:t xml:space="preserve"> </w:t>
        </w:r>
      </w:hyperlink>
      <w:r w:rsidRPr="002A0905">
        <w:t xml:space="preserve">Above, n </w:t>
      </w:r>
      <w:r w:rsidRPr="002A0905">
        <w:fldChar w:fldCharType="begin"/>
      </w:r>
      <w:r w:rsidRPr="002A0905">
        <w:instrText xml:space="preserve"> NOTEREF _Ref118364691 \h </w:instrText>
      </w:r>
      <w:r>
        <w:instrText xml:space="preserve"> \* MERGEFORMAT </w:instrText>
      </w:r>
      <w:r w:rsidRPr="002A0905">
        <w:fldChar w:fldCharType="separate"/>
      </w:r>
      <w:r w:rsidR="00C67DAB">
        <w:t>2</w:t>
      </w:r>
      <w:r w:rsidRPr="002A0905">
        <w:fldChar w:fldCharType="end"/>
      </w:r>
      <w:r w:rsidRPr="002A0905">
        <w:t>.</w:t>
      </w:r>
    </w:p>
  </w:footnote>
  <w:footnote w:id="11">
    <w:p w14:paraId="641EEE1E" w14:textId="77777777" w:rsidR="00A52A00" w:rsidRPr="00821C2F" w:rsidRDefault="00A52A00" w:rsidP="00D061BE">
      <w:pPr>
        <w:pStyle w:val="FootnoteText"/>
      </w:pPr>
      <w:r w:rsidRPr="00D061BE">
        <w:rPr>
          <w:rStyle w:val="FootnoteReference"/>
          <w:rFonts w:asciiTheme="minorHAnsi" w:eastAsia="Yu Gothic Light" w:hAnsiTheme="minorHAnsi" w:cstheme="minorHAnsi"/>
          <w:color w:val="auto"/>
        </w:rPr>
        <w:footnoteRef/>
      </w:r>
      <w:r w:rsidRPr="00821C2F">
        <w:t xml:space="preserve"> </w:t>
      </w:r>
      <w:hyperlink r:id="rId6" w:history="1">
        <w:r w:rsidRPr="00821C2F">
          <w:rPr>
            <w:rStyle w:val="Hyperlink"/>
          </w:rPr>
          <w:t xml:space="preserve">Climate Change Commission. 2021. </w:t>
        </w:r>
        <w:r w:rsidRPr="00821C2F">
          <w:rPr>
            <w:rStyle w:val="Hyperlink"/>
            <w:i/>
          </w:rPr>
          <w:t>2021 Draft advice for consultation</w:t>
        </w:r>
        <w:r w:rsidRPr="00821C2F">
          <w:rPr>
            <w:rStyle w:val="Hyperlink"/>
          </w:rPr>
          <w:t>.</w:t>
        </w:r>
        <w:r>
          <w:rPr>
            <w:rStyle w:val="Hyperlink"/>
          </w:rPr>
          <w:t xml:space="preserve"> </w:t>
        </w:r>
      </w:hyperlink>
    </w:p>
  </w:footnote>
  <w:footnote w:id="12">
    <w:p w14:paraId="11A1D688" w14:textId="77777777" w:rsidR="00A52A00" w:rsidRPr="00821C2F" w:rsidRDefault="00A52A00" w:rsidP="00D061BE">
      <w:pPr>
        <w:pStyle w:val="FootnoteText"/>
      </w:pPr>
      <w:r w:rsidRPr="00D061BE">
        <w:rPr>
          <w:rStyle w:val="FootnoteReference"/>
          <w:rFonts w:asciiTheme="minorHAnsi" w:eastAsia="Yu Gothic Light" w:hAnsiTheme="minorHAnsi" w:cstheme="minorHAnsi"/>
          <w:color w:val="auto"/>
        </w:rPr>
        <w:footnoteRef/>
      </w:r>
      <w:r w:rsidRPr="00821C2F">
        <w:t xml:space="preserve"> </w:t>
      </w:r>
      <w:hyperlink r:id="rId7" w:history="1">
        <w:r>
          <w:rPr>
            <w:rStyle w:val="Hyperlink"/>
          </w:rPr>
          <w:t xml:space="preserve">New Zealand </w:t>
        </w:r>
        <w:r w:rsidDel="006C4F78">
          <w:rPr>
            <w:rStyle w:val="Hyperlink"/>
          </w:rPr>
          <w:t>P</w:t>
        </w:r>
        <w:r w:rsidRPr="00821C2F">
          <w:rPr>
            <w:rStyle w:val="Hyperlink"/>
          </w:rPr>
          <w:t xml:space="preserve">roductivity Commission. 2018. </w:t>
        </w:r>
        <w:r w:rsidRPr="00821C2F">
          <w:rPr>
            <w:rStyle w:val="Hyperlink"/>
            <w:i/>
          </w:rPr>
          <w:t>Low-emissions economy</w:t>
        </w:r>
        <w:r>
          <w:rPr>
            <w:rStyle w:val="Hyperlink"/>
            <w:i/>
            <w:iCs/>
          </w:rPr>
          <w:t>: Final report</w:t>
        </w:r>
        <w:r w:rsidRPr="00821C2F">
          <w:rPr>
            <w:rStyle w:val="Hyperlink"/>
          </w:rPr>
          <w:t>.</w:t>
        </w:r>
      </w:hyperlink>
    </w:p>
  </w:footnote>
  <w:footnote w:id="13">
    <w:p w14:paraId="08AFECE3" w14:textId="671777DA" w:rsidR="00A52A00" w:rsidRDefault="00A52A00" w:rsidP="00D061BE">
      <w:pPr>
        <w:pStyle w:val="FootnoteText"/>
      </w:pPr>
      <w:r w:rsidRPr="00D061BE">
        <w:rPr>
          <w:rStyle w:val="FootnoteReference"/>
          <w:rFonts w:asciiTheme="minorHAnsi" w:eastAsia="Yu Gothic Light" w:hAnsiTheme="minorHAnsi" w:cstheme="minorHAnsi"/>
          <w:color w:val="auto"/>
        </w:rPr>
        <w:footnoteRef/>
      </w:r>
      <w:r w:rsidRPr="00D061BE">
        <w:rPr>
          <w:sz w:val="22"/>
        </w:rPr>
        <w:t xml:space="preserve"> </w:t>
      </w:r>
      <w:hyperlink r:id="rId8" w:history="1">
        <w:r>
          <w:rPr>
            <w:rStyle w:val="Hyperlink"/>
          </w:rPr>
          <w:t xml:space="preserve">Ministry for the Environment. 2019. </w:t>
        </w:r>
        <w:r w:rsidRPr="00821C2F">
          <w:rPr>
            <w:rStyle w:val="Hyperlink"/>
            <w:i/>
            <w:iCs/>
          </w:rPr>
          <w:t>Transitioning to a low-emissions future – the Government response to the Productivity Commission's Low Emissions Economy report</w:t>
        </w:r>
        <w:r>
          <w:rPr>
            <w:rStyle w:val="Hyperlink"/>
          </w:rPr>
          <w:t xml:space="preserve">. Wellington: Ministry for the Environment. </w:t>
        </w:r>
      </w:hyperlink>
    </w:p>
  </w:footnote>
  <w:footnote w:id="14">
    <w:p w14:paraId="601F6CE5" w14:textId="77777777" w:rsidR="00A52A00" w:rsidRDefault="00A52A00" w:rsidP="00D061BE">
      <w:pPr>
        <w:pStyle w:val="FootnoteText"/>
      </w:pPr>
      <w:r w:rsidRPr="00E10411">
        <w:rPr>
          <w:rStyle w:val="FootnoteReference"/>
          <w:rFonts w:eastAsia="Yu Gothic Light"/>
          <w:color w:val="auto"/>
        </w:rPr>
        <w:footnoteRef/>
      </w:r>
      <w:r>
        <w:t xml:space="preserve"> </w:t>
      </w:r>
      <w:r w:rsidRPr="00160307">
        <w:rPr>
          <w:shd w:val="clear" w:color="auto" w:fill="FFFFFF"/>
        </w:rPr>
        <w:t xml:space="preserve">The circumstances under which the </w:t>
      </w:r>
      <w:r>
        <w:rPr>
          <w:shd w:val="clear" w:color="auto" w:fill="FFFFFF"/>
        </w:rPr>
        <w:t>W</w:t>
      </w:r>
      <w:r w:rsidRPr="00440B35">
        <w:rPr>
          <w:shd w:val="clear" w:color="auto" w:fill="FFFFFF"/>
        </w:rPr>
        <w:t xml:space="preserve">estern </w:t>
      </w:r>
      <w:r>
        <w:rPr>
          <w:shd w:val="clear" w:color="auto" w:fill="FFFFFF"/>
        </w:rPr>
        <w:t>C</w:t>
      </w:r>
      <w:r w:rsidRPr="00440B35">
        <w:rPr>
          <w:shd w:val="clear" w:color="auto" w:fill="FFFFFF"/>
        </w:rPr>
        <w:t xml:space="preserve">limate </w:t>
      </w:r>
      <w:r>
        <w:rPr>
          <w:shd w:val="clear" w:color="auto" w:fill="FFFFFF"/>
        </w:rPr>
        <w:t>I</w:t>
      </w:r>
      <w:r w:rsidRPr="00440B35">
        <w:rPr>
          <w:shd w:val="clear" w:color="auto" w:fill="FFFFFF"/>
        </w:rPr>
        <w:t>nitiative</w:t>
      </w:r>
      <w:r>
        <w:rPr>
          <w:shd w:val="clear" w:color="auto" w:fill="FFFFFF"/>
        </w:rPr>
        <w:t xml:space="preserve"> (WCI)</w:t>
      </w:r>
      <w:r w:rsidRPr="00160307">
        <w:rPr>
          <w:shd w:val="clear" w:color="auto" w:fill="FFFFFF"/>
        </w:rPr>
        <w:t xml:space="preserve"> was established differ to </w:t>
      </w:r>
      <w:r>
        <w:rPr>
          <w:shd w:val="clear" w:color="auto" w:fill="FFFFFF"/>
        </w:rPr>
        <w:t xml:space="preserve">those which gave rise to </w:t>
      </w:r>
      <w:r w:rsidRPr="00160307">
        <w:rPr>
          <w:shd w:val="clear" w:color="auto" w:fill="FFFFFF"/>
        </w:rPr>
        <w:t xml:space="preserve">the NZ ETS. The WCI represents a carbon market designed, </w:t>
      </w:r>
      <w:proofErr w:type="gramStart"/>
      <w:r w:rsidRPr="00160307">
        <w:rPr>
          <w:shd w:val="clear" w:color="auto" w:fill="FFFFFF"/>
        </w:rPr>
        <w:t>developed</w:t>
      </w:r>
      <w:proofErr w:type="gramEnd"/>
      <w:r w:rsidRPr="00160307">
        <w:rPr>
          <w:shd w:val="clear" w:color="auto" w:fill="FFFFFF"/>
        </w:rPr>
        <w:t xml:space="preserve"> and operated exclusively by subnational governments in different countries and under different legislation. A regional allowance market is created by the </w:t>
      </w:r>
      <w:r>
        <w:rPr>
          <w:shd w:val="clear" w:color="auto" w:fill="FFFFFF"/>
        </w:rPr>
        <w:t>p</w:t>
      </w:r>
      <w:r w:rsidRPr="00160307">
        <w:rPr>
          <w:shd w:val="clear" w:color="auto" w:fill="FFFFFF"/>
        </w:rPr>
        <w:t>artner jurisdictions recogni</w:t>
      </w:r>
      <w:r>
        <w:rPr>
          <w:shd w:val="clear" w:color="auto" w:fill="FFFFFF"/>
        </w:rPr>
        <w:t>s</w:t>
      </w:r>
      <w:r w:rsidRPr="00160307">
        <w:rPr>
          <w:shd w:val="clear" w:color="auto" w:fill="FFFFFF"/>
        </w:rPr>
        <w:t>ing one another’s allowances for compliance</w:t>
      </w:r>
      <w:r>
        <w:rPr>
          <w:shd w:val="clear" w:color="auto" w:fill="FFFFFF"/>
        </w:rPr>
        <w:t>,</w:t>
      </w:r>
      <w:r w:rsidRPr="00160307">
        <w:rPr>
          <w:shd w:val="clear" w:color="auto" w:fill="FFFFFF"/>
        </w:rPr>
        <w:t xml:space="preserve"> regardless of unit definition.</w:t>
      </w:r>
    </w:p>
  </w:footnote>
  <w:footnote w:id="15">
    <w:p w14:paraId="30A18261" w14:textId="77777777" w:rsidR="00A52A00" w:rsidRPr="004E415B" w:rsidRDefault="00A52A00" w:rsidP="00D200FC">
      <w:pPr>
        <w:pStyle w:val="FootnoteText"/>
      </w:pPr>
      <w:r w:rsidRPr="00E10411">
        <w:rPr>
          <w:rStyle w:val="FootnoteReference"/>
          <w:rFonts w:asciiTheme="minorHAnsi" w:eastAsia="Yu Gothic Light" w:hAnsiTheme="minorHAnsi" w:cstheme="minorHAnsi"/>
          <w:color w:val="auto"/>
        </w:rPr>
        <w:footnoteRef/>
      </w:r>
      <w:r w:rsidRPr="00E10411">
        <w:t xml:space="preserve"> </w:t>
      </w:r>
      <w:hyperlink r:id="rId9" w:history="1">
        <w:r w:rsidRPr="004E415B">
          <w:t xml:space="preserve"> </w:t>
        </w:r>
        <w:r>
          <w:t xml:space="preserve">Above, n </w:t>
        </w:r>
        <w:r>
          <w:fldChar w:fldCharType="begin"/>
        </w:r>
        <w:r>
          <w:instrText xml:space="preserve"> NOTEREF _Ref118364691 \h </w:instrText>
        </w:r>
        <w:r>
          <w:fldChar w:fldCharType="separate"/>
        </w:r>
        <w:r w:rsidR="00C67DAB">
          <w:t>2</w:t>
        </w:r>
        <w:r>
          <w:fldChar w:fldCharType="end"/>
        </w:r>
        <w:r>
          <w:t>.</w:t>
        </w:r>
      </w:hyperlink>
    </w:p>
  </w:footnote>
  <w:footnote w:id="16">
    <w:p w14:paraId="3F13A060" w14:textId="0AA7A90A" w:rsidR="00A52A00" w:rsidRDefault="00A52A00" w:rsidP="00E10411">
      <w:pPr>
        <w:pStyle w:val="BodyText"/>
        <w:spacing w:before="0" w:after="0" w:line="240" w:lineRule="auto"/>
        <w:ind w:left="284" w:hanging="284"/>
        <w:contextualSpacing/>
      </w:pPr>
      <w:r w:rsidRPr="00E10411">
        <w:rPr>
          <w:rStyle w:val="FootnoteReference"/>
          <w:color w:val="auto"/>
        </w:rPr>
        <w:footnoteRef/>
      </w:r>
      <w:r>
        <w:t xml:space="preserve"> </w:t>
      </w:r>
      <w:r w:rsidRPr="00C33009">
        <w:rPr>
          <w:rStyle w:val="FootnoteTextChar"/>
        </w:rPr>
        <w:t xml:space="preserve">Compliance cost refers to all the expenses that a firm incurs to adhere to industry regulations. Compliance costs are difficult to estimate as </w:t>
      </w:r>
      <w:r w:rsidR="00CE1362">
        <w:rPr>
          <w:rStyle w:val="FootnoteTextChar"/>
        </w:rPr>
        <w:t>they depend</w:t>
      </w:r>
      <w:r w:rsidRPr="00C33009">
        <w:rPr>
          <w:rStyle w:val="FootnoteTextChar"/>
        </w:rPr>
        <w:t xml:space="preserve"> on the extent to which a company complies or exceeds the current rules. </w:t>
      </w:r>
    </w:p>
  </w:footnote>
  <w:footnote w:id="17">
    <w:p w14:paraId="6EFC543F" w14:textId="77777777" w:rsidR="00A52A00" w:rsidRDefault="00A52A00" w:rsidP="00D200FC">
      <w:pPr>
        <w:pStyle w:val="FootnoteText"/>
      </w:pPr>
      <w:r w:rsidRPr="00C33009">
        <w:rPr>
          <w:rStyle w:val="FootnoteReference"/>
          <w:rFonts w:eastAsia="Yu Gothic Light"/>
        </w:rPr>
        <w:footnoteRef/>
      </w:r>
      <w:r w:rsidRPr="004E415B">
        <w:rPr>
          <w:sz w:val="16"/>
          <w:szCs w:val="16"/>
        </w:rPr>
        <w:t xml:space="preserve"> </w:t>
      </w:r>
      <w:hyperlink r:id="rId10" w:history="1">
        <w:r w:rsidRPr="00C33009">
          <w:rPr>
            <w:rStyle w:val="Hyperlink"/>
          </w:rPr>
          <w:t>New Zealand Cabinet. 2018. Amendments to the Climate Change Response Act 2002: Tranche One. Cabinet Committee on Environment, Energy and Climate Minute of Decision CAB-18-MI</w:t>
        </w:r>
        <w:r>
          <w:rPr>
            <w:rStyle w:val="Hyperlink"/>
          </w:rPr>
          <w:t>N</w:t>
        </w:r>
        <w:r w:rsidRPr="00C33009">
          <w:rPr>
            <w:rStyle w:val="Hyperlink"/>
          </w:rPr>
          <w:t xml:space="preserve">-0606.01. Wellington: Cabinet Office, Department of the Prime </w:t>
        </w:r>
        <w:proofErr w:type="gramStart"/>
        <w:r w:rsidRPr="00C33009">
          <w:rPr>
            <w:rStyle w:val="Hyperlink"/>
          </w:rPr>
          <w:t>Minister</w:t>
        </w:r>
        <w:proofErr w:type="gramEnd"/>
        <w:r w:rsidRPr="00C33009">
          <w:rPr>
            <w:rStyle w:val="Hyperlink"/>
          </w:rPr>
          <w:t xml:space="preserve"> and Cabinet.</w:t>
        </w:r>
      </w:hyperlink>
    </w:p>
  </w:footnote>
  <w:footnote w:id="18">
    <w:p w14:paraId="6138D8C4" w14:textId="77777777" w:rsidR="00A52A00" w:rsidRDefault="00A52A00" w:rsidP="00E10411">
      <w:pPr>
        <w:pStyle w:val="FootnoteText"/>
      </w:pPr>
      <w:r>
        <w:rPr>
          <w:rStyle w:val="FootnoteReference"/>
          <w:rFonts w:eastAsia="Yu Gothic Light"/>
        </w:rPr>
        <w:footnoteRef/>
      </w:r>
      <w:r>
        <w:t xml:space="preserve">  Above, n </w:t>
      </w:r>
      <w:r>
        <w:fldChar w:fldCharType="begin"/>
      </w:r>
      <w:r>
        <w:instrText xml:space="preserve"> NOTEREF _Ref118371434 \h </w:instrText>
      </w:r>
      <w:r>
        <w:fldChar w:fldCharType="separate"/>
      </w:r>
      <w:r w:rsidR="00C67DAB">
        <w:t>16</w:t>
      </w:r>
      <w:r>
        <w:fldChar w:fldCharType="end"/>
      </w:r>
      <w:r>
        <w:t>, at [61].</w:t>
      </w:r>
    </w:p>
  </w:footnote>
  <w:footnote w:id="19">
    <w:p w14:paraId="5CE0B5FC" w14:textId="77777777" w:rsidR="00A52A00" w:rsidRPr="00077AFB" w:rsidRDefault="00A52A00" w:rsidP="00E10411">
      <w:pPr>
        <w:pStyle w:val="FootnoteText"/>
        <w:rPr>
          <w:sz w:val="16"/>
          <w:szCs w:val="16"/>
        </w:rPr>
      </w:pPr>
      <w:r w:rsidRPr="00077AFB">
        <w:rPr>
          <w:rStyle w:val="FootnoteReference"/>
          <w:rFonts w:asciiTheme="minorHAnsi" w:eastAsia="Yu Gothic Light" w:hAnsiTheme="minorHAnsi" w:cstheme="minorHAnsi"/>
        </w:rPr>
        <w:footnoteRef/>
      </w:r>
      <w:r w:rsidRPr="00077AFB">
        <w:rPr>
          <w:sz w:val="16"/>
          <w:szCs w:val="16"/>
        </w:rPr>
        <w:t xml:space="preserve"> </w:t>
      </w:r>
      <w:hyperlink r:id="rId11" w:history="1">
        <w:r w:rsidRPr="00C33009">
          <w:t xml:space="preserve"> </w:t>
        </w:r>
        <w:r w:rsidRPr="00351BE1">
          <w:t xml:space="preserve">Above, n </w:t>
        </w:r>
        <w:r w:rsidRPr="00351BE1">
          <w:fldChar w:fldCharType="begin"/>
        </w:r>
        <w:r w:rsidRPr="00351BE1">
          <w:instrText xml:space="preserve"> NOTEREF _Ref118364719 \h </w:instrText>
        </w:r>
        <w:r>
          <w:instrText xml:space="preserve"> \* MERGEFORMAT </w:instrText>
        </w:r>
        <w:r w:rsidRPr="00351BE1">
          <w:fldChar w:fldCharType="separate"/>
        </w:r>
        <w:r w:rsidR="00C67DAB">
          <w:t>3</w:t>
        </w:r>
        <w:r w:rsidRPr="00351BE1">
          <w:fldChar w:fldCharType="end"/>
        </w:r>
        <w:r w:rsidRPr="00351BE1">
          <w:t>.</w:t>
        </w:r>
      </w:hyperlink>
    </w:p>
  </w:footnote>
  <w:footnote w:id="20">
    <w:p w14:paraId="33B27C22" w14:textId="77777777" w:rsidR="00A52A00" w:rsidRDefault="00A52A00" w:rsidP="00D10DE4">
      <w:pPr>
        <w:pStyle w:val="FootnoteText"/>
      </w:pPr>
      <w:r>
        <w:rPr>
          <w:rStyle w:val="FootnoteReference"/>
          <w:rFonts w:eastAsia="Yu Gothic Light"/>
        </w:rPr>
        <w:footnoteRef/>
      </w:r>
      <w:r>
        <w:t xml:space="preserve"> </w:t>
      </w:r>
      <w:r>
        <w:fldChar w:fldCharType="begin"/>
      </w:r>
      <w:r>
        <w:instrText xml:space="preserve"> REF _Ref118380408 \h </w:instrText>
      </w:r>
      <w:r>
        <w:fldChar w:fldCharType="separate"/>
      </w:r>
      <w:r w:rsidR="00C67DAB">
        <w:t xml:space="preserve">Table </w:t>
      </w:r>
      <w:r w:rsidR="00C67DAB">
        <w:rPr>
          <w:noProof/>
        </w:rPr>
        <w:t>4</w:t>
      </w:r>
      <w:r>
        <w:fldChar w:fldCharType="end"/>
      </w:r>
      <w:r>
        <w:t xml:space="preserve"> provides details on the objectives under each topic.</w:t>
      </w:r>
    </w:p>
  </w:footnote>
  <w:footnote w:id="21">
    <w:p w14:paraId="6150FA4B" w14:textId="77777777" w:rsidR="00A52A00" w:rsidRDefault="00A52A00" w:rsidP="00D10DE4">
      <w:pPr>
        <w:pStyle w:val="FootnoteText"/>
      </w:pPr>
      <w:r w:rsidRPr="00077AFB">
        <w:rPr>
          <w:rStyle w:val="FootnoteReference"/>
          <w:rFonts w:asciiTheme="minorHAnsi" w:eastAsia="Yu Gothic Light" w:hAnsiTheme="minorHAnsi" w:cstheme="minorHAnsi"/>
        </w:rPr>
        <w:footnoteRef/>
      </w:r>
      <w:r w:rsidRPr="00077AFB">
        <w:t xml:space="preserve"> See</w:t>
      </w:r>
      <w:r>
        <w:t xml:space="preserve"> </w:t>
      </w:r>
      <w:hyperlink w:anchor="_The_NZU_market" w:history="1">
        <w:r w:rsidRPr="00AC3BC0">
          <w:rPr>
            <w:rStyle w:val="Hyperlink"/>
          </w:rPr>
          <w:t>below</w:t>
        </w:r>
      </w:hyperlink>
      <w:r w:rsidRPr="00077AFB">
        <w:t xml:space="preserve"> in relation to proposals to apply the prohibition to both licensed markets and beyond.</w:t>
      </w:r>
    </w:p>
  </w:footnote>
  <w:footnote w:id="22">
    <w:p w14:paraId="7A9EF632" w14:textId="77777777" w:rsidR="00A52A00" w:rsidRDefault="00A52A00" w:rsidP="00D10DE4">
      <w:pPr>
        <w:pStyle w:val="FootnoteText"/>
      </w:pPr>
      <w:r>
        <w:rPr>
          <w:rStyle w:val="FootnoteReference"/>
          <w:rFonts w:eastAsia="Yu Gothic Light"/>
        </w:rPr>
        <w:footnoteRef/>
      </w:r>
      <w:r>
        <w:t xml:space="preserve"> </w:t>
      </w:r>
      <w:r w:rsidRPr="00160307">
        <w:t xml:space="preserve">As an example, </w:t>
      </w:r>
      <w:r>
        <w:t xml:space="preserve">the </w:t>
      </w:r>
      <w:r w:rsidRPr="00160307">
        <w:t>NZX is currently required to pay annual FMA levies of $74,750,</w:t>
      </w:r>
      <w:r>
        <w:t xml:space="preserve"> and</w:t>
      </w:r>
      <w:r w:rsidRPr="00160307">
        <w:t xml:space="preserve"> brokers authorised to trade on NZX </w:t>
      </w:r>
      <w:r>
        <w:t xml:space="preserve">are </w:t>
      </w:r>
      <w:r w:rsidRPr="00160307">
        <w:t>required to pay annual FMA levies of $9,545 each annually.</w:t>
      </w:r>
    </w:p>
  </w:footnote>
  <w:footnote w:id="23">
    <w:p w14:paraId="263B3017" w14:textId="77777777" w:rsidR="00A52A00" w:rsidRDefault="00A52A00" w:rsidP="00D10DE4">
      <w:pPr>
        <w:pStyle w:val="FootnoteText"/>
      </w:pPr>
      <w:r>
        <w:rPr>
          <w:rStyle w:val="FootnoteReference"/>
          <w:rFonts w:eastAsia="Yu Gothic Light"/>
        </w:rPr>
        <w:footnoteRef/>
      </w:r>
      <w:r>
        <w:t xml:space="preserve"> See </w:t>
      </w:r>
      <w:hyperlink r:id="rId12" w:history="1">
        <w:r w:rsidRPr="002B6FB3">
          <w:rPr>
            <w:rStyle w:val="Hyperlink"/>
          </w:rPr>
          <w:t>reg 114A of the Financial Markets Conduct Regulations 2014</w:t>
        </w:r>
      </w:hyperlink>
      <w:r>
        <w:t>.</w:t>
      </w:r>
    </w:p>
  </w:footnote>
  <w:footnote w:id="24">
    <w:p w14:paraId="09BF2481" w14:textId="77777777" w:rsidR="002C437C" w:rsidRPr="00E604B9" w:rsidRDefault="002C437C" w:rsidP="002C437C">
      <w:pPr>
        <w:pStyle w:val="FootnoteText"/>
      </w:pPr>
      <w:r w:rsidRPr="00E604B9">
        <w:rPr>
          <w:rStyle w:val="FootnoteReference"/>
          <w:rFonts w:asciiTheme="minorHAnsi" w:eastAsia="Yu Gothic Light" w:hAnsiTheme="minorHAnsi" w:cstheme="minorHAnsi"/>
        </w:rPr>
        <w:footnoteRef/>
      </w:r>
      <w:r w:rsidRPr="00E604B9">
        <w:t xml:space="preserve"> Unless the offer is not a </w:t>
      </w:r>
      <w:r>
        <w:t>‘</w:t>
      </w:r>
      <w:r w:rsidRPr="00E604B9">
        <w:t>regulated offer</w:t>
      </w:r>
      <w:r>
        <w:t>’</w:t>
      </w:r>
      <w:r w:rsidRPr="00E604B9">
        <w:t>.</w:t>
      </w:r>
      <w:r>
        <w:t xml:space="preserve"> See </w:t>
      </w:r>
      <w:hyperlink r:id="rId13" w:history="1">
        <w:r w:rsidRPr="006E1CCC">
          <w:rPr>
            <w:rStyle w:val="Hyperlink"/>
          </w:rPr>
          <w:t>section 48 of the FMC Act</w:t>
        </w:r>
      </w:hyperlink>
      <w:r>
        <w:t>.</w:t>
      </w:r>
      <w:r w:rsidRPr="00E604B9">
        <w:t xml:space="preserve"> </w:t>
      </w:r>
    </w:p>
  </w:footnote>
  <w:footnote w:id="25">
    <w:p w14:paraId="04E82FD3" w14:textId="77777777" w:rsidR="002C437C" w:rsidRPr="00B97A41" w:rsidRDefault="002C437C" w:rsidP="002C437C">
      <w:pPr>
        <w:pStyle w:val="FootnoteText"/>
      </w:pPr>
      <w:r>
        <w:rPr>
          <w:rStyle w:val="FootnoteReference"/>
          <w:rFonts w:eastAsia="Yu Gothic Light"/>
        </w:rPr>
        <w:footnoteRef/>
      </w:r>
      <w:r>
        <w:t xml:space="preserve"> </w:t>
      </w:r>
      <w:hyperlink r:id="rId14" w:history="1">
        <w:r w:rsidRPr="0086517A">
          <w:rPr>
            <w:rStyle w:val="Hyperlink"/>
          </w:rPr>
          <w:t xml:space="preserve">Cabinet Office. 2012. </w:t>
        </w:r>
        <w:proofErr w:type="gramStart"/>
        <w:r w:rsidRPr="0086517A">
          <w:rPr>
            <w:rStyle w:val="Hyperlink"/>
            <w:i/>
            <w:iCs/>
          </w:rPr>
          <w:t>CO(</w:t>
        </w:r>
        <w:proofErr w:type="gramEnd"/>
        <w:r w:rsidRPr="0086517A">
          <w:rPr>
            <w:rStyle w:val="Hyperlink"/>
            <w:i/>
            <w:iCs/>
          </w:rPr>
          <w:t>12) 7: Guidelines for Dealing with Inside Information About Public Issuers</w:t>
        </w:r>
      </w:hyperlink>
      <w:r>
        <w:t>.</w:t>
      </w:r>
    </w:p>
  </w:footnote>
  <w:footnote w:id="26">
    <w:p w14:paraId="7F8744E6" w14:textId="4C5A480A" w:rsidR="00BF034B" w:rsidRPr="00B711D1" w:rsidRDefault="00BF034B">
      <w:pPr>
        <w:pStyle w:val="FootnoteText"/>
        <w:rPr>
          <w:lang w:val="en-GB"/>
        </w:rPr>
      </w:pPr>
      <w:r>
        <w:rPr>
          <w:rStyle w:val="FootnoteReference"/>
        </w:rPr>
        <w:footnoteRef/>
      </w:r>
      <w:r>
        <w:t xml:space="preserve"> </w:t>
      </w:r>
      <w:r>
        <w:tab/>
      </w:r>
      <w:r w:rsidRPr="00B711D1">
        <w:t>An escrow is a contractual arrangement in which a third party receives and disburses money or property for the primary transacting parties, with the disbursement dependent on conditions agreed to by the transacting parties.</w:t>
      </w:r>
    </w:p>
  </w:footnote>
  <w:footnote w:id="27">
    <w:p w14:paraId="19CDF334" w14:textId="5D0C9B1B" w:rsidR="00A52A00" w:rsidRPr="00A83E86" w:rsidRDefault="00A52A00" w:rsidP="00A517B5">
      <w:pPr>
        <w:pStyle w:val="FootnoteText"/>
      </w:pPr>
      <w:r w:rsidRPr="00A83E86">
        <w:rPr>
          <w:rStyle w:val="FootnoteReference"/>
          <w:rFonts w:asciiTheme="minorHAnsi" w:eastAsia="Yu Gothic Light" w:hAnsiTheme="minorHAnsi" w:cstheme="minorHAnsi"/>
        </w:rPr>
        <w:footnoteRef/>
      </w:r>
      <w:r w:rsidRPr="00A83E86">
        <w:t xml:space="preserve"> See the definition of forestry </w:t>
      </w:r>
      <w:r>
        <w:t>advis</w:t>
      </w:r>
      <w:r w:rsidR="0075539B">
        <w:t>e</w:t>
      </w:r>
      <w:r>
        <w:t>r</w:t>
      </w:r>
      <w:r w:rsidRPr="00A83E86">
        <w:t xml:space="preserve"> service in </w:t>
      </w:r>
      <w:hyperlink r:id="rId15" w:history="1">
        <w:r w:rsidRPr="003C7B83">
          <w:rPr>
            <w:rStyle w:val="Hyperlink"/>
          </w:rPr>
          <w:t>section 63M</w:t>
        </w:r>
      </w:hyperlink>
      <w:r w:rsidRPr="00A83E86">
        <w:t xml:space="preserve"> of the Forests Act 1949.</w:t>
      </w:r>
    </w:p>
  </w:footnote>
  <w:footnote w:id="28">
    <w:p w14:paraId="0CF7DDCC" w14:textId="77777777" w:rsidR="00A52A00" w:rsidRDefault="00A52A00" w:rsidP="00A517B5">
      <w:pPr>
        <w:pStyle w:val="FootnoteText"/>
      </w:pPr>
      <w:r>
        <w:rPr>
          <w:rStyle w:val="FootnoteReference"/>
          <w:rFonts w:eastAsia="Yu Gothic Light"/>
        </w:rPr>
        <w:footnoteRef/>
      </w:r>
      <w:r>
        <w:t xml:space="preserve"> As defined in </w:t>
      </w:r>
      <w:hyperlink r:id="rId16" w:history="1">
        <w:r w:rsidRPr="00E30BD1">
          <w:rPr>
            <w:rStyle w:val="Hyperlink"/>
          </w:rPr>
          <w:t>section 5</w:t>
        </w:r>
      </w:hyperlink>
      <w:r>
        <w:t xml:space="preserve"> of the Financial Service Providers (Registration and Dispute Resolution) Act 2008.</w:t>
      </w:r>
    </w:p>
  </w:footnote>
  <w:footnote w:id="29">
    <w:p w14:paraId="0B552E3C" w14:textId="6B0739E1" w:rsidR="000D3DBC" w:rsidRDefault="000D3DBC">
      <w:pPr>
        <w:pStyle w:val="FootnoteText"/>
      </w:pPr>
      <w:r>
        <w:rPr>
          <w:rStyle w:val="FootnoteReference"/>
        </w:rPr>
        <w:footnoteRef/>
      </w:r>
      <w:r>
        <w:t xml:space="preserve"> </w:t>
      </w:r>
      <w:r w:rsidR="004E59BD">
        <w:t>This assumption does not align with preliminary data available on the wholesale vs. retail market split.</w:t>
      </w:r>
    </w:p>
  </w:footnote>
  <w:footnote w:id="30">
    <w:p w14:paraId="1C048EAA" w14:textId="77777777" w:rsidR="00A52A00" w:rsidRPr="00A93B9F" w:rsidRDefault="00A52A00" w:rsidP="00A517B5">
      <w:pPr>
        <w:pStyle w:val="FootnoteText"/>
      </w:pPr>
      <w:r w:rsidRPr="00A93B9F">
        <w:rPr>
          <w:rStyle w:val="FootnoteReference"/>
          <w:rFonts w:asciiTheme="minorHAnsi" w:eastAsia="Yu Gothic Light" w:hAnsiTheme="minorHAnsi" w:cstheme="minorHAnsi"/>
        </w:rPr>
        <w:footnoteRef/>
      </w:r>
      <w:r w:rsidRPr="00A93B9F">
        <w:t xml:space="preserve"> </w:t>
      </w:r>
      <w:r w:rsidRPr="00A93B9F">
        <w:rPr>
          <w:shd w:val="clear" w:color="auto" w:fill="FFFFFF"/>
        </w:rPr>
        <w:t xml:space="preserve">See </w:t>
      </w:r>
      <w:hyperlink r:id="rId17" w:history="1">
        <w:r w:rsidRPr="001A23D1">
          <w:rPr>
            <w:rStyle w:val="Hyperlink"/>
            <w:shd w:val="clear" w:color="auto" w:fill="FFFFFF"/>
          </w:rPr>
          <w:t>Part 2, Schedule 5</w:t>
        </w:r>
      </w:hyperlink>
      <w:r w:rsidRPr="00A93B9F">
        <w:rPr>
          <w:shd w:val="clear" w:color="auto" w:fill="FFFFFF"/>
        </w:rPr>
        <w:t xml:space="preserve"> of the FMC Act for broad exclusions from regulated financial advice</w:t>
      </w:r>
      <w:r>
        <w:rPr>
          <w:shd w:val="clear" w:color="auto" w:fill="FFFFFF"/>
        </w:rPr>
        <w:t xml:space="preserve"> and, in particular, see </w:t>
      </w:r>
      <w:hyperlink r:id="rId18" w:history="1">
        <w:r w:rsidRPr="00123E48">
          <w:rPr>
            <w:rStyle w:val="Hyperlink"/>
            <w:shd w:val="clear" w:color="auto" w:fill="FFFFFF"/>
          </w:rPr>
          <w:t>clause 8, Part 2, Schedule 5</w:t>
        </w:r>
      </w:hyperlink>
      <w:r w:rsidRPr="00A93B9F">
        <w:rPr>
          <w:shd w:val="clear" w:color="auto" w:fill="FFFFFF"/>
        </w:rPr>
        <w:t xml:space="preserve"> for a list of ancillary services and other occupations excluded from regulated financial </w:t>
      </w:r>
      <w:r w:rsidRPr="00A93B9F" w:rsidDel="00123E48">
        <w:rPr>
          <w:shd w:val="clear" w:color="auto" w:fill="FFFFFF"/>
        </w:rPr>
        <w:t>advice</w:t>
      </w:r>
      <w:r w:rsidRPr="00A93B9F">
        <w:rPr>
          <w:shd w:val="clear" w:color="auto" w:fill="FFFFFF"/>
        </w:rPr>
        <w:t>.</w:t>
      </w:r>
    </w:p>
  </w:footnote>
  <w:footnote w:id="31">
    <w:p w14:paraId="75E1C208" w14:textId="47A736AC" w:rsidR="00A52A00" w:rsidRPr="00A83E86" w:rsidRDefault="00A52A00" w:rsidP="00A517B5">
      <w:pPr>
        <w:pStyle w:val="FootnoteText"/>
      </w:pPr>
      <w:r w:rsidRPr="00A83E86">
        <w:rPr>
          <w:rStyle w:val="FootnoteReference"/>
          <w:rFonts w:asciiTheme="minorHAnsi" w:eastAsia="Yu Gothic Light" w:hAnsiTheme="minorHAnsi" w:cstheme="minorHAnsi"/>
        </w:rPr>
        <w:footnoteRef/>
      </w:r>
      <w:r w:rsidRPr="00A83E86">
        <w:t xml:space="preserve"> See the definition of forestry </w:t>
      </w:r>
      <w:r>
        <w:t>advis</w:t>
      </w:r>
      <w:r w:rsidR="0075539B">
        <w:t>e</w:t>
      </w:r>
      <w:r>
        <w:t>r</w:t>
      </w:r>
      <w:r w:rsidRPr="00A83E86">
        <w:t xml:space="preserve"> service in </w:t>
      </w:r>
      <w:hyperlink r:id="rId19" w:history="1">
        <w:r w:rsidRPr="003C7B83">
          <w:rPr>
            <w:rStyle w:val="Hyperlink"/>
          </w:rPr>
          <w:t>section 63M</w:t>
        </w:r>
      </w:hyperlink>
      <w:r w:rsidRPr="00A83E86">
        <w:t xml:space="preserve"> of the Forests Act 1949</w:t>
      </w:r>
      <w:r>
        <w:t>.</w:t>
      </w:r>
    </w:p>
  </w:footnote>
  <w:footnote w:id="32">
    <w:p w14:paraId="70DDA889" w14:textId="74E9327B" w:rsidR="00A52A00" w:rsidRPr="00A83E86" w:rsidRDefault="00A52A00" w:rsidP="00A517B5">
      <w:pPr>
        <w:pStyle w:val="FootnoteText"/>
      </w:pPr>
      <w:r w:rsidRPr="00A83E86">
        <w:rPr>
          <w:rStyle w:val="FootnoteReference"/>
          <w:rFonts w:asciiTheme="minorHAnsi" w:eastAsia="Yu Gothic Light" w:hAnsiTheme="minorHAnsi" w:cstheme="minorHAnsi"/>
        </w:rPr>
        <w:footnoteRef/>
      </w:r>
      <w:r w:rsidRPr="00A83E86">
        <w:t xml:space="preserve"> For example</w:t>
      </w:r>
      <w:r>
        <w:t>,</w:t>
      </w:r>
      <w:r w:rsidRPr="00A83E86">
        <w:t xml:space="preserve"> for a business that engages </w:t>
      </w:r>
      <w:r>
        <w:t>two</w:t>
      </w:r>
      <w:r w:rsidRPr="00A83E86">
        <w:t xml:space="preserve"> or more financial </w:t>
      </w:r>
      <w:r>
        <w:t>advis</w:t>
      </w:r>
      <w:r w:rsidR="00C44BE1">
        <w:t>e</w:t>
      </w:r>
      <w:r>
        <w:t>r</w:t>
      </w:r>
      <w:r w:rsidRPr="00A83E86">
        <w:t xml:space="preserve">s, </w:t>
      </w:r>
      <w:r>
        <w:t xml:space="preserve">a </w:t>
      </w:r>
      <w:r w:rsidRPr="00A83E86">
        <w:t>licence application fee would be $882.05 (inc</w:t>
      </w:r>
      <w:r>
        <w:t>.</w:t>
      </w:r>
      <w:r w:rsidRPr="00A83E86">
        <w:t xml:space="preserve"> GST). Additional fees may apply if the application assessment time exceeds </w:t>
      </w:r>
      <w:r>
        <w:t>three</w:t>
      </w:r>
      <w:r w:rsidRPr="00A83E86">
        <w:t xml:space="preserve"> hours.</w:t>
      </w:r>
      <w:r>
        <w:t xml:space="preserve"> </w:t>
      </w:r>
      <w:r w:rsidRPr="00A83E86">
        <w:t>The licensing of financial advice providers occur</w:t>
      </w:r>
      <w:r>
        <w:t>s</w:t>
      </w:r>
      <w:r w:rsidRPr="00A83E86">
        <w:t xml:space="preserve"> in two stages</w:t>
      </w:r>
      <w:r>
        <w:t xml:space="preserve"> – </w:t>
      </w:r>
      <w:r w:rsidRPr="00A83E86">
        <w:t>transitional and full licensing</w:t>
      </w:r>
      <w:r>
        <w:t xml:space="preserve"> –</w:t>
      </w:r>
      <w:r w:rsidRPr="00A83E86">
        <w:t xml:space="preserve"> to facilitate a smooth transition from the previous </w:t>
      </w:r>
      <w:hyperlink r:id="rId20" w:history="1">
        <w:r w:rsidRPr="000A2527">
          <w:rPr>
            <w:rStyle w:val="Hyperlink"/>
          </w:rPr>
          <w:t>Financial Advisers Act 2008</w:t>
        </w:r>
      </w:hyperlink>
      <w:r w:rsidRPr="00A83E86">
        <w:t xml:space="preserve">. This proposal assumes only one stage of licensing for NZU advice providers. </w:t>
      </w:r>
    </w:p>
  </w:footnote>
  <w:footnote w:id="33">
    <w:p w14:paraId="029784E3" w14:textId="77777777" w:rsidR="00A52A00" w:rsidRPr="00B67A0C" w:rsidRDefault="00A52A00" w:rsidP="00A517B5">
      <w:pPr>
        <w:pStyle w:val="FootnoteText"/>
        <w:rPr>
          <w:i/>
        </w:rPr>
      </w:pPr>
      <w:r w:rsidRPr="00A83E86">
        <w:rPr>
          <w:rStyle w:val="FootnoteReference"/>
          <w:rFonts w:asciiTheme="minorHAnsi" w:eastAsia="Yu Gothic Light" w:hAnsiTheme="minorHAnsi" w:cstheme="minorHAnsi"/>
        </w:rPr>
        <w:footnoteRef/>
      </w:r>
      <w:r w:rsidRPr="00A83E86">
        <w:t xml:space="preserve"> </w:t>
      </w:r>
      <w:hyperlink r:id="rId21" w:history="1">
        <w:r w:rsidRPr="00F15A6E">
          <w:rPr>
            <w:rStyle w:val="Hyperlink"/>
          </w:rPr>
          <w:t xml:space="preserve">Financial Markets Authority. 2020. </w:t>
        </w:r>
        <w:r w:rsidRPr="00F15A6E">
          <w:rPr>
            <w:rStyle w:val="Hyperlink"/>
            <w:i/>
            <w:iCs/>
          </w:rPr>
          <w:t>Standard Conditions for full financial advice provider licences.</w:t>
        </w:r>
      </w:hyperlink>
    </w:p>
  </w:footnote>
  <w:footnote w:id="34">
    <w:p w14:paraId="09D1A859" w14:textId="77777777" w:rsidR="00A52A00" w:rsidRDefault="00A52A00" w:rsidP="00A517B5">
      <w:pPr>
        <w:pStyle w:val="FootnoteText"/>
      </w:pPr>
      <w:r>
        <w:rPr>
          <w:rStyle w:val="FootnoteReference"/>
          <w:rFonts w:eastAsia="Yu Gothic Light"/>
        </w:rPr>
        <w:footnoteRef/>
      </w:r>
      <w:r>
        <w:t xml:space="preserve"> A</w:t>
      </w:r>
      <w:r w:rsidRPr="00676EB9">
        <w:t>pproved by the New Zealand Qualifications Authority in January 2019 (NZQA reference 2315).</w:t>
      </w:r>
    </w:p>
  </w:footnote>
  <w:footnote w:id="35">
    <w:p w14:paraId="4B34146F" w14:textId="77777777" w:rsidR="00A52A00" w:rsidRDefault="00A52A00" w:rsidP="00A517B5">
      <w:pPr>
        <w:pStyle w:val="FootnoteText"/>
      </w:pPr>
      <w:r>
        <w:rPr>
          <w:rStyle w:val="FootnoteReference"/>
          <w:rFonts w:eastAsia="Yu Gothic Light"/>
        </w:rPr>
        <w:footnoteRef/>
      </w:r>
      <w:r>
        <w:t xml:space="preserve"> A publicly searchable register of all financial service providers in Aotearoa New Zealand.</w:t>
      </w:r>
    </w:p>
  </w:footnote>
  <w:footnote w:id="36">
    <w:p w14:paraId="2800B657" w14:textId="77777777" w:rsidR="00A52A00" w:rsidRPr="00A83E86" w:rsidRDefault="00A52A00" w:rsidP="00A517B5">
      <w:pPr>
        <w:pStyle w:val="FootnoteText"/>
      </w:pPr>
      <w:r w:rsidRPr="00A83E86">
        <w:rPr>
          <w:rStyle w:val="FootnoteReference"/>
          <w:rFonts w:asciiTheme="minorHAnsi" w:eastAsia="Yu Gothic Light" w:hAnsiTheme="minorHAnsi" w:cstheme="minorHAnsi"/>
        </w:rPr>
        <w:footnoteRef/>
      </w:r>
      <w:r w:rsidRPr="00A83E86">
        <w:t xml:space="preserve"> Under the financial advice regime, an individual </w:t>
      </w:r>
      <w:r>
        <w:t>‘</w:t>
      </w:r>
      <w:r w:rsidRPr="00A83E86">
        <w:t>nominated representative</w:t>
      </w:r>
      <w:r>
        <w:t>’</w:t>
      </w:r>
      <w:r w:rsidRPr="00A83E86">
        <w:t xml:space="preserve"> can give advice of limited scope under the control of the licensed provider, and that individual is not required to be registered. We assume that nominated representative arrangement</w:t>
      </w:r>
      <w:r>
        <w:t>s</w:t>
      </w:r>
      <w:r w:rsidRPr="00A83E86">
        <w:t xml:space="preserve"> are unlikely to be common in relation to NZU advice. </w:t>
      </w:r>
    </w:p>
  </w:footnote>
  <w:footnote w:id="37">
    <w:p w14:paraId="3E5FF1DC" w14:textId="31429C42" w:rsidR="00A52A00" w:rsidRPr="00A83E86" w:rsidRDefault="00A52A00" w:rsidP="00A517B5">
      <w:pPr>
        <w:pStyle w:val="FootnoteText"/>
      </w:pPr>
      <w:r w:rsidRPr="00A83E86">
        <w:rPr>
          <w:rStyle w:val="FootnoteReference"/>
          <w:rFonts w:asciiTheme="minorHAnsi" w:eastAsia="Yu Gothic Light" w:hAnsiTheme="minorHAnsi" w:cstheme="minorHAnsi"/>
        </w:rPr>
        <w:footnoteRef/>
      </w:r>
      <w:r w:rsidRPr="00A83E86">
        <w:t xml:space="preserve"> Fees apply for the firm and each </w:t>
      </w:r>
      <w:r>
        <w:t>advis</w:t>
      </w:r>
      <w:r w:rsidR="00BE61E7">
        <w:t>e</w:t>
      </w:r>
      <w:r>
        <w:t>r</w:t>
      </w:r>
      <w:r w:rsidRPr="00A83E86">
        <w:t xml:space="preserve">. </w:t>
      </w:r>
      <w:r>
        <w:t>The r</w:t>
      </w:r>
      <w:r w:rsidRPr="00A83E86">
        <w:t xml:space="preserve">egistration fee </w:t>
      </w:r>
      <w:r>
        <w:t xml:space="preserve">is </w:t>
      </w:r>
      <w:r w:rsidRPr="00A83E86">
        <w:t>$345 plus</w:t>
      </w:r>
      <w:r>
        <w:t xml:space="preserve"> a</w:t>
      </w:r>
      <w:r w:rsidRPr="00A83E86">
        <w:t xml:space="preserve"> $40.25 criminal check fee per person (</w:t>
      </w:r>
      <w:proofErr w:type="spellStart"/>
      <w:r w:rsidRPr="00A83E86">
        <w:t>e</w:t>
      </w:r>
      <w:r>
        <w:t>g</w:t>
      </w:r>
      <w:proofErr w:type="spellEnd"/>
      <w:r>
        <w:t>,</w:t>
      </w:r>
      <w:r w:rsidRPr="00A83E86">
        <w:t xml:space="preserve"> per director) and </w:t>
      </w:r>
      <w:r>
        <w:t xml:space="preserve">an </w:t>
      </w:r>
      <w:r w:rsidRPr="00A83E86">
        <w:t xml:space="preserve">annual confirmation fee of $86.25. </w:t>
      </w:r>
    </w:p>
  </w:footnote>
  <w:footnote w:id="38">
    <w:p w14:paraId="01CE5EFD" w14:textId="77777777" w:rsidR="00A52A00" w:rsidRDefault="00A52A00" w:rsidP="00A517B5">
      <w:pPr>
        <w:pStyle w:val="FootnoteText"/>
      </w:pPr>
      <w:r w:rsidRPr="00A83E86">
        <w:rPr>
          <w:rStyle w:val="FootnoteReference"/>
          <w:rFonts w:asciiTheme="minorHAnsi" w:eastAsia="Yu Gothic Light" w:hAnsiTheme="minorHAnsi" w:cstheme="minorHAnsi"/>
        </w:rPr>
        <w:footnoteRef/>
      </w:r>
      <w:r w:rsidRPr="00A83E86">
        <w:t xml:space="preserve"> Up to $200,000 or $350,000</w:t>
      </w:r>
      <w:r>
        <w:t>,</w:t>
      </w:r>
      <w:r w:rsidRPr="00A83E86">
        <w:t xml:space="preserve"> depending on the scheme.</w:t>
      </w:r>
      <w:r>
        <w:t xml:space="preserve"> </w:t>
      </w:r>
    </w:p>
  </w:footnote>
  <w:footnote w:id="39">
    <w:p w14:paraId="651ED01F" w14:textId="784F2E49" w:rsidR="00A52A00" w:rsidRPr="00160307" w:rsidRDefault="00A52A00" w:rsidP="00A517B5">
      <w:pPr>
        <w:pStyle w:val="FootnoteText"/>
      </w:pPr>
      <w:r w:rsidRPr="00160307">
        <w:rPr>
          <w:rStyle w:val="FootnoteReference"/>
          <w:rFonts w:asciiTheme="minorHAnsi" w:eastAsia="Yu Gothic Light" w:hAnsiTheme="minorHAnsi" w:cstheme="minorHAnsi"/>
        </w:rPr>
        <w:footnoteRef/>
      </w:r>
      <w:r w:rsidRPr="00160307">
        <w:t xml:space="preserve"> </w:t>
      </w:r>
      <w:r>
        <w:t>This c</w:t>
      </w:r>
      <w:r w:rsidRPr="00160307">
        <w:t>urrently includes equity securities (</w:t>
      </w:r>
      <w:proofErr w:type="spellStart"/>
      <w:r w:rsidRPr="00160307">
        <w:t>eg</w:t>
      </w:r>
      <w:proofErr w:type="spellEnd"/>
      <w:r>
        <w:t>,</w:t>
      </w:r>
      <w:r w:rsidRPr="00160307">
        <w:t xml:space="preserve"> shares), debt securities (</w:t>
      </w:r>
      <w:proofErr w:type="spellStart"/>
      <w:r w:rsidRPr="00160307">
        <w:t>eg</w:t>
      </w:r>
      <w:proofErr w:type="spellEnd"/>
      <w:r>
        <w:t>,</w:t>
      </w:r>
      <w:r w:rsidRPr="00160307">
        <w:t xml:space="preserve"> bonds), managed investment products and derivatives, but excludes interests in retirement schemes and some other simpler financial products</w:t>
      </w:r>
      <w:r w:rsidR="004A1234">
        <w:t>,</w:t>
      </w:r>
      <w:r w:rsidRPr="00160307">
        <w:t xml:space="preserve"> such as bank term deposits. See full list of exclusions at </w:t>
      </w:r>
      <w:hyperlink r:id="rId22" w:history="1">
        <w:r>
          <w:rPr>
            <w:rStyle w:val="Hyperlink"/>
          </w:rPr>
          <w:t>clause 46A, Schedule 8 of the Financial Markets Conduct Regulations 2014</w:t>
        </w:r>
      </w:hyperlink>
      <w:r w:rsidRPr="00160307">
        <w:t>.</w:t>
      </w:r>
    </w:p>
  </w:footnote>
  <w:footnote w:id="40">
    <w:p w14:paraId="6A2328A7" w14:textId="0A21AAE6" w:rsidR="00A52A00" w:rsidRDefault="00A52A00" w:rsidP="00A517B5">
      <w:pPr>
        <w:pStyle w:val="FootnoteText"/>
      </w:pPr>
      <w:r w:rsidRPr="00A93B9F">
        <w:rPr>
          <w:rStyle w:val="FootnoteReference"/>
          <w:rFonts w:asciiTheme="minorHAnsi" w:eastAsia="Yu Gothic Light" w:hAnsiTheme="minorHAnsi" w:cstheme="minorHAnsi"/>
        </w:rPr>
        <w:footnoteRef/>
      </w:r>
      <w:r w:rsidRPr="00A93B9F">
        <w:t xml:space="preserve"> The annual levies that are payable for financial advice providers are currently $449.65 for each licensed provider and $460 for each </w:t>
      </w:r>
      <w:r w:rsidR="00710D21">
        <w:t xml:space="preserve">adviser </w:t>
      </w:r>
      <w:r w:rsidRPr="00A93B9F">
        <w:t>engaged by the licensed provider. Levies for wholesale advice providers are $759 each (</w:t>
      </w:r>
      <w:r>
        <w:t xml:space="preserve">with </w:t>
      </w:r>
      <w:r w:rsidRPr="00A93B9F">
        <w:t xml:space="preserve">no levies for individual advisers </w:t>
      </w:r>
      <w:r>
        <w:t>giving</w:t>
      </w:r>
      <w:r w:rsidRPr="00A93B9F">
        <w:t xml:space="preserve"> advice on behalf of wholesale advice firms).</w:t>
      </w:r>
      <w:r>
        <w:t xml:space="preserve"> </w:t>
      </w:r>
    </w:p>
  </w:footnote>
  <w:footnote w:id="41">
    <w:p w14:paraId="61DB7505" w14:textId="77777777" w:rsidR="00A52A00" w:rsidRDefault="00A52A00" w:rsidP="00A517B5">
      <w:pPr>
        <w:pStyle w:val="FootnoteText"/>
      </w:pPr>
      <w:r>
        <w:rPr>
          <w:rStyle w:val="FootnoteReference"/>
          <w:rFonts w:eastAsia="Yu Gothic Light"/>
        </w:rPr>
        <w:footnoteRef/>
      </w:r>
      <w:r>
        <w:t xml:space="preserve"> </w:t>
      </w:r>
      <w:hyperlink r:id="rId23" w:anchor="LMS469602" w:history="1">
        <w:r>
          <w:rPr>
            <w:rStyle w:val="Hyperlink"/>
          </w:rPr>
          <w:t>Regulations 229P to 229V of the Financial Market Conduct Regulations 2014</w:t>
        </w:r>
      </w:hyperlink>
      <w:r>
        <w:t>.</w:t>
      </w:r>
    </w:p>
  </w:footnote>
  <w:footnote w:id="42">
    <w:p w14:paraId="3B251F4D" w14:textId="77777777" w:rsidR="00A52A00" w:rsidRDefault="00A52A00" w:rsidP="00E003DB">
      <w:pPr>
        <w:pStyle w:val="FootnoteText"/>
      </w:pPr>
      <w:r>
        <w:rPr>
          <w:rStyle w:val="FootnoteReference"/>
          <w:rFonts w:eastAsia="Yu Gothic Light"/>
        </w:rPr>
        <w:footnoteRef/>
      </w:r>
      <w:r>
        <w:t xml:space="preserve"> Above, n </w:t>
      </w:r>
      <w:r>
        <w:fldChar w:fldCharType="begin"/>
      </w:r>
      <w:r>
        <w:instrText xml:space="preserve"> NOTEREF _Ref118364719 \h </w:instrText>
      </w:r>
      <w:r>
        <w:fldChar w:fldCharType="separate"/>
      </w:r>
      <w:r w:rsidR="00C67DAB">
        <w:t>3</w:t>
      </w:r>
      <w:r>
        <w:fldChar w:fldCharType="end"/>
      </w:r>
      <w:r>
        <w:t>.</w:t>
      </w:r>
    </w:p>
  </w:footnote>
  <w:footnote w:id="43">
    <w:p w14:paraId="1A2EA8B0" w14:textId="77777777" w:rsidR="00A52A00" w:rsidRPr="00E027D3" w:rsidRDefault="00A52A00" w:rsidP="00E003DB">
      <w:pPr>
        <w:pStyle w:val="FootnoteText"/>
      </w:pPr>
      <w:r w:rsidRPr="00E027D3">
        <w:rPr>
          <w:rStyle w:val="FootnoteReference"/>
          <w:rFonts w:asciiTheme="minorHAnsi" w:eastAsia="Yu Gothic Light" w:hAnsiTheme="minorHAnsi" w:cstheme="minorHAnsi"/>
        </w:rPr>
        <w:footnoteRef/>
      </w:r>
      <w:r>
        <w:t xml:space="preserve"> </w:t>
      </w:r>
      <w:r w:rsidRPr="00E027D3">
        <w:t>This option would replicate many prescribed transaction reporting obligations in</w:t>
      </w:r>
      <w:r>
        <w:t xml:space="preserve"> </w:t>
      </w:r>
      <w:hyperlink r:id="rId24" w:anchor="contents" w:history="1">
        <w:r w:rsidRPr="005918C1">
          <w:rPr>
            <w:rStyle w:val="Hyperlink"/>
          </w:rPr>
          <w:t>Part 1 of the Anti-Money Laundering and Countering Financing of Terrorism (Prescribed Transactions Reporting) Regulations 2016</w:t>
        </w:r>
      </w:hyperlink>
      <w:r>
        <w:t>.</w:t>
      </w:r>
    </w:p>
  </w:footnote>
  <w:footnote w:id="44">
    <w:p w14:paraId="0B0A2801" w14:textId="77777777" w:rsidR="00A52A00" w:rsidRPr="00E027D3" w:rsidRDefault="00A52A00" w:rsidP="00E003DB">
      <w:pPr>
        <w:pStyle w:val="FootnoteText"/>
      </w:pPr>
      <w:r w:rsidRPr="00E027D3">
        <w:rPr>
          <w:rStyle w:val="FootnoteReference"/>
          <w:rFonts w:asciiTheme="minorHAnsi" w:eastAsia="Yu Gothic Light" w:hAnsiTheme="minorHAnsi" w:cstheme="minorHAnsi"/>
        </w:rPr>
        <w:footnoteRef/>
      </w:r>
      <w:r>
        <w:t xml:space="preserve"> </w:t>
      </w:r>
      <w:r w:rsidRPr="00124502">
        <w:t xml:space="preserve">See </w:t>
      </w:r>
      <w:hyperlink r:id="rId25" w:anchor="DLM6960559" w:history="1">
        <w:r w:rsidRPr="00124502">
          <w:rPr>
            <w:rStyle w:val="Hyperlink"/>
          </w:rPr>
          <w:t>Part 1 of Schedule 2 of the Anti-Money Laundering and Countering Financing of Terrorism (Prescribed Transactions Reporting) Regulations 2016</w:t>
        </w:r>
      </w:hyperlink>
      <w:r w:rsidRPr="00DF70CC">
        <w:t>.</w:t>
      </w:r>
    </w:p>
  </w:footnote>
  <w:footnote w:id="45">
    <w:p w14:paraId="1FAD6D75" w14:textId="77777777" w:rsidR="00A52A00" w:rsidRPr="00E027D3" w:rsidRDefault="00A52A00" w:rsidP="00E003DB">
      <w:pPr>
        <w:pStyle w:val="FootnoteText"/>
        <w:rPr>
          <w:sz w:val="16"/>
          <w:szCs w:val="16"/>
          <w:lang w:val="en-GB"/>
        </w:rPr>
      </w:pPr>
      <w:r w:rsidRPr="00E027D3">
        <w:rPr>
          <w:rStyle w:val="FootnoteReference"/>
          <w:rFonts w:asciiTheme="minorHAnsi" w:eastAsia="Yu Gothic Light" w:hAnsiTheme="minorHAnsi" w:cstheme="minorHAnsi"/>
        </w:rPr>
        <w:footnoteRef/>
      </w:r>
      <w:r w:rsidRPr="00E027D3">
        <w:rPr>
          <w:sz w:val="16"/>
          <w:szCs w:val="16"/>
        </w:rPr>
        <w:t xml:space="preserve"> See </w:t>
      </w:r>
      <w:hyperlink r:id="rId26" w:history="1">
        <w:r w:rsidRPr="00E027D3">
          <w:rPr>
            <w:rStyle w:val="Hyperlink"/>
            <w:sz w:val="16"/>
            <w:szCs w:val="16"/>
          </w:rPr>
          <w:t>https://www.epa.govt.nz/industry-areas/emissions-trading-scheme/market-information/</w:t>
        </w:r>
      </w:hyperlink>
      <w:r w:rsidRPr="00E027D3">
        <w:rPr>
          <w:sz w:val="16"/>
          <w:szCs w:val="16"/>
        </w:rPr>
        <w:t xml:space="preserve"> </w:t>
      </w:r>
    </w:p>
  </w:footnote>
  <w:footnote w:id="46">
    <w:p w14:paraId="5B4CD2BB" w14:textId="77777777" w:rsidR="00A52A00" w:rsidRDefault="00A52A00" w:rsidP="00E003DB">
      <w:pPr>
        <w:pStyle w:val="FootnoteText"/>
      </w:pPr>
      <w:r>
        <w:rPr>
          <w:rStyle w:val="FootnoteReference"/>
          <w:rFonts w:eastAsia="Yu Gothic Light"/>
        </w:rPr>
        <w:footnoteRef/>
      </w:r>
      <w:r>
        <w:t xml:space="preserve"> Above, n </w:t>
      </w:r>
      <w:r>
        <w:fldChar w:fldCharType="begin"/>
      </w:r>
      <w:r>
        <w:instrText xml:space="preserve"> NOTEREF _Ref118364719 \h </w:instrText>
      </w:r>
      <w:r>
        <w:fldChar w:fldCharType="separate"/>
      </w:r>
      <w:r w:rsidR="00C67DAB">
        <w:t>3</w:t>
      </w:r>
      <w:r>
        <w:fldChar w:fldCharType="end"/>
      </w:r>
      <w:r>
        <w:t>.</w:t>
      </w:r>
    </w:p>
  </w:footnote>
  <w:footnote w:id="47">
    <w:p w14:paraId="2D3D36BD" w14:textId="77777777" w:rsidR="00A52A00" w:rsidRDefault="00A52A00" w:rsidP="00E003DB">
      <w:pPr>
        <w:pStyle w:val="FootnoteText"/>
      </w:pPr>
      <w:r>
        <w:rPr>
          <w:rStyle w:val="FootnoteReference"/>
          <w:rFonts w:eastAsia="Yu Gothic Light"/>
        </w:rPr>
        <w:footnoteRef/>
      </w:r>
      <w:r>
        <w:t xml:space="preserve"> A detailed guideline is available: </w:t>
      </w:r>
      <w:hyperlink r:id="rId27" w:history="1">
        <w:r w:rsidRPr="00EC47C9">
          <w:rPr>
            <w:rStyle w:val="Hyperlink"/>
          </w:rPr>
          <w:t>Financial Markets Authority, Reserve Bank of New Zealand, Internal Affairs. 2022. AML/CFT Programme Guideline</w:t>
        </w:r>
      </w:hyperlink>
      <w:r>
        <w:t xml:space="preserve">. Further information is also available on the </w:t>
      </w:r>
      <w:hyperlink r:id="rId28" w:history="1">
        <w:r w:rsidRPr="00FA3FF1">
          <w:rPr>
            <w:rStyle w:val="Hyperlink"/>
          </w:rPr>
          <w:t>FMA website</w:t>
        </w:r>
      </w:hyperlink>
      <w:r>
        <w:t>.</w:t>
      </w:r>
    </w:p>
  </w:footnote>
  <w:footnote w:id="48">
    <w:p w14:paraId="2069AC3B" w14:textId="77777777" w:rsidR="00A52A00" w:rsidRDefault="00A52A00" w:rsidP="00E003DB">
      <w:pPr>
        <w:pStyle w:val="FootnoteText"/>
      </w:pPr>
      <w:r>
        <w:rPr>
          <w:rStyle w:val="FootnoteReference"/>
          <w:rFonts w:eastAsia="Yu Gothic Light"/>
        </w:rPr>
        <w:footnoteRef/>
      </w:r>
      <w:r>
        <w:t xml:space="preserve"> </w:t>
      </w:r>
      <w:hyperlink r:id="rId29" w:history="1">
        <w:r w:rsidRPr="00920AE4">
          <w:rPr>
            <w:rStyle w:val="Hyperlink"/>
          </w:rPr>
          <w:t>Financial Markets Authority, Reserve Bank of New Zealand, Internal Affairs. 2017. Interpreting “ordinary course of business” Guideline</w:t>
        </w:r>
      </w:hyperlink>
      <w:r>
        <w:t>.</w:t>
      </w:r>
    </w:p>
  </w:footnote>
  <w:footnote w:id="49">
    <w:p w14:paraId="1101166C" w14:textId="77777777" w:rsidR="00A52A00" w:rsidRDefault="00A52A00" w:rsidP="00E003DB">
      <w:pPr>
        <w:pStyle w:val="FootnoteText"/>
      </w:pPr>
      <w:r>
        <w:rPr>
          <w:rStyle w:val="FootnoteReference"/>
          <w:rFonts w:eastAsia="Yu Gothic Light"/>
        </w:rPr>
        <w:footnoteRef/>
      </w:r>
      <w:r>
        <w:t xml:space="preserve"> A detailed guideline is available: </w:t>
      </w:r>
      <w:hyperlink r:id="rId30" w:history="1">
        <w:r w:rsidRPr="00EC47C9">
          <w:rPr>
            <w:rStyle w:val="Hyperlink"/>
          </w:rPr>
          <w:t>Financial Markets Authority, Reserve Bank of New Zealand, Internal Affairs. 2022. AML/CFT Programme Guideline</w:t>
        </w:r>
      </w:hyperlink>
      <w:r>
        <w:t xml:space="preserve">. Further information is also available on the </w:t>
      </w:r>
      <w:hyperlink r:id="rId31" w:history="1">
        <w:r w:rsidRPr="00FA3FF1">
          <w:rPr>
            <w:rStyle w:val="Hyperlink"/>
          </w:rPr>
          <w:t>FMA website</w:t>
        </w:r>
      </w:hyperlink>
      <w:r>
        <w:t>.</w:t>
      </w:r>
    </w:p>
  </w:footnote>
  <w:footnote w:id="50">
    <w:p w14:paraId="71C5EF8B" w14:textId="63716851" w:rsidR="00A52A00" w:rsidRDefault="00A52A00" w:rsidP="00E003DB">
      <w:pPr>
        <w:pStyle w:val="FootnoteText"/>
      </w:pPr>
      <w:r>
        <w:rPr>
          <w:rStyle w:val="FootnoteReference"/>
          <w:rFonts w:eastAsia="Yu Gothic Light"/>
        </w:rPr>
        <w:footnoteRef/>
      </w:r>
      <w:r>
        <w:t xml:space="preserve"> European Commission. </w:t>
      </w:r>
      <w:r w:rsidRPr="001D7D83">
        <w:rPr>
          <w:i/>
          <w:iCs/>
        </w:rPr>
        <w:t>EU context of anti-money laundering and countering the financing of terrorism</w:t>
      </w:r>
      <w:r>
        <w:t xml:space="preserve">. Retrieved from </w:t>
      </w:r>
      <w:hyperlink r:id="rId32" w:history="1">
        <w:r w:rsidR="00D76870" w:rsidRPr="00D76870">
          <w:rPr>
            <w:rStyle w:val="Hyperlink"/>
          </w:rPr>
          <w:t>https://finance.ec.europa.eu/financial-crime/eu-context-anti-money-laundering-and-countering-financing-terrorism_en</w:t>
        </w:r>
      </w:hyperlink>
      <w:r>
        <w:t xml:space="preserve"> (6 November 2022).</w:t>
      </w:r>
    </w:p>
  </w:footnote>
  <w:footnote w:id="51">
    <w:p w14:paraId="51839E2F" w14:textId="77777777" w:rsidR="00A52A00" w:rsidRPr="00160307" w:rsidRDefault="00A52A00" w:rsidP="00E003DB">
      <w:pPr>
        <w:pStyle w:val="FootnoteText"/>
      </w:pPr>
      <w:r w:rsidRPr="00160307">
        <w:rPr>
          <w:rStyle w:val="FootnoteReference"/>
          <w:rFonts w:asciiTheme="minorHAnsi" w:eastAsia="Yu Gothic Light" w:hAnsiTheme="minorHAnsi" w:cstheme="minorHAnsi"/>
        </w:rPr>
        <w:footnoteRef/>
      </w:r>
      <w:r w:rsidRPr="00160307">
        <w:t xml:space="preserve"> </w:t>
      </w:r>
      <w:r>
        <w:t>This c</w:t>
      </w:r>
      <w:r w:rsidRPr="00160307">
        <w:t>urrently includes equity securities (</w:t>
      </w:r>
      <w:proofErr w:type="spellStart"/>
      <w:r w:rsidRPr="00160307">
        <w:t>eg</w:t>
      </w:r>
      <w:proofErr w:type="spellEnd"/>
      <w:r>
        <w:t>,</w:t>
      </w:r>
      <w:r w:rsidRPr="00160307">
        <w:t xml:space="preserve"> shares), debt securities (</w:t>
      </w:r>
      <w:proofErr w:type="spellStart"/>
      <w:r w:rsidRPr="00160307">
        <w:t>eg</w:t>
      </w:r>
      <w:proofErr w:type="spellEnd"/>
      <w:r>
        <w:t>,</w:t>
      </w:r>
      <w:r w:rsidRPr="00160307">
        <w:t xml:space="preserve"> bonds), managed investment products and derivatives, but excludes interests in retirement schemes and some other simpler financial products such as bank term deposits. See full list of exclusions at </w:t>
      </w:r>
      <w:hyperlink r:id="rId33" w:history="1">
        <w:r>
          <w:rPr>
            <w:rStyle w:val="Hyperlink"/>
          </w:rPr>
          <w:t>clause 46A, Schedule 8 of the Financial Markets Conduct Regulations 2014</w:t>
        </w:r>
      </w:hyperlink>
      <w:r w:rsidRPr="0016030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AA4D6" w14:textId="77777777" w:rsidR="00A52A00" w:rsidRPr="00DE7BF8" w:rsidRDefault="00A52A00" w:rsidP="009F1D7F">
    <w:pPr>
      <w:pStyle w:val="Header"/>
      <w:jc w:val="left"/>
      <w:rPr>
        <w:rFonts w:ascii="Calibri" w:hAnsi="Calibri"/>
      </w:rPr>
    </w:pPr>
    <w:r>
      <w:rPr>
        <w:rFonts w:ascii="Calibri" w:hAnsi="Calibri"/>
        <w:noProof/>
      </w:rPr>
      <w:drawing>
        <wp:inline distT="0" distB="0" distL="0" distR="0" wp14:anchorId="2BD302C3" wp14:editId="591DC9AE">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B1B06" w14:textId="05EF8A7D" w:rsidR="00A52A00" w:rsidRDefault="003731A9" w:rsidP="0036151C">
    <w:r>
      <w:rPr>
        <w:noProof/>
      </w:rPr>
      <mc:AlternateContent>
        <mc:Choice Requires="wps">
          <w:drawing>
            <wp:anchor distT="0" distB="0" distL="0" distR="0" simplePos="0" relativeHeight="251658241" behindDoc="0" locked="0" layoutInCell="1" allowOverlap="1" wp14:anchorId="3327A2E4" wp14:editId="679623FD">
              <wp:simplePos x="0" y="0"/>
              <wp:positionH relativeFrom="column">
                <wp:align>center</wp:align>
              </wp:positionH>
              <wp:positionV relativeFrom="paragraph">
                <wp:posOffset>635</wp:posOffset>
              </wp:positionV>
              <wp:extent cx="67310" cy="330200"/>
              <wp:effectExtent l="0" t="0" r="0" b="0"/>
              <wp:wrapSquare wrapText="bothSides"/>
              <wp:docPr id="4" name="Text Box 4" descr="[IN-CONFIDEN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330200"/>
                      </a:xfrm>
                      <a:prstGeom prst="rect">
                        <a:avLst/>
                      </a:prstGeom>
                      <a:noFill/>
                      <a:ln>
                        <a:noFill/>
                      </a:ln>
                    </wps:spPr>
                    <wps:txbx>
                      <w:txbxContent>
                        <w:p w14:paraId="71A0D74D" w14:textId="4FC86936" w:rsidR="00A52A00" w:rsidRPr="00F802B4" w:rsidRDefault="00A52A00" w:rsidP="00D10DE4">
                          <w:pPr>
                            <w:rPr>
                              <w:rFonts w:eastAsia="Calibri" w:cs="Calibri"/>
                              <w:color w:val="000000"/>
                              <w:sz w:val="18"/>
                              <w:szCs w:val="18"/>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327A2E4" id="_x0000_t202" coordsize="21600,21600" o:spt="202" path="m,l,21600r21600,l21600,xe">
              <v:stroke joinstyle="miter"/>
              <v:path gradientshapeok="t" o:connecttype="rect"/>
            </v:shapetype>
            <v:shape id="Text Box 4" o:spid="_x0000_s1026" type="#_x0000_t202" alt="[IN-CONFIDENCE]" style="position:absolute;left:0;text-align:left;margin-left:0;margin-top:.05pt;width:5.3pt;height:26pt;z-index:251658241;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" filled="f" stroked="f">
              <v:textbox style="mso-fit-shape-to-text:t" inset="0,0,0,0">
                <w:txbxContent>
                  <w:p w14:paraId="71A0D74D" w14:textId="4FC86936" w:rsidR="00A52A00" w:rsidRPr="00F802B4" w:rsidRDefault="00A52A00" w:rsidP="00D10DE4">
                    <w:pPr>
                      <w:rPr>
                        <w:rFonts w:eastAsia="Calibri" w:cs="Calibri"/>
                        <w:color w:val="000000"/>
                        <w:sz w:val="18"/>
                        <w:szCs w:val="18"/>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B20F1" w14:textId="1ECC0124" w:rsidR="00A52A00" w:rsidRDefault="00A52A00" w:rsidP="005624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B57BD"/>
    <w:multiLevelType w:val="hybridMultilevel"/>
    <w:tmpl w:val="A3A8FC18"/>
    <w:lvl w:ilvl="0" w:tplc="DB54B6B0">
      <w:start w:val="1"/>
      <w:numFmt w:val="decimal"/>
      <w:lvlText w:val="(%1)"/>
      <w:lvlJc w:val="left"/>
      <w:pPr>
        <w:ind w:left="360" w:hanging="360"/>
      </w:pPr>
      <w:rPr>
        <w:rFonts w:hint="default"/>
        <w:b w:val="0"/>
        <w:bCs/>
      </w:rPr>
    </w:lvl>
    <w:lvl w:ilvl="1" w:tplc="FFFFFFFF">
      <w:start w:val="1"/>
      <w:numFmt w:val="decimal"/>
      <w:lvlText w:val="(%2)"/>
      <w:lvlJc w:val="left"/>
      <w:pPr>
        <w:ind w:left="1495" w:hanging="360"/>
      </w:pPr>
      <w:rPr>
        <w:rFonts w:hint="default"/>
        <w:b w:val="0"/>
        <w:bCs/>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9"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161670F"/>
    <w:multiLevelType w:val="hybridMultilevel"/>
    <w:tmpl w:val="931287A0"/>
    <w:lvl w:ilvl="0" w:tplc="22522608">
      <w:numFmt w:val="none"/>
      <w:pStyle w:val="Questionnumber"/>
      <w:lvlText w:val=""/>
      <w:lvlJc w:val="left"/>
      <w:pPr>
        <w:tabs>
          <w:tab w:val="num" w:pos="360"/>
        </w:tabs>
      </w:pPr>
    </w:lvl>
    <w:lvl w:ilvl="1" w:tplc="14090019">
      <w:numFmt w:val="decimal"/>
      <w:lvlText w:val=""/>
      <w:lvlJc w:val="left"/>
    </w:lvl>
    <w:lvl w:ilvl="2" w:tplc="1409001B">
      <w:numFmt w:val="decimal"/>
      <w:lvlText w:val=""/>
      <w:lvlJc w:val="left"/>
    </w:lvl>
    <w:lvl w:ilvl="3" w:tplc="1409000F">
      <w:numFmt w:val="decimal"/>
      <w:lvlText w:val=""/>
      <w:lvlJc w:val="left"/>
    </w:lvl>
    <w:lvl w:ilvl="4" w:tplc="14090019">
      <w:numFmt w:val="decimal"/>
      <w:lvlText w:val=""/>
      <w:lvlJc w:val="left"/>
    </w:lvl>
    <w:lvl w:ilvl="5" w:tplc="1409001B">
      <w:numFmt w:val="decimal"/>
      <w:lvlText w:val=""/>
      <w:lvlJc w:val="left"/>
    </w:lvl>
    <w:lvl w:ilvl="6" w:tplc="1409000F">
      <w:numFmt w:val="decimal"/>
      <w:lvlText w:val=""/>
      <w:lvlJc w:val="left"/>
    </w:lvl>
    <w:lvl w:ilvl="7" w:tplc="14090019">
      <w:numFmt w:val="decimal"/>
      <w:lvlText w:val=""/>
      <w:lvlJc w:val="left"/>
      <w:rPr>
        <w:rFonts w:ascii="Times New Roman" w:hAnsi="Times New Roman" w:cs="Arial" w:hint="default"/>
        <w:b w:val="0"/>
        <w:i w:val="0"/>
        <w:sz w:val="22"/>
        <w:szCs w:val="22"/>
      </w:rPr>
    </w:lvl>
    <w:lvl w:ilvl="8" w:tplc="1409001B">
      <w:numFmt w:val="none"/>
      <w:lvlText w:val=""/>
      <w:lvlJc w:val="left"/>
      <w:pPr>
        <w:tabs>
          <w:tab w:val="num" w:pos="360"/>
        </w:tabs>
      </w:pPr>
    </w:lvl>
  </w:abstractNum>
  <w:abstractNum w:abstractNumId="11" w15:restartNumberingAfterBreak="0">
    <w:nsid w:val="41EF3855"/>
    <w:multiLevelType w:val="hybridMultilevel"/>
    <w:tmpl w:val="871CABD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FA4068"/>
    <w:multiLevelType w:val="hybridMultilevel"/>
    <w:tmpl w:val="11DCA04C"/>
    <w:lvl w:ilvl="0" w:tplc="1409000F">
      <w:start w:val="1"/>
      <w:numFmt w:val="decimal"/>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1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6" w15:restartNumberingAfterBreak="0">
    <w:nsid w:val="497A09BF"/>
    <w:multiLevelType w:val="hybridMultilevel"/>
    <w:tmpl w:val="33EC38C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4C924D7E"/>
    <w:multiLevelType w:val="hybridMultilevel"/>
    <w:tmpl w:val="4E4E678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52F259AE"/>
    <w:multiLevelType w:val="hybridMultilevel"/>
    <w:tmpl w:val="62E68C7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0" w15:restartNumberingAfterBreak="0">
    <w:nsid w:val="5FD65D98"/>
    <w:multiLevelType w:val="hybridMultilevel"/>
    <w:tmpl w:val="48FEC83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6212205D"/>
    <w:multiLevelType w:val="hybridMultilevel"/>
    <w:tmpl w:val="6E5ADD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68A26DD8"/>
    <w:multiLevelType w:val="hybridMultilevel"/>
    <w:tmpl w:val="E9D8B856"/>
    <w:styleLink w:val="Recommendations"/>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262A57"/>
    <w:multiLevelType w:val="hybridMultilevel"/>
    <w:tmpl w:val="EC087DE6"/>
    <w:lvl w:ilvl="0" w:tplc="88768100">
      <w:start w:val="1"/>
      <w:numFmt w:val="lowerLetter"/>
      <w:pStyle w:val="BodyText-Numbered"/>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826706802">
    <w:abstractNumId w:val="8"/>
  </w:num>
  <w:num w:numId="2" w16cid:durableId="1925600914">
    <w:abstractNumId w:val="19"/>
  </w:num>
  <w:num w:numId="3" w16cid:durableId="1479804006">
    <w:abstractNumId w:val="12"/>
  </w:num>
  <w:num w:numId="4" w16cid:durableId="222444572">
    <w:abstractNumId w:val="7"/>
  </w:num>
  <w:num w:numId="5" w16cid:durableId="1120949922">
    <w:abstractNumId w:val="4"/>
  </w:num>
  <w:num w:numId="6" w16cid:durableId="564141388">
    <w:abstractNumId w:val="15"/>
  </w:num>
  <w:num w:numId="7" w16cid:durableId="683554793">
    <w:abstractNumId w:val="13"/>
  </w:num>
  <w:num w:numId="8" w16cid:durableId="1475827738">
    <w:abstractNumId w:val="25"/>
  </w:num>
  <w:num w:numId="9" w16cid:durableId="21084282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79545819">
    <w:abstractNumId w:val="6"/>
  </w:num>
  <w:num w:numId="11" w16cid:durableId="13698238">
    <w:abstractNumId w:val="23"/>
  </w:num>
  <w:num w:numId="12" w16cid:durableId="882592611">
    <w:abstractNumId w:val="2"/>
  </w:num>
  <w:num w:numId="13" w16cid:durableId="1540969815">
    <w:abstractNumId w:val="5"/>
  </w:num>
  <w:num w:numId="14" w16cid:durableId="890769900">
    <w:abstractNumId w:val="9"/>
  </w:num>
  <w:num w:numId="15" w16cid:durableId="40447972">
    <w:abstractNumId w:val="3"/>
  </w:num>
  <w:num w:numId="16" w16cid:durableId="668023818">
    <w:abstractNumId w:val="24"/>
  </w:num>
  <w:num w:numId="17" w16cid:durableId="820197314">
    <w:abstractNumId w:val="0"/>
  </w:num>
  <w:num w:numId="18" w16cid:durableId="1579637471">
    <w:abstractNumId w:val="10"/>
  </w:num>
  <w:num w:numId="19" w16cid:durableId="1063022318">
    <w:abstractNumId w:val="22"/>
  </w:num>
  <w:num w:numId="20" w16cid:durableId="17124616">
    <w:abstractNumId w:val="20"/>
  </w:num>
  <w:num w:numId="21" w16cid:durableId="379324092">
    <w:abstractNumId w:val="21"/>
  </w:num>
  <w:num w:numId="22" w16cid:durableId="1423332704">
    <w:abstractNumId w:val="26"/>
  </w:num>
  <w:num w:numId="23" w16cid:durableId="1660618034">
    <w:abstractNumId w:val="11"/>
  </w:num>
  <w:num w:numId="24" w16cid:durableId="485899516">
    <w:abstractNumId w:val="18"/>
  </w:num>
  <w:num w:numId="25" w16cid:durableId="1172767175">
    <w:abstractNumId w:val="14"/>
  </w:num>
  <w:num w:numId="26" w16cid:durableId="934174488">
    <w:abstractNumId w:val="16"/>
  </w:num>
  <w:num w:numId="27" w16cid:durableId="1214611147">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DateAndTime/>
  <w:proofState w:spelling="clean" w:grammar="clean"/>
  <w:attachedTemplate r:id="rId1"/>
  <w:stylePaneSortMethod w:val="0000"/>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DAB"/>
    <w:rsid w:val="00000792"/>
    <w:rsid w:val="00000F04"/>
    <w:rsid w:val="00003C4F"/>
    <w:rsid w:val="00004751"/>
    <w:rsid w:val="00004E0A"/>
    <w:rsid w:val="00004FD3"/>
    <w:rsid w:val="00006181"/>
    <w:rsid w:val="00006371"/>
    <w:rsid w:val="00006DF5"/>
    <w:rsid w:val="00006F95"/>
    <w:rsid w:val="00007023"/>
    <w:rsid w:val="0000709F"/>
    <w:rsid w:val="000071D6"/>
    <w:rsid w:val="00007F2D"/>
    <w:rsid w:val="00007FAC"/>
    <w:rsid w:val="00010760"/>
    <w:rsid w:val="00010A9C"/>
    <w:rsid w:val="00010ABA"/>
    <w:rsid w:val="00010E15"/>
    <w:rsid w:val="00010F57"/>
    <w:rsid w:val="0001100C"/>
    <w:rsid w:val="00011188"/>
    <w:rsid w:val="000120BD"/>
    <w:rsid w:val="00012555"/>
    <w:rsid w:val="00014236"/>
    <w:rsid w:val="000148F6"/>
    <w:rsid w:val="00015217"/>
    <w:rsid w:val="000159D2"/>
    <w:rsid w:val="00016264"/>
    <w:rsid w:val="00016993"/>
    <w:rsid w:val="00016CAB"/>
    <w:rsid w:val="00016E5B"/>
    <w:rsid w:val="0001749B"/>
    <w:rsid w:val="00017D75"/>
    <w:rsid w:val="00017FE5"/>
    <w:rsid w:val="00017FE8"/>
    <w:rsid w:val="00021910"/>
    <w:rsid w:val="00022A0B"/>
    <w:rsid w:val="00022AC2"/>
    <w:rsid w:val="00022E8D"/>
    <w:rsid w:val="0002348A"/>
    <w:rsid w:val="000235B5"/>
    <w:rsid w:val="00023B9C"/>
    <w:rsid w:val="00023BDA"/>
    <w:rsid w:val="00024708"/>
    <w:rsid w:val="00024EE7"/>
    <w:rsid w:val="00025F96"/>
    <w:rsid w:val="00025FAB"/>
    <w:rsid w:val="00026E89"/>
    <w:rsid w:val="000275A3"/>
    <w:rsid w:val="0002793E"/>
    <w:rsid w:val="00030558"/>
    <w:rsid w:val="00030699"/>
    <w:rsid w:val="00030725"/>
    <w:rsid w:val="00030DB8"/>
    <w:rsid w:val="00031A83"/>
    <w:rsid w:val="0003213A"/>
    <w:rsid w:val="00032A81"/>
    <w:rsid w:val="000335DD"/>
    <w:rsid w:val="000340D8"/>
    <w:rsid w:val="0003427D"/>
    <w:rsid w:val="00034DFA"/>
    <w:rsid w:val="000357ED"/>
    <w:rsid w:val="00035E15"/>
    <w:rsid w:val="0003640E"/>
    <w:rsid w:val="0003688A"/>
    <w:rsid w:val="000368FC"/>
    <w:rsid w:val="00036A0D"/>
    <w:rsid w:val="00036DA3"/>
    <w:rsid w:val="000379BF"/>
    <w:rsid w:val="00037BEC"/>
    <w:rsid w:val="000400D9"/>
    <w:rsid w:val="0004035C"/>
    <w:rsid w:val="0004083D"/>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4985"/>
    <w:rsid w:val="00055375"/>
    <w:rsid w:val="00056319"/>
    <w:rsid w:val="000564E7"/>
    <w:rsid w:val="00056770"/>
    <w:rsid w:val="00057386"/>
    <w:rsid w:val="000579E5"/>
    <w:rsid w:val="00057D4D"/>
    <w:rsid w:val="00057EEF"/>
    <w:rsid w:val="00060C32"/>
    <w:rsid w:val="000619CB"/>
    <w:rsid w:val="00061D8D"/>
    <w:rsid w:val="00062387"/>
    <w:rsid w:val="000640F0"/>
    <w:rsid w:val="0006434D"/>
    <w:rsid w:val="000643A1"/>
    <w:rsid w:val="00064679"/>
    <w:rsid w:val="00064A13"/>
    <w:rsid w:val="00064AF4"/>
    <w:rsid w:val="00064D17"/>
    <w:rsid w:val="00064DB1"/>
    <w:rsid w:val="00065BA3"/>
    <w:rsid w:val="00065D3B"/>
    <w:rsid w:val="00066653"/>
    <w:rsid w:val="000667E9"/>
    <w:rsid w:val="0006690F"/>
    <w:rsid w:val="00067128"/>
    <w:rsid w:val="000675CD"/>
    <w:rsid w:val="00067872"/>
    <w:rsid w:val="000678AC"/>
    <w:rsid w:val="000703B2"/>
    <w:rsid w:val="00070FBF"/>
    <w:rsid w:val="000711D8"/>
    <w:rsid w:val="000711EE"/>
    <w:rsid w:val="000716B2"/>
    <w:rsid w:val="0007180E"/>
    <w:rsid w:val="00071AE4"/>
    <w:rsid w:val="00071CB5"/>
    <w:rsid w:val="00071CCB"/>
    <w:rsid w:val="00071D03"/>
    <w:rsid w:val="0007232B"/>
    <w:rsid w:val="000735A2"/>
    <w:rsid w:val="0007517E"/>
    <w:rsid w:val="000756E1"/>
    <w:rsid w:val="00075FE1"/>
    <w:rsid w:val="00076278"/>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29D6"/>
    <w:rsid w:val="000935D4"/>
    <w:rsid w:val="0009370B"/>
    <w:rsid w:val="00094344"/>
    <w:rsid w:val="000953C6"/>
    <w:rsid w:val="000953F4"/>
    <w:rsid w:val="0009590C"/>
    <w:rsid w:val="000959E7"/>
    <w:rsid w:val="00095C45"/>
    <w:rsid w:val="00095E7D"/>
    <w:rsid w:val="000964DE"/>
    <w:rsid w:val="0009689F"/>
    <w:rsid w:val="000972AB"/>
    <w:rsid w:val="00097B40"/>
    <w:rsid w:val="00097D0E"/>
    <w:rsid w:val="000A09F8"/>
    <w:rsid w:val="000A0E13"/>
    <w:rsid w:val="000A109B"/>
    <w:rsid w:val="000A12E9"/>
    <w:rsid w:val="000A17EA"/>
    <w:rsid w:val="000A1C7A"/>
    <w:rsid w:val="000A2345"/>
    <w:rsid w:val="000A2394"/>
    <w:rsid w:val="000A25BD"/>
    <w:rsid w:val="000A294B"/>
    <w:rsid w:val="000A31C1"/>
    <w:rsid w:val="000A32C5"/>
    <w:rsid w:val="000A3411"/>
    <w:rsid w:val="000A34CA"/>
    <w:rsid w:val="000A4021"/>
    <w:rsid w:val="000A426F"/>
    <w:rsid w:val="000A4559"/>
    <w:rsid w:val="000A45FD"/>
    <w:rsid w:val="000A477B"/>
    <w:rsid w:val="000A558D"/>
    <w:rsid w:val="000A5611"/>
    <w:rsid w:val="000A563C"/>
    <w:rsid w:val="000A59C5"/>
    <w:rsid w:val="000A5DEA"/>
    <w:rsid w:val="000A5EBD"/>
    <w:rsid w:val="000A7658"/>
    <w:rsid w:val="000A7F0F"/>
    <w:rsid w:val="000A7F4C"/>
    <w:rsid w:val="000B0101"/>
    <w:rsid w:val="000B02BC"/>
    <w:rsid w:val="000B0469"/>
    <w:rsid w:val="000B0498"/>
    <w:rsid w:val="000B0F36"/>
    <w:rsid w:val="000B1145"/>
    <w:rsid w:val="000B1942"/>
    <w:rsid w:val="000B1BED"/>
    <w:rsid w:val="000B2240"/>
    <w:rsid w:val="000B2477"/>
    <w:rsid w:val="000B2600"/>
    <w:rsid w:val="000B36F9"/>
    <w:rsid w:val="000B4074"/>
    <w:rsid w:val="000B4732"/>
    <w:rsid w:val="000B4BCD"/>
    <w:rsid w:val="000B66DC"/>
    <w:rsid w:val="000B6D1F"/>
    <w:rsid w:val="000C062F"/>
    <w:rsid w:val="000C136A"/>
    <w:rsid w:val="000C17E7"/>
    <w:rsid w:val="000C3270"/>
    <w:rsid w:val="000C41EE"/>
    <w:rsid w:val="000C4BAF"/>
    <w:rsid w:val="000C577E"/>
    <w:rsid w:val="000D04BA"/>
    <w:rsid w:val="000D0B6E"/>
    <w:rsid w:val="000D0D65"/>
    <w:rsid w:val="000D12E0"/>
    <w:rsid w:val="000D18DB"/>
    <w:rsid w:val="000D1944"/>
    <w:rsid w:val="000D1DD9"/>
    <w:rsid w:val="000D2172"/>
    <w:rsid w:val="000D293C"/>
    <w:rsid w:val="000D2BC1"/>
    <w:rsid w:val="000D337B"/>
    <w:rsid w:val="000D385A"/>
    <w:rsid w:val="000D38C2"/>
    <w:rsid w:val="000D3CA7"/>
    <w:rsid w:val="000D3DBC"/>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662"/>
    <w:rsid w:val="000E58B3"/>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809"/>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AEF"/>
    <w:rsid w:val="000F7E25"/>
    <w:rsid w:val="001007EE"/>
    <w:rsid w:val="00100F76"/>
    <w:rsid w:val="00101366"/>
    <w:rsid w:val="0010148E"/>
    <w:rsid w:val="0010253C"/>
    <w:rsid w:val="00102560"/>
    <w:rsid w:val="00102BD1"/>
    <w:rsid w:val="0010486A"/>
    <w:rsid w:val="0010561C"/>
    <w:rsid w:val="00105C0F"/>
    <w:rsid w:val="00105E39"/>
    <w:rsid w:val="00105EDD"/>
    <w:rsid w:val="00106561"/>
    <w:rsid w:val="00106D63"/>
    <w:rsid w:val="00106F9D"/>
    <w:rsid w:val="001075F3"/>
    <w:rsid w:val="00107A01"/>
    <w:rsid w:val="00107C23"/>
    <w:rsid w:val="00107DE3"/>
    <w:rsid w:val="00110307"/>
    <w:rsid w:val="00110C7F"/>
    <w:rsid w:val="00110EE2"/>
    <w:rsid w:val="00111A88"/>
    <w:rsid w:val="0011221A"/>
    <w:rsid w:val="00113283"/>
    <w:rsid w:val="001137AE"/>
    <w:rsid w:val="00113B20"/>
    <w:rsid w:val="0011443E"/>
    <w:rsid w:val="001144DD"/>
    <w:rsid w:val="001147B3"/>
    <w:rsid w:val="001148F7"/>
    <w:rsid w:val="001149B2"/>
    <w:rsid w:val="00114C2D"/>
    <w:rsid w:val="00115125"/>
    <w:rsid w:val="001152F2"/>
    <w:rsid w:val="001157D7"/>
    <w:rsid w:val="00116382"/>
    <w:rsid w:val="00116484"/>
    <w:rsid w:val="00116ACF"/>
    <w:rsid w:val="00116D5C"/>
    <w:rsid w:val="001172B2"/>
    <w:rsid w:val="00117F9B"/>
    <w:rsid w:val="00120367"/>
    <w:rsid w:val="00121211"/>
    <w:rsid w:val="001214D2"/>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0ECE"/>
    <w:rsid w:val="001310BF"/>
    <w:rsid w:val="00131B2A"/>
    <w:rsid w:val="00133DB8"/>
    <w:rsid w:val="00133E73"/>
    <w:rsid w:val="00133FDB"/>
    <w:rsid w:val="00134F4A"/>
    <w:rsid w:val="00135E4E"/>
    <w:rsid w:val="00136246"/>
    <w:rsid w:val="001364D4"/>
    <w:rsid w:val="001371C8"/>
    <w:rsid w:val="001372ED"/>
    <w:rsid w:val="0014058F"/>
    <w:rsid w:val="00140FEF"/>
    <w:rsid w:val="00141E17"/>
    <w:rsid w:val="00142B50"/>
    <w:rsid w:val="00143873"/>
    <w:rsid w:val="001439E9"/>
    <w:rsid w:val="00143C55"/>
    <w:rsid w:val="00144B9E"/>
    <w:rsid w:val="00144C6F"/>
    <w:rsid w:val="00145089"/>
    <w:rsid w:val="001451E7"/>
    <w:rsid w:val="001462E3"/>
    <w:rsid w:val="0014692F"/>
    <w:rsid w:val="0014720C"/>
    <w:rsid w:val="001472C2"/>
    <w:rsid w:val="00147458"/>
    <w:rsid w:val="00147E21"/>
    <w:rsid w:val="00150BA8"/>
    <w:rsid w:val="00150D19"/>
    <w:rsid w:val="0015181B"/>
    <w:rsid w:val="00151A9F"/>
    <w:rsid w:val="00152B87"/>
    <w:rsid w:val="00153A96"/>
    <w:rsid w:val="00153D1C"/>
    <w:rsid w:val="00153EEC"/>
    <w:rsid w:val="001543E2"/>
    <w:rsid w:val="00154E6A"/>
    <w:rsid w:val="00155B43"/>
    <w:rsid w:val="001565A2"/>
    <w:rsid w:val="001567C3"/>
    <w:rsid w:val="00156A12"/>
    <w:rsid w:val="001578B6"/>
    <w:rsid w:val="00157B3F"/>
    <w:rsid w:val="00157F8A"/>
    <w:rsid w:val="00160C3D"/>
    <w:rsid w:val="00161692"/>
    <w:rsid w:val="00161B24"/>
    <w:rsid w:val="00161C41"/>
    <w:rsid w:val="00161DD5"/>
    <w:rsid w:val="001633A4"/>
    <w:rsid w:val="001634D6"/>
    <w:rsid w:val="001648DD"/>
    <w:rsid w:val="00165705"/>
    <w:rsid w:val="00166389"/>
    <w:rsid w:val="00166E03"/>
    <w:rsid w:val="00167750"/>
    <w:rsid w:val="00167E4C"/>
    <w:rsid w:val="00171449"/>
    <w:rsid w:val="0017199C"/>
    <w:rsid w:val="00171C7E"/>
    <w:rsid w:val="00171EEC"/>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17E0"/>
    <w:rsid w:val="00181C38"/>
    <w:rsid w:val="001820A3"/>
    <w:rsid w:val="001825F3"/>
    <w:rsid w:val="0018311F"/>
    <w:rsid w:val="0018332A"/>
    <w:rsid w:val="00183D80"/>
    <w:rsid w:val="001842C8"/>
    <w:rsid w:val="001844E8"/>
    <w:rsid w:val="00185044"/>
    <w:rsid w:val="001850DB"/>
    <w:rsid w:val="0018599C"/>
    <w:rsid w:val="001869EE"/>
    <w:rsid w:val="00186D00"/>
    <w:rsid w:val="0018743A"/>
    <w:rsid w:val="00187EF1"/>
    <w:rsid w:val="0019019D"/>
    <w:rsid w:val="00190A57"/>
    <w:rsid w:val="00190B3F"/>
    <w:rsid w:val="0019122C"/>
    <w:rsid w:val="00191908"/>
    <w:rsid w:val="00191946"/>
    <w:rsid w:val="0019214C"/>
    <w:rsid w:val="00192DF3"/>
    <w:rsid w:val="0019301F"/>
    <w:rsid w:val="00193286"/>
    <w:rsid w:val="0019344D"/>
    <w:rsid w:val="001937B8"/>
    <w:rsid w:val="00194BB7"/>
    <w:rsid w:val="00194CC5"/>
    <w:rsid w:val="001951B2"/>
    <w:rsid w:val="0019565D"/>
    <w:rsid w:val="001966D8"/>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5F43"/>
    <w:rsid w:val="001D653A"/>
    <w:rsid w:val="001D7CB9"/>
    <w:rsid w:val="001D7DEE"/>
    <w:rsid w:val="001E016A"/>
    <w:rsid w:val="001E02CB"/>
    <w:rsid w:val="001E127D"/>
    <w:rsid w:val="001E14FD"/>
    <w:rsid w:val="001E180F"/>
    <w:rsid w:val="001E1C64"/>
    <w:rsid w:val="001E1CEC"/>
    <w:rsid w:val="001E2ECB"/>
    <w:rsid w:val="001E4B64"/>
    <w:rsid w:val="001E552A"/>
    <w:rsid w:val="001E57B9"/>
    <w:rsid w:val="001E6E8D"/>
    <w:rsid w:val="001E7EE4"/>
    <w:rsid w:val="001E7F76"/>
    <w:rsid w:val="001F0373"/>
    <w:rsid w:val="001F0A27"/>
    <w:rsid w:val="001F0FAF"/>
    <w:rsid w:val="001F139F"/>
    <w:rsid w:val="001F2805"/>
    <w:rsid w:val="001F2E79"/>
    <w:rsid w:val="001F2F07"/>
    <w:rsid w:val="001F3123"/>
    <w:rsid w:val="001F376D"/>
    <w:rsid w:val="001F418C"/>
    <w:rsid w:val="001F4B2D"/>
    <w:rsid w:val="001F4F40"/>
    <w:rsid w:val="001F50E0"/>
    <w:rsid w:val="001F594C"/>
    <w:rsid w:val="001F5F8A"/>
    <w:rsid w:val="001F69FC"/>
    <w:rsid w:val="001F6D62"/>
    <w:rsid w:val="001F7675"/>
    <w:rsid w:val="00200FAE"/>
    <w:rsid w:val="0020102D"/>
    <w:rsid w:val="002010E2"/>
    <w:rsid w:val="002012CF"/>
    <w:rsid w:val="00201B73"/>
    <w:rsid w:val="00202517"/>
    <w:rsid w:val="00202ADB"/>
    <w:rsid w:val="00202BB7"/>
    <w:rsid w:val="002035FE"/>
    <w:rsid w:val="0020435B"/>
    <w:rsid w:val="0020452D"/>
    <w:rsid w:val="00204533"/>
    <w:rsid w:val="00204F2D"/>
    <w:rsid w:val="00205566"/>
    <w:rsid w:val="002063AA"/>
    <w:rsid w:val="00210549"/>
    <w:rsid w:val="0021069E"/>
    <w:rsid w:val="00210804"/>
    <w:rsid w:val="0021088F"/>
    <w:rsid w:val="002113FE"/>
    <w:rsid w:val="00211737"/>
    <w:rsid w:val="0021181B"/>
    <w:rsid w:val="0021230F"/>
    <w:rsid w:val="002125B0"/>
    <w:rsid w:val="002125F6"/>
    <w:rsid w:val="0021280D"/>
    <w:rsid w:val="00212A82"/>
    <w:rsid w:val="002145CA"/>
    <w:rsid w:val="00214EA2"/>
    <w:rsid w:val="002160FA"/>
    <w:rsid w:val="0021669E"/>
    <w:rsid w:val="002166DD"/>
    <w:rsid w:val="002168A2"/>
    <w:rsid w:val="0021701D"/>
    <w:rsid w:val="00217867"/>
    <w:rsid w:val="0022028C"/>
    <w:rsid w:val="002205E4"/>
    <w:rsid w:val="00220D67"/>
    <w:rsid w:val="002215F8"/>
    <w:rsid w:val="00221DB7"/>
    <w:rsid w:val="00221F80"/>
    <w:rsid w:val="00222736"/>
    <w:rsid w:val="0022273A"/>
    <w:rsid w:val="00222D28"/>
    <w:rsid w:val="00223546"/>
    <w:rsid w:val="00223CF4"/>
    <w:rsid w:val="00224220"/>
    <w:rsid w:val="00224398"/>
    <w:rsid w:val="00224A81"/>
    <w:rsid w:val="00224BE0"/>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002"/>
    <w:rsid w:val="002356F4"/>
    <w:rsid w:val="00235C5B"/>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5F8B"/>
    <w:rsid w:val="00246EAE"/>
    <w:rsid w:val="00247116"/>
    <w:rsid w:val="002471E5"/>
    <w:rsid w:val="00250F2F"/>
    <w:rsid w:val="002517A8"/>
    <w:rsid w:val="00251920"/>
    <w:rsid w:val="00251E32"/>
    <w:rsid w:val="00251EEE"/>
    <w:rsid w:val="00252238"/>
    <w:rsid w:val="00253177"/>
    <w:rsid w:val="002538B8"/>
    <w:rsid w:val="0025396F"/>
    <w:rsid w:val="00253DD9"/>
    <w:rsid w:val="00254319"/>
    <w:rsid w:val="00255135"/>
    <w:rsid w:val="0025539F"/>
    <w:rsid w:val="00256091"/>
    <w:rsid w:val="00256388"/>
    <w:rsid w:val="00256E44"/>
    <w:rsid w:val="00257E3D"/>
    <w:rsid w:val="00260919"/>
    <w:rsid w:val="002612FD"/>
    <w:rsid w:val="002613DC"/>
    <w:rsid w:val="00261755"/>
    <w:rsid w:val="00261AAA"/>
    <w:rsid w:val="00262097"/>
    <w:rsid w:val="00262D20"/>
    <w:rsid w:val="002634AB"/>
    <w:rsid w:val="002638E0"/>
    <w:rsid w:val="00263C19"/>
    <w:rsid w:val="00263E9F"/>
    <w:rsid w:val="00264F03"/>
    <w:rsid w:val="00264F8F"/>
    <w:rsid w:val="00265198"/>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8F7"/>
    <w:rsid w:val="00274A67"/>
    <w:rsid w:val="00274AA2"/>
    <w:rsid w:val="002756EF"/>
    <w:rsid w:val="00275708"/>
    <w:rsid w:val="002768CF"/>
    <w:rsid w:val="00276F82"/>
    <w:rsid w:val="002805DF"/>
    <w:rsid w:val="0028092D"/>
    <w:rsid w:val="0028150C"/>
    <w:rsid w:val="002815D9"/>
    <w:rsid w:val="00282317"/>
    <w:rsid w:val="002826B4"/>
    <w:rsid w:val="00282D25"/>
    <w:rsid w:val="00282DF9"/>
    <w:rsid w:val="00283A44"/>
    <w:rsid w:val="0028529F"/>
    <w:rsid w:val="00285687"/>
    <w:rsid w:val="00287649"/>
    <w:rsid w:val="00287836"/>
    <w:rsid w:val="00287A6A"/>
    <w:rsid w:val="00287DAB"/>
    <w:rsid w:val="00287FB6"/>
    <w:rsid w:val="002900C5"/>
    <w:rsid w:val="002901E0"/>
    <w:rsid w:val="0029075B"/>
    <w:rsid w:val="00290BB1"/>
    <w:rsid w:val="00291BC1"/>
    <w:rsid w:val="002933CA"/>
    <w:rsid w:val="00293A8F"/>
    <w:rsid w:val="00294F4B"/>
    <w:rsid w:val="00295155"/>
    <w:rsid w:val="002952CB"/>
    <w:rsid w:val="00295D51"/>
    <w:rsid w:val="00296203"/>
    <w:rsid w:val="00296428"/>
    <w:rsid w:val="0029643D"/>
    <w:rsid w:val="0029706A"/>
    <w:rsid w:val="002972EE"/>
    <w:rsid w:val="00297F01"/>
    <w:rsid w:val="002A052D"/>
    <w:rsid w:val="002A0DF8"/>
    <w:rsid w:val="002A15D1"/>
    <w:rsid w:val="002A1928"/>
    <w:rsid w:val="002A1F1F"/>
    <w:rsid w:val="002A21B5"/>
    <w:rsid w:val="002A2631"/>
    <w:rsid w:val="002A2A0C"/>
    <w:rsid w:val="002A2BB6"/>
    <w:rsid w:val="002A30E0"/>
    <w:rsid w:val="002A310C"/>
    <w:rsid w:val="002A3521"/>
    <w:rsid w:val="002A35C5"/>
    <w:rsid w:val="002A37E1"/>
    <w:rsid w:val="002A3B61"/>
    <w:rsid w:val="002A3D11"/>
    <w:rsid w:val="002A402A"/>
    <w:rsid w:val="002A45AA"/>
    <w:rsid w:val="002A4B0B"/>
    <w:rsid w:val="002A4B6F"/>
    <w:rsid w:val="002A4ED3"/>
    <w:rsid w:val="002A4FFF"/>
    <w:rsid w:val="002A52BD"/>
    <w:rsid w:val="002A533C"/>
    <w:rsid w:val="002A56E1"/>
    <w:rsid w:val="002A59BD"/>
    <w:rsid w:val="002A75CA"/>
    <w:rsid w:val="002A7889"/>
    <w:rsid w:val="002A799A"/>
    <w:rsid w:val="002B097D"/>
    <w:rsid w:val="002B11B2"/>
    <w:rsid w:val="002B18F7"/>
    <w:rsid w:val="002B3ED7"/>
    <w:rsid w:val="002B4778"/>
    <w:rsid w:val="002B59CF"/>
    <w:rsid w:val="002B5B8C"/>
    <w:rsid w:val="002B75B2"/>
    <w:rsid w:val="002B79B7"/>
    <w:rsid w:val="002C141D"/>
    <w:rsid w:val="002C19C0"/>
    <w:rsid w:val="002C2485"/>
    <w:rsid w:val="002C25E0"/>
    <w:rsid w:val="002C2A2D"/>
    <w:rsid w:val="002C36C0"/>
    <w:rsid w:val="002C3928"/>
    <w:rsid w:val="002C3B33"/>
    <w:rsid w:val="002C435E"/>
    <w:rsid w:val="002C437C"/>
    <w:rsid w:val="002C43BB"/>
    <w:rsid w:val="002C44AB"/>
    <w:rsid w:val="002C4E16"/>
    <w:rsid w:val="002C5E39"/>
    <w:rsid w:val="002C5FA2"/>
    <w:rsid w:val="002C7A02"/>
    <w:rsid w:val="002C7BD4"/>
    <w:rsid w:val="002D0107"/>
    <w:rsid w:val="002D062E"/>
    <w:rsid w:val="002D0D43"/>
    <w:rsid w:val="002D15C2"/>
    <w:rsid w:val="002D2B10"/>
    <w:rsid w:val="002D2B5D"/>
    <w:rsid w:val="002D386A"/>
    <w:rsid w:val="002D4100"/>
    <w:rsid w:val="002D477F"/>
    <w:rsid w:val="002D493F"/>
    <w:rsid w:val="002D4CF5"/>
    <w:rsid w:val="002D4F48"/>
    <w:rsid w:val="002D519B"/>
    <w:rsid w:val="002D621E"/>
    <w:rsid w:val="002D667B"/>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ABF"/>
    <w:rsid w:val="002E4D08"/>
    <w:rsid w:val="002E4DA5"/>
    <w:rsid w:val="002E4F1C"/>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6FC"/>
    <w:rsid w:val="00301D0A"/>
    <w:rsid w:val="00301FEE"/>
    <w:rsid w:val="003027B8"/>
    <w:rsid w:val="0030293F"/>
    <w:rsid w:val="00302947"/>
    <w:rsid w:val="00302C50"/>
    <w:rsid w:val="003031C2"/>
    <w:rsid w:val="00303861"/>
    <w:rsid w:val="00304FFF"/>
    <w:rsid w:val="00305557"/>
    <w:rsid w:val="0030561F"/>
    <w:rsid w:val="00305CA3"/>
    <w:rsid w:val="00306E5C"/>
    <w:rsid w:val="00307C19"/>
    <w:rsid w:val="00310732"/>
    <w:rsid w:val="00310A4E"/>
    <w:rsid w:val="00310BC9"/>
    <w:rsid w:val="0031150A"/>
    <w:rsid w:val="00311762"/>
    <w:rsid w:val="00311E98"/>
    <w:rsid w:val="00312215"/>
    <w:rsid w:val="00312451"/>
    <w:rsid w:val="0031249C"/>
    <w:rsid w:val="003125C3"/>
    <w:rsid w:val="00312896"/>
    <w:rsid w:val="00313139"/>
    <w:rsid w:val="00313B34"/>
    <w:rsid w:val="00313EAC"/>
    <w:rsid w:val="003142F4"/>
    <w:rsid w:val="0031454E"/>
    <w:rsid w:val="0031482D"/>
    <w:rsid w:val="0031611F"/>
    <w:rsid w:val="00317A33"/>
    <w:rsid w:val="00317C02"/>
    <w:rsid w:val="00320339"/>
    <w:rsid w:val="00321214"/>
    <w:rsid w:val="003213D5"/>
    <w:rsid w:val="0032170F"/>
    <w:rsid w:val="003230CF"/>
    <w:rsid w:val="00323737"/>
    <w:rsid w:val="00323AD6"/>
    <w:rsid w:val="00323F27"/>
    <w:rsid w:val="003242EF"/>
    <w:rsid w:val="00324938"/>
    <w:rsid w:val="00325339"/>
    <w:rsid w:val="003255AA"/>
    <w:rsid w:val="003314B6"/>
    <w:rsid w:val="00331A20"/>
    <w:rsid w:val="00331C77"/>
    <w:rsid w:val="00331E65"/>
    <w:rsid w:val="00333107"/>
    <w:rsid w:val="0033343B"/>
    <w:rsid w:val="0033393C"/>
    <w:rsid w:val="00333FBC"/>
    <w:rsid w:val="003357EE"/>
    <w:rsid w:val="00337368"/>
    <w:rsid w:val="00337B4D"/>
    <w:rsid w:val="003407A9"/>
    <w:rsid w:val="00340BA3"/>
    <w:rsid w:val="00340BAF"/>
    <w:rsid w:val="00340C2B"/>
    <w:rsid w:val="00340F9A"/>
    <w:rsid w:val="00341018"/>
    <w:rsid w:val="00341723"/>
    <w:rsid w:val="003420D9"/>
    <w:rsid w:val="003423E0"/>
    <w:rsid w:val="00342C3E"/>
    <w:rsid w:val="0034301A"/>
    <w:rsid w:val="00343D76"/>
    <w:rsid w:val="00344DFD"/>
    <w:rsid w:val="003451D3"/>
    <w:rsid w:val="00345D96"/>
    <w:rsid w:val="00346631"/>
    <w:rsid w:val="00346AAD"/>
    <w:rsid w:val="00346D96"/>
    <w:rsid w:val="0034736A"/>
    <w:rsid w:val="0034747C"/>
    <w:rsid w:val="0034780C"/>
    <w:rsid w:val="00347B6C"/>
    <w:rsid w:val="00350CD6"/>
    <w:rsid w:val="00350DE2"/>
    <w:rsid w:val="0035151C"/>
    <w:rsid w:val="00352254"/>
    <w:rsid w:val="003522A3"/>
    <w:rsid w:val="0035263F"/>
    <w:rsid w:val="00353929"/>
    <w:rsid w:val="00353F9E"/>
    <w:rsid w:val="003540D1"/>
    <w:rsid w:val="003545BF"/>
    <w:rsid w:val="0035586A"/>
    <w:rsid w:val="0035611A"/>
    <w:rsid w:val="00356C3D"/>
    <w:rsid w:val="00357E1C"/>
    <w:rsid w:val="00360B75"/>
    <w:rsid w:val="0036151C"/>
    <w:rsid w:val="00361A9B"/>
    <w:rsid w:val="00362CCF"/>
    <w:rsid w:val="003631B7"/>
    <w:rsid w:val="003631DB"/>
    <w:rsid w:val="00364524"/>
    <w:rsid w:val="0036513A"/>
    <w:rsid w:val="00365237"/>
    <w:rsid w:val="0036559C"/>
    <w:rsid w:val="0036587E"/>
    <w:rsid w:val="003660CD"/>
    <w:rsid w:val="00366AC2"/>
    <w:rsid w:val="00366B08"/>
    <w:rsid w:val="00367496"/>
    <w:rsid w:val="003678BE"/>
    <w:rsid w:val="003700F8"/>
    <w:rsid w:val="00370949"/>
    <w:rsid w:val="00371127"/>
    <w:rsid w:val="0037243B"/>
    <w:rsid w:val="0037251C"/>
    <w:rsid w:val="0037272C"/>
    <w:rsid w:val="003729DB"/>
    <w:rsid w:val="00372B9A"/>
    <w:rsid w:val="003731A9"/>
    <w:rsid w:val="003731BF"/>
    <w:rsid w:val="0037337D"/>
    <w:rsid w:val="00375287"/>
    <w:rsid w:val="00375791"/>
    <w:rsid w:val="00375826"/>
    <w:rsid w:val="00375994"/>
    <w:rsid w:val="00375C59"/>
    <w:rsid w:val="00375E05"/>
    <w:rsid w:val="00376BB7"/>
    <w:rsid w:val="00376DBE"/>
    <w:rsid w:val="00376EEE"/>
    <w:rsid w:val="00377BA1"/>
    <w:rsid w:val="00377FF0"/>
    <w:rsid w:val="00380616"/>
    <w:rsid w:val="00381022"/>
    <w:rsid w:val="003814B8"/>
    <w:rsid w:val="00382909"/>
    <w:rsid w:val="00382EE1"/>
    <w:rsid w:val="00384258"/>
    <w:rsid w:val="00385131"/>
    <w:rsid w:val="00385EE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4D57"/>
    <w:rsid w:val="00394EC8"/>
    <w:rsid w:val="00395446"/>
    <w:rsid w:val="00396725"/>
    <w:rsid w:val="0039738A"/>
    <w:rsid w:val="00397A28"/>
    <w:rsid w:val="00397E94"/>
    <w:rsid w:val="00397F05"/>
    <w:rsid w:val="003A0442"/>
    <w:rsid w:val="003A0899"/>
    <w:rsid w:val="003A1512"/>
    <w:rsid w:val="003A1EB7"/>
    <w:rsid w:val="003A23F3"/>
    <w:rsid w:val="003A2D82"/>
    <w:rsid w:val="003A326A"/>
    <w:rsid w:val="003A337C"/>
    <w:rsid w:val="003A36DA"/>
    <w:rsid w:val="003A38F1"/>
    <w:rsid w:val="003A3D1B"/>
    <w:rsid w:val="003A3F39"/>
    <w:rsid w:val="003A4296"/>
    <w:rsid w:val="003A4549"/>
    <w:rsid w:val="003A49B3"/>
    <w:rsid w:val="003A55B4"/>
    <w:rsid w:val="003A5E4D"/>
    <w:rsid w:val="003A61B6"/>
    <w:rsid w:val="003A623F"/>
    <w:rsid w:val="003A71AD"/>
    <w:rsid w:val="003A7D1D"/>
    <w:rsid w:val="003B09D3"/>
    <w:rsid w:val="003B1688"/>
    <w:rsid w:val="003B1A5F"/>
    <w:rsid w:val="003B1FA4"/>
    <w:rsid w:val="003B1FE6"/>
    <w:rsid w:val="003B204D"/>
    <w:rsid w:val="003B2B37"/>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811"/>
    <w:rsid w:val="003C2EDD"/>
    <w:rsid w:val="003C3220"/>
    <w:rsid w:val="003C3A47"/>
    <w:rsid w:val="003C3A79"/>
    <w:rsid w:val="003C3DAD"/>
    <w:rsid w:val="003C41BD"/>
    <w:rsid w:val="003C44D7"/>
    <w:rsid w:val="003C48F2"/>
    <w:rsid w:val="003C5177"/>
    <w:rsid w:val="003C52B0"/>
    <w:rsid w:val="003C5911"/>
    <w:rsid w:val="003C5CDB"/>
    <w:rsid w:val="003C6465"/>
    <w:rsid w:val="003C65E4"/>
    <w:rsid w:val="003C6757"/>
    <w:rsid w:val="003C6AC3"/>
    <w:rsid w:val="003C7712"/>
    <w:rsid w:val="003C7862"/>
    <w:rsid w:val="003C7C61"/>
    <w:rsid w:val="003C7ECD"/>
    <w:rsid w:val="003D007D"/>
    <w:rsid w:val="003D01A1"/>
    <w:rsid w:val="003D01A2"/>
    <w:rsid w:val="003D04D6"/>
    <w:rsid w:val="003D04F6"/>
    <w:rsid w:val="003D0F89"/>
    <w:rsid w:val="003D18CC"/>
    <w:rsid w:val="003D1A83"/>
    <w:rsid w:val="003D21BD"/>
    <w:rsid w:val="003D3583"/>
    <w:rsid w:val="003D391E"/>
    <w:rsid w:val="003D3B6F"/>
    <w:rsid w:val="003D40E8"/>
    <w:rsid w:val="003D455E"/>
    <w:rsid w:val="003D5785"/>
    <w:rsid w:val="003D5A2D"/>
    <w:rsid w:val="003D5A9D"/>
    <w:rsid w:val="003D62C0"/>
    <w:rsid w:val="003D65F6"/>
    <w:rsid w:val="003D6911"/>
    <w:rsid w:val="003D72E2"/>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3D30"/>
    <w:rsid w:val="003E4E74"/>
    <w:rsid w:val="003E5F7D"/>
    <w:rsid w:val="003E6520"/>
    <w:rsid w:val="003E67E7"/>
    <w:rsid w:val="003E6B25"/>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0577"/>
    <w:rsid w:val="00401000"/>
    <w:rsid w:val="004016C6"/>
    <w:rsid w:val="0040179A"/>
    <w:rsid w:val="00401856"/>
    <w:rsid w:val="004028A2"/>
    <w:rsid w:val="00402CBB"/>
    <w:rsid w:val="00402FEB"/>
    <w:rsid w:val="00403344"/>
    <w:rsid w:val="00403C82"/>
    <w:rsid w:val="00404C44"/>
    <w:rsid w:val="00404EE8"/>
    <w:rsid w:val="0040510D"/>
    <w:rsid w:val="0040512D"/>
    <w:rsid w:val="00405C92"/>
    <w:rsid w:val="0040602F"/>
    <w:rsid w:val="00406AFB"/>
    <w:rsid w:val="00407294"/>
    <w:rsid w:val="004072E1"/>
    <w:rsid w:val="00407382"/>
    <w:rsid w:val="0040791B"/>
    <w:rsid w:val="00411200"/>
    <w:rsid w:val="00411958"/>
    <w:rsid w:val="00411A5F"/>
    <w:rsid w:val="00411B2A"/>
    <w:rsid w:val="00412973"/>
    <w:rsid w:val="004129A9"/>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5AB"/>
    <w:rsid w:val="00422E13"/>
    <w:rsid w:val="0042350F"/>
    <w:rsid w:val="00423599"/>
    <w:rsid w:val="0042384C"/>
    <w:rsid w:val="00423893"/>
    <w:rsid w:val="00423BC9"/>
    <w:rsid w:val="004255B4"/>
    <w:rsid w:val="00426766"/>
    <w:rsid w:val="004267D0"/>
    <w:rsid w:val="00427208"/>
    <w:rsid w:val="004279CA"/>
    <w:rsid w:val="00427A82"/>
    <w:rsid w:val="00427EA2"/>
    <w:rsid w:val="00430115"/>
    <w:rsid w:val="00430508"/>
    <w:rsid w:val="00430A4B"/>
    <w:rsid w:val="00431C46"/>
    <w:rsid w:val="004327E6"/>
    <w:rsid w:val="004329DC"/>
    <w:rsid w:val="00432AC6"/>
    <w:rsid w:val="00434C5E"/>
    <w:rsid w:val="00435765"/>
    <w:rsid w:val="00435B4D"/>
    <w:rsid w:val="004360B6"/>
    <w:rsid w:val="004362E5"/>
    <w:rsid w:val="00436356"/>
    <w:rsid w:val="00440722"/>
    <w:rsid w:val="004425D9"/>
    <w:rsid w:val="00443244"/>
    <w:rsid w:val="00444AF6"/>
    <w:rsid w:val="0044519D"/>
    <w:rsid w:val="00445544"/>
    <w:rsid w:val="00445C0B"/>
    <w:rsid w:val="00446195"/>
    <w:rsid w:val="00446D62"/>
    <w:rsid w:val="004470B4"/>
    <w:rsid w:val="00447CD0"/>
    <w:rsid w:val="00447FC2"/>
    <w:rsid w:val="004502F4"/>
    <w:rsid w:val="004506F4"/>
    <w:rsid w:val="004509D1"/>
    <w:rsid w:val="00450A42"/>
    <w:rsid w:val="004513A5"/>
    <w:rsid w:val="00451D50"/>
    <w:rsid w:val="00452EC4"/>
    <w:rsid w:val="00453340"/>
    <w:rsid w:val="00453775"/>
    <w:rsid w:val="00453890"/>
    <w:rsid w:val="00454380"/>
    <w:rsid w:val="004545E0"/>
    <w:rsid w:val="0045470C"/>
    <w:rsid w:val="004552C8"/>
    <w:rsid w:val="0045536C"/>
    <w:rsid w:val="00455A07"/>
    <w:rsid w:val="00455AEB"/>
    <w:rsid w:val="00455DE3"/>
    <w:rsid w:val="0045603C"/>
    <w:rsid w:val="00456053"/>
    <w:rsid w:val="00456068"/>
    <w:rsid w:val="00456896"/>
    <w:rsid w:val="00456ADA"/>
    <w:rsid w:val="00456B0D"/>
    <w:rsid w:val="00457135"/>
    <w:rsid w:val="0045770D"/>
    <w:rsid w:val="00457848"/>
    <w:rsid w:val="0045790F"/>
    <w:rsid w:val="00457D63"/>
    <w:rsid w:val="00457E21"/>
    <w:rsid w:val="0046007E"/>
    <w:rsid w:val="0046024B"/>
    <w:rsid w:val="00460E36"/>
    <w:rsid w:val="00461155"/>
    <w:rsid w:val="0046218C"/>
    <w:rsid w:val="004623D4"/>
    <w:rsid w:val="00462A6D"/>
    <w:rsid w:val="00463944"/>
    <w:rsid w:val="0046512A"/>
    <w:rsid w:val="00465234"/>
    <w:rsid w:val="00465B24"/>
    <w:rsid w:val="00466858"/>
    <w:rsid w:val="00466D0F"/>
    <w:rsid w:val="00467544"/>
    <w:rsid w:val="004676BA"/>
    <w:rsid w:val="0046784C"/>
    <w:rsid w:val="00467ECB"/>
    <w:rsid w:val="004706CF"/>
    <w:rsid w:val="004708BB"/>
    <w:rsid w:val="004710C3"/>
    <w:rsid w:val="00471459"/>
    <w:rsid w:val="00471B57"/>
    <w:rsid w:val="00472274"/>
    <w:rsid w:val="004722D4"/>
    <w:rsid w:val="00472AD0"/>
    <w:rsid w:val="00472D9C"/>
    <w:rsid w:val="00473530"/>
    <w:rsid w:val="00473B60"/>
    <w:rsid w:val="00475AFF"/>
    <w:rsid w:val="00475D30"/>
    <w:rsid w:val="004765F4"/>
    <w:rsid w:val="00476B4D"/>
    <w:rsid w:val="00476CBC"/>
    <w:rsid w:val="00476E6C"/>
    <w:rsid w:val="00477282"/>
    <w:rsid w:val="00477947"/>
    <w:rsid w:val="00480FA1"/>
    <w:rsid w:val="00481FD7"/>
    <w:rsid w:val="00482453"/>
    <w:rsid w:val="00482DE5"/>
    <w:rsid w:val="00483266"/>
    <w:rsid w:val="0048352E"/>
    <w:rsid w:val="004836A9"/>
    <w:rsid w:val="00483B23"/>
    <w:rsid w:val="004840D7"/>
    <w:rsid w:val="004846F4"/>
    <w:rsid w:val="00485C26"/>
    <w:rsid w:val="00485EC0"/>
    <w:rsid w:val="00485F9E"/>
    <w:rsid w:val="0048673A"/>
    <w:rsid w:val="004875E1"/>
    <w:rsid w:val="00487B37"/>
    <w:rsid w:val="00490636"/>
    <w:rsid w:val="00490C04"/>
    <w:rsid w:val="00490CA7"/>
    <w:rsid w:val="00490FF0"/>
    <w:rsid w:val="004910FE"/>
    <w:rsid w:val="00491198"/>
    <w:rsid w:val="004917E0"/>
    <w:rsid w:val="00491BF6"/>
    <w:rsid w:val="00491FED"/>
    <w:rsid w:val="004921DA"/>
    <w:rsid w:val="00492A6E"/>
    <w:rsid w:val="00492F82"/>
    <w:rsid w:val="004943C2"/>
    <w:rsid w:val="00494918"/>
    <w:rsid w:val="00494C65"/>
    <w:rsid w:val="00494F0C"/>
    <w:rsid w:val="00495557"/>
    <w:rsid w:val="00495DC2"/>
    <w:rsid w:val="0049618D"/>
    <w:rsid w:val="004965EF"/>
    <w:rsid w:val="0049719D"/>
    <w:rsid w:val="00497CEC"/>
    <w:rsid w:val="00497FCD"/>
    <w:rsid w:val="004A0D1E"/>
    <w:rsid w:val="004A0D41"/>
    <w:rsid w:val="004A0E66"/>
    <w:rsid w:val="004A0EEC"/>
    <w:rsid w:val="004A1234"/>
    <w:rsid w:val="004A130F"/>
    <w:rsid w:val="004A17EF"/>
    <w:rsid w:val="004A1BDA"/>
    <w:rsid w:val="004A22DA"/>
    <w:rsid w:val="004A2696"/>
    <w:rsid w:val="004A2700"/>
    <w:rsid w:val="004A36C8"/>
    <w:rsid w:val="004A3721"/>
    <w:rsid w:val="004A3742"/>
    <w:rsid w:val="004A37B8"/>
    <w:rsid w:val="004A3CC2"/>
    <w:rsid w:val="004A3ED3"/>
    <w:rsid w:val="004A47BC"/>
    <w:rsid w:val="004A4AC6"/>
    <w:rsid w:val="004B1199"/>
    <w:rsid w:val="004B169B"/>
    <w:rsid w:val="004B16C4"/>
    <w:rsid w:val="004B1867"/>
    <w:rsid w:val="004B2A64"/>
    <w:rsid w:val="004B3D5B"/>
    <w:rsid w:val="004B41DA"/>
    <w:rsid w:val="004B470D"/>
    <w:rsid w:val="004B4764"/>
    <w:rsid w:val="004B4846"/>
    <w:rsid w:val="004B5394"/>
    <w:rsid w:val="004B5BDD"/>
    <w:rsid w:val="004B5D3E"/>
    <w:rsid w:val="004B622C"/>
    <w:rsid w:val="004B6E9E"/>
    <w:rsid w:val="004B6F83"/>
    <w:rsid w:val="004B7C29"/>
    <w:rsid w:val="004C06E5"/>
    <w:rsid w:val="004C1B7D"/>
    <w:rsid w:val="004C1E3C"/>
    <w:rsid w:val="004C25F0"/>
    <w:rsid w:val="004C26DD"/>
    <w:rsid w:val="004C2B5D"/>
    <w:rsid w:val="004C2D68"/>
    <w:rsid w:val="004C2F56"/>
    <w:rsid w:val="004C32C8"/>
    <w:rsid w:val="004C339D"/>
    <w:rsid w:val="004C33E8"/>
    <w:rsid w:val="004C4307"/>
    <w:rsid w:val="004C4309"/>
    <w:rsid w:val="004C49E3"/>
    <w:rsid w:val="004C4E8A"/>
    <w:rsid w:val="004C4F3A"/>
    <w:rsid w:val="004C514A"/>
    <w:rsid w:val="004C645A"/>
    <w:rsid w:val="004C6572"/>
    <w:rsid w:val="004C6592"/>
    <w:rsid w:val="004C6D4F"/>
    <w:rsid w:val="004C7541"/>
    <w:rsid w:val="004D1E71"/>
    <w:rsid w:val="004D2CDF"/>
    <w:rsid w:val="004D3096"/>
    <w:rsid w:val="004D33CE"/>
    <w:rsid w:val="004D4AAE"/>
    <w:rsid w:val="004D5916"/>
    <w:rsid w:val="004D62A2"/>
    <w:rsid w:val="004D7C86"/>
    <w:rsid w:val="004E0197"/>
    <w:rsid w:val="004E1122"/>
    <w:rsid w:val="004E1409"/>
    <w:rsid w:val="004E1A87"/>
    <w:rsid w:val="004E1BB0"/>
    <w:rsid w:val="004E1F2C"/>
    <w:rsid w:val="004E3030"/>
    <w:rsid w:val="004E3311"/>
    <w:rsid w:val="004E375D"/>
    <w:rsid w:val="004E38EC"/>
    <w:rsid w:val="004E3933"/>
    <w:rsid w:val="004E4549"/>
    <w:rsid w:val="004E4C83"/>
    <w:rsid w:val="004E4D53"/>
    <w:rsid w:val="004E4D84"/>
    <w:rsid w:val="004E4EBC"/>
    <w:rsid w:val="004E5104"/>
    <w:rsid w:val="004E59BD"/>
    <w:rsid w:val="004E5B06"/>
    <w:rsid w:val="004E5FA8"/>
    <w:rsid w:val="004E684C"/>
    <w:rsid w:val="004E6FF1"/>
    <w:rsid w:val="004E76DB"/>
    <w:rsid w:val="004F0493"/>
    <w:rsid w:val="004F0900"/>
    <w:rsid w:val="004F0BFF"/>
    <w:rsid w:val="004F1A40"/>
    <w:rsid w:val="004F1F90"/>
    <w:rsid w:val="004F2401"/>
    <w:rsid w:val="004F2A44"/>
    <w:rsid w:val="004F2DAD"/>
    <w:rsid w:val="004F34F7"/>
    <w:rsid w:val="004F3FA9"/>
    <w:rsid w:val="004F4625"/>
    <w:rsid w:val="004F55D6"/>
    <w:rsid w:val="004F565A"/>
    <w:rsid w:val="004F571B"/>
    <w:rsid w:val="004F61F8"/>
    <w:rsid w:val="004F64EB"/>
    <w:rsid w:val="004F7127"/>
    <w:rsid w:val="004F7A74"/>
    <w:rsid w:val="005001B6"/>
    <w:rsid w:val="00500250"/>
    <w:rsid w:val="00500264"/>
    <w:rsid w:val="00500824"/>
    <w:rsid w:val="00500DAB"/>
    <w:rsid w:val="00500E0D"/>
    <w:rsid w:val="00501144"/>
    <w:rsid w:val="005013EF"/>
    <w:rsid w:val="005019E0"/>
    <w:rsid w:val="0050211F"/>
    <w:rsid w:val="005022E7"/>
    <w:rsid w:val="00502A93"/>
    <w:rsid w:val="00506083"/>
    <w:rsid w:val="005068D6"/>
    <w:rsid w:val="00506B86"/>
    <w:rsid w:val="00506EEC"/>
    <w:rsid w:val="00506F6B"/>
    <w:rsid w:val="00506FD4"/>
    <w:rsid w:val="00507D7D"/>
    <w:rsid w:val="005107FF"/>
    <w:rsid w:val="00510CBC"/>
    <w:rsid w:val="0051102D"/>
    <w:rsid w:val="005112A5"/>
    <w:rsid w:val="00511F48"/>
    <w:rsid w:val="00512448"/>
    <w:rsid w:val="0051253A"/>
    <w:rsid w:val="0051266C"/>
    <w:rsid w:val="0051287C"/>
    <w:rsid w:val="00513B72"/>
    <w:rsid w:val="00514B10"/>
    <w:rsid w:val="00515277"/>
    <w:rsid w:val="005156E9"/>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5829"/>
    <w:rsid w:val="00526C27"/>
    <w:rsid w:val="00526DFF"/>
    <w:rsid w:val="00527473"/>
    <w:rsid w:val="00527EF9"/>
    <w:rsid w:val="005305FF"/>
    <w:rsid w:val="00530C9B"/>
    <w:rsid w:val="005320BE"/>
    <w:rsid w:val="00532334"/>
    <w:rsid w:val="005324AF"/>
    <w:rsid w:val="0053402C"/>
    <w:rsid w:val="00534090"/>
    <w:rsid w:val="005341AF"/>
    <w:rsid w:val="00534624"/>
    <w:rsid w:val="00534ABA"/>
    <w:rsid w:val="00535FFF"/>
    <w:rsid w:val="0053616F"/>
    <w:rsid w:val="005368AD"/>
    <w:rsid w:val="005370BC"/>
    <w:rsid w:val="00537AA9"/>
    <w:rsid w:val="00537B35"/>
    <w:rsid w:val="00537DE7"/>
    <w:rsid w:val="00537EC4"/>
    <w:rsid w:val="00537FE4"/>
    <w:rsid w:val="005400ED"/>
    <w:rsid w:val="0054027D"/>
    <w:rsid w:val="00541222"/>
    <w:rsid w:val="00541A8D"/>
    <w:rsid w:val="00542122"/>
    <w:rsid w:val="00542315"/>
    <w:rsid w:val="00544DA0"/>
    <w:rsid w:val="005454BD"/>
    <w:rsid w:val="005457E4"/>
    <w:rsid w:val="00546C49"/>
    <w:rsid w:val="00547327"/>
    <w:rsid w:val="0055010B"/>
    <w:rsid w:val="00550D59"/>
    <w:rsid w:val="0055110D"/>
    <w:rsid w:val="00551F81"/>
    <w:rsid w:val="0055210F"/>
    <w:rsid w:val="00552CD7"/>
    <w:rsid w:val="005533BE"/>
    <w:rsid w:val="0055452F"/>
    <w:rsid w:val="00554B30"/>
    <w:rsid w:val="00554FFB"/>
    <w:rsid w:val="00555204"/>
    <w:rsid w:val="005568DE"/>
    <w:rsid w:val="00556F14"/>
    <w:rsid w:val="00557C50"/>
    <w:rsid w:val="005606B6"/>
    <w:rsid w:val="005608D6"/>
    <w:rsid w:val="00560F19"/>
    <w:rsid w:val="005613A6"/>
    <w:rsid w:val="00561E6B"/>
    <w:rsid w:val="005621D2"/>
    <w:rsid w:val="005621E0"/>
    <w:rsid w:val="00562487"/>
    <w:rsid w:val="00562D90"/>
    <w:rsid w:val="0056318C"/>
    <w:rsid w:val="00563A23"/>
    <w:rsid w:val="00563A5A"/>
    <w:rsid w:val="00563C61"/>
    <w:rsid w:val="00563ECB"/>
    <w:rsid w:val="00563F47"/>
    <w:rsid w:val="005640BB"/>
    <w:rsid w:val="00564C23"/>
    <w:rsid w:val="00564D6F"/>
    <w:rsid w:val="00564E24"/>
    <w:rsid w:val="00565406"/>
    <w:rsid w:val="00565570"/>
    <w:rsid w:val="005657DD"/>
    <w:rsid w:val="00565B29"/>
    <w:rsid w:val="005664CC"/>
    <w:rsid w:val="0056664B"/>
    <w:rsid w:val="00566744"/>
    <w:rsid w:val="00567588"/>
    <w:rsid w:val="00567992"/>
    <w:rsid w:val="00567C3C"/>
    <w:rsid w:val="005702F8"/>
    <w:rsid w:val="00570512"/>
    <w:rsid w:val="005710A9"/>
    <w:rsid w:val="00571231"/>
    <w:rsid w:val="00571767"/>
    <w:rsid w:val="00571E44"/>
    <w:rsid w:val="00573E61"/>
    <w:rsid w:val="0057411B"/>
    <w:rsid w:val="00574525"/>
    <w:rsid w:val="00574778"/>
    <w:rsid w:val="0057498F"/>
    <w:rsid w:val="00574DE9"/>
    <w:rsid w:val="00575DF4"/>
    <w:rsid w:val="00576E03"/>
    <w:rsid w:val="00576FC2"/>
    <w:rsid w:val="0057765D"/>
    <w:rsid w:val="005777FC"/>
    <w:rsid w:val="005808EB"/>
    <w:rsid w:val="00580D37"/>
    <w:rsid w:val="00581FA0"/>
    <w:rsid w:val="00582B90"/>
    <w:rsid w:val="005831A7"/>
    <w:rsid w:val="00583321"/>
    <w:rsid w:val="0058341E"/>
    <w:rsid w:val="00584F3A"/>
    <w:rsid w:val="005853AB"/>
    <w:rsid w:val="00585748"/>
    <w:rsid w:val="005858DE"/>
    <w:rsid w:val="005859C5"/>
    <w:rsid w:val="00585C79"/>
    <w:rsid w:val="00585D46"/>
    <w:rsid w:val="00585FD0"/>
    <w:rsid w:val="00586144"/>
    <w:rsid w:val="00587785"/>
    <w:rsid w:val="0058788D"/>
    <w:rsid w:val="005879AD"/>
    <w:rsid w:val="00587E29"/>
    <w:rsid w:val="00587FE6"/>
    <w:rsid w:val="00590F94"/>
    <w:rsid w:val="005912F6"/>
    <w:rsid w:val="00591698"/>
    <w:rsid w:val="0059296B"/>
    <w:rsid w:val="00593B87"/>
    <w:rsid w:val="00593C1C"/>
    <w:rsid w:val="00593E94"/>
    <w:rsid w:val="00594143"/>
    <w:rsid w:val="00594543"/>
    <w:rsid w:val="00594612"/>
    <w:rsid w:val="00594BD1"/>
    <w:rsid w:val="00595873"/>
    <w:rsid w:val="00595CDD"/>
    <w:rsid w:val="005964BB"/>
    <w:rsid w:val="00596A70"/>
    <w:rsid w:val="00596BD3"/>
    <w:rsid w:val="00596BE7"/>
    <w:rsid w:val="00596C3E"/>
    <w:rsid w:val="005977DD"/>
    <w:rsid w:val="005A01AF"/>
    <w:rsid w:val="005A04BD"/>
    <w:rsid w:val="005A0A3F"/>
    <w:rsid w:val="005A0E86"/>
    <w:rsid w:val="005A114F"/>
    <w:rsid w:val="005A1F49"/>
    <w:rsid w:val="005A2364"/>
    <w:rsid w:val="005A2480"/>
    <w:rsid w:val="005A2B2C"/>
    <w:rsid w:val="005A2D6B"/>
    <w:rsid w:val="005A3252"/>
    <w:rsid w:val="005A33F7"/>
    <w:rsid w:val="005A40CF"/>
    <w:rsid w:val="005A4A9C"/>
    <w:rsid w:val="005A4BAE"/>
    <w:rsid w:val="005A4F39"/>
    <w:rsid w:val="005A53B7"/>
    <w:rsid w:val="005A574D"/>
    <w:rsid w:val="005A5B5C"/>
    <w:rsid w:val="005A6E93"/>
    <w:rsid w:val="005A707A"/>
    <w:rsid w:val="005A7340"/>
    <w:rsid w:val="005A7F93"/>
    <w:rsid w:val="005B07EA"/>
    <w:rsid w:val="005B0B20"/>
    <w:rsid w:val="005B0BD6"/>
    <w:rsid w:val="005B0EFB"/>
    <w:rsid w:val="005B0F5C"/>
    <w:rsid w:val="005B1060"/>
    <w:rsid w:val="005B12B9"/>
    <w:rsid w:val="005B17C1"/>
    <w:rsid w:val="005B3321"/>
    <w:rsid w:val="005B349D"/>
    <w:rsid w:val="005B3737"/>
    <w:rsid w:val="005B3A30"/>
    <w:rsid w:val="005B3A42"/>
    <w:rsid w:val="005B5D40"/>
    <w:rsid w:val="005B5EFC"/>
    <w:rsid w:val="005B6412"/>
    <w:rsid w:val="005B6698"/>
    <w:rsid w:val="005B68A7"/>
    <w:rsid w:val="005B6AC3"/>
    <w:rsid w:val="005C055E"/>
    <w:rsid w:val="005C0B32"/>
    <w:rsid w:val="005C0FA1"/>
    <w:rsid w:val="005C1615"/>
    <w:rsid w:val="005C1D98"/>
    <w:rsid w:val="005C1DA5"/>
    <w:rsid w:val="005C2559"/>
    <w:rsid w:val="005C2873"/>
    <w:rsid w:val="005C34FC"/>
    <w:rsid w:val="005C3B5C"/>
    <w:rsid w:val="005C3C7F"/>
    <w:rsid w:val="005C5143"/>
    <w:rsid w:val="005C5639"/>
    <w:rsid w:val="005C5742"/>
    <w:rsid w:val="005C760E"/>
    <w:rsid w:val="005C7DCC"/>
    <w:rsid w:val="005C7E9E"/>
    <w:rsid w:val="005D18C9"/>
    <w:rsid w:val="005D1B72"/>
    <w:rsid w:val="005D2471"/>
    <w:rsid w:val="005D25A3"/>
    <w:rsid w:val="005D2779"/>
    <w:rsid w:val="005D29DA"/>
    <w:rsid w:val="005D3242"/>
    <w:rsid w:val="005D3F9D"/>
    <w:rsid w:val="005D610C"/>
    <w:rsid w:val="005D74E7"/>
    <w:rsid w:val="005D7F7B"/>
    <w:rsid w:val="005E1367"/>
    <w:rsid w:val="005E3BCD"/>
    <w:rsid w:val="005E4801"/>
    <w:rsid w:val="005E4A87"/>
    <w:rsid w:val="005E4DA5"/>
    <w:rsid w:val="005E503E"/>
    <w:rsid w:val="005E59C7"/>
    <w:rsid w:val="005E5E7B"/>
    <w:rsid w:val="005E6095"/>
    <w:rsid w:val="005E6A3F"/>
    <w:rsid w:val="005E6DB8"/>
    <w:rsid w:val="005E6E0A"/>
    <w:rsid w:val="005E7228"/>
    <w:rsid w:val="005E7284"/>
    <w:rsid w:val="005E7BAC"/>
    <w:rsid w:val="005F0E5C"/>
    <w:rsid w:val="005F134E"/>
    <w:rsid w:val="005F1365"/>
    <w:rsid w:val="005F2C1F"/>
    <w:rsid w:val="005F2CB3"/>
    <w:rsid w:val="005F2E44"/>
    <w:rsid w:val="005F30BD"/>
    <w:rsid w:val="005F3690"/>
    <w:rsid w:val="005F3986"/>
    <w:rsid w:val="005F3A52"/>
    <w:rsid w:val="005F4806"/>
    <w:rsid w:val="005F4C57"/>
    <w:rsid w:val="005F6774"/>
    <w:rsid w:val="005F79AA"/>
    <w:rsid w:val="006001D1"/>
    <w:rsid w:val="0060044B"/>
    <w:rsid w:val="00600C3E"/>
    <w:rsid w:val="006013D7"/>
    <w:rsid w:val="006014DB"/>
    <w:rsid w:val="00601587"/>
    <w:rsid w:val="00602079"/>
    <w:rsid w:val="006022F3"/>
    <w:rsid w:val="00602579"/>
    <w:rsid w:val="00602BA4"/>
    <w:rsid w:val="00602DA2"/>
    <w:rsid w:val="00602FF4"/>
    <w:rsid w:val="00603228"/>
    <w:rsid w:val="006037FC"/>
    <w:rsid w:val="006047E8"/>
    <w:rsid w:val="00604ACD"/>
    <w:rsid w:val="00604C15"/>
    <w:rsid w:val="00604DC2"/>
    <w:rsid w:val="00605AA4"/>
    <w:rsid w:val="006060C4"/>
    <w:rsid w:val="00607C35"/>
    <w:rsid w:val="00611777"/>
    <w:rsid w:val="0061189F"/>
    <w:rsid w:val="0061219B"/>
    <w:rsid w:val="00612CD8"/>
    <w:rsid w:val="00612D05"/>
    <w:rsid w:val="00613FB6"/>
    <w:rsid w:val="00613FFC"/>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9A0"/>
    <w:rsid w:val="00622BCE"/>
    <w:rsid w:val="00622E29"/>
    <w:rsid w:val="00623643"/>
    <w:rsid w:val="00624018"/>
    <w:rsid w:val="006240C4"/>
    <w:rsid w:val="00624B3C"/>
    <w:rsid w:val="00625304"/>
    <w:rsid w:val="0062581B"/>
    <w:rsid w:val="006261F4"/>
    <w:rsid w:val="00630E99"/>
    <w:rsid w:val="0063164E"/>
    <w:rsid w:val="0063191D"/>
    <w:rsid w:val="0063299A"/>
    <w:rsid w:val="00633488"/>
    <w:rsid w:val="00633581"/>
    <w:rsid w:val="006339AF"/>
    <w:rsid w:val="00633C47"/>
    <w:rsid w:val="006348F7"/>
    <w:rsid w:val="0063512D"/>
    <w:rsid w:val="0063585F"/>
    <w:rsid w:val="006358FB"/>
    <w:rsid w:val="00635AE2"/>
    <w:rsid w:val="00635E1E"/>
    <w:rsid w:val="00635F7B"/>
    <w:rsid w:val="0063677C"/>
    <w:rsid w:val="00636972"/>
    <w:rsid w:val="00636B69"/>
    <w:rsid w:val="00636BC2"/>
    <w:rsid w:val="006404B1"/>
    <w:rsid w:val="006404D1"/>
    <w:rsid w:val="00640F43"/>
    <w:rsid w:val="006412CA"/>
    <w:rsid w:val="006419F6"/>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09E0"/>
    <w:rsid w:val="006519E6"/>
    <w:rsid w:val="00651CDE"/>
    <w:rsid w:val="0065227C"/>
    <w:rsid w:val="00652326"/>
    <w:rsid w:val="006524F6"/>
    <w:rsid w:val="00652907"/>
    <w:rsid w:val="00652CEF"/>
    <w:rsid w:val="00652E06"/>
    <w:rsid w:val="00653FC4"/>
    <w:rsid w:val="00654E43"/>
    <w:rsid w:val="00654F91"/>
    <w:rsid w:val="00655361"/>
    <w:rsid w:val="00655C2D"/>
    <w:rsid w:val="00656253"/>
    <w:rsid w:val="00656799"/>
    <w:rsid w:val="00656B77"/>
    <w:rsid w:val="00656E72"/>
    <w:rsid w:val="00657074"/>
    <w:rsid w:val="0065757B"/>
    <w:rsid w:val="006578A1"/>
    <w:rsid w:val="0066137B"/>
    <w:rsid w:val="0066174E"/>
    <w:rsid w:val="00661A71"/>
    <w:rsid w:val="00661BBB"/>
    <w:rsid w:val="00661E57"/>
    <w:rsid w:val="0066202A"/>
    <w:rsid w:val="006629E4"/>
    <w:rsid w:val="0066352E"/>
    <w:rsid w:val="00663783"/>
    <w:rsid w:val="00663E47"/>
    <w:rsid w:val="006644A7"/>
    <w:rsid w:val="006644E3"/>
    <w:rsid w:val="00664BDE"/>
    <w:rsid w:val="0066565B"/>
    <w:rsid w:val="00665C44"/>
    <w:rsid w:val="00666284"/>
    <w:rsid w:val="006667F3"/>
    <w:rsid w:val="00667AEA"/>
    <w:rsid w:val="006704FA"/>
    <w:rsid w:val="00670687"/>
    <w:rsid w:val="00670DC5"/>
    <w:rsid w:val="00671652"/>
    <w:rsid w:val="00671FAA"/>
    <w:rsid w:val="0067394F"/>
    <w:rsid w:val="00675D2C"/>
    <w:rsid w:val="00675DA5"/>
    <w:rsid w:val="00676D99"/>
    <w:rsid w:val="00680482"/>
    <w:rsid w:val="006808DC"/>
    <w:rsid w:val="006816B6"/>
    <w:rsid w:val="006820EB"/>
    <w:rsid w:val="00682128"/>
    <w:rsid w:val="0068220C"/>
    <w:rsid w:val="00682A89"/>
    <w:rsid w:val="00682AB1"/>
    <w:rsid w:val="00682E9F"/>
    <w:rsid w:val="00683252"/>
    <w:rsid w:val="0068343A"/>
    <w:rsid w:val="006834D4"/>
    <w:rsid w:val="00683EFA"/>
    <w:rsid w:val="0068413D"/>
    <w:rsid w:val="006844BA"/>
    <w:rsid w:val="006845A2"/>
    <w:rsid w:val="00684BF8"/>
    <w:rsid w:val="00684D9B"/>
    <w:rsid w:val="006858AA"/>
    <w:rsid w:val="00685BCF"/>
    <w:rsid w:val="006860BF"/>
    <w:rsid w:val="006871D0"/>
    <w:rsid w:val="0068751F"/>
    <w:rsid w:val="00687F36"/>
    <w:rsid w:val="006900D1"/>
    <w:rsid w:val="00690297"/>
    <w:rsid w:val="0069115A"/>
    <w:rsid w:val="006912F1"/>
    <w:rsid w:val="00691387"/>
    <w:rsid w:val="006927F2"/>
    <w:rsid w:val="006931E1"/>
    <w:rsid w:val="00693C7F"/>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C7C"/>
    <w:rsid w:val="006A2E9C"/>
    <w:rsid w:val="006A35E0"/>
    <w:rsid w:val="006A377F"/>
    <w:rsid w:val="006A384A"/>
    <w:rsid w:val="006A3875"/>
    <w:rsid w:val="006A3D40"/>
    <w:rsid w:val="006A4596"/>
    <w:rsid w:val="006A561D"/>
    <w:rsid w:val="006A5A0C"/>
    <w:rsid w:val="006A5BA0"/>
    <w:rsid w:val="006A5BB1"/>
    <w:rsid w:val="006A5E68"/>
    <w:rsid w:val="006A5F88"/>
    <w:rsid w:val="006A7D95"/>
    <w:rsid w:val="006B120D"/>
    <w:rsid w:val="006B13C1"/>
    <w:rsid w:val="006B2CC7"/>
    <w:rsid w:val="006B3AF9"/>
    <w:rsid w:val="006B44C5"/>
    <w:rsid w:val="006B546C"/>
    <w:rsid w:val="006B555F"/>
    <w:rsid w:val="006B6242"/>
    <w:rsid w:val="006B6C7C"/>
    <w:rsid w:val="006B6D6F"/>
    <w:rsid w:val="006B6EA4"/>
    <w:rsid w:val="006B77BB"/>
    <w:rsid w:val="006B7F8F"/>
    <w:rsid w:val="006B7FC5"/>
    <w:rsid w:val="006C055E"/>
    <w:rsid w:val="006C0D13"/>
    <w:rsid w:val="006C187F"/>
    <w:rsid w:val="006C19BC"/>
    <w:rsid w:val="006C19D5"/>
    <w:rsid w:val="006C1B44"/>
    <w:rsid w:val="006C1BC4"/>
    <w:rsid w:val="006C1F77"/>
    <w:rsid w:val="006C2211"/>
    <w:rsid w:val="006C3031"/>
    <w:rsid w:val="006C35BC"/>
    <w:rsid w:val="006C3607"/>
    <w:rsid w:val="006C3990"/>
    <w:rsid w:val="006C3ED2"/>
    <w:rsid w:val="006C4233"/>
    <w:rsid w:val="006C42E7"/>
    <w:rsid w:val="006C4422"/>
    <w:rsid w:val="006C5CCA"/>
    <w:rsid w:val="006C625F"/>
    <w:rsid w:val="006C78A6"/>
    <w:rsid w:val="006C7AB4"/>
    <w:rsid w:val="006D006B"/>
    <w:rsid w:val="006D0648"/>
    <w:rsid w:val="006D105C"/>
    <w:rsid w:val="006D30E7"/>
    <w:rsid w:val="006D3CE8"/>
    <w:rsid w:val="006D3D83"/>
    <w:rsid w:val="006D418F"/>
    <w:rsid w:val="006D48E7"/>
    <w:rsid w:val="006D4947"/>
    <w:rsid w:val="006D5F16"/>
    <w:rsid w:val="006D63AD"/>
    <w:rsid w:val="006D6764"/>
    <w:rsid w:val="006D67D9"/>
    <w:rsid w:val="006D6C93"/>
    <w:rsid w:val="006D736F"/>
    <w:rsid w:val="006D7573"/>
    <w:rsid w:val="006E0340"/>
    <w:rsid w:val="006E0430"/>
    <w:rsid w:val="006E06F9"/>
    <w:rsid w:val="006E07A9"/>
    <w:rsid w:val="006E0D91"/>
    <w:rsid w:val="006E1706"/>
    <w:rsid w:val="006E2D84"/>
    <w:rsid w:val="006E3CB2"/>
    <w:rsid w:val="006E3DA8"/>
    <w:rsid w:val="006E5DAA"/>
    <w:rsid w:val="006E5F8F"/>
    <w:rsid w:val="006E641F"/>
    <w:rsid w:val="006E7006"/>
    <w:rsid w:val="006E71A5"/>
    <w:rsid w:val="006E72E9"/>
    <w:rsid w:val="006F00E7"/>
    <w:rsid w:val="006F0709"/>
    <w:rsid w:val="006F0F6E"/>
    <w:rsid w:val="006F1B22"/>
    <w:rsid w:val="006F1BA4"/>
    <w:rsid w:val="006F2259"/>
    <w:rsid w:val="006F23E1"/>
    <w:rsid w:val="006F2F8F"/>
    <w:rsid w:val="006F2FDA"/>
    <w:rsid w:val="006F2FE5"/>
    <w:rsid w:val="006F3460"/>
    <w:rsid w:val="006F34FE"/>
    <w:rsid w:val="006F3615"/>
    <w:rsid w:val="006F3FA3"/>
    <w:rsid w:val="006F43D9"/>
    <w:rsid w:val="006F48BA"/>
    <w:rsid w:val="006F4AF9"/>
    <w:rsid w:val="006F54EB"/>
    <w:rsid w:val="006F5CC1"/>
    <w:rsid w:val="006F67A5"/>
    <w:rsid w:val="006F6867"/>
    <w:rsid w:val="006F762D"/>
    <w:rsid w:val="007002EF"/>
    <w:rsid w:val="00700492"/>
    <w:rsid w:val="007009AC"/>
    <w:rsid w:val="0070167E"/>
    <w:rsid w:val="00701E1B"/>
    <w:rsid w:val="00702ED0"/>
    <w:rsid w:val="007030A9"/>
    <w:rsid w:val="00703C09"/>
    <w:rsid w:val="0070434A"/>
    <w:rsid w:val="007048C4"/>
    <w:rsid w:val="00704CC4"/>
    <w:rsid w:val="00705345"/>
    <w:rsid w:val="00705B6D"/>
    <w:rsid w:val="0070638D"/>
    <w:rsid w:val="00706AC1"/>
    <w:rsid w:val="00706DBF"/>
    <w:rsid w:val="00707A59"/>
    <w:rsid w:val="00707BB4"/>
    <w:rsid w:val="0071046B"/>
    <w:rsid w:val="00710AC6"/>
    <w:rsid w:val="00710C1D"/>
    <w:rsid w:val="00710D21"/>
    <w:rsid w:val="007110A3"/>
    <w:rsid w:val="00711108"/>
    <w:rsid w:val="00711213"/>
    <w:rsid w:val="007112A1"/>
    <w:rsid w:val="00711996"/>
    <w:rsid w:val="00711B3B"/>
    <w:rsid w:val="00711BA3"/>
    <w:rsid w:val="00711C9D"/>
    <w:rsid w:val="00712B71"/>
    <w:rsid w:val="00712E55"/>
    <w:rsid w:val="00713023"/>
    <w:rsid w:val="0071322C"/>
    <w:rsid w:val="00713281"/>
    <w:rsid w:val="00713779"/>
    <w:rsid w:val="0071397B"/>
    <w:rsid w:val="00713989"/>
    <w:rsid w:val="00713DCF"/>
    <w:rsid w:val="00714004"/>
    <w:rsid w:val="0071458E"/>
    <w:rsid w:val="007145C9"/>
    <w:rsid w:val="00714631"/>
    <w:rsid w:val="00714B6E"/>
    <w:rsid w:val="0071512F"/>
    <w:rsid w:val="007169AC"/>
    <w:rsid w:val="007169DD"/>
    <w:rsid w:val="0071745C"/>
    <w:rsid w:val="00717679"/>
    <w:rsid w:val="007179CC"/>
    <w:rsid w:val="00717B67"/>
    <w:rsid w:val="007206A2"/>
    <w:rsid w:val="007209D4"/>
    <w:rsid w:val="00720B38"/>
    <w:rsid w:val="00720CA7"/>
    <w:rsid w:val="00720D05"/>
    <w:rsid w:val="0072147B"/>
    <w:rsid w:val="0072181E"/>
    <w:rsid w:val="00722267"/>
    <w:rsid w:val="00722470"/>
    <w:rsid w:val="0072285E"/>
    <w:rsid w:val="00722C62"/>
    <w:rsid w:val="0072321F"/>
    <w:rsid w:val="00723295"/>
    <w:rsid w:val="007238E2"/>
    <w:rsid w:val="007239B4"/>
    <w:rsid w:val="00724446"/>
    <w:rsid w:val="00724584"/>
    <w:rsid w:val="00724AA1"/>
    <w:rsid w:val="00724D39"/>
    <w:rsid w:val="00725A19"/>
    <w:rsid w:val="00725DA1"/>
    <w:rsid w:val="00726356"/>
    <w:rsid w:val="007268C7"/>
    <w:rsid w:val="00726AAB"/>
    <w:rsid w:val="00727077"/>
    <w:rsid w:val="0073037F"/>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8BD"/>
    <w:rsid w:val="00742C51"/>
    <w:rsid w:val="00743445"/>
    <w:rsid w:val="00745049"/>
    <w:rsid w:val="00745E01"/>
    <w:rsid w:val="0074666B"/>
    <w:rsid w:val="007468D6"/>
    <w:rsid w:val="00746BFF"/>
    <w:rsid w:val="00746F0D"/>
    <w:rsid w:val="007473E1"/>
    <w:rsid w:val="00747897"/>
    <w:rsid w:val="0074798D"/>
    <w:rsid w:val="00747E47"/>
    <w:rsid w:val="0075009C"/>
    <w:rsid w:val="00750192"/>
    <w:rsid w:val="007504E1"/>
    <w:rsid w:val="00750544"/>
    <w:rsid w:val="00750804"/>
    <w:rsid w:val="007509AB"/>
    <w:rsid w:val="00751689"/>
    <w:rsid w:val="007524AA"/>
    <w:rsid w:val="00753744"/>
    <w:rsid w:val="00753A93"/>
    <w:rsid w:val="00754D66"/>
    <w:rsid w:val="0075539B"/>
    <w:rsid w:val="007554E9"/>
    <w:rsid w:val="00755663"/>
    <w:rsid w:val="00755DA2"/>
    <w:rsid w:val="00756386"/>
    <w:rsid w:val="00756603"/>
    <w:rsid w:val="00756D89"/>
    <w:rsid w:val="007575C0"/>
    <w:rsid w:val="00757D2F"/>
    <w:rsid w:val="00757D9C"/>
    <w:rsid w:val="0076000E"/>
    <w:rsid w:val="00760C00"/>
    <w:rsid w:val="007610E9"/>
    <w:rsid w:val="00761116"/>
    <w:rsid w:val="00761728"/>
    <w:rsid w:val="00761C0C"/>
    <w:rsid w:val="00761C6C"/>
    <w:rsid w:val="007620E4"/>
    <w:rsid w:val="00762B72"/>
    <w:rsid w:val="00763904"/>
    <w:rsid w:val="00763CCB"/>
    <w:rsid w:val="007642B4"/>
    <w:rsid w:val="0076467D"/>
    <w:rsid w:val="00764C45"/>
    <w:rsid w:val="00764C7F"/>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3D32"/>
    <w:rsid w:val="00774400"/>
    <w:rsid w:val="00774ACE"/>
    <w:rsid w:val="00775823"/>
    <w:rsid w:val="00775F57"/>
    <w:rsid w:val="00776133"/>
    <w:rsid w:val="00776584"/>
    <w:rsid w:val="007769EF"/>
    <w:rsid w:val="00776D4F"/>
    <w:rsid w:val="00776DDC"/>
    <w:rsid w:val="007770F9"/>
    <w:rsid w:val="00777179"/>
    <w:rsid w:val="007772CC"/>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005"/>
    <w:rsid w:val="0078731A"/>
    <w:rsid w:val="00787487"/>
    <w:rsid w:val="007906F1"/>
    <w:rsid w:val="00790EDA"/>
    <w:rsid w:val="00790F46"/>
    <w:rsid w:val="00791349"/>
    <w:rsid w:val="00791D85"/>
    <w:rsid w:val="00791DAF"/>
    <w:rsid w:val="007924CA"/>
    <w:rsid w:val="0079312D"/>
    <w:rsid w:val="00794A3C"/>
    <w:rsid w:val="00794CBF"/>
    <w:rsid w:val="00795365"/>
    <w:rsid w:val="0079567E"/>
    <w:rsid w:val="00795700"/>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2C3"/>
    <w:rsid w:val="007A464F"/>
    <w:rsid w:val="007A4B2C"/>
    <w:rsid w:val="007A6196"/>
    <w:rsid w:val="007A63D5"/>
    <w:rsid w:val="007A689A"/>
    <w:rsid w:val="007A68EA"/>
    <w:rsid w:val="007A6B7D"/>
    <w:rsid w:val="007A7099"/>
    <w:rsid w:val="007A7629"/>
    <w:rsid w:val="007A7789"/>
    <w:rsid w:val="007B1027"/>
    <w:rsid w:val="007B1691"/>
    <w:rsid w:val="007B174F"/>
    <w:rsid w:val="007B1863"/>
    <w:rsid w:val="007B1DBA"/>
    <w:rsid w:val="007B22E0"/>
    <w:rsid w:val="007B28CA"/>
    <w:rsid w:val="007B358D"/>
    <w:rsid w:val="007B42B7"/>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C35"/>
    <w:rsid w:val="007D4F02"/>
    <w:rsid w:val="007D674C"/>
    <w:rsid w:val="007D6B7B"/>
    <w:rsid w:val="007D6CF1"/>
    <w:rsid w:val="007D7131"/>
    <w:rsid w:val="007D7BEC"/>
    <w:rsid w:val="007D7CE3"/>
    <w:rsid w:val="007E051A"/>
    <w:rsid w:val="007E0798"/>
    <w:rsid w:val="007E14DF"/>
    <w:rsid w:val="007E1B72"/>
    <w:rsid w:val="007E3EE3"/>
    <w:rsid w:val="007E57DE"/>
    <w:rsid w:val="007E5902"/>
    <w:rsid w:val="007E6719"/>
    <w:rsid w:val="007E68ED"/>
    <w:rsid w:val="007E69ED"/>
    <w:rsid w:val="007E7B2D"/>
    <w:rsid w:val="007F0221"/>
    <w:rsid w:val="007F034B"/>
    <w:rsid w:val="007F07B9"/>
    <w:rsid w:val="007F0928"/>
    <w:rsid w:val="007F15CE"/>
    <w:rsid w:val="007F1D00"/>
    <w:rsid w:val="007F1E88"/>
    <w:rsid w:val="007F2CD7"/>
    <w:rsid w:val="007F33CE"/>
    <w:rsid w:val="007F3568"/>
    <w:rsid w:val="007F422D"/>
    <w:rsid w:val="007F4DBA"/>
    <w:rsid w:val="007F519C"/>
    <w:rsid w:val="007F52A9"/>
    <w:rsid w:val="007F534D"/>
    <w:rsid w:val="007F54A2"/>
    <w:rsid w:val="007F54FE"/>
    <w:rsid w:val="007F5535"/>
    <w:rsid w:val="007F558D"/>
    <w:rsid w:val="007F56D2"/>
    <w:rsid w:val="007F5D32"/>
    <w:rsid w:val="007F72DC"/>
    <w:rsid w:val="007F795F"/>
    <w:rsid w:val="0080069C"/>
    <w:rsid w:val="008006FD"/>
    <w:rsid w:val="00801347"/>
    <w:rsid w:val="0080148D"/>
    <w:rsid w:val="0080156B"/>
    <w:rsid w:val="00801A3A"/>
    <w:rsid w:val="00804114"/>
    <w:rsid w:val="0080427E"/>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1D70"/>
    <w:rsid w:val="008222CF"/>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3810"/>
    <w:rsid w:val="00833D9C"/>
    <w:rsid w:val="00834122"/>
    <w:rsid w:val="008352C5"/>
    <w:rsid w:val="008358A6"/>
    <w:rsid w:val="008359FB"/>
    <w:rsid w:val="00835C56"/>
    <w:rsid w:val="008360FC"/>
    <w:rsid w:val="00836E81"/>
    <w:rsid w:val="008377C1"/>
    <w:rsid w:val="00837C90"/>
    <w:rsid w:val="00837EB1"/>
    <w:rsid w:val="00837FE9"/>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2E7"/>
    <w:rsid w:val="008478ED"/>
    <w:rsid w:val="00847E78"/>
    <w:rsid w:val="00851728"/>
    <w:rsid w:val="0085199E"/>
    <w:rsid w:val="00851DFF"/>
    <w:rsid w:val="00853084"/>
    <w:rsid w:val="00853142"/>
    <w:rsid w:val="0085314A"/>
    <w:rsid w:val="00853C05"/>
    <w:rsid w:val="008540A6"/>
    <w:rsid w:val="00854420"/>
    <w:rsid w:val="00854481"/>
    <w:rsid w:val="008555EF"/>
    <w:rsid w:val="00857591"/>
    <w:rsid w:val="00857E88"/>
    <w:rsid w:val="00860E58"/>
    <w:rsid w:val="008612DB"/>
    <w:rsid w:val="00861443"/>
    <w:rsid w:val="00861B57"/>
    <w:rsid w:val="00861C0A"/>
    <w:rsid w:val="00862AC4"/>
    <w:rsid w:val="008633AC"/>
    <w:rsid w:val="008634E3"/>
    <w:rsid w:val="0086460D"/>
    <w:rsid w:val="00864627"/>
    <w:rsid w:val="00864635"/>
    <w:rsid w:val="00864678"/>
    <w:rsid w:val="00864C1A"/>
    <w:rsid w:val="00865217"/>
    <w:rsid w:val="008658AA"/>
    <w:rsid w:val="00865CBD"/>
    <w:rsid w:val="00866E37"/>
    <w:rsid w:val="00866F9E"/>
    <w:rsid w:val="008672E2"/>
    <w:rsid w:val="0086793D"/>
    <w:rsid w:val="00867B1C"/>
    <w:rsid w:val="00867D15"/>
    <w:rsid w:val="008704B2"/>
    <w:rsid w:val="008713D6"/>
    <w:rsid w:val="00871643"/>
    <w:rsid w:val="0087281D"/>
    <w:rsid w:val="008732D8"/>
    <w:rsid w:val="00873377"/>
    <w:rsid w:val="00873577"/>
    <w:rsid w:val="00873A5F"/>
    <w:rsid w:val="0087409F"/>
    <w:rsid w:val="00874D58"/>
    <w:rsid w:val="008750D2"/>
    <w:rsid w:val="00875928"/>
    <w:rsid w:val="00875AB5"/>
    <w:rsid w:val="00875C91"/>
    <w:rsid w:val="00875F85"/>
    <w:rsid w:val="00876C6B"/>
    <w:rsid w:val="00876DC9"/>
    <w:rsid w:val="00877125"/>
    <w:rsid w:val="008777C2"/>
    <w:rsid w:val="00881511"/>
    <w:rsid w:val="0088174E"/>
    <w:rsid w:val="00881B9E"/>
    <w:rsid w:val="00882448"/>
    <w:rsid w:val="008829C4"/>
    <w:rsid w:val="00882F1D"/>
    <w:rsid w:val="00883A4D"/>
    <w:rsid w:val="00883B21"/>
    <w:rsid w:val="00883F8F"/>
    <w:rsid w:val="00884235"/>
    <w:rsid w:val="00885285"/>
    <w:rsid w:val="00885985"/>
    <w:rsid w:val="00886699"/>
    <w:rsid w:val="00886AFF"/>
    <w:rsid w:val="0088709A"/>
    <w:rsid w:val="0089199F"/>
    <w:rsid w:val="00891C32"/>
    <w:rsid w:val="00891D7F"/>
    <w:rsid w:val="00891DEC"/>
    <w:rsid w:val="00891E28"/>
    <w:rsid w:val="00892265"/>
    <w:rsid w:val="0089233E"/>
    <w:rsid w:val="0089330E"/>
    <w:rsid w:val="00893A8E"/>
    <w:rsid w:val="00893E27"/>
    <w:rsid w:val="008945F7"/>
    <w:rsid w:val="0089463D"/>
    <w:rsid w:val="0089554F"/>
    <w:rsid w:val="008955E6"/>
    <w:rsid w:val="00895906"/>
    <w:rsid w:val="00895B5F"/>
    <w:rsid w:val="00895EC0"/>
    <w:rsid w:val="0089637C"/>
    <w:rsid w:val="00896712"/>
    <w:rsid w:val="00896870"/>
    <w:rsid w:val="008969BD"/>
    <w:rsid w:val="008A13BD"/>
    <w:rsid w:val="008A1596"/>
    <w:rsid w:val="008A1EDF"/>
    <w:rsid w:val="008A2655"/>
    <w:rsid w:val="008A2695"/>
    <w:rsid w:val="008A2DC9"/>
    <w:rsid w:val="008A2FF1"/>
    <w:rsid w:val="008A32D4"/>
    <w:rsid w:val="008A367F"/>
    <w:rsid w:val="008A37AF"/>
    <w:rsid w:val="008A3D62"/>
    <w:rsid w:val="008A448D"/>
    <w:rsid w:val="008A4A55"/>
    <w:rsid w:val="008A506F"/>
    <w:rsid w:val="008A528A"/>
    <w:rsid w:val="008A5298"/>
    <w:rsid w:val="008A535A"/>
    <w:rsid w:val="008A6D82"/>
    <w:rsid w:val="008A720F"/>
    <w:rsid w:val="008A7498"/>
    <w:rsid w:val="008A7C72"/>
    <w:rsid w:val="008B000D"/>
    <w:rsid w:val="008B04F2"/>
    <w:rsid w:val="008B0D0E"/>
    <w:rsid w:val="008B12BB"/>
    <w:rsid w:val="008B1411"/>
    <w:rsid w:val="008B141C"/>
    <w:rsid w:val="008B17A2"/>
    <w:rsid w:val="008B25F2"/>
    <w:rsid w:val="008B2643"/>
    <w:rsid w:val="008B2FAE"/>
    <w:rsid w:val="008B3252"/>
    <w:rsid w:val="008B3317"/>
    <w:rsid w:val="008B414B"/>
    <w:rsid w:val="008B4E0E"/>
    <w:rsid w:val="008B4FB9"/>
    <w:rsid w:val="008B5715"/>
    <w:rsid w:val="008B5A2D"/>
    <w:rsid w:val="008B5BC2"/>
    <w:rsid w:val="008B5E54"/>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290"/>
    <w:rsid w:val="008D1E7F"/>
    <w:rsid w:val="008D2367"/>
    <w:rsid w:val="008D427A"/>
    <w:rsid w:val="008D4DD5"/>
    <w:rsid w:val="008D5657"/>
    <w:rsid w:val="008D6752"/>
    <w:rsid w:val="008D69E7"/>
    <w:rsid w:val="008D6FC1"/>
    <w:rsid w:val="008E0140"/>
    <w:rsid w:val="008E0688"/>
    <w:rsid w:val="008E0BEF"/>
    <w:rsid w:val="008E103C"/>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ACE"/>
    <w:rsid w:val="008F6E6A"/>
    <w:rsid w:val="008F7AA7"/>
    <w:rsid w:val="008F7F94"/>
    <w:rsid w:val="00900947"/>
    <w:rsid w:val="00900EB8"/>
    <w:rsid w:val="00900FBA"/>
    <w:rsid w:val="00902E5B"/>
    <w:rsid w:val="00903FD9"/>
    <w:rsid w:val="00904CF5"/>
    <w:rsid w:val="00905259"/>
    <w:rsid w:val="0090556C"/>
    <w:rsid w:val="00905633"/>
    <w:rsid w:val="00905BDE"/>
    <w:rsid w:val="00905EAE"/>
    <w:rsid w:val="009060C4"/>
    <w:rsid w:val="00906C60"/>
    <w:rsid w:val="00906C91"/>
    <w:rsid w:val="00906C95"/>
    <w:rsid w:val="00907656"/>
    <w:rsid w:val="00907AEF"/>
    <w:rsid w:val="00907E47"/>
    <w:rsid w:val="00910F1B"/>
    <w:rsid w:val="009115EF"/>
    <w:rsid w:val="009116DD"/>
    <w:rsid w:val="00911BF3"/>
    <w:rsid w:val="00912550"/>
    <w:rsid w:val="00912D1C"/>
    <w:rsid w:val="00912FE9"/>
    <w:rsid w:val="00913019"/>
    <w:rsid w:val="00913F1E"/>
    <w:rsid w:val="00913FB2"/>
    <w:rsid w:val="009140C4"/>
    <w:rsid w:val="009144A9"/>
    <w:rsid w:val="0091468B"/>
    <w:rsid w:val="0091526F"/>
    <w:rsid w:val="009153D2"/>
    <w:rsid w:val="00916286"/>
    <w:rsid w:val="009162A1"/>
    <w:rsid w:val="00916595"/>
    <w:rsid w:val="00916C47"/>
    <w:rsid w:val="009171AD"/>
    <w:rsid w:val="00917569"/>
    <w:rsid w:val="009176FA"/>
    <w:rsid w:val="00920174"/>
    <w:rsid w:val="009202E1"/>
    <w:rsid w:val="00920D75"/>
    <w:rsid w:val="009219D2"/>
    <w:rsid w:val="00921A4E"/>
    <w:rsid w:val="00921E37"/>
    <w:rsid w:val="00922511"/>
    <w:rsid w:val="00922F07"/>
    <w:rsid w:val="00923463"/>
    <w:rsid w:val="00925238"/>
    <w:rsid w:val="00925ACF"/>
    <w:rsid w:val="0092615D"/>
    <w:rsid w:val="00926546"/>
    <w:rsid w:val="009265A1"/>
    <w:rsid w:val="00927700"/>
    <w:rsid w:val="00927EB8"/>
    <w:rsid w:val="0093036E"/>
    <w:rsid w:val="00930FAF"/>
    <w:rsid w:val="00931224"/>
    <w:rsid w:val="00932190"/>
    <w:rsid w:val="0093264C"/>
    <w:rsid w:val="00933101"/>
    <w:rsid w:val="009333D3"/>
    <w:rsid w:val="009339B6"/>
    <w:rsid w:val="00933B4C"/>
    <w:rsid w:val="00933DC4"/>
    <w:rsid w:val="0093431B"/>
    <w:rsid w:val="009346D6"/>
    <w:rsid w:val="00934743"/>
    <w:rsid w:val="0093487E"/>
    <w:rsid w:val="00934FFE"/>
    <w:rsid w:val="00936405"/>
    <w:rsid w:val="00936B64"/>
    <w:rsid w:val="009377A2"/>
    <w:rsid w:val="009379C4"/>
    <w:rsid w:val="0094041A"/>
    <w:rsid w:val="00940D32"/>
    <w:rsid w:val="0094190D"/>
    <w:rsid w:val="00941D33"/>
    <w:rsid w:val="00942354"/>
    <w:rsid w:val="00942681"/>
    <w:rsid w:val="00943430"/>
    <w:rsid w:val="009437FF"/>
    <w:rsid w:val="00943A7E"/>
    <w:rsid w:val="00943E42"/>
    <w:rsid w:val="00943E5D"/>
    <w:rsid w:val="00944728"/>
    <w:rsid w:val="00944E5E"/>
    <w:rsid w:val="009453E8"/>
    <w:rsid w:val="00945664"/>
    <w:rsid w:val="00945AD1"/>
    <w:rsid w:val="009464B2"/>
    <w:rsid w:val="00946ECB"/>
    <w:rsid w:val="00947268"/>
    <w:rsid w:val="0094750E"/>
    <w:rsid w:val="009477A6"/>
    <w:rsid w:val="00947C94"/>
    <w:rsid w:val="009502CA"/>
    <w:rsid w:val="009507C8"/>
    <w:rsid w:val="00950F60"/>
    <w:rsid w:val="0095115E"/>
    <w:rsid w:val="0095118A"/>
    <w:rsid w:val="00952468"/>
    <w:rsid w:val="00952A2F"/>
    <w:rsid w:val="00954767"/>
    <w:rsid w:val="0095487A"/>
    <w:rsid w:val="009548FB"/>
    <w:rsid w:val="0095538B"/>
    <w:rsid w:val="009557E5"/>
    <w:rsid w:val="00957AF7"/>
    <w:rsid w:val="009606EA"/>
    <w:rsid w:val="00960ACA"/>
    <w:rsid w:val="00960C4F"/>
    <w:rsid w:val="00961A9B"/>
    <w:rsid w:val="0096217C"/>
    <w:rsid w:val="00962441"/>
    <w:rsid w:val="00962530"/>
    <w:rsid w:val="00963277"/>
    <w:rsid w:val="00964B53"/>
    <w:rsid w:val="00964C3F"/>
    <w:rsid w:val="00964C6C"/>
    <w:rsid w:val="00965176"/>
    <w:rsid w:val="00965240"/>
    <w:rsid w:val="00965847"/>
    <w:rsid w:val="00965A3E"/>
    <w:rsid w:val="00965C48"/>
    <w:rsid w:val="00966D9D"/>
    <w:rsid w:val="00966E4A"/>
    <w:rsid w:val="00967041"/>
    <w:rsid w:val="00967054"/>
    <w:rsid w:val="00970918"/>
    <w:rsid w:val="0097099E"/>
    <w:rsid w:val="00971761"/>
    <w:rsid w:val="0097216F"/>
    <w:rsid w:val="00972C3B"/>
    <w:rsid w:val="00973057"/>
    <w:rsid w:val="00973077"/>
    <w:rsid w:val="00974D50"/>
    <w:rsid w:val="009751AF"/>
    <w:rsid w:val="009752D3"/>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1D"/>
    <w:rsid w:val="00987CB4"/>
    <w:rsid w:val="0099097E"/>
    <w:rsid w:val="00991459"/>
    <w:rsid w:val="009921FC"/>
    <w:rsid w:val="0099272B"/>
    <w:rsid w:val="00992A0E"/>
    <w:rsid w:val="0099399E"/>
    <w:rsid w:val="0099413C"/>
    <w:rsid w:val="00994230"/>
    <w:rsid w:val="0099479E"/>
    <w:rsid w:val="00994AFD"/>
    <w:rsid w:val="009951D8"/>
    <w:rsid w:val="00995222"/>
    <w:rsid w:val="00995355"/>
    <w:rsid w:val="0099586F"/>
    <w:rsid w:val="00996CB5"/>
    <w:rsid w:val="0099719E"/>
    <w:rsid w:val="009A0169"/>
    <w:rsid w:val="009A07C9"/>
    <w:rsid w:val="009A1B56"/>
    <w:rsid w:val="009A2A8A"/>
    <w:rsid w:val="009A3C93"/>
    <w:rsid w:val="009A3FD0"/>
    <w:rsid w:val="009A40E7"/>
    <w:rsid w:val="009A51C7"/>
    <w:rsid w:val="009A59EC"/>
    <w:rsid w:val="009A5C56"/>
    <w:rsid w:val="009A5CA8"/>
    <w:rsid w:val="009A67B1"/>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5D50"/>
    <w:rsid w:val="009B603E"/>
    <w:rsid w:val="009B6985"/>
    <w:rsid w:val="009B69B3"/>
    <w:rsid w:val="009B7011"/>
    <w:rsid w:val="009B71E4"/>
    <w:rsid w:val="009C04EE"/>
    <w:rsid w:val="009C0CD4"/>
    <w:rsid w:val="009C15E7"/>
    <w:rsid w:val="009C17C8"/>
    <w:rsid w:val="009C385B"/>
    <w:rsid w:val="009C3E3C"/>
    <w:rsid w:val="009C4353"/>
    <w:rsid w:val="009C49C2"/>
    <w:rsid w:val="009C4A66"/>
    <w:rsid w:val="009C4E2D"/>
    <w:rsid w:val="009C62C0"/>
    <w:rsid w:val="009C6999"/>
    <w:rsid w:val="009C6A88"/>
    <w:rsid w:val="009C765D"/>
    <w:rsid w:val="009C7ADA"/>
    <w:rsid w:val="009D000A"/>
    <w:rsid w:val="009D1A86"/>
    <w:rsid w:val="009D1E12"/>
    <w:rsid w:val="009D2A75"/>
    <w:rsid w:val="009D2DA9"/>
    <w:rsid w:val="009D2E93"/>
    <w:rsid w:val="009D2EA9"/>
    <w:rsid w:val="009D3038"/>
    <w:rsid w:val="009D34C0"/>
    <w:rsid w:val="009D35FB"/>
    <w:rsid w:val="009D42D3"/>
    <w:rsid w:val="009D4BBE"/>
    <w:rsid w:val="009D4E16"/>
    <w:rsid w:val="009D5893"/>
    <w:rsid w:val="009D6620"/>
    <w:rsid w:val="009D6C54"/>
    <w:rsid w:val="009D72B0"/>
    <w:rsid w:val="009D77CE"/>
    <w:rsid w:val="009D7DE3"/>
    <w:rsid w:val="009D7F0C"/>
    <w:rsid w:val="009E004A"/>
    <w:rsid w:val="009E066B"/>
    <w:rsid w:val="009E105A"/>
    <w:rsid w:val="009E1515"/>
    <w:rsid w:val="009E1CFF"/>
    <w:rsid w:val="009E1FEE"/>
    <w:rsid w:val="009E23EA"/>
    <w:rsid w:val="009E27B9"/>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07"/>
    <w:rsid w:val="009E703C"/>
    <w:rsid w:val="009E7E4C"/>
    <w:rsid w:val="009F08F5"/>
    <w:rsid w:val="009F0956"/>
    <w:rsid w:val="009F0CC4"/>
    <w:rsid w:val="009F0EE5"/>
    <w:rsid w:val="009F1264"/>
    <w:rsid w:val="009F1D7F"/>
    <w:rsid w:val="009F244B"/>
    <w:rsid w:val="009F245B"/>
    <w:rsid w:val="009F25E6"/>
    <w:rsid w:val="009F2891"/>
    <w:rsid w:val="009F2BE8"/>
    <w:rsid w:val="009F2F09"/>
    <w:rsid w:val="009F39A7"/>
    <w:rsid w:val="009F40B7"/>
    <w:rsid w:val="009F4188"/>
    <w:rsid w:val="009F4302"/>
    <w:rsid w:val="009F4393"/>
    <w:rsid w:val="009F49F7"/>
    <w:rsid w:val="009F4BE9"/>
    <w:rsid w:val="009F62D3"/>
    <w:rsid w:val="00A00112"/>
    <w:rsid w:val="00A008B5"/>
    <w:rsid w:val="00A00AAF"/>
    <w:rsid w:val="00A017B4"/>
    <w:rsid w:val="00A01C53"/>
    <w:rsid w:val="00A01D38"/>
    <w:rsid w:val="00A02414"/>
    <w:rsid w:val="00A025B9"/>
    <w:rsid w:val="00A02F4D"/>
    <w:rsid w:val="00A0355C"/>
    <w:rsid w:val="00A03A13"/>
    <w:rsid w:val="00A040CD"/>
    <w:rsid w:val="00A04429"/>
    <w:rsid w:val="00A04A50"/>
    <w:rsid w:val="00A06446"/>
    <w:rsid w:val="00A06697"/>
    <w:rsid w:val="00A06C40"/>
    <w:rsid w:val="00A077F8"/>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B1"/>
    <w:rsid w:val="00A161F8"/>
    <w:rsid w:val="00A169FA"/>
    <w:rsid w:val="00A17004"/>
    <w:rsid w:val="00A1766A"/>
    <w:rsid w:val="00A200F4"/>
    <w:rsid w:val="00A206C9"/>
    <w:rsid w:val="00A20B88"/>
    <w:rsid w:val="00A20C27"/>
    <w:rsid w:val="00A20E7D"/>
    <w:rsid w:val="00A21358"/>
    <w:rsid w:val="00A216BC"/>
    <w:rsid w:val="00A2195C"/>
    <w:rsid w:val="00A2234F"/>
    <w:rsid w:val="00A23931"/>
    <w:rsid w:val="00A23FD6"/>
    <w:rsid w:val="00A25317"/>
    <w:rsid w:val="00A25706"/>
    <w:rsid w:val="00A25D84"/>
    <w:rsid w:val="00A26029"/>
    <w:rsid w:val="00A262E4"/>
    <w:rsid w:val="00A268A5"/>
    <w:rsid w:val="00A268EA"/>
    <w:rsid w:val="00A3194C"/>
    <w:rsid w:val="00A31CE0"/>
    <w:rsid w:val="00A31FA9"/>
    <w:rsid w:val="00A333BF"/>
    <w:rsid w:val="00A33825"/>
    <w:rsid w:val="00A3398F"/>
    <w:rsid w:val="00A33E46"/>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6A9B"/>
    <w:rsid w:val="00A47212"/>
    <w:rsid w:val="00A474EA"/>
    <w:rsid w:val="00A47B87"/>
    <w:rsid w:val="00A501B2"/>
    <w:rsid w:val="00A5034A"/>
    <w:rsid w:val="00A50FFA"/>
    <w:rsid w:val="00A513CA"/>
    <w:rsid w:val="00A517B5"/>
    <w:rsid w:val="00A52A00"/>
    <w:rsid w:val="00A539D1"/>
    <w:rsid w:val="00A54DAE"/>
    <w:rsid w:val="00A5520E"/>
    <w:rsid w:val="00A55E72"/>
    <w:rsid w:val="00A56D3B"/>
    <w:rsid w:val="00A57450"/>
    <w:rsid w:val="00A57479"/>
    <w:rsid w:val="00A57C08"/>
    <w:rsid w:val="00A600D9"/>
    <w:rsid w:val="00A604CD"/>
    <w:rsid w:val="00A604FF"/>
    <w:rsid w:val="00A637A0"/>
    <w:rsid w:val="00A63ECD"/>
    <w:rsid w:val="00A64093"/>
    <w:rsid w:val="00A640EB"/>
    <w:rsid w:val="00A64815"/>
    <w:rsid w:val="00A65043"/>
    <w:rsid w:val="00A66DF9"/>
    <w:rsid w:val="00A66E10"/>
    <w:rsid w:val="00A7002C"/>
    <w:rsid w:val="00A70233"/>
    <w:rsid w:val="00A704E4"/>
    <w:rsid w:val="00A707E3"/>
    <w:rsid w:val="00A7136A"/>
    <w:rsid w:val="00A71426"/>
    <w:rsid w:val="00A71C44"/>
    <w:rsid w:val="00A72112"/>
    <w:rsid w:val="00A72296"/>
    <w:rsid w:val="00A7388E"/>
    <w:rsid w:val="00A74544"/>
    <w:rsid w:val="00A74548"/>
    <w:rsid w:val="00A74DF2"/>
    <w:rsid w:val="00A74E4D"/>
    <w:rsid w:val="00A7592E"/>
    <w:rsid w:val="00A76C1F"/>
    <w:rsid w:val="00A803FC"/>
    <w:rsid w:val="00A8071A"/>
    <w:rsid w:val="00A80A54"/>
    <w:rsid w:val="00A80C2A"/>
    <w:rsid w:val="00A80DD9"/>
    <w:rsid w:val="00A80FCA"/>
    <w:rsid w:val="00A81CBC"/>
    <w:rsid w:val="00A82506"/>
    <w:rsid w:val="00A82BDE"/>
    <w:rsid w:val="00A837CE"/>
    <w:rsid w:val="00A83DB5"/>
    <w:rsid w:val="00A83FBA"/>
    <w:rsid w:val="00A84636"/>
    <w:rsid w:val="00A84FE1"/>
    <w:rsid w:val="00A85080"/>
    <w:rsid w:val="00A85337"/>
    <w:rsid w:val="00A8555C"/>
    <w:rsid w:val="00A8626D"/>
    <w:rsid w:val="00A86406"/>
    <w:rsid w:val="00A86853"/>
    <w:rsid w:val="00A86B75"/>
    <w:rsid w:val="00A86E75"/>
    <w:rsid w:val="00A86F33"/>
    <w:rsid w:val="00A9065F"/>
    <w:rsid w:val="00A9080B"/>
    <w:rsid w:val="00A90B0E"/>
    <w:rsid w:val="00A91AA1"/>
    <w:rsid w:val="00A91C8C"/>
    <w:rsid w:val="00A91F0D"/>
    <w:rsid w:val="00A9235A"/>
    <w:rsid w:val="00A92FF7"/>
    <w:rsid w:val="00A93069"/>
    <w:rsid w:val="00A9468F"/>
    <w:rsid w:val="00A9498D"/>
    <w:rsid w:val="00A95335"/>
    <w:rsid w:val="00A9566B"/>
    <w:rsid w:val="00A959FF"/>
    <w:rsid w:val="00A9657F"/>
    <w:rsid w:val="00A9797D"/>
    <w:rsid w:val="00AA015F"/>
    <w:rsid w:val="00AA0C3A"/>
    <w:rsid w:val="00AA1723"/>
    <w:rsid w:val="00AA190D"/>
    <w:rsid w:val="00AA1FDD"/>
    <w:rsid w:val="00AA22C3"/>
    <w:rsid w:val="00AA230D"/>
    <w:rsid w:val="00AA4941"/>
    <w:rsid w:val="00AA49E9"/>
    <w:rsid w:val="00AA51A6"/>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155"/>
    <w:rsid w:val="00AC1540"/>
    <w:rsid w:val="00AC154B"/>
    <w:rsid w:val="00AC1B72"/>
    <w:rsid w:val="00AC26FE"/>
    <w:rsid w:val="00AC325A"/>
    <w:rsid w:val="00AC350D"/>
    <w:rsid w:val="00AC3568"/>
    <w:rsid w:val="00AC3CF2"/>
    <w:rsid w:val="00AC47EC"/>
    <w:rsid w:val="00AC4E5D"/>
    <w:rsid w:val="00AC5D91"/>
    <w:rsid w:val="00AC6C53"/>
    <w:rsid w:val="00AC6E85"/>
    <w:rsid w:val="00AC70EA"/>
    <w:rsid w:val="00AC7284"/>
    <w:rsid w:val="00AC730C"/>
    <w:rsid w:val="00AC7CE6"/>
    <w:rsid w:val="00AD0828"/>
    <w:rsid w:val="00AD0B13"/>
    <w:rsid w:val="00AD0E69"/>
    <w:rsid w:val="00AD103D"/>
    <w:rsid w:val="00AD159C"/>
    <w:rsid w:val="00AD17FA"/>
    <w:rsid w:val="00AD19EC"/>
    <w:rsid w:val="00AD2717"/>
    <w:rsid w:val="00AD2B1B"/>
    <w:rsid w:val="00AD3DC4"/>
    <w:rsid w:val="00AD3E9D"/>
    <w:rsid w:val="00AD4ACA"/>
    <w:rsid w:val="00AD4FF4"/>
    <w:rsid w:val="00AD531D"/>
    <w:rsid w:val="00AD600C"/>
    <w:rsid w:val="00AD63D6"/>
    <w:rsid w:val="00AD6B38"/>
    <w:rsid w:val="00AD6CD5"/>
    <w:rsid w:val="00AD733B"/>
    <w:rsid w:val="00AD7CA7"/>
    <w:rsid w:val="00AE0040"/>
    <w:rsid w:val="00AE184D"/>
    <w:rsid w:val="00AE1C03"/>
    <w:rsid w:val="00AE23E3"/>
    <w:rsid w:val="00AE2F65"/>
    <w:rsid w:val="00AE317E"/>
    <w:rsid w:val="00AE31AB"/>
    <w:rsid w:val="00AE35A5"/>
    <w:rsid w:val="00AE4E2A"/>
    <w:rsid w:val="00AE5CF9"/>
    <w:rsid w:val="00AE5DB6"/>
    <w:rsid w:val="00AE6C3C"/>
    <w:rsid w:val="00AE702E"/>
    <w:rsid w:val="00AE73E0"/>
    <w:rsid w:val="00AF03C0"/>
    <w:rsid w:val="00AF0A04"/>
    <w:rsid w:val="00AF166F"/>
    <w:rsid w:val="00AF1ABC"/>
    <w:rsid w:val="00AF1C03"/>
    <w:rsid w:val="00AF39AF"/>
    <w:rsid w:val="00AF3E3B"/>
    <w:rsid w:val="00AF3E5A"/>
    <w:rsid w:val="00AF46FE"/>
    <w:rsid w:val="00AF486F"/>
    <w:rsid w:val="00AF548B"/>
    <w:rsid w:val="00AF55E0"/>
    <w:rsid w:val="00AF5666"/>
    <w:rsid w:val="00AF5870"/>
    <w:rsid w:val="00AF6619"/>
    <w:rsid w:val="00AF6C41"/>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ED5"/>
    <w:rsid w:val="00B05F14"/>
    <w:rsid w:val="00B06307"/>
    <w:rsid w:val="00B06737"/>
    <w:rsid w:val="00B0736A"/>
    <w:rsid w:val="00B077D1"/>
    <w:rsid w:val="00B0784C"/>
    <w:rsid w:val="00B07CE9"/>
    <w:rsid w:val="00B101D5"/>
    <w:rsid w:val="00B10633"/>
    <w:rsid w:val="00B10B08"/>
    <w:rsid w:val="00B11A78"/>
    <w:rsid w:val="00B11CFB"/>
    <w:rsid w:val="00B12111"/>
    <w:rsid w:val="00B125FF"/>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030D"/>
    <w:rsid w:val="00B21736"/>
    <w:rsid w:val="00B218B1"/>
    <w:rsid w:val="00B21A33"/>
    <w:rsid w:val="00B224AA"/>
    <w:rsid w:val="00B22998"/>
    <w:rsid w:val="00B229FE"/>
    <w:rsid w:val="00B2302B"/>
    <w:rsid w:val="00B23F1C"/>
    <w:rsid w:val="00B24363"/>
    <w:rsid w:val="00B2456E"/>
    <w:rsid w:val="00B24979"/>
    <w:rsid w:val="00B250A5"/>
    <w:rsid w:val="00B25651"/>
    <w:rsid w:val="00B2660A"/>
    <w:rsid w:val="00B26937"/>
    <w:rsid w:val="00B26F5B"/>
    <w:rsid w:val="00B30243"/>
    <w:rsid w:val="00B30421"/>
    <w:rsid w:val="00B30DC8"/>
    <w:rsid w:val="00B315BB"/>
    <w:rsid w:val="00B31977"/>
    <w:rsid w:val="00B31AF7"/>
    <w:rsid w:val="00B3235A"/>
    <w:rsid w:val="00B333FE"/>
    <w:rsid w:val="00B3382B"/>
    <w:rsid w:val="00B35094"/>
    <w:rsid w:val="00B350F0"/>
    <w:rsid w:val="00B357AC"/>
    <w:rsid w:val="00B35992"/>
    <w:rsid w:val="00B35E4B"/>
    <w:rsid w:val="00B35FCC"/>
    <w:rsid w:val="00B36518"/>
    <w:rsid w:val="00B374C9"/>
    <w:rsid w:val="00B378CC"/>
    <w:rsid w:val="00B41615"/>
    <w:rsid w:val="00B41FD8"/>
    <w:rsid w:val="00B420DF"/>
    <w:rsid w:val="00B428E2"/>
    <w:rsid w:val="00B42A2C"/>
    <w:rsid w:val="00B42A5C"/>
    <w:rsid w:val="00B42A98"/>
    <w:rsid w:val="00B42C64"/>
    <w:rsid w:val="00B448EF"/>
    <w:rsid w:val="00B46E21"/>
    <w:rsid w:val="00B46E59"/>
    <w:rsid w:val="00B47493"/>
    <w:rsid w:val="00B474C8"/>
    <w:rsid w:val="00B474DF"/>
    <w:rsid w:val="00B47915"/>
    <w:rsid w:val="00B50E18"/>
    <w:rsid w:val="00B5106E"/>
    <w:rsid w:val="00B513A9"/>
    <w:rsid w:val="00B51568"/>
    <w:rsid w:val="00B51610"/>
    <w:rsid w:val="00B5167B"/>
    <w:rsid w:val="00B520E3"/>
    <w:rsid w:val="00B52336"/>
    <w:rsid w:val="00B53004"/>
    <w:rsid w:val="00B5388C"/>
    <w:rsid w:val="00B55CED"/>
    <w:rsid w:val="00B55D57"/>
    <w:rsid w:val="00B55E9D"/>
    <w:rsid w:val="00B55F80"/>
    <w:rsid w:val="00B56480"/>
    <w:rsid w:val="00B565D6"/>
    <w:rsid w:val="00B56817"/>
    <w:rsid w:val="00B56C21"/>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1F7"/>
    <w:rsid w:val="00B70C61"/>
    <w:rsid w:val="00B70E5A"/>
    <w:rsid w:val="00B711D1"/>
    <w:rsid w:val="00B7220D"/>
    <w:rsid w:val="00B730B2"/>
    <w:rsid w:val="00B749B6"/>
    <w:rsid w:val="00B7509A"/>
    <w:rsid w:val="00B759F5"/>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6F2A"/>
    <w:rsid w:val="00B8756E"/>
    <w:rsid w:val="00B87DF9"/>
    <w:rsid w:val="00B911C3"/>
    <w:rsid w:val="00B91951"/>
    <w:rsid w:val="00B91A58"/>
    <w:rsid w:val="00B91EAD"/>
    <w:rsid w:val="00B920B9"/>
    <w:rsid w:val="00B930D2"/>
    <w:rsid w:val="00B937CD"/>
    <w:rsid w:val="00B938BC"/>
    <w:rsid w:val="00B93997"/>
    <w:rsid w:val="00B93C98"/>
    <w:rsid w:val="00B952BA"/>
    <w:rsid w:val="00B976BB"/>
    <w:rsid w:val="00BA01A7"/>
    <w:rsid w:val="00BA0224"/>
    <w:rsid w:val="00BA05C8"/>
    <w:rsid w:val="00BA0607"/>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2EB"/>
    <w:rsid w:val="00BB56C7"/>
    <w:rsid w:val="00BB5B62"/>
    <w:rsid w:val="00BB6502"/>
    <w:rsid w:val="00BB6BCD"/>
    <w:rsid w:val="00BB70F9"/>
    <w:rsid w:val="00BB7B28"/>
    <w:rsid w:val="00BB7C9B"/>
    <w:rsid w:val="00BC12B1"/>
    <w:rsid w:val="00BC1527"/>
    <w:rsid w:val="00BC2306"/>
    <w:rsid w:val="00BC2F31"/>
    <w:rsid w:val="00BC376D"/>
    <w:rsid w:val="00BC4036"/>
    <w:rsid w:val="00BC4224"/>
    <w:rsid w:val="00BC42DF"/>
    <w:rsid w:val="00BC487F"/>
    <w:rsid w:val="00BC4F0A"/>
    <w:rsid w:val="00BC509F"/>
    <w:rsid w:val="00BC51D2"/>
    <w:rsid w:val="00BC55B0"/>
    <w:rsid w:val="00BC64BE"/>
    <w:rsid w:val="00BC7155"/>
    <w:rsid w:val="00BC7550"/>
    <w:rsid w:val="00BC773D"/>
    <w:rsid w:val="00BD0B72"/>
    <w:rsid w:val="00BD2668"/>
    <w:rsid w:val="00BD3924"/>
    <w:rsid w:val="00BD3CCA"/>
    <w:rsid w:val="00BD450F"/>
    <w:rsid w:val="00BD4512"/>
    <w:rsid w:val="00BD52AA"/>
    <w:rsid w:val="00BE0042"/>
    <w:rsid w:val="00BE1061"/>
    <w:rsid w:val="00BE1321"/>
    <w:rsid w:val="00BE2893"/>
    <w:rsid w:val="00BE2A87"/>
    <w:rsid w:val="00BE2C32"/>
    <w:rsid w:val="00BE2EB4"/>
    <w:rsid w:val="00BE2F5A"/>
    <w:rsid w:val="00BE2FFA"/>
    <w:rsid w:val="00BE37D3"/>
    <w:rsid w:val="00BE522A"/>
    <w:rsid w:val="00BE5329"/>
    <w:rsid w:val="00BE57B5"/>
    <w:rsid w:val="00BE61E7"/>
    <w:rsid w:val="00BE7A7C"/>
    <w:rsid w:val="00BE7B59"/>
    <w:rsid w:val="00BF034B"/>
    <w:rsid w:val="00BF0975"/>
    <w:rsid w:val="00BF0A44"/>
    <w:rsid w:val="00BF0B44"/>
    <w:rsid w:val="00BF0CEC"/>
    <w:rsid w:val="00BF1397"/>
    <w:rsid w:val="00BF152F"/>
    <w:rsid w:val="00BF1A44"/>
    <w:rsid w:val="00BF1EDF"/>
    <w:rsid w:val="00BF2638"/>
    <w:rsid w:val="00BF36D0"/>
    <w:rsid w:val="00BF487A"/>
    <w:rsid w:val="00BF4D3D"/>
    <w:rsid w:val="00BF5B8C"/>
    <w:rsid w:val="00BF5BF4"/>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0DC1"/>
    <w:rsid w:val="00C111EA"/>
    <w:rsid w:val="00C119AD"/>
    <w:rsid w:val="00C1228D"/>
    <w:rsid w:val="00C130CC"/>
    <w:rsid w:val="00C13FED"/>
    <w:rsid w:val="00C14E7D"/>
    <w:rsid w:val="00C15722"/>
    <w:rsid w:val="00C16897"/>
    <w:rsid w:val="00C17AE1"/>
    <w:rsid w:val="00C200C9"/>
    <w:rsid w:val="00C210E7"/>
    <w:rsid w:val="00C218FD"/>
    <w:rsid w:val="00C21D8E"/>
    <w:rsid w:val="00C22525"/>
    <w:rsid w:val="00C23255"/>
    <w:rsid w:val="00C2382E"/>
    <w:rsid w:val="00C23DBB"/>
    <w:rsid w:val="00C23FE1"/>
    <w:rsid w:val="00C2410D"/>
    <w:rsid w:val="00C24BAF"/>
    <w:rsid w:val="00C25F8B"/>
    <w:rsid w:val="00C265C0"/>
    <w:rsid w:val="00C26B9E"/>
    <w:rsid w:val="00C272EF"/>
    <w:rsid w:val="00C2732B"/>
    <w:rsid w:val="00C2753F"/>
    <w:rsid w:val="00C276A8"/>
    <w:rsid w:val="00C27975"/>
    <w:rsid w:val="00C300BC"/>
    <w:rsid w:val="00C309C3"/>
    <w:rsid w:val="00C30ADD"/>
    <w:rsid w:val="00C318F7"/>
    <w:rsid w:val="00C319D2"/>
    <w:rsid w:val="00C31F85"/>
    <w:rsid w:val="00C32534"/>
    <w:rsid w:val="00C326EE"/>
    <w:rsid w:val="00C32951"/>
    <w:rsid w:val="00C32C02"/>
    <w:rsid w:val="00C33235"/>
    <w:rsid w:val="00C33617"/>
    <w:rsid w:val="00C33677"/>
    <w:rsid w:val="00C33AB3"/>
    <w:rsid w:val="00C34070"/>
    <w:rsid w:val="00C34137"/>
    <w:rsid w:val="00C341C2"/>
    <w:rsid w:val="00C3476B"/>
    <w:rsid w:val="00C35240"/>
    <w:rsid w:val="00C368B3"/>
    <w:rsid w:val="00C36F07"/>
    <w:rsid w:val="00C37214"/>
    <w:rsid w:val="00C372E8"/>
    <w:rsid w:val="00C37A4D"/>
    <w:rsid w:val="00C409DC"/>
    <w:rsid w:val="00C40B1B"/>
    <w:rsid w:val="00C40E88"/>
    <w:rsid w:val="00C416A3"/>
    <w:rsid w:val="00C41785"/>
    <w:rsid w:val="00C41FC1"/>
    <w:rsid w:val="00C434C2"/>
    <w:rsid w:val="00C43940"/>
    <w:rsid w:val="00C44342"/>
    <w:rsid w:val="00C44694"/>
    <w:rsid w:val="00C44744"/>
    <w:rsid w:val="00C44BE1"/>
    <w:rsid w:val="00C457C1"/>
    <w:rsid w:val="00C45CD1"/>
    <w:rsid w:val="00C46625"/>
    <w:rsid w:val="00C466B6"/>
    <w:rsid w:val="00C46870"/>
    <w:rsid w:val="00C47450"/>
    <w:rsid w:val="00C47545"/>
    <w:rsid w:val="00C47593"/>
    <w:rsid w:val="00C47748"/>
    <w:rsid w:val="00C5044B"/>
    <w:rsid w:val="00C506BD"/>
    <w:rsid w:val="00C50CC8"/>
    <w:rsid w:val="00C50E55"/>
    <w:rsid w:val="00C51426"/>
    <w:rsid w:val="00C51622"/>
    <w:rsid w:val="00C51FB3"/>
    <w:rsid w:val="00C5223C"/>
    <w:rsid w:val="00C52A35"/>
    <w:rsid w:val="00C53213"/>
    <w:rsid w:val="00C53917"/>
    <w:rsid w:val="00C541DE"/>
    <w:rsid w:val="00C54C11"/>
    <w:rsid w:val="00C54C67"/>
    <w:rsid w:val="00C54E65"/>
    <w:rsid w:val="00C55909"/>
    <w:rsid w:val="00C55A9C"/>
    <w:rsid w:val="00C56324"/>
    <w:rsid w:val="00C56491"/>
    <w:rsid w:val="00C5653B"/>
    <w:rsid w:val="00C565A3"/>
    <w:rsid w:val="00C577F7"/>
    <w:rsid w:val="00C60667"/>
    <w:rsid w:val="00C61AB9"/>
    <w:rsid w:val="00C61F84"/>
    <w:rsid w:val="00C6215C"/>
    <w:rsid w:val="00C62AD4"/>
    <w:rsid w:val="00C62FF7"/>
    <w:rsid w:val="00C63135"/>
    <w:rsid w:val="00C637DC"/>
    <w:rsid w:val="00C63EE8"/>
    <w:rsid w:val="00C6432E"/>
    <w:rsid w:val="00C65718"/>
    <w:rsid w:val="00C65C81"/>
    <w:rsid w:val="00C666DE"/>
    <w:rsid w:val="00C66772"/>
    <w:rsid w:val="00C66D2B"/>
    <w:rsid w:val="00C67580"/>
    <w:rsid w:val="00C6781C"/>
    <w:rsid w:val="00C67DAB"/>
    <w:rsid w:val="00C67EA1"/>
    <w:rsid w:val="00C70AEE"/>
    <w:rsid w:val="00C71D15"/>
    <w:rsid w:val="00C72006"/>
    <w:rsid w:val="00C7234D"/>
    <w:rsid w:val="00C7244E"/>
    <w:rsid w:val="00C726C9"/>
    <w:rsid w:val="00C72801"/>
    <w:rsid w:val="00C72C0A"/>
    <w:rsid w:val="00C73E67"/>
    <w:rsid w:val="00C73FAD"/>
    <w:rsid w:val="00C74AE1"/>
    <w:rsid w:val="00C757B8"/>
    <w:rsid w:val="00C76440"/>
    <w:rsid w:val="00C76677"/>
    <w:rsid w:val="00C76906"/>
    <w:rsid w:val="00C76B7C"/>
    <w:rsid w:val="00C76CC7"/>
    <w:rsid w:val="00C76F81"/>
    <w:rsid w:val="00C776A4"/>
    <w:rsid w:val="00C779FD"/>
    <w:rsid w:val="00C80006"/>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054"/>
    <w:rsid w:val="00C86C56"/>
    <w:rsid w:val="00C8773E"/>
    <w:rsid w:val="00C87EDA"/>
    <w:rsid w:val="00C90601"/>
    <w:rsid w:val="00C90781"/>
    <w:rsid w:val="00C909C2"/>
    <w:rsid w:val="00C90D16"/>
    <w:rsid w:val="00C9116A"/>
    <w:rsid w:val="00C919EC"/>
    <w:rsid w:val="00C9265D"/>
    <w:rsid w:val="00C92824"/>
    <w:rsid w:val="00C937BA"/>
    <w:rsid w:val="00C93DB4"/>
    <w:rsid w:val="00C9409E"/>
    <w:rsid w:val="00C9495E"/>
    <w:rsid w:val="00C949FC"/>
    <w:rsid w:val="00C960CF"/>
    <w:rsid w:val="00C96672"/>
    <w:rsid w:val="00C96678"/>
    <w:rsid w:val="00C96772"/>
    <w:rsid w:val="00C96CFA"/>
    <w:rsid w:val="00C96E5A"/>
    <w:rsid w:val="00C96EB5"/>
    <w:rsid w:val="00C96FCE"/>
    <w:rsid w:val="00C97913"/>
    <w:rsid w:val="00CA0257"/>
    <w:rsid w:val="00CA0917"/>
    <w:rsid w:val="00CA102B"/>
    <w:rsid w:val="00CA283D"/>
    <w:rsid w:val="00CA29D1"/>
    <w:rsid w:val="00CA2DD6"/>
    <w:rsid w:val="00CA3247"/>
    <w:rsid w:val="00CA3627"/>
    <w:rsid w:val="00CA3752"/>
    <w:rsid w:val="00CA3898"/>
    <w:rsid w:val="00CA3999"/>
    <w:rsid w:val="00CA39C0"/>
    <w:rsid w:val="00CA4274"/>
    <w:rsid w:val="00CA42FB"/>
    <w:rsid w:val="00CA460E"/>
    <w:rsid w:val="00CA5AD3"/>
    <w:rsid w:val="00CA5C4A"/>
    <w:rsid w:val="00CA62DD"/>
    <w:rsid w:val="00CA69BA"/>
    <w:rsid w:val="00CA7DE6"/>
    <w:rsid w:val="00CB0339"/>
    <w:rsid w:val="00CB110E"/>
    <w:rsid w:val="00CB11F8"/>
    <w:rsid w:val="00CB1C89"/>
    <w:rsid w:val="00CB1E72"/>
    <w:rsid w:val="00CB225B"/>
    <w:rsid w:val="00CB2EF5"/>
    <w:rsid w:val="00CB33E4"/>
    <w:rsid w:val="00CB4230"/>
    <w:rsid w:val="00CB431B"/>
    <w:rsid w:val="00CB4A77"/>
    <w:rsid w:val="00CB4EA5"/>
    <w:rsid w:val="00CB4FA0"/>
    <w:rsid w:val="00CB557F"/>
    <w:rsid w:val="00CB592B"/>
    <w:rsid w:val="00CB5B30"/>
    <w:rsid w:val="00CB5C5F"/>
    <w:rsid w:val="00CB600E"/>
    <w:rsid w:val="00CB65B8"/>
    <w:rsid w:val="00CB6CDF"/>
    <w:rsid w:val="00CB7264"/>
    <w:rsid w:val="00CB730F"/>
    <w:rsid w:val="00CB761C"/>
    <w:rsid w:val="00CB76B5"/>
    <w:rsid w:val="00CB7AD6"/>
    <w:rsid w:val="00CC0495"/>
    <w:rsid w:val="00CC0C15"/>
    <w:rsid w:val="00CC110F"/>
    <w:rsid w:val="00CC11B8"/>
    <w:rsid w:val="00CC1AF9"/>
    <w:rsid w:val="00CC20E0"/>
    <w:rsid w:val="00CC2318"/>
    <w:rsid w:val="00CC2818"/>
    <w:rsid w:val="00CC2F7A"/>
    <w:rsid w:val="00CC3A70"/>
    <w:rsid w:val="00CC4033"/>
    <w:rsid w:val="00CC40B8"/>
    <w:rsid w:val="00CC5444"/>
    <w:rsid w:val="00CC5631"/>
    <w:rsid w:val="00CC62A6"/>
    <w:rsid w:val="00CC676C"/>
    <w:rsid w:val="00CC742E"/>
    <w:rsid w:val="00CC7A11"/>
    <w:rsid w:val="00CD04A8"/>
    <w:rsid w:val="00CD051B"/>
    <w:rsid w:val="00CD1DB1"/>
    <w:rsid w:val="00CD1EFA"/>
    <w:rsid w:val="00CD22B5"/>
    <w:rsid w:val="00CD22F4"/>
    <w:rsid w:val="00CD244F"/>
    <w:rsid w:val="00CD25E1"/>
    <w:rsid w:val="00CD2976"/>
    <w:rsid w:val="00CD33DB"/>
    <w:rsid w:val="00CD367C"/>
    <w:rsid w:val="00CD454A"/>
    <w:rsid w:val="00CD4F54"/>
    <w:rsid w:val="00CD4FFE"/>
    <w:rsid w:val="00CD52D1"/>
    <w:rsid w:val="00CD57FA"/>
    <w:rsid w:val="00CD5A6E"/>
    <w:rsid w:val="00CD6688"/>
    <w:rsid w:val="00CD711F"/>
    <w:rsid w:val="00CD74A7"/>
    <w:rsid w:val="00CD79B2"/>
    <w:rsid w:val="00CE0A76"/>
    <w:rsid w:val="00CE1362"/>
    <w:rsid w:val="00CE157C"/>
    <w:rsid w:val="00CE1AF6"/>
    <w:rsid w:val="00CE2298"/>
    <w:rsid w:val="00CE2703"/>
    <w:rsid w:val="00CE3064"/>
    <w:rsid w:val="00CE39E4"/>
    <w:rsid w:val="00CE4282"/>
    <w:rsid w:val="00CE54E1"/>
    <w:rsid w:val="00CE55B6"/>
    <w:rsid w:val="00CE5856"/>
    <w:rsid w:val="00CE5BDE"/>
    <w:rsid w:val="00CE6A6D"/>
    <w:rsid w:val="00CE7134"/>
    <w:rsid w:val="00CE774C"/>
    <w:rsid w:val="00CF012E"/>
    <w:rsid w:val="00CF04D4"/>
    <w:rsid w:val="00CF0B4C"/>
    <w:rsid w:val="00CF1308"/>
    <w:rsid w:val="00CF1680"/>
    <w:rsid w:val="00CF1BD7"/>
    <w:rsid w:val="00CF1F00"/>
    <w:rsid w:val="00CF21A5"/>
    <w:rsid w:val="00CF24AB"/>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0EA9"/>
    <w:rsid w:val="00D012E1"/>
    <w:rsid w:val="00D01318"/>
    <w:rsid w:val="00D01665"/>
    <w:rsid w:val="00D01A74"/>
    <w:rsid w:val="00D01D1E"/>
    <w:rsid w:val="00D02580"/>
    <w:rsid w:val="00D03BF7"/>
    <w:rsid w:val="00D03F1E"/>
    <w:rsid w:val="00D0428E"/>
    <w:rsid w:val="00D04426"/>
    <w:rsid w:val="00D0482F"/>
    <w:rsid w:val="00D04A33"/>
    <w:rsid w:val="00D05892"/>
    <w:rsid w:val="00D061BE"/>
    <w:rsid w:val="00D06824"/>
    <w:rsid w:val="00D06C03"/>
    <w:rsid w:val="00D06F94"/>
    <w:rsid w:val="00D0738C"/>
    <w:rsid w:val="00D1037A"/>
    <w:rsid w:val="00D10D09"/>
    <w:rsid w:val="00D10DE4"/>
    <w:rsid w:val="00D1163E"/>
    <w:rsid w:val="00D11D26"/>
    <w:rsid w:val="00D12362"/>
    <w:rsid w:val="00D12A4F"/>
    <w:rsid w:val="00D13D08"/>
    <w:rsid w:val="00D14C15"/>
    <w:rsid w:val="00D15CB3"/>
    <w:rsid w:val="00D15F51"/>
    <w:rsid w:val="00D16B80"/>
    <w:rsid w:val="00D16ED5"/>
    <w:rsid w:val="00D200FC"/>
    <w:rsid w:val="00D202B1"/>
    <w:rsid w:val="00D20662"/>
    <w:rsid w:val="00D21291"/>
    <w:rsid w:val="00D212FB"/>
    <w:rsid w:val="00D21923"/>
    <w:rsid w:val="00D21C8A"/>
    <w:rsid w:val="00D2297E"/>
    <w:rsid w:val="00D22DE5"/>
    <w:rsid w:val="00D233BD"/>
    <w:rsid w:val="00D233D7"/>
    <w:rsid w:val="00D23CBB"/>
    <w:rsid w:val="00D2409B"/>
    <w:rsid w:val="00D24FCF"/>
    <w:rsid w:val="00D25806"/>
    <w:rsid w:val="00D25E9D"/>
    <w:rsid w:val="00D25F1C"/>
    <w:rsid w:val="00D2666A"/>
    <w:rsid w:val="00D26D6C"/>
    <w:rsid w:val="00D26DE6"/>
    <w:rsid w:val="00D26EE7"/>
    <w:rsid w:val="00D27B1E"/>
    <w:rsid w:val="00D30718"/>
    <w:rsid w:val="00D322FB"/>
    <w:rsid w:val="00D32475"/>
    <w:rsid w:val="00D32EF4"/>
    <w:rsid w:val="00D33B9A"/>
    <w:rsid w:val="00D33F81"/>
    <w:rsid w:val="00D3448D"/>
    <w:rsid w:val="00D34850"/>
    <w:rsid w:val="00D35060"/>
    <w:rsid w:val="00D35D2B"/>
    <w:rsid w:val="00D369D4"/>
    <w:rsid w:val="00D36AD7"/>
    <w:rsid w:val="00D373E9"/>
    <w:rsid w:val="00D37C61"/>
    <w:rsid w:val="00D403FF"/>
    <w:rsid w:val="00D404C4"/>
    <w:rsid w:val="00D40CE9"/>
    <w:rsid w:val="00D42115"/>
    <w:rsid w:val="00D4292C"/>
    <w:rsid w:val="00D42EFD"/>
    <w:rsid w:val="00D457D1"/>
    <w:rsid w:val="00D458AA"/>
    <w:rsid w:val="00D46338"/>
    <w:rsid w:val="00D46BA2"/>
    <w:rsid w:val="00D47234"/>
    <w:rsid w:val="00D47281"/>
    <w:rsid w:val="00D47577"/>
    <w:rsid w:val="00D47581"/>
    <w:rsid w:val="00D50295"/>
    <w:rsid w:val="00D5069A"/>
    <w:rsid w:val="00D50E43"/>
    <w:rsid w:val="00D51253"/>
    <w:rsid w:val="00D51469"/>
    <w:rsid w:val="00D51F25"/>
    <w:rsid w:val="00D52B45"/>
    <w:rsid w:val="00D530EB"/>
    <w:rsid w:val="00D53393"/>
    <w:rsid w:val="00D535B6"/>
    <w:rsid w:val="00D55235"/>
    <w:rsid w:val="00D55D78"/>
    <w:rsid w:val="00D56AA7"/>
    <w:rsid w:val="00D56DD5"/>
    <w:rsid w:val="00D572B2"/>
    <w:rsid w:val="00D57F53"/>
    <w:rsid w:val="00D60CAB"/>
    <w:rsid w:val="00D610FD"/>
    <w:rsid w:val="00D612AF"/>
    <w:rsid w:val="00D619F3"/>
    <w:rsid w:val="00D62A5B"/>
    <w:rsid w:val="00D62B43"/>
    <w:rsid w:val="00D62ECD"/>
    <w:rsid w:val="00D63748"/>
    <w:rsid w:val="00D639F0"/>
    <w:rsid w:val="00D63C1B"/>
    <w:rsid w:val="00D63D76"/>
    <w:rsid w:val="00D64698"/>
    <w:rsid w:val="00D64BFF"/>
    <w:rsid w:val="00D64DE1"/>
    <w:rsid w:val="00D64E3F"/>
    <w:rsid w:val="00D653D0"/>
    <w:rsid w:val="00D6692A"/>
    <w:rsid w:val="00D66E55"/>
    <w:rsid w:val="00D67161"/>
    <w:rsid w:val="00D674E9"/>
    <w:rsid w:val="00D6799A"/>
    <w:rsid w:val="00D7009C"/>
    <w:rsid w:val="00D70F17"/>
    <w:rsid w:val="00D712DA"/>
    <w:rsid w:val="00D719EF"/>
    <w:rsid w:val="00D72327"/>
    <w:rsid w:val="00D727E0"/>
    <w:rsid w:val="00D72B87"/>
    <w:rsid w:val="00D72C72"/>
    <w:rsid w:val="00D74160"/>
    <w:rsid w:val="00D744F5"/>
    <w:rsid w:val="00D75D22"/>
    <w:rsid w:val="00D75DA5"/>
    <w:rsid w:val="00D76870"/>
    <w:rsid w:val="00D76C58"/>
    <w:rsid w:val="00D76CF2"/>
    <w:rsid w:val="00D76E7C"/>
    <w:rsid w:val="00D80B40"/>
    <w:rsid w:val="00D8155B"/>
    <w:rsid w:val="00D816D5"/>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64CC"/>
    <w:rsid w:val="00D86AF5"/>
    <w:rsid w:val="00D870E8"/>
    <w:rsid w:val="00D87423"/>
    <w:rsid w:val="00D87452"/>
    <w:rsid w:val="00D87485"/>
    <w:rsid w:val="00D87B3B"/>
    <w:rsid w:val="00D87FAD"/>
    <w:rsid w:val="00D907CB"/>
    <w:rsid w:val="00D915DE"/>
    <w:rsid w:val="00D91BF2"/>
    <w:rsid w:val="00D9332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1A06"/>
    <w:rsid w:val="00DA2425"/>
    <w:rsid w:val="00DA2FD5"/>
    <w:rsid w:val="00DA34C7"/>
    <w:rsid w:val="00DA4838"/>
    <w:rsid w:val="00DA4989"/>
    <w:rsid w:val="00DA5721"/>
    <w:rsid w:val="00DA6173"/>
    <w:rsid w:val="00DA6A57"/>
    <w:rsid w:val="00DA7477"/>
    <w:rsid w:val="00DA7573"/>
    <w:rsid w:val="00DA7BD4"/>
    <w:rsid w:val="00DA7EAE"/>
    <w:rsid w:val="00DB0191"/>
    <w:rsid w:val="00DB0359"/>
    <w:rsid w:val="00DB0866"/>
    <w:rsid w:val="00DB0EF6"/>
    <w:rsid w:val="00DB0F8A"/>
    <w:rsid w:val="00DB26A8"/>
    <w:rsid w:val="00DB27CF"/>
    <w:rsid w:val="00DB324C"/>
    <w:rsid w:val="00DB3AB7"/>
    <w:rsid w:val="00DB3FD3"/>
    <w:rsid w:val="00DB5F2A"/>
    <w:rsid w:val="00DB6A2B"/>
    <w:rsid w:val="00DB6F45"/>
    <w:rsid w:val="00DB72B7"/>
    <w:rsid w:val="00DB7546"/>
    <w:rsid w:val="00DB782D"/>
    <w:rsid w:val="00DC04FA"/>
    <w:rsid w:val="00DC0624"/>
    <w:rsid w:val="00DC0672"/>
    <w:rsid w:val="00DC0FC3"/>
    <w:rsid w:val="00DC1A58"/>
    <w:rsid w:val="00DC1AC0"/>
    <w:rsid w:val="00DC1CDD"/>
    <w:rsid w:val="00DC1D8E"/>
    <w:rsid w:val="00DC20B9"/>
    <w:rsid w:val="00DC20C3"/>
    <w:rsid w:val="00DC227A"/>
    <w:rsid w:val="00DC2360"/>
    <w:rsid w:val="00DC26E4"/>
    <w:rsid w:val="00DC2BAE"/>
    <w:rsid w:val="00DC2CEE"/>
    <w:rsid w:val="00DC3257"/>
    <w:rsid w:val="00DC3279"/>
    <w:rsid w:val="00DC3BF1"/>
    <w:rsid w:val="00DC3CFC"/>
    <w:rsid w:val="00DC4D1D"/>
    <w:rsid w:val="00DC4D87"/>
    <w:rsid w:val="00DC54EB"/>
    <w:rsid w:val="00DC5704"/>
    <w:rsid w:val="00DC580A"/>
    <w:rsid w:val="00DC5B50"/>
    <w:rsid w:val="00DC66BC"/>
    <w:rsid w:val="00DC727F"/>
    <w:rsid w:val="00DC76AF"/>
    <w:rsid w:val="00DC7E78"/>
    <w:rsid w:val="00DD0493"/>
    <w:rsid w:val="00DD0924"/>
    <w:rsid w:val="00DD0CBF"/>
    <w:rsid w:val="00DD1071"/>
    <w:rsid w:val="00DD12FD"/>
    <w:rsid w:val="00DD1318"/>
    <w:rsid w:val="00DD1576"/>
    <w:rsid w:val="00DD2893"/>
    <w:rsid w:val="00DD4717"/>
    <w:rsid w:val="00DD4E73"/>
    <w:rsid w:val="00DD4F74"/>
    <w:rsid w:val="00DD527E"/>
    <w:rsid w:val="00DD531F"/>
    <w:rsid w:val="00DD556C"/>
    <w:rsid w:val="00DD5737"/>
    <w:rsid w:val="00DD5E81"/>
    <w:rsid w:val="00DD696D"/>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60D8"/>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3DB"/>
    <w:rsid w:val="00E00E15"/>
    <w:rsid w:val="00E00F63"/>
    <w:rsid w:val="00E01210"/>
    <w:rsid w:val="00E01D50"/>
    <w:rsid w:val="00E0264A"/>
    <w:rsid w:val="00E02664"/>
    <w:rsid w:val="00E02725"/>
    <w:rsid w:val="00E02C4D"/>
    <w:rsid w:val="00E02FD6"/>
    <w:rsid w:val="00E031A5"/>
    <w:rsid w:val="00E0341B"/>
    <w:rsid w:val="00E0348F"/>
    <w:rsid w:val="00E035A6"/>
    <w:rsid w:val="00E038F5"/>
    <w:rsid w:val="00E03D67"/>
    <w:rsid w:val="00E04510"/>
    <w:rsid w:val="00E04784"/>
    <w:rsid w:val="00E04F92"/>
    <w:rsid w:val="00E05569"/>
    <w:rsid w:val="00E05A6C"/>
    <w:rsid w:val="00E05F59"/>
    <w:rsid w:val="00E0655D"/>
    <w:rsid w:val="00E10008"/>
    <w:rsid w:val="00E1024A"/>
    <w:rsid w:val="00E10411"/>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6696"/>
    <w:rsid w:val="00E1702C"/>
    <w:rsid w:val="00E20CC5"/>
    <w:rsid w:val="00E21ACA"/>
    <w:rsid w:val="00E22B80"/>
    <w:rsid w:val="00E22C0E"/>
    <w:rsid w:val="00E22CFF"/>
    <w:rsid w:val="00E231CD"/>
    <w:rsid w:val="00E231E1"/>
    <w:rsid w:val="00E23888"/>
    <w:rsid w:val="00E23B9C"/>
    <w:rsid w:val="00E23CE3"/>
    <w:rsid w:val="00E23CF7"/>
    <w:rsid w:val="00E23DA4"/>
    <w:rsid w:val="00E23E76"/>
    <w:rsid w:val="00E249DB"/>
    <w:rsid w:val="00E25251"/>
    <w:rsid w:val="00E253A3"/>
    <w:rsid w:val="00E25402"/>
    <w:rsid w:val="00E259B0"/>
    <w:rsid w:val="00E25AF8"/>
    <w:rsid w:val="00E26AEC"/>
    <w:rsid w:val="00E2757B"/>
    <w:rsid w:val="00E2792D"/>
    <w:rsid w:val="00E27C2B"/>
    <w:rsid w:val="00E30828"/>
    <w:rsid w:val="00E30B37"/>
    <w:rsid w:val="00E3109C"/>
    <w:rsid w:val="00E311D1"/>
    <w:rsid w:val="00E31C2D"/>
    <w:rsid w:val="00E32432"/>
    <w:rsid w:val="00E33B1E"/>
    <w:rsid w:val="00E34277"/>
    <w:rsid w:val="00E34C1D"/>
    <w:rsid w:val="00E35332"/>
    <w:rsid w:val="00E3621B"/>
    <w:rsid w:val="00E36E01"/>
    <w:rsid w:val="00E36F43"/>
    <w:rsid w:val="00E37F0C"/>
    <w:rsid w:val="00E40736"/>
    <w:rsid w:val="00E40ADF"/>
    <w:rsid w:val="00E418E3"/>
    <w:rsid w:val="00E41D2E"/>
    <w:rsid w:val="00E41EBE"/>
    <w:rsid w:val="00E423DE"/>
    <w:rsid w:val="00E427E6"/>
    <w:rsid w:val="00E42F07"/>
    <w:rsid w:val="00E43390"/>
    <w:rsid w:val="00E4370F"/>
    <w:rsid w:val="00E4371D"/>
    <w:rsid w:val="00E4441D"/>
    <w:rsid w:val="00E44625"/>
    <w:rsid w:val="00E453AB"/>
    <w:rsid w:val="00E462E6"/>
    <w:rsid w:val="00E463A0"/>
    <w:rsid w:val="00E47839"/>
    <w:rsid w:val="00E5129A"/>
    <w:rsid w:val="00E51CDE"/>
    <w:rsid w:val="00E51EB0"/>
    <w:rsid w:val="00E5210B"/>
    <w:rsid w:val="00E53631"/>
    <w:rsid w:val="00E5388F"/>
    <w:rsid w:val="00E54107"/>
    <w:rsid w:val="00E54239"/>
    <w:rsid w:val="00E54272"/>
    <w:rsid w:val="00E542BC"/>
    <w:rsid w:val="00E54521"/>
    <w:rsid w:val="00E54617"/>
    <w:rsid w:val="00E546C4"/>
    <w:rsid w:val="00E5484B"/>
    <w:rsid w:val="00E56023"/>
    <w:rsid w:val="00E56D6E"/>
    <w:rsid w:val="00E56FEF"/>
    <w:rsid w:val="00E577F9"/>
    <w:rsid w:val="00E57FB5"/>
    <w:rsid w:val="00E60616"/>
    <w:rsid w:val="00E60F14"/>
    <w:rsid w:val="00E61AC2"/>
    <w:rsid w:val="00E61B23"/>
    <w:rsid w:val="00E625BE"/>
    <w:rsid w:val="00E6284B"/>
    <w:rsid w:val="00E62D07"/>
    <w:rsid w:val="00E62DF6"/>
    <w:rsid w:val="00E63948"/>
    <w:rsid w:val="00E63A22"/>
    <w:rsid w:val="00E63B8F"/>
    <w:rsid w:val="00E646B5"/>
    <w:rsid w:val="00E652E4"/>
    <w:rsid w:val="00E65427"/>
    <w:rsid w:val="00E6543F"/>
    <w:rsid w:val="00E661C0"/>
    <w:rsid w:val="00E663F5"/>
    <w:rsid w:val="00E66E97"/>
    <w:rsid w:val="00E70BD6"/>
    <w:rsid w:val="00E71305"/>
    <w:rsid w:val="00E72383"/>
    <w:rsid w:val="00E7247A"/>
    <w:rsid w:val="00E724D2"/>
    <w:rsid w:val="00E72D9F"/>
    <w:rsid w:val="00E73C41"/>
    <w:rsid w:val="00E74933"/>
    <w:rsid w:val="00E74EDC"/>
    <w:rsid w:val="00E75385"/>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8B"/>
    <w:rsid w:val="00E83CAC"/>
    <w:rsid w:val="00E84C89"/>
    <w:rsid w:val="00E85E56"/>
    <w:rsid w:val="00E860DD"/>
    <w:rsid w:val="00E8713D"/>
    <w:rsid w:val="00E87FD3"/>
    <w:rsid w:val="00E90329"/>
    <w:rsid w:val="00E90DFF"/>
    <w:rsid w:val="00E910D5"/>
    <w:rsid w:val="00E922C4"/>
    <w:rsid w:val="00E93D2D"/>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07FB"/>
    <w:rsid w:val="00EB190F"/>
    <w:rsid w:val="00EB235B"/>
    <w:rsid w:val="00EB31A3"/>
    <w:rsid w:val="00EB325B"/>
    <w:rsid w:val="00EB3E22"/>
    <w:rsid w:val="00EB49FF"/>
    <w:rsid w:val="00EB693B"/>
    <w:rsid w:val="00EB7BA9"/>
    <w:rsid w:val="00EB7D75"/>
    <w:rsid w:val="00EC0B20"/>
    <w:rsid w:val="00EC0EE7"/>
    <w:rsid w:val="00EC1552"/>
    <w:rsid w:val="00EC1C3A"/>
    <w:rsid w:val="00EC1F51"/>
    <w:rsid w:val="00EC2B1D"/>
    <w:rsid w:val="00EC2CE9"/>
    <w:rsid w:val="00EC4233"/>
    <w:rsid w:val="00EC4544"/>
    <w:rsid w:val="00EC4A85"/>
    <w:rsid w:val="00EC57B2"/>
    <w:rsid w:val="00EC58F4"/>
    <w:rsid w:val="00EC650B"/>
    <w:rsid w:val="00EC68AD"/>
    <w:rsid w:val="00EC7808"/>
    <w:rsid w:val="00EC7BFA"/>
    <w:rsid w:val="00ED042E"/>
    <w:rsid w:val="00ED1295"/>
    <w:rsid w:val="00ED2725"/>
    <w:rsid w:val="00ED2D69"/>
    <w:rsid w:val="00ED34D1"/>
    <w:rsid w:val="00ED367F"/>
    <w:rsid w:val="00ED4206"/>
    <w:rsid w:val="00ED58A2"/>
    <w:rsid w:val="00ED58C3"/>
    <w:rsid w:val="00ED5C71"/>
    <w:rsid w:val="00ED5EEE"/>
    <w:rsid w:val="00ED667C"/>
    <w:rsid w:val="00ED74DB"/>
    <w:rsid w:val="00ED7966"/>
    <w:rsid w:val="00EE01CC"/>
    <w:rsid w:val="00EE04EE"/>
    <w:rsid w:val="00EE1760"/>
    <w:rsid w:val="00EE287D"/>
    <w:rsid w:val="00EE3B32"/>
    <w:rsid w:val="00EE3CFF"/>
    <w:rsid w:val="00EE3F39"/>
    <w:rsid w:val="00EE414C"/>
    <w:rsid w:val="00EE44FE"/>
    <w:rsid w:val="00EE494D"/>
    <w:rsid w:val="00EE50CB"/>
    <w:rsid w:val="00EE5406"/>
    <w:rsid w:val="00EE5EF8"/>
    <w:rsid w:val="00EE6964"/>
    <w:rsid w:val="00EE6A1D"/>
    <w:rsid w:val="00EE6D18"/>
    <w:rsid w:val="00EE7E7A"/>
    <w:rsid w:val="00EF1230"/>
    <w:rsid w:val="00EF223B"/>
    <w:rsid w:val="00EF29DE"/>
    <w:rsid w:val="00EF3978"/>
    <w:rsid w:val="00EF3AAC"/>
    <w:rsid w:val="00EF424F"/>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D90"/>
    <w:rsid w:val="00F04F9E"/>
    <w:rsid w:val="00F06A47"/>
    <w:rsid w:val="00F06E0B"/>
    <w:rsid w:val="00F0717F"/>
    <w:rsid w:val="00F0747A"/>
    <w:rsid w:val="00F07849"/>
    <w:rsid w:val="00F07882"/>
    <w:rsid w:val="00F07883"/>
    <w:rsid w:val="00F10177"/>
    <w:rsid w:val="00F1031F"/>
    <w:rsid w:val="00F10D83"/>
    <w:rsid w:val="00F1196B"/>
    <w:rsid w:val="00F11A6A"/>
    <w:rsid w:val="00F126BD"/>
    <w:rsid w:val="00F12E43"/>
    <w:rsid w:val="00F13433"/>
    <w:rsid w:val="00F134FC"/>
    <w:rsid w:val="00F1350E"/>
    <w:rsid w:val="00F14084"/>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1DA2"/>
    <w:rsid w:val="00F22337"/>
    <w:rsid w:val="00F22D65"/>
    <w:rsid w:val="00F23175"/>
    <w:rsid w:val="00F231BF"/>
    <w:rsid w:val="00F23D89"/>
    <w:rsid w:val="00F23FB0"/>
    <w:rsid w:val="00F2480A"/>
    <w:rsid w:val="00F24891"/>
    <w:rsid w:val="00F24B9F"/>
    <w:rsid w:val="00F24CA6"/>
    <w:rsid w:val="00F24DAF"/>
    <w:rsid w:val="00F256AE"/>
    <w:rsid w:val="00F25773"/>
    <w:rsid w:val="00F257FA"/>
    <w:rsid w:val="00F26004"/>
    <w:rsid w:val="00F270E8"/>
    <w:rsid w:val="00F27EF5"/>
    <w:rsid w:val="00F27FDB"/>
    <w:rsid w:val="00F30251"/>
    <w:rsid w:val="00F305CC"/>
    <w:rsid w:val="00F3179A"/>
    <w:rsid w:val="00F31D54"/>
    <w:rsid w:val="00F32357"/>
    <w:rsid w:val="00F32C70"/>
    <w:rsid w:val="00F32CF1"/>
    <w:rsid w:val="00F342B3"/>
    <w:rsid w:val="00F34E02"/>
    <w:rsid w:val="00F3549E"/>
    <w:rsid w:val="00F355C0"/>
    <w:rsid w:val="00F365A7"/>
    <w:rsid w:val="00F3670D"/>
    <w:rsid w:val="00F3681C"/>
    <w:rsid w:val="00F36867"/>
    <w:rsid w:val="00F3769D"/>
    <w:rsid w:val="00F404F4"/>
    <w:rsid w:val="00F4143E"/>
    <w:rsid w:val="00F41CC5"/>
    <w:rsid w:val="00F41D25"/>
    <w:rsid w:val="00F423C2"/>
    <w:rsid w:val="00F433F8"/>
    <w:rsid w:val="00F433FE"/>
    <w:rsid w:val="00F435CE"/>
    <w:rsid w:val="00F43627"/>
    <w:rsid w:val="00F43781"/>
    <w:rsid w:val="00F4463C"/>
    <w:rsid w:val="00F46CA8"/>
    <w:rsid w:val="00F473A5"/>
    <w:rsid w:val="00F473F3"/>
    <w:rsid w:val="00F474B8"/>
    <w:rsid w:val="00F478CA"/>
    <w:rsid w:val="00F47CE2"/>
    <w:rsid w:val="00F501F3"/>
    <w:rsid w:val="00F50A98"/>
    <w:rsid w:val="00F50E5F"/>
    <w:rsid w:val="00F51385"/>
    <w:rsid w:val="00F51460"/>
    <w:rsid w:val="00F51667"/>
    <w:rsid w:val="00F521DC"/>
    <w:rsid w:val="00F53199"/>
    <w:rsid w:val="00F54130"/>
    <w:rsid w:val="00F541A1"/>
    <w:rsid w:val="00F54B09"/>
    <w:rsid w:val="00F54BEA"/>
    <w:rsid w:val="00F54E8A"/>
    <w:rsid w:val="00F559A8"/>
    <w:rsid w:val="00F55C21"/>
    <w:rsid w:val="00F55E5F"/>
    <w:rsid w:val="00F55F6D"/>
    <w:rsid w:val="00F5736B"/>
    <w:rsid w:val="00F57880"/>
    <w:rsid w:val="00F57EF0"/>
    <w:rsid w:val="00F608AB"/>
    <w:rsid w:val="00F60BE7"/>
    <w:rsid w:val="00F6159C"/>
    <w:rsid w:val="00F61714"/>
    <w:rsid w:val="00F61B05"/>
    <w:rsid w:val="00F6238F"/>
    <w:rsid w:val="00F6363E"/>
    <w:rsid w:val="00F63E59"/>
    <w:rsid w:val="00F64BE0"/>
    <w:rsid w:val="00F65B68"/>
    <w:rsid w:val="00F67846"/>
    <w:rsid w:val="00F67908"/>
    <w:rsid w:val="00F67B42"/>
    <w:rsid w:val="00F70B72"/>
    <w:rsid w:val="00F70DEF"/>
    <w:rsid w:val="00F70EA3"/>
    <w:rsid w:val="00F71277"/>
    <w:rsid w:val="00F71398"/>
    <w:rsid w:val="00F7294C"/>
    <w:rsid w:val="00F72C5F"/>
    <w:rsid w:val="00F73549"/>
    <w:rsid w:val="00F75782"/>
    <w:rsid w:val="00F80C1D"/>
    <w:rsid w:val="00F81130"/>
    <w:rsid w:val="00F818F7"/>
    <w:rsid w:val="00F81D94"/>
    <w:rsid w:val="00F8258B"/>
    <w:rsid w:val="00F82A4E"/>
    <w:rsid w:val="00F8325D"/>
    <w:rsid w:val="00F832A9"/>
    <w:rsid w:val="00F832B0"/>
    <w:rsid w:val="00F83307"/>
    <w:rsid w:val="00F833A5"/>
    <w:rsid w:val="00F844D3"/>
    <w:rsid w:val="00F84629"/>
    <w:rsid w:val="00F84B71"/>
    <w:rsid w:val="00F84F0E"/>
    <w:rsid w:val="00F85178"/>
    <w:rsid w:val="00F8519E"/>
    <w:rsid w:val="00F85FF5"/>
    <w:rsid w:val="00F86BB4"/>
    <w:rsid w:val="00F870F5"/>
    <w:rsid w:val="00F902D2"/>
    <w:rsid w:val="00F90B12"/>
    <w:rsid w:val="00F90CBD"/>
    <w:rsid w:val="00F9109E"/>
    <w:rsid w:val="00F9177E"/>
    <w:rsid w:val="00F9185F"/>
    <w:rsid w:val="00F91AA7"/>
    <w:rsid w:val="00F91E4F"/>
    <w:rsid w:val="00F91FDF"/>
    <w:rsid w:val="00F92AA1"/>
    <w:rsid w:val="00F92FDC"/>
    <w:rsid w:val="00F931D2"/>
    <w:rsid w:val="00F93431"/>
    <w:rsid w:val="00F93A4A"/>
    <w:rsid w:val="00F93D27"/>
    <w:rsid w:val="00F95DD6"/>
    <w:rsid w:val="00F96370"/>
    <w:rsid w:val="00F9658A"/>
    <w:rsid w:val="00F97940"/>
    <w:rsid w:val="00F97BA3"/>
    <w:rsid w:val="00F97EA2"/>
    <w:rsid w:val="00F97F0D"/>
    <w:rsid w:val="00FA0416"/>
    <w:rsid w:val="00FA0B0A"/>
    <w:rsid w:val="00FA0B3D"/>
    <w:rsid w:val="00FA0D51"/>
    <w:rsid w:val="00FA0D81"/>
    <w:rsid w:val="00FA0FFD"/>
    <w:rsid w:val="00FA121C"/>
    <w:rsid w:val="00FA1407"/>
    <w:rsid w:val="00FA1A68"/>
    <w:rsid w:val="00FA1B1A"/>
    <w:rsid w:val="00FA2747"/>
    <w:rsid w:val="00FA2A33"/>
    <w:rsid w:val="00FA2C8F"/>
    <w:rsid w:val="00FA2CF7"/>
    <w:rsid w:val="00FA316A"/>
    <w:rsid w:val="00FA3410"/>
    <w:rsid w:val="00FA360B"/>
    <w:rsid w:val="00FA3860"/>
    <w:rsid w:val="00FA3A50"/>
    <w:rsid w:val="00FA3CC1"/>
    <w:rsid w:val="00FA4763"/>
    <w:rsid w:val="00FA4830"/>
    <w:rsid w:val="00FA5032"/>
    <w:rsid w:val="00FA6195"/>
    <w:rsid w:val="00FA6980"/>
    <w:rsid w:val="00FA6CDF"/>
    <w:rsid w:val="00FA7BB5"/>
    <w:rsid w:val="00FA7C85"/>
    <w:rsid w:val="00FB12D8"/>
    <w:rsid w:val="00FB176A"/>
    <w:rsid w:val="00FB1CDC"/>
    <w:rsid w:val="00FB1F6A"/>
    <w:rsid w:val="00FB238A"/>
    <w:rsid w:val="00FB2446"/>
    <w:rsid w:val="00FB2C81"/>
    <w:rsid w:val="00FB3BC4"/>
    <w:rsid w:val="00FB3F9C"/>
    <w:rsid w:val="00FB3FDE"/>
    <w:rsid w:val="00FB4676"/>
    <w:rsid w:val="00FB5552"/>
    <w:rsid w:val="00FB5601"/>
    <w:rsid w:val="00FB5789"/>
    <w:rsid w:val="00FB5F3A"/>
    <w:rsid w:val="00FB6209"/>
    <w:rsid w:val="00FB65E4"/>
    <w:rsid w:val="00FB6809"/>
    <w:rsid w:val="00FB6AA9"/>
    <w:rsid w:val="00FB6AD4"/>
    <w:rsid w:val="00FB7F22"/>
    <w:rsid w:val="00FB7F91"/>
    <w:rsid w:val="00FC00D2"/>
    <w:rsid w:val="00FC00F3"/>
    <w:rsid w:val="00FC04E5"/>
    <w:rsid w:val="00FC0A33"/>
    <w:rsid w:val="00FC1416"/>
    <w:rsid w:val="00FC14B2"/>
    <w:rsid w:val="00FC1823"/>
    <w:rsid w:val="00FC2198"/>
    <w:rsid w:val="00FC26A4"/>
    <w:rsid w:val="00FC2C93"/>
    <w:rsid w:val="00FC325A"/>
    <w:rsid w:val="00FC33ED"/>
    <w:rsid w:val="00FC43AD"/>
    <w:rsid w:val="00FC5876"/>
    <w:rsid w:val="00FC62F5"/>
    <w:rsid w:val="00FC6D51"/>
    <w:rsid w:val="00FC6F98"/>
    <w:rsid w:val="00FC731E"/>
    <w:rsid w:val="00FD035A"/>
    <w:rsid w:val="00FD19F1"/>
    <w:rsid w:val="00FD1A7E"/>
    <w:rsid w:val="00FD2CC3"/>
    <w:rsid w:val="00FD31BF"/>
    <w:rsid w:val="00FD3CC7"/>
    <w:rsid w:val="00FD4148"/>
    <w:rsid w:val="00FD4D5B"/>
    <w:rsid w:val="00FD5DE1"/>
    <w:rsid w:val="00FD6453"/>
    <w:rsid w:val="00FD67FD"/>
    <w:rsid w:val="00FD71D2"/>
    <w:rsid w:val="00FD7CB2"/>
    <w:rsid w:val="00FD7D46"/>
    <w:rsid w:val="00FD7D8B"/>
    <w:rsid w:val="00FE0AF2"/>
    <w:rsid w:val="00FE1C47"/>
    <w:rsid w:val="00FE22DD"/>
    <w:rsid w:val="00FE2CFB"/>
    <w:rsid w:val="00FE4A60"/>
    <w:rsid w:val="00FE54E0"/>
    <w:rsid w:val="00FE55F0"/>
    <w:rsid w:val="00FE596A"/>
    <w:rsid w:val="00FE6331"/>
    <w:rsid w:val="00FE67AB"/>
    <w:rsid w:val="00FE685B"/>
    <w:rsid w:val="00FE6C12"/>
    <w:rsid w:val="00FE7894"/>
    <w:rsid w:val="00FE7C48"/>
    <w:rsid w:val="00FF01FA"/>
    <w:rsid w:val="00FF0268"/>
    <w:rsid w:val="00FF21B5"/>
    <w:rsid w:val="00FF21C3"/>
    <w:rsid w:val="00FF253A"/>
    <w:rsid w:val="00FF2A11"/>
    <w:rsid w:val="00FF2AA0"/>
    <w:rsid w:val="00FF3F6C"/>
    <w:rsid w:val="00FF4603"/>
    <w:rsid w:val="00FF4A97"/>
    <w:rsid w:val="00FF4B07"/>
    <w:rsid w:val="00FF4BFC"/>
    <w:rsid w:val="00FF4C11"/>
    <w:rsid w:val="00FF56B9"/>
    <w:rsid w:val="00FF57E8"/>
    <w:rsid w:val="00FF58C0"/>
    <w:rsid w:val="00FF5948"/>
    <w:rsid w:val="00FF6B71"/>
    <w:rsid w:val="00FF6EDF"/>
    <w:rsid w:val="00FF6EEA"/>
    <w:rsid w:val="00FF7532"/>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1C1B0B"/>
  <w14:defaultImageDpi w14:val="330"/>
  <w15:docId w15:val="{4B8886C8-962C-409B-876B-611234EBF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nhideWhenUsed="1"/>
    <w:lsdException w:name="index heading" w:semiHidden="1"/>
    <w:lsdException w:name="caption" w:semiHidden="1" w:uiPriority="0"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1A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A64B4"/>
    <w:pPr>
      <w:jc w:val="center"/>
    </w:pPr>
    <w:rPr>
      <w:rFonts w:ascii="Arial" w:hAnsi="Arial"/>
      <w:sz w:val="16"/>
    </w:rPr>
  </w:style>
  <w:style w:type="character" w:customStyle="1" w:styleId="HeaderChar">
    <w:name w:val="Header Char"/>
    <w:basedOn w:val="DefaultParagraphFont"/>
    <w:link w:val="Header"/>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link w:val="NumberedparagraphChar"/>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aliases w:val="Rec para"/>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6"/>
      </w:numPr>
      <w:spacing w:before="0"/>
      <w:ind w:left="1077" w:hanging="397"/>
    </w:pPr>
  </w:style>
  <w:style w:type="paragraph" w:styleId="CommentText">
    <w:name w:val="annotation text"/>
    <w:basedOn w:val="Normal"/>
    <w:link w:val="CommentTextChar"/>
    <w:uiPriority w:val="99"/>
    <w:rsid w:val="00D061BE"/>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D061BE"/>
    <w:rPr>
      <w:rFonts w:ascii="Calibri" w:eastAsia="Times New Roman" w:hAnsi="Calibri" w:cs="Times New Roman"/>
      <w:sz w:val="20"/>
      <w:szCs w:val="20"/>
      <w:lang w:eastAsia="en-NZ"/>
    </w:rPr>
  </w:style>
  <w:style w:type="table" w:customStyle="1" w:styleId="MinistryfortheEnvironment">
    <w:name w:val="Ministry for the Environment"/>
    <w:basedOn w:val="TableNormal"/>
    <w:rsid w:val="00D061BE"/>
    <w:pPr>
      <w:spacing w:after="0" w:line="240" w:lineRule="auto"/>
    </w:pPr>
    <w:rPr>
      <w:rFonts w:ascii="Calibri" w:eastAsia="Calibri" w:hAnsi="Calibri" w:cs="Times New Roman"/>
      <w:szCs w:val="20"/>
      <w:lang w:eastAsia="en-NZ"/>
    </w:rPr>
    <w:tblPr>
      <w:tblStyleRowBandSize w:val="1"/>
      <w:tblBorders>
        <w:bottom w:val="single" w:sz="4" w:space="0" w:color="1B556B" w:themeColor="text2"/>
        <w:insideH w:val="single" w:sz="4" w:space="0" w:color="1B556B" w:themeColor="text2"/>
        <w:insideV w:val="single" w:sz="4" w:space="0" w:color="1B556B" w:themeColor="text2"/>
      </w:tblBorders>
      <w:tblCellMar>
        <w:bottom w:w="57" w:type="dxa"/>
      </w:tblCellMar>
    </w:tblPr>
    <w:tblStylePr w:type="firstRow">
      <w:rPr>
        <w:b/>
        <w:color w:val="FFFFFF" w:themeColor="background1"/>
        <w:sz w:val="22"/>
      </w:rPr>
      <w:tblPr/>
      <w:tcPr>
        <w:shd w:val="clear" w:color="auto" w:fill="1B556B" w:themeFill="text2"/>
      </w:tcPr>
    </w:tblStylePr>
    <w:tblStylePr w:type="band1Horz">
      <w:rPr>
        <w:sz w:val="22"/>
      </w:rPr>
    </w:tblStylePr>
    <w:tblStylePr w:type="band2Horz">
      <w:rPr>
        <w:sz w:val="22"/>
      </w:rPr>
    </w:tblStylePr>
  </w:style>
  <w:style w:type="character" w:customStyle="1" w:styleId="NumberedparagraphChar">
    <w:name w:val="Numbered paragraph Char"/>
    <w:basedOn w:val="DefaultParagraphFont"/>
    <w:link w:val="Numberedparagraph"/>
    <w:rsid w:val="0066202A"/>
    <w:rPr>
      <w:rFonts w:ascii="Calibri" w:eastAsiaTheme="minorEastAsia" w:hAnsi="Calibri"/>
      <w:lang w:eastAsia="en-NZ"/>
    </w:rPr>
  </w:style>
  <w:style w:type="character" w:customStyle="1" w:styleId="cf01">
    <w:name w:val="cf01"/>
    <w:basedOn w:val="DefaultParagraphFont"/>
    <w:rsid w:val="00D10DE4"/>
    <w:rPr>
      <w:rFonts w:ascii="Segoe UI" w:hAnsi="Segoe UI" w:cs="Segoe UI" w:hint="default"/>
      <w:sz w:val="18"/>
      <w:szCs w:val="18"/>
    </w:rPr>
  </w:style>
  <w:style w:type="paragraph" w:customStyle="1" w:styleId="TableText0">
    <w:name w:val="Table Text"/>
    <w:basedOn w:val="Normal"/>
    <w:rsid w:val="00D10DE4"/>
    <w:pPr>
      <w:autoSpaceDE w:val="0"/>
      <w:autoSpaceDN w:val="0"/>
      <w:adjustRightInd w:val="0"/>
      <w:spacing w:before="60" w:after="60" w:line="240" w:lineRule="atLeast"/>
      <w:jc w:val="left"/>
    </w:pPr>
    <w:rPr>
      <w:rFonts w:ascii="Arial" w:eastAsia="Times New Roman" w:hAnsi="Arial" w:cs="GillSans"/>
      <w:sz w:val="20"/>
      <w:lang w:val="en-GB" w:eastAsia="en-AU"/>
    </w:rPr>
  </w:style>
  <w:style w:type="character" w:customStyle="1" w:styleId="cf11">
    <w:name w:val="cf11"/>
    <w:basedOn w:val="DefaultParagraphFont"/>
    <w:rsid w:val="00D10DE4"/>
    <w:rPr>
      <w:rFonts w:ascii="Segoe UI" w:hAnsi="Segoe UI" w:cs="Segoe UI" w:hint="default"/>
      <w:sz w:val="18"/>
      <w:szCs w:val="18"/>
    </w:rPr>
  </w:style>
  <w:style w:type="character" w:customStyle="1" w:styleId="cf31">
    <w:name w:val="cf31"/>
    <w:basedOn w:val="DefaultParagraphFont"/>
    <w:rsid w:val="00D10DE4"/>
    <w:rPr>
      <w:rFonts w:ascii="Segoe UI" w:hAnsi="Segoe UI" w:cs="Segoe UI" w:hint="default"/>
      <w:b/>
      <w:bCs/>
      <w:color w:val="FF0000"/>
      <w:sz w:val="18"/>
      <w:szCs w:val="18"/>
    </w:rPr>
  </w:style>
  <w:style w:type="paragraph" w:customStyle="1" w:styleId="Blueboxtext">
    <w:name w:val="Blue box text"/>
    <w:basedOn w:val="Normal"/>
    <w:uiPriority w:val="1"/>
    <w:qFormat/>
    <w:rsid w:val="00D10DE4"/>
    <w:pPr>
      <w:spacing w:line="260" w:lineRule="atLeast"/>
      <w:ind w:left="284" w:right="284"/>
      <w:jc w:val="left"/>
    </w:pPr>
    <w:rPr>
      <w:rFonts w:eastAsia="Times New Roman" w:cs="Times New Roman"/>
      <w:color w:val="1C556C"/>
      <w:sz w:val="20"/>
    </w:rPr>
  </w:style>
  <w:style w:type="paragraph" w:customStyle="1" w:styleId="Blue-boxbullet">
    <w:name w:val="Blue-box bullet"/>
    <w:basedOn w:val="Blueboxtext"/>
    <w:uiPriority w:val="1"/>
    <w:qFormat/>
    <w:rsid w:val="00D10DE4"/>
    <w:pPr>
      <w:tabs>
        <w:tab w:val="left" w:pos="680"/>
      </w:tabs>
      <w:spacing w:before="0"/>
    </w:pPr>
    <w:rPr>
      <w:szCs w:val="20"/>
    </w:rPr>
  </w:style>
  <w:style w:type="paragraph" w:customStyle="1" w:styleId="Blue-boxsub-bullet">
    <w:name w:val="Blue-box sub-bullet"/>
    <w:basedOn w:val="Blueboxtext"/>
    <w:uiPriority w:val="1"/>
    <w:qFormat/>
    <w:rsid w:val="00D10DE4"/>
    <w:pPr>
      <w:spacing w:before="0"/>
      <w:ind w:left="1077" w:hanging="397"/>
    </w:pPr>
    <w:rPr>
      <w:szCs w:val="20"/>
    </w:rPr>
  </w:style>
  <w:style w:type="table" w:customStyle="1" w:styleId="RSTableGrida1">
    <w:name w:val="RS Table Grid a1"/>
    <w:basedOn w:val="TableNormal"/>
    <w:next w:val="TableGrid"/>
    <w:uiPriority w:val="39"/>
    <w:rsid w:val="00D10DE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D10DE4"/>
  </w:style>
  <w:style w:type="paragraph" w:customStyle="1" w:styleId="CabStandard">
    <w:name w:val="CabStandard"/>
    <w:basedOn w:val="Normal"/>
    <w:qFormat/>
    <w:rsid w:val="00D10DE4"/>
    <w:pPr>
      <w:tabs>
        <w:tab w:val="num" w:pos="720"/>
      </w:tabs>
      <w:spacing w:before="0" w:after="240" w:line="240" w:lineRule="auto"/>
      <w:ind w:left="720" w:hanging="720"/>
      <w:jc w:val="left"/>
    </w:pPr>
    <w:rPr>
      <w:rFonts w:asciiTheme="minorBidi" w:eastAsia="Courier New" w:hAnsiTheme="minorBidi" w:cs="Courier New"/>
      <w:sz w:val="24"/>
      <w:szCs w:val="20"/>
      <w:lang w:val="en-GB" w:eastAsia="ja-JP"/>
    </w:rPr>
  </w:style>
  <w:style w:type="paragraph" w:customStyle="1" w:styleId="CabRec">
    <w:name w:val="CabRec"/>
    <w:basedOn w:val="CabStandard"/>
    <w:uiPriority w:val="1"/>
    <w:qFormat/>
    <w:rsid w:val="00D10DE4"/>
    <w:rPr>
      <w:rFonts w:cs="GillSans"/>
    </w:rPr>
  </w:style>
  <w:style w:type="numbering" w:customStyle="1" w:styleId="Recommendations">
    <w:name w:val="Recommendations"/>
    <w:uiPriority w:val="99"/>
    <w:rsid w:val="00D10DE4"/>
    <w:pPr>
      <w:numPr>
        <w:numId w:val="19"/>
      </w:numPr>
    </w:pPr>
  </w:style>
  <w:style w:type="character" w:styleId="Mention">
    <w:name w:val="Mention"/>
    <w:basedOn w:val="DefaultParagraphFont"/>
    <w:uiPriority w:val="99"/>
    <w:unhideWhenUsed/>
    <w:rsid w:val="00D10DE4"/>
    <w:rPr>
      <w:color w:val="2B579A"/>
      <w:shd w:val="clear" w:color="auto" w:fill="E1DFDD"/>
    </w:rPr>
  </w:style>
  <w:style w:type="character" w:styleId="UnresolvedMention">
    <w:name w:val="Unresolved Mention"/>
    <w:basedOn w:val="DefaultParagraphFont"/>
    <w:uiPriority w:val="99"/>
    <w:unhideWhenUsed/>
    <w:rsid w:val="00D10DE4"/>
    <w:rPr>
      <w:color w:val="605E5C"/>
      <w:shd w:val="clear" w:color="auto" w:fill="E1DFDD"/>
    </w:rPr>
  </w:style>
  <w:style w:type="paragraph" w:customStyle="1" w:styleId="text">
    <w:name w:val="text"/>
    <w:basedOn w:val="Normal"/>
    <w:rsid w:val="00D10DE4"/>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TMLDefinition">
    <w:name w:val="HTML Definition"/>
    <w:basedOn w:val="DefaultParagraphFont"/>
    <w:uiPriority w:val="99"/>
    <w:semiHidden/>
    <w:unhideWhenUsed/>
    <w:rsid w:val="00D10DE4"/>
    <w:rPr>
      <w:i/>
      <w:iCs/>
    </w:rPr>
  </w:style>
  <w:style w:type="character" w:customStyle="1" w:styleId="label">
    <w:name w:val="label"/>
    <w:basedOn w:val="DefaultParagraphFont"/>
    <w:rsid w:val="00D10DE4"/>
  </w:style>
  <w:style w:type="paragraph" w:customStyle="1" w:styleId="subprov">
    <w:name w:val="subprov"/>
    <w:basedOn w:val="Normal"/>
    <w:rsid w:val="00D10DE4"/>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10DE4"/>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containslink">
    <w:name w:val="contains_link"/>
    <w:basedOn w:val="Normal"/>
    <w:rsid w:val="00D10DE4"/>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containslink0">
    <w:name w:val="containslink"/>
    <w:basedOn w:val="Normal"/>
    <w:rsid w:val="00D10DE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primary-green">
    <w:name w:val="primary-green"/>
    <w:basedOn w:val="DefaultParagraphFont"/>
    <w:rsid w:val="00D10DE4"/>
  </w:style>
  <w:style w:type="character" w:customStyle="1" w:styleId="hit">
    <w:name w:val="hit"/>
    <w:basedOn w:val="DefaultParagraphFont"/>
    <w:rsid w:val="00D10DE4"/>
  </w:style>
  <w:style w:type="character" w:customStyle="1" w:styleId="insertwords">
    <w:name w:val="insertwords"/>
    <w:basedOn w:val="DefaultParagraphFont"/>
    <w:rsid w:val="00D10DE4"/>
  </w:style>
  <w:style w:type="paragraph" w:customStyle="1" w:styleId="paragraph">
    <w:name w:val="paragraph"/>
    <w:basedOn w:val="Normal"/>
    <w:rsid w:val="00D10DE4"/>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Questionnumber">
    <w:name w:val="Question number"/>
    <w:basedOn w:val="Normal"/>
    <w:link w:val="QuestionnumberChar"/>
    <w:qFormat/>
    <w:rsid w:val="00D10DE4"/>
    <w:pPr>
      <w:numPr>
        <w:numId w:val="18"/>
      </w:numPr>
      <w:spacing w:before="0" w:after="0" w:line="240" w:lineRule="auto"/>
      <w:jc w:val="center"/>
    </w:pPr>
    <w:rPr>
      <w:rFonts w:eastAsiaTheme="minorHAnsi"/>
      <w:b/>
      <w:color w:val="FFFFFF" w:themeColor="background1"/>
      <w:lang w:eastAsia="en-US"/>
    </w:rPr>
  </w:style>
  <w:style w:type="character" w:customStyle="1" w:styleId="QuestionnumberChar">
    <w:name w:val="Question number Char"/>
    <w:basedOn w:val="DefaultParagraphFont"/>
    <w:link w:val="Questionnumber"/>
    <w:rsid w:val="00D10DE4"/>
    <w:rPr>
      <w:rFonts w:ascii="Calibri" w:hAnsi="Calibri"/>
      <w:b/>
      <w:color w:val="FFFFFF" w:themeColor="background1"/>
    </w:rPr>
  </w:style>
  <w:style w:type="character" w:styleId="Emphasis">
    <w:name w:val="Emphasis"/>
    <w:basedOn w:val="DefaultParagraphFont"/>
    <w:uiPriority w:val="20"/>
    <w:qFormat/>
    <w:rsid w:val="00D10DE4"/>
    <w:rPr>
      <w:i/>
      <w:iCs/>
    </w:rPr>
  </w:style>
  <w:style w:type="paragraph" w:customStyle="1" w:styleId="pf0">
    <w:name w:val="pf0"/>
    <w:basedOn w:val="Normal"/>
    <w:rsid w:val="00D10DE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ListParagraphChar">
    <w:name w:val="List Paragraph Char"/>
    <w:aliases w:val="Rec para Char"/>
    <w:basedOn w:val="DefaultParagraphFont"/>
    <w:link w:val="ListParagraph"/>
    <w:uiPriority w:val="34"/>
    <w:rsid w:val="00D10DE4"/>
    <w:rPr>
      <w:rFonts w:ascii="Times New Roman" w:eastAsiaTheme="minorEastAsia" w:hAnsi="Times New Roman"/>
      <w:szCs w:val="20"/>
      <w:lang w:eastAsia="en-GB"/>
    </w:rPr>
  </w:style>
  <w:style w:type="paragraph" w:customStyle="1" w:styleId="xxxxmsonormal">
    <w:name w:val="x_xxxmsonormal"/>
    <w:basedOn w:val="Normal"/>
    <w:rsid w:val="00D10DE4"/>
    <w:pPr>
      <w:spacing w:before="100" w:beforeAutospacing="1" w:after="100" w:afterAutospacing="1" w:line="240" w:lineRule="auto"/>
      <w:jc w:val="left"/>
    </w:pPr>
    <w:rPr>
      <w:rFonts w:ascii="Times New Roman" w:eastAsia="Times New Roman" w:hAnsi="Times New Roman" w:cs="Times New Roman"/>
      <w:sz w:val="24"/>
      <w:szCs w:val="24"/>
    </w:rPr>
  </w:style>
  <w:style w:type="table" w:styleId="GridTable4-Accent1">
    <w:name w:val="Grid Table 4 Accent 1"/>
    <w:basedOn w:val="TableNormal"/>
    <w:uiPriority w:val="49"/>
    <w:rsid w:val="00D10DE4"/>
    <w:pPr>
      <w:spacing w:after="0" w:line="240" w:lineRule="auto"/>
    </w:pPr>
    <w:tblPr>
      <w:tblStyleRowBandSize w:val="1"/>
      <w:tblStyleColBandSize w:val="1"/>
      <w:tblBorders>
        <w:top w:val="single" w:sz="4" w:space="0" w:color="4CAAD0" w:themeColor="accent1" w:themeTint="99"/>
        <w:left w:val="single" w:sz="4" w:space="0" w:color="4CAAD0" w:themeColor="accent1" w:themeTint="99"/>
        <w:bottom w:val="single" w:sz="4" w:space="0" w:color="4CAAD0" w:themeColor="accent1" w:themeTint="99"/>
        <w:right w:val="single" w:sz="4" w:space="0" w:color="4CAAD0" w:themeColor="accent1" w:themeTint="99"/>
        <w:insideH w:val="single" w:sz="4" w:space="0" w:color="4CAAD0" w:themeColor="accent1" w:themeTint="99"/>
        <w:insideV w:val="single" w:sz="4" w:space="0" w:color="4CAAD0" w:themeColor="accent1" w:themeTint="99"/>
      </w:tblBorders>
    </w:tblPr>
    <w:tblStylePr w:type="firstRow">
      <w:rPr>
        <w:b/>
        <w:bCs/>
        <w:color w:val="FFFFFF" w:themeColor="background1"/>
      </w:rPr>
      <w:tblPr/>
      <w:tcPr>
        <w:tcBorders>
          <w:top w:val="single" w:sz="4" w:space="0" w:color="1C556C" w:themeColor="accent1"/>
          <w:left w:val="single" w:sz="4" w:space="0" w:color="1C556C" w:themeColor="accent1"/>
          <w:bottom w:val="single" w:sz="4" w:space="0" w:color="1C556C" w:themeColor="accent1"/>
          <w:right w:val="single" w:sz="4" w:space="0" w:color="1C556C" w:themeColor="accent1"/>
          <w:insideH w:val="nil"/>
          <w:insideV w:val="nil"/>
        </w:tcBorders>
        <w:shd w:val="clear" w:color="auto" w:fill="1C556C" w:themeFill="accent1"/>
      </w:tcPr>
    </w:tblStylePr>
    <w:tblStylePr w:type="lastRow">
      <w:rPr>
        <w:b/>
        <w:bCs/>
      </w:rPr>
      <w:tblPr/>
      <w:tcPr>
        <w:tcBorders>
          <w:top w:val="double" w:sz="4" w:space="0" w:color="1C556C" w:themeColor="accent1"/>
        </w:tcBorders>
      </w:tcPr>
    </w:tblStylePr>
    <w:tblStylePr w:type="firstCol">
      <w:rPr>
        <w:b/>
        <w:bCs/>
      </w:rPr>
    </w:tblStylePr>
    <w:tblStylePr w:type="lastCol">
      <w:rPr>
        <w:b/>
        <w:bCs/>
      </w:rPr>
    </w:tblStylePr>
    <w:tblStylePr w:type="band1Vert">
      <w:tblPr/>
      <w:tcPr>
        <w:shd w:val="clear" w:color="auto" w:fill="C3E2EF" w:themeFill="accent1" w:themeFillTint="33"/>
      </w:tcPr>
    </w:tblStylePr>
    <w:tblStylePr w:type="band1Horz">
      <w:tblPr/>
      <w:tcPr>
        <w:shd w:val="clear" w:color="auto" w:fill="C3E2EF" w:themeFill="accent1" w:themeFillTint="33"/>
      </w:tcPr>
    </w:tblStylePr>
  </w:style>
  <w:style w:type="paragraph" w:customStyle="1" w:styleId="BodyText-Numbered">
    <w:name w:val="Body Text - Numbered"/>
    <w:basedOn w:val="BodyText"/>
    <w:qFormat/>
    <w:rsid w:val="00D10DE4"/>
    <w:pPr>
      <w:numPr>
        <w:numId w:val="22"/>
      </w:numPr>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203979374">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yperlink" Target="https://www.legislation.govt.nz/act/public/1949/0019/latest/LMS727536.html" TargetMode="External"/><Relationship Id="rId47" Type="http://schemas.openxmlformats.org/officeDocument/2006/relationships/hyperlink" Target="https://www.fma.govt.nz/assets/Licensing-guides/Introductory-guide-to-full-licence-requirements.pdf" TargetMode="External"/><Relationship Id="rId63" Type="http://schemas.openxmlformats.org/officeDocument/2006/relationships/hyperlink" Target="https://www.legislation.govt.nz/act/public/2013/0069/latest/whole.html" TargetMode="External"/><Relationship Id="rId68" Type="http://schemas.openxmlformats.org/officeDocument/2006/relationships/hyperlink" Target="https://www.legislation.govt.nz/act/public/2013/0069/latest/whole.html" TargetMode="Externa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legislation.govt.nz/act/public/1961/0043/latest/DLM328755.html" TargetMode="External"/><Relationship Id="rId11" Type="http://schemas.openxmlformats.org/officeDocument/2006/relationships/endnotes" Target="endnotes.xml"/><Relationship Id="rId24" Type="http://schemas.openxmlformats.org/officeDocument/2006/relationships/hyperlink" Target="https://www.legislation.govt.nz/act/public/2002/0040/latest/DLM158584.html" TargetMode="External"/><Relationship Id="rId32" Type="http://schemas.openxmlformats.org/officeDocument/2006/relationships/hyperlink" Target="https://www.legislation.govt.nz/act/public/2013/0069/latest/DLM4091373.html" TargetMode="External"/><Relationship Id="rId37" Type="http://schemas.openxmlformats.org/officeDocument/2006/relationships/hyperlink" Target="https://www.legislation.govt.nz/act/public/2013/0069/latest/DLM4091073.html" TargetMode="External"/><Relationship Id="rId40" Type="http://schemas.openxmlformats.org/officeDocument/2006/relationships/hyperlink" Target="https://financialadvicecode.govt.nz/" TargetMode="External"/><Relationship Id="rId45" Type="http://schemas.openxmlformats.org/officeDocument/2006/relationships/hyperlink" Target="https://www.legislation.govt.nz/act/public/2013/0069/latest/LMS465785.html" TargetMode="External"/><Relationship Id="rId53" Type="http://schemas.openxmlformats.org/officeDocument/2006/relationships/hyperlink" Target="https://www.legislation.govt.nz/act/public/2019/0038/latest/DLM7382815.html" TargetMode="External"/><Relationship Id="rId58" Type="http://schemas.openxmlformats.org/officeDocument/2006/relationships/hyperlink" Target="https://www.legislation.govt.nz/act/public/2020/0031/latest/LMS23223.html" TargetMode="External"/><Relationship Id="rId66" Type="http://schemas.openxmlformats.org/officeDocument/2006/relationships/hyperlink" Target="https://www.legislation.govt.nz/act/public/2013/0069/latest/DLM4090947.html" TargetMode="External"/><Relationship Id="rId5" Type="http://schemas.openxmlformats.org/officeDocument/2006/relationships/customXml" Target="../customXml/item5.xml"/><Relationship Id="rId61" Type="http://schemas.openxmlformats.org/officeDocument/2006/relationships/hyperlink" Target="https://www.legislation.govt.nz/act/public/2002/0040/latest/DLM158584.html" TargetMode="Externa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yperlink" Target="https://www.legislation.govt.nz/regulation/public/2016/0258/latest/DLM6960568.html" TargetMode="External"/><Relationship Id="rId27" Type="http://schemas.openxmlformats.org/officeDocument/2006/relationships/hyperlink" Target="https://www.publicservice.govt.nz/guidance/guide-he-aratohu/standards-of-integrity-and-conduct/" TargetMode="External"/><Relationship Id="rId30" Type="http://schemas.openxmlformats.org/officeDocument/2006/relationships/hyperlink" Target="https://www.legislation.govt.nz/act/public/1961/0043/latest/DLM328758.html" TargetMode="External"/><Relationship Id="rId35" Type="http://schemas.openxmlformats.org/officeDocument/2006/relationships/hyperlink" Target="https://www.legislation.govt.nz/act/public/2013/0069/latest/DLM4091456.html" TargetMode="External"/><Relationship Id="rId43" Type="http://schemas.openxmlformats.org/officeDocument/2006/relationships/hyperlink" Target="https://www.legislation.govt.nz/act/public/1949/0019/latest/LMS727538.html" TargetMode="External"/><Relationship Id="rId48" Type="http://schemas.openxmlformats.org/officeDocument/2006/relationships/hyperlink" Target="https://financialadvicecode.govt.nz/" TargetMode="External"/><Relationship Id="rId56" Type="http://schemas.openxmlformats.org/officeDocument/2006/relationships/hyperlink" Target="https://environment.govt.nz" TargetMode="External"/><Relationship Id="rId64" Type="http://schemas.openxmlformats.org/officeDocument/2006/relationships/hyperlink" Target="https://www.legislation.govt.nz/act/public/1949/0019/latest/DLM255626.html" TargetMode="External"/><Relationship Id="rId69" Type="http://schemas.openxmlformats.org/officeDocument/2006/relationships/hyperlink" Target="https://financialadvicecode.govt.nz/" TargetMode="External"/><Relationship Id="rId8" Type="http://schemas.openxmlformats.org/officeDocument/2006/relationships/settings" Target="settings.xml"/><Relationship Id="rId51" Type="http://schemas.openxmlformats.org/officeDocument/2006/relationships/hyperlink" Target="https://www.legislation.govt.nz/act/public/2019/0038/latest/DLM7382815.html"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https://www.legislation.govt.nz/act/public/2013/0069/latest/DLM4091463.html" TargetMode="External"/><Relationship Id="rId38" Type="http://schemas.openxmlformats.org/officeDocument/2006/relationships/hyperlink" Target="https://www.legislation.govt.nz/act/public/2013/0069/latest/DLM4702238.html" TargetMode="External"/><Relationship Id="rId46" Type="http://schemas.openxmlformats.org/officeDocument/2006/relationships/hyperlink" Target="https://www.legislation.govt.nz/act/public/2013/0069/latest/LMS465862.html" TargetMode="External"/><Relationship Id="rId59" Type="http://schemas.openxmlformats.org/officeDocument/2006/relationships/hyperlink" Target="https://www.legislation.govt.nz/act/public/2009/0035/latest/DLM2140720.html" TargetMode="External"/><Relationship Id="rId67" Type="http://schemas.openxmlformats.org/officeDocument/2006/relationships/hyperlink" Target="https://www.legislation.govt.nz/act/public/2013/0069/latest/whole.html" TargetMode="External"/><Relationship Id="rId20" Type="http://schemas.openxmlformats.org/officeDocument/2006/relationships/footer" Target="footer4.xml"/><Relationship Id="rId41" Type="http://schemas.openxmlformats.org/officeDocument/2006/relationships/hyperlink" Target="https://www.legislation.govt.nz/act/public/1949/0019/latest/LMS727516.html" TargetMode="External"/><Relationship Id="rId54" Type="http://schemas.openxmlformats.org/officeDocument/2006/relationships/hyperlink" Target="https://consult.environment.govt.nz/" TargetMode="External"/><Relationship Id="rId62" Type="http://schemas.openxmlformats.org/officeDocument/2006/relationships/hyperlink" Target="https://www.legislation.govt.nz/act/public/2013/0069/latest/LMS465996.html" TargetMode="External"/><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nvironment.govt.nz" TargetMode="External"/><Relationship Id="rId23" Type="http://schemas.openxmlformats.org/officeDocument/2006/relationships/hyperlink" Target="https://www.legislation.govt.nz/act/public/2009/0035/latest/DLM2140720.html" TargetMode="External"/><Relationship Id="rId28" Type="http://schemas.openxmlformats.org/officeDocument/2006/relationships/hyperlink" Target="https://www.legislation.govt.nz/act/public/2000/0024/latest/DLM58317.html" TargetMode="External"/><Relationship Id="rId36" Type="http://schemas.openxmlformats.org/officeDocument/2006/relationships/hyperlink" Target="https://www.legislation.govt.nz/act/public/2013/0069/latest/DLM4090967.html" TargetMode="External"/><Relationship Id="rId49" Type="http://schemas.openxmlformats.org/officeDocument/2006/relationships/hyperlink" Target="https://www.legislation.govt.nz/act/public/2013/0069/latest/whole.html" TargetMode="External"/><Relationship Id="rId57" Type="http://schemas.openxmlformats.org/officeDocument/2006/relationships/hyperlink" Target="https://www.legislation.govt.nz/act/public/1982/0156/latest/DLM64785.html" TargetMode="External"/><Relationship Id="rId10" Type="http://schemas.openxmlformats.org/officeDocument/2006/relationships/footnotes" Target="footnotes.xml"/><Relationship Id="rId31" Type="http://schemas.openxmlformats.org/officeDocument/2006/relationships/hyperlink" Target="https://www.legislation.govt.nz/act/public/2013/0069/latest/DLM4091370.html" TargetMode="External"/><Relationship Id="rId44" Type="http://schemas.openxmlformats.org/officeDocument/2006/relationships/hyperlink" Target="https://financialadvicecode.govt.nz/" TargetMode="External"/><Relationship Id="rId52" Type="http://schemas.openxmlformats.org/officeDocument/2006/relationships/hyperlink" Target="https://www.legislation.govt.nz/act/public/2009/0035/latest/DLM2140727.html" TargetMode="External"/><Relationship Id="rId60" Type="http://schemas.openxmlformats.org/officeDocument/2006/relationships/hyperlink" Target="https://www.legislation.govt.nz/regulation/public/2016/0258/latest/DLM6960568.html" TargetMode="External"/><Relationship Id="rId65" Type="http://schemas.openxmlformats.org/officeDocument/2006/relationships/hyperlink" Target="https://www.legislation.govt.nz/act/public/1986/0121/latest/DLM96439.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hyperlink" Target="https://www.legislation.govt.nz/act/public/2013/0069/latest/DLM4091621.html" TargetMode="External"/><Relationship Id="rId34" Type="http://schemas.openxmlformats.org/officeDocument/2006/relationships/hyperlink" Target="https://www.legislation.govt.nz/act/public/2013/0069/latest/DLM4091466.html" TargetMode="External"/><Relationship Id="rId50" Type="http://schemas.openxmlformats.org/officeDocument/2006/relationships/hyperlink" Target="https://www.legislation.govt.nz/act/public/2013/0069/latest/LMS465898.html" TargetMode="External"/><Relationship Id="rId55" Type="http://schemas.openxmlformats.org/officeDocument/2006/relationships/hyperlink" Target="mailto:etsconsultation@mfe.govt.n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3" Type="http://schemas.openxmlformats.org/officeDocument/2006/relationships/hyperlink" Target="https://www.legislation.govt.nz/act/public/2013/0069/latest/DLM4090981.html" TargetMode="External"/><Relationship Id="rId18" Type="http://schemas.openxmlformats.org/officeDocument/2006/relationships/hyperlink" Target="https://www.legislation.govt.nz/act/public/2013/0069/latest/LMS465863.html" TargetMode="External"/><Relationship Id="rId26" Type="http://schemas.openxmlformats.org/officeDocument/2006/relationships/hyperlink" Target="https://www.epa.govt.nz/industry-areas/emissions-trading-scheme/market-information/" TargetMode="External"/><Relationship Id="rId3" Type="http://schemas.openxmlformats.org/officeDocument/2006/relationships/hyperlink" Target="https://www.legislation.govt.nz/act/public/2013/0069/latest/DLM4090909.html" TargetMode="External"/><Relationship Id="rId21" Type="http://schemas.openxmlformats.org/officeDocument/2006/relationships/hyperlink" Target="https://www.fma.govt.nz/assets/Licensing-guides/Standard-Conditions-for-full-FAP-licences.pdf" TargetMode="External"/><Relationship Id="rId7" Type="http://schemas.openxmlformats.org/officeDocument/2006/relationships/hyperlink" Target="https://www.productivity.govt.nz/assets/Documents/4e01d69a83/Productivity-Commission_Low-emissions-economy_Final-Report.pdf" TargetMode="External"/><Relationship Id="rId12" Type="http://schemas.openxmlformats.org/officeDocument/2006/relationships/hyperlink" Target="https://www.legislation.govt.nz/regulation/public/2014/0326/latest/LMS48896.html" TargetMode="External"/><Relationship Id="rId17" Type="http://schemas.openxmlformats.org/officeDocument/2006/relationships/hyperlink" Target="https://www.legislation.govt.nz/act/public/2013/0069/latest/LMS465891.html" TargetMode="External"/><Relationship Id="rId25" Type="http://schemas.openxmlformats.org/officeDocument/2006/relationships/hyperlink" Target="https://www.legislation.govt.nz/regulation/public/2016/0258/latest/whole.html" TargetMode="External"/><Relationship Id="rId33" Type="http://schemas.openxmlformats.org/officeDocument/2006/relationships/hyperlink" Target="https://www.legislation.govt.nz/regulation/public/2014/0326/latest/LMS470567.html" TargetMode="External"/><Relationship Id="rId2" Type="http://schemas.openxmlformats.org/officeDocument/2006/relationships/hyperlink" Target="https://consult.environment.govt.nz/climate/designing-a-governance-framework-for-the-nz-ets/supporting_documents/MG%20consultation%20document%20%20FINAL.PDF" TargetMode="External"/><Relationship Id="rId16" Type="http://schemas.openxmlformats.org/officeDocument/2006/relationships/hyperlink" Target="https://www.legislation.govt.nz/act/public/2008/0097/latest/DLM1109499.html" TargetMode="External"/><Relationship Id="rId20" Type="http://schemas.openxmlformats.org/officeDocument/2006/relationships/hyperlink" Target="https://www.legislation.govt.nz/act/public/2008/0091/latest/whole.html" TargetMode="External"/><Relationship Id="rId29" Type="http://schemas.openxmlformats.org/officeDocument/2006/relationships/hyperlink" Target="https://www.fma.govt.nz/assets/Guidance/aml-cft-interpreting-ordinary-course-of-business-guideline.pdf" TargetMode="External"/><Relationship Id="rId1" Type="http://schemas.openxmlformats.org/officeDocument/2006/relationships/hyperlink" Target="https://environment.govt.nz/assets/Publications/Files/Final-ETS-Consultation-document.pdf" TargetMode="External"/><Relationship Id="rId6" Type="http://schemas.openxmlformats.org/officeDocument/2006/relationships/hyperlink" Target="https://ccc-production-media.s3.ap-southeast-2.amazonaws.com/public/evidence/advice-report-DRAFT-1ST-FEB/ADVICE/CCC-ADVICE-TO-GOVT-31-JAN-2021-pdf.pdf" TargetMode="External"/><Relationship Id="rId11" Type="http://schemas.openxmlformats.org/officeDocument/2006/relationships/hyperlink" Target="https://consult.environment.govt.nz/climate/designing-a-governance-framework-for-the-nz-ets/supporting_documents/MG%20consultation%20document%20%20FINAL.PDF" TargetMode="External"/><Relationship Id="rId24" Type="http://schemas.openxmlformats.org/officeDocument/2006/relationships/hyperlink" Target="https://www.legislation.govt.nz/regulation/public/2016/0258/latest/whole.html" TargetMode="External"/><Relationship Id="rId32" Type="http://schemas.openxmlformats.org/officeDocument/2006/relationships/hyperlink" Target="https://finance.ec.europa.eu/financial-crime/eu-context-anti-money-laundering-and-countering-financing-terrorism_en" TargetMode="External"/><Relationship Id="rId5" Type="http://schemas.openxmlformats.org/officeDocument/2006/relationships/hyperlink" Target="https://environment.govt.nz/assets/Publications/Files/Final-ETS-Consultation-document.pdf" TargetMode="External"/><Relationship Id="rId15" Type="http://schemas.openxmlformats.org/officeDocument/2006/relationships/hyperlink" Target="https://www.legislation.govt.nz/act/public/1949/0019/latest/LMS727503.html" TargetMode="External"/><Relationship Id="rId23" Type="http://schemas.openxmlformats.org/officeDocument/2006/relationships/hyperlink" Target="https://www.legislation.govt.nz/regulation/public/2014/0326/latest/whole.html" TargetMode="External"/><Relationship Id="rId28" Type="http://schemas.openxmlformats.org/officeDocument/2006/relationships/hyperlink" Target="https://www.fma.govt.nz/business/focus-areas/amlcft/amlcft-faqs/" TargetMode="External"/><Relationship Id="rId10" Type="http://schemas.openxmlformats.org/officeDocument/2006/relationships/hyperlink" Target="https://environment.govt.nz/assets/Publications/amendments-to-ccra-tranche-1-cab-18-min-0606.01.pdf" TargetMode="External"/><Relationship Id="rId19" Type="http://schemas.openxmlformats.org/officeDocument/2006/relationships/hyperlink" Target="https://www.legislation.govt.nz/act/public/1949/0019/latest/LMS727503.html" TargetMode="External"/><Relationship Id="rId31" Type="http://schemas.openxmlformats.org/officeDocument/2006/relationships/hyperlink" Target="https://www.fma.govt.nz/business/focus-areas/amlcft/amlcft-faqs/" TargetMode="External"/><Relationship Id="rId4" Type="http://schemas.openxmlformats.org/officeDocument/2006/relationships/hyperlink" Target="https://environment.govt.nz/assets/publications/ets-evaluation-report.pdf" TargetMode="External"/><Relationship Id="rId9" Type="http://schemas.openxmlformats.org/officeDocument/2006/relationships/hyperlink" Target="https://environment.govt.nz/assets/Publications/Files/Final-ETS-Consultation-document.pdf" TargetMode="External"/><Relationship Id="rId14" Type="http://schemas.openxmlformats.org/officeDocument/2006/relationships/hyperlink" Target="https://dpmc.govt.nz/publications/co-12-7-guidelines-dealing-inside-information-about-public-issuers" TargetMode="External"/><Relationship Id="rId22" Type="http://schemas.openxmlformats.org/officeDocument/2006/relationships/hyperlink" Target="https://www.legislation.govt.nz/regulation/public/2014/0326/latest/LMS470567.html" TargetMode="External"/><Relationship Id="rId27" Type="http://schemas.openxmlformats.org/officeDocument/2006/relationships/hyperlink" Target="https://www.fma.govt.nz/assets/Guidance/aml-cft-programme-guideline.pdf" TargetMode="External"/><Relationship Id="rId30" Type="http://schemas.openxmlformats.org/officeDocument/2006/relationships/hyperlink" Target="https://www.fma.govt.nz/assets/Guidance/aml-cft-programme-guideline.pdf" TargetMode="External"/><Relationship Id="rId8" Type="http://schemas.openxmlformats.org/officeDocument/2006/relationships/hyperlink" Target="https://environment.govt.nz/assets/Publications/Files/transitioning-to-a-low-emissions-futur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emang\AppData\Local\Microsoft\Windows\INetCache\Content.Outlook\BTH72FYW\TO%20FORMATTER%20-%20NZ%20ETS%20Market%20Governance%20Discussion%20Document_Formatted.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mail_x0020_Table xmlns="4a94300e-a927-4b92-9d3a-682523035cb6" xsi:nil="true"/>
    <Sender_x0020_Date xmlns="4a94300e-a927-4b92-9d3a-682523035cb6" xsi:nil="true"/>
    <Carbon_x0020_Copy xmlns="4a94300e-a927-4b92-9d3a-682523035cb6" xsi:nil="true"/>
    <Class xmlns="4a94300e-a927-4b92-9d3a-682523035cb6" xsi:nil="true"/>
    <From xmlns="4a94300e-a927-4b92-9d3a-682523035cb6" xsi:nil="true"/>
    <_dlc_DocId xmlns="58a6f171-52cb-4404-b47d-af1c8daf8fd1">ECM-1122293896-85507</_dlc_DocId>
    <Other_x0020_Details_2 xmlns="4a94300e-a927-4b92-9d3a-682523035cb6" xsi:nil="true"/>
    <Receiver xmlns="4a94300e-a927-4b92-9d3a-682523035cb6" xsi:nil="true"/>
    <Legacy_x0020_Version xmlns="4a94300e-a927-4b92-9d3a-682523035cb6" xsi:nil="true"/>
    <Author0 xmlns="4a94300e-a927-4b92-9d3a-682523035cb6" xsi:nil="true"/>
    <To xmlns="4a94300e-a927-4b92-9d3a-682523035cb6" xsi:nil="true"/>
    <MTS_x0020_ID xmlns="4a94300e-a927-4b92-9d3a-682523035cb6" xsi:nil="true"/>
    <IconOverlay xmlns="http://schemas.microsoft.com/sharepoint/v4" xsi:nil="true"/>
    <Sent_x002f_Received xmlns="4a94300e-a927-4b92-9d3a-682523035cb6" xsi:nil="true"/>
    <Other_x0020_Details_3 xmlns="4a94300e-a927-4b92-9d3a-682523035cb6" xsi:nil="true"/>
    <_ip_UnifiedCompliancePolicyUIAction xmlns="http://schemas.microsoft.com/sharepoint/v3" xsi:nil="true"/>
    <Library xmlns="4a94300e-a927-4b92-9d3a-682523035cb6" xsi:nil="true"/>
    <Document_x0020_Type xmlns="4a94300e-a927-4b92-9d3a-682523035cb6" xsi:nil="true"/>
    <Other_x0020_Details xmlns="4a94300e-a927-4b92-9d3a-682523035cb6" xsi:nil="true"/>
    <_dlc_DocIdUrl xmlns="58a6f171-52cb-4404-b47d-af1c8daf8fd1">
      <Url>https://ministryforenvironment.sharepoint.com/sites/ECM-ER-Comms/_layouts/15/DocIdRedir.aspx?ID=ECM-1122293896-85507</Url>
      <Description>ECM-1122293896-85507</Description>
    </_dlc_DocIdUrl>
    <Legacy_x0020_DocID xmlns="4a94300e-a927-4b92-9d3a-682523035cb6" xsi:nil="true"/>
    <_ip_UnifiedCompliancePolicyProperties xmlns="http://schemas.microsoft.com/sharepoint/v3" xsi:nil="true"/>
    <Receiver_x0020_Date xmlns="4a94300e-a927-4b92-9d3a-682523035cb6" xsi:nil="true"/>
    <Year xmlns="4a94300e-a927-4b92-9d3a-682523035cb6" xsi:nil="true"/>
    <MTS_x0020_Type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Status xmlns="4a94300e-a927-4b92-9d3a-682523035cb6" xsi:nil="true"/>
    <Sender xmlns="4a94300e-a927-4b92-9d3a-682523035cb6"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64EBDF-E160-4B62-81E0-25F16289D2EE}">
  <ds:schemaRefs>
    <ds:schemaRef ds:uri="http://schemas.microsoft.com/office/2006/metadata/properties"/>
    <ds:schemaRef ds:uri="http://schemas.microsoft.com/office/infopath/2007/PartnerControls"/>
    <ds:schemaRef ds:uri="4a94300e-a927-4b92-9d3a-682523035cb6"/>
    <ds:schemaRef ds:uri="58a6f171-52cb-4404-b47d-af1c8daf8fd1"/>
    <ds:schemaRef ds:uri="http://schemas.microsoft.com/sharepoint/v4"/>
    <ds:schemaRef ds:uri="http://schemas.microsoft.com/sharepoint/v3"/>
  </ds:schemaRefs>
</ds:datastoreItem>
</file>

<file path=customXml/itemProps2.xml><?xml version="1.0" encoding="utf-8"?>
<ds:datastoreItem xmlns:ds="http://schemas.openxmlformats.org/officeDocument/2006/customXml" ds:itemID="{EEB88751-0336-4A2E-9DFB-01CD3DCDEC9B}">
  <ds:schemaRefs>
    <ds:schemaRef ds:uri="http://schemas.microsoft.com/sharepoint/events"/>
  </ds:schemaRefs>
</ds:datastoreItem>
</file>

<file path=customXml/itemProps3.xml><?xml version="1.0" encoding="utf-8"?>
<ds:datastoreItem xmlns:ds="http://schemas.openxmlformats.org/officeDocument/2006/customXml" ds:itemID="{CE7541F5-7B68-40E8-A077-B863A42E64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53EBE7-6C93-4000-8CFD-4A59E3F5E7DD}">
  <ds:schemaRefs>
    <ds:schemaRef ds:uri="http://schemas.microsoft.com/sharepoint/v3/contenttype/forms"/>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 FORMATTER - NZ ETS Market Governance Discussion Document_Formatted</Template>
  <TotalTime>7</TotalTime>
  <Pages>91</Pages>
  <Words>29558</Words>
  <Characters>168481</Characters>
  <Application>Microsoft Office Word</Application>
  <DocSecurity>0</DocSecurity>
  <Lines>1404</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197644</CharactersWithSpaces>
  <SharedDoc>false</SharedDoc>
  <HLinks>
    <vt:vector size="990" baseType="variant">
      <vt:variant>
        <vt:i4>1835012</vt:i4>
      </vt:variant>
      <vt:variant>
        <vt:i4>765</vt:i4>
      </vt:variant>
      <vt:variant>
        <vt:i4>0</vt:i4>
      </vt:variant>
      <vt:variant>
        <vt:i4>5</vt:i4>
      </vt:variant>
      <vt:variant>
        <vt:lpwstr>https://financialadvicecode.govt.nz/</vt:lpwstr>
      </vt:variant>
      <vt:variant>
        <vt:lpwstr/>
      </vt:variant>
      <vt:variant>
        <vt:i4>4522053</vt:i4>
      </vt:variant>
      <vt:variant>
        <vt:i4>732</vt:i4>
      </vt:variant>
      <vt:variant>
        <vt:i4>0</vt:i4>
      </vt:variant>
      <vt:variant>
        <vt:i4>5</vt:i4>
      </vt:variant>
      <vt:variant>
        <vt:lpwstr>https://www.legislation.govt.nz/act/public/2013/0069/latest/whole.html</vt:lpwstr>
      </vt:variant>
      <vt:variant>
        <vt:lpwstr>DLM4092365</vt:lpwstr>
      </vt:variant>
      <vt:variant>
        <vt:i4>4522053</vt:i4>
      </vt:variant>
      <vt:variant>
        <vt:i4>729</vt:i4>
      </vt:variant>
      <vt:variant>
        <vt:i4>0</vt:i4>
      </vt:variant>
      <vt:variant>
        <vt:i4>5</vt:i4>
      </vt:variant>
      <vt:variant>
        <vt:lpwstr>https://www.legislation.govt.nz/act/public/2013/0069/latest/whole.html</vt:lpwstr>
      </vt:variant>
      <vt:variant>
        <vt:lpwstr>DLM4092365</vt:lpwstr>
      </vt:variant>
      <vt:variant>
        <vt:i4>7995495</vt:i4>
      </vt:variant>
      <vt:variant>
        <vt:i4>726</vt:i4>
      </vt:variant>
      <vt:variant>
        <vt:i4>0</vt:i4>
      </vt:variant>
      <vt:variant>
        <vt:i4>5</vt:i4>
      </vt:variant>
      <vt:variant>
        <vt:lpwstr>https://www.legislation.govt.nz/act/public/2013/0069/latest/DLM4090947.html</vt:lpwstr>
      </vt:variant>
      <vt:variant>
        <vt:lpwstr/>
      </vt:variant>
      <vt:variant>
        <vt:i4>5111902</vt:i4>
      </vt:variant>
      <vt:variant>
        <vt:i4>723</vt:i4>
      </vt:variant>
      <vt:variant>
        <vt:i4>0</vt:i4>
      </vt:variant>
      <vt:variant>
        <vt:i4>5</vt:i4>
      </vt:variant>
      <vt:variant>
        <vt:lpwstr>https://www.legislation.govt.nz/act/public/1986/0121/latest/DLM96439.html</vt:lpwstr>
      </vt:variant>
      <vt:variant>
        <vt:lpwstr/>
      </vt:variant>
      <vt:variant>
        <vt:i4>7929917</vt:i4>
      </vt:variant>
      <vt:variant>
        <vt:i4>720</vt:i4>
      </vt:variant>
      <vt:variant>
        <vt:i4>0</vt:i4>
      </vt:variant>
      <vt:variant>
        <vt:i4>5</vt:i4>
      </vt:variant>
      <vt:variant>
        <vt:lpwstr>https://www.legislation.govt.nz/act/public/1949/0019/latest/DLM255626.html</vt:lpwstr>
      </vt:variant>
      <vt:variant>
        <vt:lpwstr/>
      </vt:variant>
      <vt:variant>
        <vt:i4>2228344</vt:i4>
      </vt:variant>
      <vt:variant>
        <vt:i4>717</vt:i4>
      </vt:variant>
      <vt:variant>
        <vt:i4>0</vt:i4>
      </vt:variant>
      <vt:variant>
        <vt:i4>5</vt:i4>
      </vt:variant>
      <vt:variant>
        <vt:lpwstr>https://www.legislation.govt.nz/act/public/2013/0069/latest/whole.html</vt:lpwstr>
      </vt:variant>
      <vt:variant>
        <vt:lpwstr/>
      </vt:variant>
      <vt:variant>
        <vt:i4>7536675</vt:i4>
      </vt:variant>
      <vt:variant>
        <vt:i4>714</vt:i4>
      </vt:variant>
      <vt:variant>
        <vt:i4>0</vt:i4>
      </vt:variant>
      <vt:variant>
        <vt:i4>5</vt:i4>
      </vt:variant>
      <vt:variant>
        <vt:lpwstr>https://www.legislation.govt.nz/act/public/2013/0069/latest/LMS465996.html</vt:lpwstr>
      </vt:variant>
      <vt:variant>
        <vt:lpwstr/>
      </vt:variant>
      <vt:variant>
        <vt:i4>7536699</vt:i4>
      </vt:variant>
      <vt:variant>
        <vt:i4>711</vt:i4>
      </vt:variant>
      <vt:variant>
        <vt:i4>0</vt:i4>
      </vt:variant>
      <vt:variant>
        <vt:i4>5</vt:i4>
      </vt:variant>
      <vt:variant>
        <vt:lpwstr>https://www.legislation.govt.nz/act/public/2002/0040/latest/DLM158584.html</vt:lpwstr>
      </vt:variant>
      <vt:variant>
        <vt:lpwstr/>
      </vt:variant>
      <vt:variant>
        <vt:i4>3735594</vt:i4>
      </vt:variant>
      <vt:variant>
        <vt:i4>708</vt:i4>
      </vt:variant>
      <vt:variant>
        <vt:i4>0</vt:i4>
      </vt:variant>
      <vt:variant>
        <vt:i4>5</vt:i4>
      </vt:variant>
      <vt:variant>
        <vt:lpwstr>https://www.legislation.govt.nz/regulation/public/2016/0258/latest/DLM6960568.html</vt:lpwstr>
      </vt:variant>
      <vt:variant>
        <vt:lpwstr/>
      </vt:variant>
      <vt:variant>
        <vt:i4>7667823</vt:i4>
      </vt:variant>
      <vt:variant>
        <vt:i4>705</vt:i4>
      </vt:variant>
      <vt:variant>
        <vt:i4>0</vt:i4>
      </vt:variant>
      <vt:variant>
        <vt:i4>5</vt:i4>
      </vt:variant>
      <vt:variant>
        <vt:lpwstr>https://www.legislation.govt.nz/act/public/2009/0035/latest/DLM2140720.html</vt:lpwstr>
      </vt:variant>
      <vt:variant>
        <vt:lpwstr/>
      </vt:variant>
      <vt:variant>
        <vt:i4>4194370</vt:i4>
      </vt:variant>
      <vt:variant>
        <vt:i4>702</vt:i4>
      </vt:variant>
      <vt:variant>
        <vt:i4>0</vt:i4>
      </vt:variant>
      <vt:variant>
        <vt:i4>5</vt:i4>
      </vt:variant>
      <vt:variant>
        <vt:lpwstr>https://www.legislation.govt.nz/act/public/2020/0031/latest/LMS23223.html</vt:lpwstr>
      </vt:variant>
      <vt:variant>
        <vt:lpwstr/>
      </vt:variant>
      <vt:variant>
        <vt:i4>4784212</vt:i4>
      </vt:variant>
      <vt:variant>
        <vt:i4>699</vt:i4>
      </vt:variant>
      <vt:variant>
        <vt:i4>0</vt:i4>
      </vt:variant>
      <vt:variant>
        <vt:i4>5</vt:i4>
      </vt:variant>
      <vt:variant>
        <vt:lpwstr>https://www.legislation.govt.nz/act/public/1982/0156/latest/DLM64785.html</vt:lpwstr>
      </vt:variant>
      <vt:variant>
        <vt:lpwstr/>
      </vt:variant>
      <vt:variant>
        <vt:i4>917531</vt:i4>
      </vt:variant>
      <vt:variant>
        <vt:i4>696</vt:i4>
      </vt:variant>
      <vt:variant>
        <vt:i4>0</vt:i4>
      </vt:variant>
      <vt:variant>
        <vt:i4>5</vt:i4>
      </vt:variant>
      <vt:variant>
        <vt:lpwstr>https://environment.govt.nz/</vt:lpwstr>
      </vt:variant>
      <vt:variant>
        <vt:lpwstr/>
      </vt:variant>
      <vt:variant>
        <vt:i4>3080276</vt:i4>
      </vt:variant>
      <vt:variant>
        <vt:i4>693</vt:i4>
      </vt:variant>
      <vt:variant>
        <vt:i4>0</vt:i4>
      </vt:variant>
      <vt:variant>
        <vt:i4>5</vt:i4>
      </vt:variant>
      <vt:variant>
        <vt:lpwstr>mailto:etsconsultation@mfe.govt.nz</vt:lpwstr>
      </vt:variant>
      <vt:variant>
        <vt:lpwstr/>
      </vt:variant>
      <vt:variant>
        <vt:i4>5242903</vt:i4>
      </vt:variant>
      <vt:variant>
        <vt:i4>690</vt:i4>
      </vt:variant>
      <vt:variant>
        <vt:i4>0</vt:i4>
      </vt:variant>
      <vt:variant>
        <vt:i4>5</vt:i4>
      </vt:variant>
      <vt:variant>
        <vt:lpwstr>https://consult.environment.govt.nz/</vt:lpwstr>
      </vt:variant>
      <vt:variant>
        <vt:lpwstr/>
      </vt:variant>
      <vt:variant>
        <vt:i4>7995500</vt:i4>
      </vt:variant>
      <vt:variant>
        <vt:i4>687</vt:i4>
      </vt:variant>
      <vt:variant>
        <vt:i4>0</vt:i4>
      </vt:variant>
      <vt:variant>
        <vt:i4>5</vt:i4>
      </vt:variant>
      <vt:variant>
        <vt:lpwstr>https://www.legislation.govt.nz/act/public/2019/0038/latest/DLM7382815.html</vt:lpwstr>
      </vt:variant>
      <vt:variant>
        <vt:lpwstr/>
      </vt:variant>
      <vt:variant>
        <vt:i4>7471215</vt:i4>
      </vt:variant>
      <vt:variant>
        <vt:i4>666</vt:i4>
      </vt:variant>
      <vt:variant>
        <vt:i4>0</vt:i4>
      </vt:variant>
      <vt:variant>
        <vt:i4>5</vt:i4>
      </vt:variant>
      <vt:variant>
        <vt:lpwstr>https://www.legislation.govt.nz/act/public/2009/0035/latest/DLM2140727.html</vt:lpwstr>
      </vt:variant>
      <vt:variant>
        <vt:lpwstr/>
      </vt:variant>
      <vt:variant>
        <vt:i4>6160499</vt:i4>
      </vt:variant>
      <vt:variant>
        <vt:i4>663</vt:i4>
      </vt:variant>
      <vt:variant>
        <vt:i4>0</vt:i4>
      </vt:variant>
      <vt:variant>
        <vt:i4>5</vt:i4>
      </vt:variant>
      <vt:variant>
        <vt:lpwstr/>
      </vt:variant>
      <vt:variant>
        <vt:lpwstr>_Capture_points_for</vt:lpwstr>
      </vt:variant>
      <vt:variant>
        <vt:i4>6160499</vt:i4>
      </vt:variant>
      <vt:variant>
        <vt:i4>660</vt:i4>
      </vt:variant>
      <vt:variant>
        <vt:i4>0</vt:i4>
      </vt:variant>
      <vt:variant>
        <vt:i4>5</vt:i4>
      </vt:variant>
      <vt:variant>
        <vt:lpwstr/>
      </vt:variant>
      <vt:variant>
        <vt:lpwstr>_Capture_points_for</vt:lpwstr>
      </vt:variant>
      <vt:variant>
        <vt:i4>1310827</vt:i4>
      </vt:variant>
      <vt:variant>
        <vt:i4>657</vt:i4>
      </vt:variant>
      <vt:variant>
        <vt:i4>0</vt:i4>
      </vt:variant>
      <vt:variant>
        <vt:i4>5</vt:i4>
      </vt:variant>
      <vt:variant>
        <vt:lpwstr/>
      </vt:variant>
      <vt:variant>
        <vt:lpwstr>_Appendix_D:_Topic</vt:lpwstr>
      </vt:variant>
      <vt:variant>
        <vt:i4>3276810</vt:i4>
      </vt:variant>
      <vt:variant>
        <vt:i4>654</vt:i4>
      </vt:variant>
      <vt:variant>
        <vt:i4>0</vt:i4>
      </vt:variant>
      <vt:variant>
        <vt:i4>5</vt:i4>
      </vt:variant>
      <vt:variant>
        <vt:lpwstr/>
      </vt:variant>
      <vt:variant>
        <vt:lpwstr>_What_we_have</vt:lpwstr>
      </vt:variant>
      <vt:variant>
        <vt:i4>7995500</vt:i4>
      </vt:variant>
      <vt:variant>
        <vt:i4>651</vt:i4>
      </vt:variant>
      <vt:variant>
        <vt:i4>0</vt:i4>
      </vt:variant>
      <vt:variant>
        <vt:i4>5</vt:i4>
      </vt:variant>
      <vt:variant>
        <vt:lpwstr>https://www.legislation.govt.nz/act/public/2019/0038/latest/DLM7382815.html</vt:lpwstr>
      </vt:variant>
      <vt:variant>
        <vt:lpwstr/>
      </vt:variant>
      <vt:variant>
        <vt:i4>5963893</vt:i4>
      </vt:variant>
      <vt:variant>
        <vt:i4>636</vt:i4>
      </vt:variant>
      <vt:variant>
        <vt:i4>0</vt:i4>
      </vt:variant>
      <vt:variant>
        <vt:i4>5</vt:i4>
      </vt:variant>
      <vt:variant>
        <vt:lpwstr/>
      </vt:variant>
      <vt:variant>
        <vt:lpwstr>_What_is_a</vt:lpwstr>
      </vt:variant>
      <vt:variant>
        <vt:i4>7536684</vt:i4>
      </vt:variant>
      <vt:variant>
        <vt:i4>633</vt:i4>
      </vt:variant>
      <vt:variant>
        <vt:i4>0</vt:i4>
      </vt:variant>
      <vt:variant>
        <vt:i4>5</vt:i4>
      </vt:variant>
      <vt:variant>
        <vt:lpwstr>https://www.legislation.govt.nz/act/public/2013/0069/latest/LMS465898.html</vt:lpwstr>
      </vt:variant>
      <vt:variant>
        <vt:lpwstr/>
      </vt:variant>
      <vt:variant>
        <vt:i4>4522053</vt:i4>
      </vt:variant>
      <vt:variant>
        <vt:i4>630</vt:i4>
      </vt:variant>
      <vt:variant>
        <vt:i4>0</vt:i4>
      </vt:variant>
      <vt:variant>
        <vt:i4>5</vt:i4>
      </vt:variant>
      <vt:variant>
        <vt:lpwstr>https://www.legislation.govt.nz/act/public/2013/0069/latest/whole.html</vt:lpwstr>
      </vt:variant>
      <vt:variant>
        <vt:lpwstr>DLM4092365</vt:lpwstr>
      </vt:variant>
      <vt:variant>
        <vt:i4>2687088</vt:i4>
      </vt:variant>
      <vt:variant>
        <vt:i4>627</vt:i4>
      </vt:variant>
      <vt:variant>
        <vt:i4>0</vt:i4>
      </vt:variant>
      <vt:variant>
        <vt:i4>5</vt:i4>
      </vt:variant>
      <vt:variant>
        <vt:lpwstr>https://financialadvicecode.govt.nz/</vt:lpwstr>
      </vt:variant>
      <vt:variant>
        <vt:lpwstr>Financial%20advice%20code%20website</vt:lpwstr>
      </vt:variant>
      <vt:variant>
        <vt:i4>6881389</vt:i4>
      </vt:variant>
      <vt:variant>
        <vt:i4>624</vt:i4>
      </vt:variant>
      <vt:variant>
        <vt:i4>0</vt:i4>
      </vt:variant>
      <vt:variant>
        <vt:i4>5</vt:i4>
      </vt:variant>
      <vt:variant>
        <vt:lpwstr>https://www.fma.govt.nz/assets/Licensing-guides/Introductory-guide-to-full-licence-requirements.pdf</vt:lpwstr>
      </vt:variant>
      <vt:variant>
        <vt:lpwstr/>
      </vt:variant>
      <vt:variant>
        <vt:i4>3932168</vt:i4>
      </vt:variant>
      <vt:variant>
        <vt:i4>621</vt:i4>
      </vt:variant>
      <vt:variant>
        <vt:i4>0</vt:i4>
      </vt:variant>
      <vt:variant>
        <vt:i4>5</vt:i4>
      </vt:variant>
      <vt:variant>
        <vt:lpwstr/>
      </vt:variant>
      <vt:variant>
        <vt:lpwstr>_Duties_in_providing</vt:lpwstr>
      </vt:variant>
      <vt:variant>
        <vt:i4>8126502</vt:i4>
      </vt:variant>
      <vt:variant>
        <vt:i4>594</vt:i4>
      </vt:variant>
      <vt:variant>
        <vt:i4>0</vt:i4>
      </vt:variant>
      <vt:variant>
        <vt:i4>5</vt:i4>
      </vt:variant>
      <vt:variant>
        <vt:lpwstr>https://www.legislation.govt.nz/act/public/2013/0069/latest/LMS465862.html</vt:lpwstr>
      </vt:variant>
      <vt:variant>
        <vt:lpwstr/>
      </vt:variant>
      <vt:variant>
        <vt:i4>7471150</vt:i4>
      </vt:variant>
      <vt:variant>
        <vt:i4>591</vt:i4>
      </vt:variant>
      <vt:variant>
        <vt:i4>0</vt:i4>
      </vt:variant>
      <vt:variant>
        <vt:i4>5</vt:i4>
      </vt:variant>
      <vt:variant>
        <vt:lpwstr>https://www.legislation.govt.nz/act/public/2013/0069/latest/LMS465785.html</vt:lpwstr>
      </vt:variant>
      <vt:variant>
        <vt:lpwstr/>
      </vt:variant>
      <vt:variant>
        <vt:i4>1310828</vt:i4>
      </vt:variant>
      <vt:variant>
        <vt:i4>588</vt:i4>
      </vt:variant>
      <vt:variant>
        <vt:i4>0</vt:i4>
      </vt:variant>
      <vt:variant>
        <vt:i4>5</vt:i4>
      </vt:variant>
      <vt:variant>
        <vt:lpwstr/>
      </vt:variant>
      <vt:variant>
        <vt:lpwstr>_Appendix_C:_Topic</vt:lpwstr>
      </vt:variant>
      <vt:variant>
        <vt:i4>2687088</vt:i4>
      </vt:variant>
      <vt:variant>
        <vt:i4>585</vt:i4>
      </vt:variant>
      <vt:variant>
        <vt:i4>0</vt:i4>
      </vt:variant>
      <vt:variant>
        <vt:i4>5</vt:i4>
      </vt:variant>
      <vt:variant>
        <vt:lpwstr>https://financialadvicecode.govt.nz/</vt:lpwstr>
      </vt:variant>
      <vt:variant>
        <vt:lpwstr>Financial%20advice%20code%20website</vt:lpwstr>
      </vt:variant>
      <vt:variant>
        <vt:i4>2555932</vt:i4>
      </vt:variant>
      <vt:variant>
        <vt:i4>582</vt:i4>
      </vt:variant>
      <vt:variant>
        <vt:i4>0</vt:i4>
      </vt:variant>
      <vt:variant>
        <vt:i4>5</vt:i4>
      </vt:variant>
      <vt:variant>
        <vt:lpwstr/>
      </vt:variant>
      <vt:variant>
        <vt:lpwstr>_What_regulatory_settings</vt:lpwstr>
      </vt:variant>
      <vt:variant>
        <vt:i4>8257569</vt:i4>
      </vt:variant>
      <vt:variant>
        <vt:i4>570</vt:i4>
      </vt:variant>
      <vt:variant>
        <vt:i4>0</vt:i4>
      </vt:variant>
      <vt:variant>
        <vt:i4>5</vt:i4>
      </vt:variant>
      <vt:variant>
        <vt:lpwstr>https://www.legislation.govt.nz/act/public/1949/0019/latest/LMS727538.html</vt:lpwstr>
      </vt:variant>
      <vt:variant>
        <vt:lpwstr/>
      </vt:variant>
      <vt:variant>
        <vt:i4>8257583</vt:i4>
      </vt:variant>
      <vt:variant>
        <vt:i4>567</vt:i4>
      </vt:variant>
      <vt:variant>
        <vt:i4>0</vt:i4>
      </vt:variant>
      <vt:variant>
        <vt:i4>5</vt:i4>
      </vt:variant>
      <vt:variant>
        <vt:lpwstr>https://www.legislation.govt.nz/act/public/1949/0019/latest/LMS727536.html</vt:lpwstr>
      </vt:variant>
      <vt:variant>
        <vt:lpwstr/>
      </vt:variant>
      <vt:variant>
        <vt:i4>8126511</vt:i4>
      </vt:variant>
      <vt:variant>
        <vt:i4>564</vt:i4>
      </vt:variant>
      <vt:variant>
        <vt:i4>0</vt:i4>
      </vt:variant>
      <vt:variant>
        <vt:i4>5</vt:i4>
      </vt:variant>
      <vt:variant>
        <vt:lpwstr>https://www.legislation.govt.nz/act/public/1949/0019/latest/LMS727516.html</vt:lpwstr>
      </vt:variant>
      <vt:variant>
        <vt:lpwstr/>
      </vt:variant>
      <vt:variant>
        <vt:i4>2687088</vt:i4>
      </vt:variant>
      <vt:variant>
        <vt:i4>561</vt:i4>
      </vt:variant>
      <vt:variant>
        <vt:i4>0</vt:i4>
      </vt:variant>
      <vt:variant>
        <vt:i4>5</vt:i4>
      </vt:variant>
      <vt:variant>
        <vt:lpwstr>https://financialadvicecode.govt.nz/</vt:lpwstr>
      </vt:variant>
      <vt:variant>
        <vt:lpwstr>Financial%20advice%20code%20website</vt:lpwstr>
      </vt:variant>
      <vt:variant>
        <vt:i4>7536736</vt:i4>
      </vt:variant>
      <vt:variant>
        <vt:i4>546</vt:i4>
      </vt:variant>
      <vt:variant>
        <vt:i4>0</vt:i4>
      </vt:variant>
      <vt:variant>
        <vt:i4>5</vt:i4>
      </vt:variant>
      <vt:variant>
        <vt:lpwstr>https://www.legislation.govt.nz/act/public/2013/0069/latest/DLM4091621.html</vt:lpwstr>
      </vt:variant>
      <vt:variant>
        <vt:lpwstr/>
      </vt:variant>
      <vt:variant>
        <vt:i4>7798885</vt:i4>
      </vt:variant>
      <vt:variant>
        <vt:i4>543</vt:i4>
      </vt:variant>
      <vt:variant>
        <vt:i4>0</vt:i4>
      </vt:variant>
      <vt:variant>
        <vt:i4>5</vt:i4>
      </vt:variant>
      <vt:variant>
        <vt:lpwstr>https://www.legislation.govt.nz/act/public/2013/0069/latest/DLM4702238.html</vt:lpwstr>
      </vt:variant>
      <vt:variant>
        <vt:lpwstr/>
      </vt:variant>
      <vt:variant>
        <vt:i4>7798885</vt:i4>
      </vt:variant>
      <vt:variant>
        <vt:i4>540</vt:i4>
      </vt:variant>
      <vt:variant>
        <vt:i4>0</vt:i4>
      </vt:variant>
      <vt:variant>
        <vt:i4>5</vt:i4>
      </vt:variant>
      <vt:variant>
        <vt:lpwstr>https://www.legislation.govt.nz/act/public/2013/0069/latest/DLM4091073.html</vt:lpwstr>
      </vt:variant>
      <vt:variant>
        <vt:lpwstr/>
      </vt:variant>
      <vt:variant>
        <vt:i4>7995493</vt:i4>
      </vt:variant>
      <vt:variant>
        <vt:i4>537</vt:i4>
      </vt:variant>
      <vt:variant>
        <vt:i4>0</vt:i4>
      </vt:variant>
      <vt:variant>
        <vt:i4>5</vt:i4>
      </vt:variant>
      <vt:variant>
        <vt:lpwstr>https://www.legislation.govt.nz/act/public/2013/0069/latest/DLM4090967.html</vt:lpwstr>
      </vt:variant>
      <vt:variant>
        <vt:lpwstr/>
      </vt:variant>
      <vt:variant>
        <vt:i4>7733351</vt:i4>
      </vt:variant>
      <vt:variant>
        <vt:i4>534</vt:i4>
      </vt:variant>
      <vt:variant>
        <vt:i4>0</vt:i4>
      </vt:variant>
      <vt:variant>
        <vt:i4>5</vt:i4>
      </vt:variant>
      <vt:variant>
        <vt:lpwstr>https://www.legislation.govt.nz/act/public/2013/0069/latest/DLM4091456.html</vt:lpwstr>
      </vt:variant>
      <vt:variant>
        <vt:lpwstr/>
      </vt:variant>
      <vt:variant>
        <vt:i4>7733348</vt:i4>
      </vt:variant>
      <vt:variant>
        <vt:i4>531</vt:i4>
      </vt:variant>
      <vt:variant>
        <vt:i4>0</vt:i4>
      </vt:variant>
      <vt:variant>
        <vt:i4>5</vt:i4>
      </vt:variant>
      <vt:variant>
        <vt:lpwstr>https://www.legislation.govt.nz/act/public/2013/0069/latest/DLM4091466.html</vt:lpwstr>
      </vt:variant>
      <vt:variant>
        <vt:lpwstr/>
      </vt:variant>
      <vt:variant>
        <vt:i4>7536740</vt:i4>
      </vt:variant>
      <vt:variant>
        <vt:i4>528</vt:i4>
      </vt:variant>
      <vt:variant>
        <vt:i4>0</vt:i4>
      </vt:variant>
      <vt:variant>
        <vt:i4>5</vt:i4>
      </vt:variant>
      <vt:variant>
        <vt:lpwstr>https://www.legislation.govt.nz/act/public/2013/0069/latest/DLM4091463.html</vt:lpwstr>
      </vt:variant>
      <vt:variant>
        <vt:lpwstr/>
      </vt:variant>
      <vt:variant>
        <vt:i4>2162695</vt:i4>
      </vt:variant>
      <vt:variant>
        <vt:i4>525</vt:i4>
      </vt:variant>
      <vt:variant>
        <vt:i4>0</vt:i4>
      </vt:variant>
      <vt:variant>
        <vt:i4>5</vt:i4>
      </vt:variant>
      <vt:variant>
        <vt:lpwstr/>
      </vt:variant>
      <vt:variant>
        <vt:lpwstr>_An_optional_centralised</vt:lpwstr>
      </vt:variant>
      <vt:variant>
        <vt:i4>7602277</vt:i4>
      </vt:variant>
      <vt:variant>
        <vt:i4>522</vt:i4>
      </vt:variant>
      <vt:variant>
        <vt:i4>0</vt:i4>
      </vt:variant>
      <vt:variant>
        <vt:i4>5</vt:i4>
      </vt:variant>
      <vt:variant>
        <vt:lpwstr>https://www.legislation.govt.nz/act/public/2013/0069/latest/DLM4091373.html</vt:lpwstr>
      </vt:variant>
      <vt:variant>
        <vt:lpwstr/>
      </vt:variant>
      <vt:variant>
        <vt:i4>7798885</vt:i4>
      </vt:variant>
      <vt:variant>
        <vt:i4>519</vt:i4>
      </vt:variant>
      <vt:variant>
        <vt:i4>0</vt:i4>
      </vt:variant>
      <vt:variant>
        <vt:i4>5</vt:i4>
      </vt:variant>
      <vt:variant>
        <vt:lpwstr>https://www.legislation.govt.nz/act/public/2013/0069/latest/DLM4091370.html</vt:lpwstr>
      </vt:variant>
      <vt:variant>
        <vt:lpwstr/>
      </vt:variant>
      <vt:variant>
        <vt:i4>6553680</vt:i4>
      </vt:variant>
      <vt:variant>
        <vt:i4>516</vt:i4>
      </vt:variant>
      <vt:variant>
        <vt:i4>0</vt:i4>
      </vt:variant>
      <vt:variant>
        <vt:i4>5</vt:i4>
      </vt:variant>
      <vt:variant>
        <vt:lpwstr/>
      </vt:variant>
      <vt:variant>
        <vt:lpwstr>_Government_information_as</vt:lpwstr>
      </vt:variant>
      <vt:variant>
        <vt:i4>1310829</vt:i4>
      </vt:variant>
      <vt:variant>
        <vt:i4>507</vt:i4>
      </vt:variant>
      <vt:variant>
        <vt:i4>0</vt:i4>
      </vt:variant>
      <vt:variant>
        <vt:i4>5</vt:i4>
      </vt:variant>
      <vt:variant>
        <vt:lpwstr/>
      </vt:variant>
      <vt:variant>
        <vt:lpwstr>_Appendix_B:_Topic</vt:lpwstr>
      </vt:variant>
      <vt:variant>
        <vt:i4>7995448</vt:i4>
      </vt:variant>
      <vt:variant>
        <vt:i4>501</vt:i4>
      </vt:variant>
      <vt:variant>
        <vt:i4>0</vt:i4>
      </vt:variant>
      <vt:variant>
        <vt:i4>5</vt:i4>
      </vt:variant>
      <vt:variant>
        <vt:lpwstr>https://www.legislation.govt.nz/act/public/1961/0043/latest/DLM328758.html</vt:lpwstr>
      </vt:variant>
      <vt:variant>
        <vt:lpwstr/>
      </vt:variant>
      <vt:variant>
        <vt:i4>7995445</vt:i4>
      </vt:variant>
      <vt:variant>
        <vt:i4>498</vt:i4>
      </vt:variant>
      <vt:variant>
        <vt:i4>0</vt:i4>
      </vt:variant>
      <vt:variant>
        <vt:i4>5</vt:i4>
      </vt:variant>
      <vt:variant>
        <vt:lpwstr>https://www.legislation.govt.nz/act/public/1961/0043/latest/DLM328755.html</vt:lpwstr>
      </vt:variant>
      <vt:variant>
        <vt:lpwstr/>
      </vt:variant>
      <vt:variant>
        <vt:i4>4456541</vt:i4>
      </vt:variant>
      <vt:variant>
        <vt:i4>495</vt:i4>
      </vt:variant>
      <vt:variant>
        <vt:i4>0</vt:i4>
      </vt:variant>
      <vt:variant>
        <vt:i4>5</vt:i4>
      </vt:variant>
      <vt:variant>
        <vt:lpwstr>https://www.legislation.govt.nz/act/public/2000/0024/latest/DLM58317.html</vt:lpwstr>
      </vt:variant>
      <vt:variant>
        <vt:lpwstr/>
      </vt:variant>
      <vt:variant>
        <vt:i4>7602221</vt:i4>
      </vt:variant>
      <vt:variant>
        <vt:i4>492</vt:i4>
      </vt:variant>
      <vt:variant>
        <vt:i4>0</vt:i4>
      </vt:variant>
      <vt:variant>
        <vt:i4>5</vt:i4>
      </vt:variant>
      <vt:variant>
        <vt:lpwstr>https://www.publicservice.govt.nz/guidance/guide-he-aratohu/standards-of-integrity-and-conduct/</vt:lpwstr>
      </vt:variant>
      <vt:variant>
        <vt:lpwstr/>
      </vt:variant>
      <vt:variant>
        <vt:i4>7667714</vt:i4>
      </vt:variant>
      <vt:variant>
        <vt:i4>459</vt:i4>
      </vt:variant>
      <vt:variant>
        <vt:i4>0</vt:i4>
      </vt:variant>
      <vt:variant>
        <vt:i4>5</vt:i4>
      </vt:variant>
      <vt:variant>
        <vt:lpwstr/>
      </vt:variant>
      <vt:variant>
        <vt:lpwstr>_Appendix_A:_Summary</vt:lpwstr>
      </vt:variant>
      <vt:variant>
        <vt:i4>7536699</vt:i4>
      </vt:variant>
      <vt:variant>
        <vt:i4>441</vt:i4>
      </vt:variant>
      <vt:variant>
        <vt:i4>0</vt:i4>
      </vt:variant>
      <vt:variant>
        <vt:i4>5</vt:i4>
      </vt:variant>
      <vt:variant>
        <vt:lpwstr>https://www.legislation.govt.nz/act/public/2002/0040/latest/DLM158584.html</vt:lpwstr>
      </vt:variant>
      <vt:variant>
        <vt:lpwstr/>
      </vt:variant>
      <vt:variant>
        <vt:i4>7667823</vt:i4>
      </vt:variant>
      <vt:variant>
        <vt:i4>438</vt:i4>
      </vt:variant>
      <vt:variant>
        <vt:i4>0</vt:i4>
      </vt:variant>
      <vt:variant>
        <vt:i4>5</vt:i4>
      </vt:variant>
      <vt:variant>
        <vt:lpwstr>https://www.legislation.govt.nz/act/public/2009/0035/latest/DLM2140720.html</vt:lpwstr>
      </vt:variant>
      <vt:variant>
        <vt:lpwstr/>
      </vt:variant>
      <vt:variant>
        <vt:i4>3735594</vt:i4>
      </vt:variant>
      <vt:variant>
        <vt:i4>435</vt:i4>
      </vt:variant>
      <vt:variant>
        <vt:i4>0</vt:i4>
      </vt:variant>
      <vt:variant>
        <vt:i4>5</vt:i4>
      </vt:variant>
      <vt:variant>
        <vt:lpwstr>https://www.legislation.govt.nz/regulation/public/2016/0258/latest/DLM6960568.html</vt:lpwstr>
      </vt:variant>
      <vt:variant>
        <vt:lpwstr/>
      </vt:variant>
      <vt:variant>
        <vt:i4>2031668</vt:i4>
      </vt:variant>
      <vt:variant>
        <vt:i4>422</vt:i4>
      </vt:variant>
      <vt:variant>
        <vt:i4>0</vt:i4>
      </vt:variant>
      <vt:variant>
        <vt:i4>5</vt:i4>
      </vt:variant>
      <vt:variant>
        <vt:lpwstr/>
      </vt:variant>
      <vt:variant>
        <vt:lpwstr>_Toc118953839</vt:lpwstr>
      </vt:variant>
      <vt:variant>
        <vt:i4>2031668</vt:i4>
      </vt:variant>
      <vt:variant>
        <vt:i4>416</vt:i4>
      </vt:variant>
      <vt:variant>
        <vt:i4>0</vt:i4>
      </vt:variant>
      <vt:variant>
        <vt:i4>5</vt:i4>
      </vt:variant>
      <vt:variant>
        <vt:lpwstr/>
      </vt:variant>
      <vt:variant>
        <vt:lpwstr>_Toc118953838</vt:lpwstr>
      </vt:variant>
      <vt:variant>
        <vt:i4>2031668</vt:i4>
      </vt:variant>
      <vt:variant>
        <vt:i4>410</vt:i4>
      </vt:variant>
      <vt:variant>
        <vt:i4>0</vt:i4>
      </vt:variant>
      <vt:variant>
        <vt:i4>5</vt:i4>
      </vt:variant>
      <vt:variant>
        <vt:lpwstr/>
      </vt:variant>
      <vt:variant>
        <vt:lpwstr>_Toc118953837</vt:lpwstr>
      </vt:variant>
      <vt:variant>
        <vt:i4>2031668</vt:i4>
      </vt:variant>
      <vt:variant>
        <vt:i4>404</vt:i4>
      </vt:variant>
      <vt:variant>
        <vt:i4>0</vt:i4>
      </vt:variant>
      <vt:variant>
        <vt:i4>5</vt:i4>
      </vt:variant>
      <vt:variant>
        <vt:lpwstr/>
      </vt:variant>
      <vt:variant>
        <vt:lpwstr>_Toc118953836</vt:lpwstr>
      </vt:variant>
      <vt:variant>
        <vt:i4>2031668</vt:i4>
      </vt:variant>
      <vt:variant>
        <vt:i4>398</vt:i4>
      </vt:variant>
      <vt:variant>
        <vt:i4>0</vt:i4>
      </vt:variant>
      <vt:variant>
        <vt:i4>5</vt:i4>
      </vt:variant>
      <vt:variant>
        <vt:lpwstr/>
      </vt:variant>
      <vt:variant>
        <vt:lpwstr>_Toc118953835</vt:lpwstr>
      </vt:variant>
      <vt:variant>
        <vt:i4>2031668</vt:i4>
      </vt:variant>
      <vt:variant>
        <vt:i4>392</vt:i4>
      </vt:variant>
      <vt:variant>
        <vt:i4>0</vt:i4>
      </vt:variant>
      <vt:variant>
        <vt:i4>5</vt:i4>
      </vt:variant>
      <vt:variant>
        <vt:lpwstr/>
      </vt:variant>
      <vt:variant>
        <vt:lpwstr>_Toc118953834</vt:lpwstr>
      </vt:variant>
      <vt:variant>
        <vt:i4>2031668</vt:i4>
      </vt:variant>
      <vt:variant>
        <vt:i4>386</vt:i4>
      </vt:variant>
      <vt:variant>
        <vt:i4>0</vt:i4>
      </vt:variant>
      <vt:variant>
        <vt:i4>5</vt:i4>
      </vt:variant>
      <vt:variant>
        <vt:lpwstr/>
      </vt:variant>
      <vt:variant>
        <vt:lpwstr>_Toc118953833</vt:lpwstr>
      </vt:variant>
      <vt:variant>
        <vt:i4>2031668</vt:i4>
      </vt:variant>
      <vt:variant>
        <vt:i4>380</vt:i4>
      </vt:variant>
      <vt:variant>
        <vt:i4>0</vt:i4>
      </vt:variant>
      <vt:variant>
        <vt:i4>5</vt:i4>
      </vt:variant>
      <vt:variant>
        <vt:lpwstr/>
      </vt:variant>
      <vt:variant>
        <vt:lpwstr>_Toc118953832</vt:lpwstr>
      </vt:variant>
      <vt:variant>
        <vt:i4>2031668</vt:i4>
      </vt:variant>
      <vt:variant>
        <vt:i4>374</vt:i4>
      </vt:variant>
      <vt:variant>
        <vt:i4>0</vt:i4>
      </vt:variant>
      <vt:variant>
        <vt:i4>5</vt:i4>
      </vt:variant>
      <vt:variant>
        <vt:lpwstr/>
      </vt:variant>
      <vt:variant>
        <vt:lpwstr>_Toc118953831</vt:lpwstr>
      </vt:variant>
      <vt:variant>
        <vt:i4>2031668</vt:i4>
      </vt:variant>
      <vt:variant>
        <vt:i4>368</vt:i4>
      </vt:variant>
      <vt:variant>
        <vt:i4>0</vt:i4>
      </vt:variant>
      <vt:variant>
        <vt:i4>5</vt:i4>
      </vt:variant>
      <vt:variant>
        <vt:lpwstr/>
      </vt:variant>
      <vt:variant>
        <vt:lpwstr>_Toc118953830</vt:lpwstr>
      </vt:variant>
      <vt:variant>
        <vt:i4>1966132</vt:i4>
      </vt:variant>
      <vt:variant>
        <vt:i4>362</vt:i4>
      </vt:variant>
      <vt:variant>
        <vt:i4>0</vt:i4>
      </vt:variant>
      <vt:variant>
        <vt:i4>5</vt:i4>
      </vt:variant>
      <vt:variant>
        <vt:lpwstr/>
      </vt:variant>
      <vt:variant>
        <vt:lpwstr>_Toc118953829</vt:lpwstr>
      </vt:variant>
      <vt:variant>
        <vt:i4>1966132</vt:i4>
      </vt:variant>
      <vt:variant>
        <vt:i4>356</vt:i4>
      </vt:variant>
      <vt:variant>
        <vt:i4>0</vt:i4>
      </vt:variant>
      <vt:variant>
        <vt:i4>5</vt:i4>
      </vt:variant>
      <vt:variant>
        <vt:lpwstr/>
      </vt:variant>
      <vt:variant>
        <vt:lpwstr>_Toc118953828</vt:lpwstr>
      </vt:variant>
      <vt:variant>
        <vt:i4>1966132</vt:i4>
      </vt:variant>
      <vt:variant>
        <vt:i4>350</vt:i4>
      </vt:variant>
      <vt:variant>
        <vt:i4>0</vt:i4>
      </vt:variant>
      <vt:variant>
        <vt:i4>5</vt:i4>
      </vt:variant>
      <vt:variant>
        <vt:lpwstr/>
      </vt:variant>
      <vt:variant>
        <vt:lpwstr>_Toc118953827</vt:lpwstr>
      </vt:variant>
      <vt:variant>
        <vt:i4>1966132</vt:i4>
      </vt:variant>
      <vt:variant>
        <vt:i4>344</vt:i4>
      </vt:variant>
      <vt:variant>
        <vt:i4>0</vt:i4>
      </vt:variant>
      <vt:variant>
        <vt:i4>5</vt:i4>
      </vt:variant>
      <vt:variant>
        <vt:lpwstr/>
      </vt:variant>
      <vt:variant>
        <vt:lpwstr>_Toc118953826</vt:lpwstr>
      </vt:variant>
      <vt:variant>
        <vt:i4>1966132</vt:i4>
      </vt:variant>
      <vt:variant>
        <vt:i4>338</vt:i4>
      </vt:variant>
      <vt:variant>
        <vt:i4>0</vt:i4>
      </vt:variant>
      <vt:variant>
        <vt:i4>5</vt:i4>
      </vt:variant>
      <vt:variant>
        <vt:lpwstr/>
      </vt:variant>
      <vt:variant>
        <vt:lpwstr>_Toc118953825</vt:lpwstr>
      </vt:variant>
      <vt:variant>
        <vt:i4>1966132</vt:i4>
      </vt:variant>
      <vt:variant>
        <vt:i4>332</vt:i4>
      </vt:variant>
      <vt:variant>
        <vt:i4>0</vt:i4>
      </vt:variant>
      <vt:variant>
        <vt:i4>5</vt:i4>
      </vt:variant>
      <vt:variant>
        <vt:lpwstr/>
      </vt:variant>
      <vt:variant>
        <vt:lpwstr>_Toc118953824</vt:lpwstr>
      </vt:variant>
      <vt:variant>
        <vt:i4>1966132</vt:i4>
      </vt:variant>
      <vt:variant>
        <vt:i4>326</vt:i4>
      </vt:variant>
      <vt:variant>
        <vt:i4>0</vt:i4>
      </vt:variant>
      <vt:variant>
        <vt:i4>5</vt:i4>
      </vt:variant>
      <vt:variant>
        <vt:lpwstr/>
      </vt:variant>
      <vt:variant>
        <vt:lpwstr>_Toc118953823</vt:lpwstr>
      </vt:variant>
      <vt:variant>
        <vt:i4>1966132</vt:i4>
      </vt:variant>
      <vt:variant>
        <vt:i4>320</vt:i4>
      </vt:variant>
      <vt:variant>
        <vt:i4>0</vt:i4>
      </vt:variant>
      <vt:variant>
        <vt:i4>5</vt:i4>
      </vt:variant>
      <vt:variant>
        <vt:lpwstr/>
      </vt:variant>
      <vt:variant>
        <vt:lpwstr>_Toc118953822</vt:lpwstr>
      </vt:variant>
      <vt:variant>
        <vt:i4>1966132</vt:i4>
      </vt:variant>
      <vt:variant>
        <vt:i4>314</vt:i4>
      </vt:variant>
      <vt:variant>
        <vt:i4>0</vt:i4>
      </vt:variant>
      <vt:variant>
        <vt:i4>5</vt:i4>
      </vt:variant>
      <vt:variant>
        <vt:lpwstr/>
      </vt:variant>
      <vt:variant>
        <vt:lpwstr>_Toc118953821</vt:lpwstr>
      </vt:variant>
      <vt:variant>
        <vt:i4>1966132</vt:i4>
      </vt:variant>
      <vt:variant>
        <vt:i4>308</vt:i4>
      </vt:variant>
      <vt:variant>
        <vt:i4>0</vt:i4>
      </vt:variant>
      <vt:variant>
        <vt:i4>5</vt:i4>
      </vt:variant>
      <vt:variant>
        <vt:lpwstr/>
      </vt:variant>
      <vt:variant>
        <vt:lpwstr>_Toc118953820</vt:lpwstr>
      </vt:variant>
      <vt:variant>
        <vt:i4>1900596</vt:i4>
      </vt:variant>
      <vt:variant>
        <vt:i4>302</vt:i4>
      </vt:variant>
      <vt:variant>
        <vt:i4>0</vt:i4>
      </vt:variant>
      <vt:variant>
        <vt:i4>5</vt:i4>
      </vt:variant>
      <vt:variant>
        <vt:lpwstr/>
      </vt:variant>
      <vt:variant>
        <vt:lpwstr>_Toc118953819</vt:lpwstr>
      </vt:variant>
      <vt:variant>
        <vt:i4>1900602</vt:i4>
      </vt:variant>
      <vt:variant>
        <vt:i4>293</vt:i4>
      </vt:variant>
      <vt:variant>
        <vt:i4>0</vt:i4>
      </vt:variant>
      <vt:variant>
        <vt:i4>5</vt:i4>
      </vt:variant>
      <vt:variant>
        <vt:lpwstr/>
      </vt:variant>
      <vt:variant>
        <vt:lpwstr>_Toc118953615</vt:lpwstr>
      </vt:variant>
      <vt:variant>
        <vt:i4>1900602</vt:i4>
      </vt:variant>
      <vt:variant>
        <vt:i4>287</vt:i4>
      </vt:variant>
      <vt:variant>
        <vt:i4>0</vt:i4>
      </vt:variant>
      <vt:variant>
        <vt:i4>5</vt:i4>
      </vt:variant>
      <vt:variant>
        <vt:lpwstr/>
      </vt:variant>
      <vt:variant>
        <vt:lpwstr>_Toc118953614</vt:lpwstr>
      </vt:variant>
      <vt:variant>
        <vt:i4>1900602</vt:i4>
      </vt:variant>
      <vt:variant>
        <vt:i4>281</vt:i4>
      </vt:variant>
      <vt:variant>
        <vt:i4>0</vt:i4>
      </vt:variant>
      <vt:variant>
        <vt:i4>5</vt:i4>
      </vt:variant>
      <vt:variant>
        <vt:lpwstr/>
      </vt:variant>
      <vt:variant>
        <vt:lpwstr>_Toc118953613</vt:lpwstr>
      </vt:variant>
      <vt:variant>
        <vt:i4>1900602</vt:i4>
      </vt:variant>
      <vt:variant>
        <vt:i4>275</vt:i4>
      </vt:variant>
      <vt:variant>
        <vt:i4>0</vt:i4>
      </vt:variant>
      <vt:variant>
        <vt:i4>5</vt:i4>
      </vt:variant>
      <vt:variant>
        <vt:lpwstr/>
      </vt:variant>
      <vt:variant>
        <vt:lpwstr>_Toc118953612</vt:lpwstr>
      </vt:variant>
      <vt:variant>
        <vt:i4>1900602</vt:i4>
      </vt:variant>
      <vt:variant>
        <vt:i4>269</vt:i4>
      </vt:variant>
      <vt:variant>
        <vt:i4>0</vt:i4>
      </vt:variant>
      <vt:variant>
        <vt:i4>5</vt:i4>
      </vt:variant>
      <vt:variant>
        <vt:lpwstr/>
      </vt:variant>
      <vt:variant>
        <vt:lpwstr>_Toc118953611</vt:lpwstr>
      </vt:variant>
      <vt:variant>
        <vt:i4>1900602</vt:i4>
      </vt:variant>
      <vt:variant>
        <vt:i4>263</vt:i4>
      </vt:variant>
      <vt:variant>
        <vt:i4>0</vt:i4>
      </vt:variant>
      <vt:variant>
        <vt:i4>5</vt:i4>
      </vt:variant>
      <vt:variant>
        <vt:lpwstr/>
      </vt:variant>
      <vt:variant>
        <vt:lpwstr>_Toc118953610</vt:lpwstr>
      </vt:variant>
      <vt:variant>
        <vt:i4>1835066</vt:i4>
      </vt:variant>
      <vt:variant>
        <vt:i4>257</vt:i4>
      </vt:variant>
      <vt:variant>
        <vt:i4>0</vt:i4>
      </vt:variant>
      <vt:variant>
        <vt:i4>5</vt:i4>
      </vt:variant>
      <vt:variant>
        <vt:lpwstr/>
      </vt:variant>
      <vt:variant>
        <vt:lpwstr>_Toc118953609</vt:lpwstr>
      </vt:variant>
      <vt:variant>
        <vt:i4>1835066</vt:i4>
      </vt:variant>
      <vt:variant>
        <vt:i4>251</vt:i4>
      </vt:variant>
      <vt:variant>
        <vt:i4>0</vt:i4>
      </vt:variant>
      <vt:variant>
        <vt:i4>5</vt:i4>
      </vt:variant>
      <vt:variant>
        <vt:lpwstr/>
      </vt:variant>
      <vt:variant>
        <vt:lpwstr>_Toc118953608</vt:lpwstr>
      </vt:variant>
      <vt:variant>
        <vt:i4>1835066</vt:i4>
      </vt:variant>
      <vt:variant>
        <vt:i4>245</vt:i4>
      </vt:variant>
      <vt:variant>
        <vt:i4>0</vt:i4>
      </vt:variant>
      <vt:variant>
        <vt:i4>5</vt:i4>
      </vt:variant>
      <vt:variant>
        <vt:lpwstr/>
      </vt:variant>
      <vt:variant>
        <vt:lpwstr>_Toc118953607</vt:lpwstr>
      </vt:variant>
      <vt:variant>
        <vt:i4>1835066</vt:i4>
      </vt:variant>
      <vt:variant>
        <vt:i4>239</vt:i4>
      </vt:variant>
      <vt:variant>
        <vt:i4>0</vt:i4>
      </vt:variant>
      <vt:variant>
        <vt:i4>5</vt:i4>
      </vt:variant>
      <vt:variant>
        <vt:lpwstr/>
      </vt:variant>
      <vt:variant>
        <vt:lpwstr>_Toc118953606</vt:lpwstr>
      </vt:variant>
      <vt:variant>
        <vt:i4>1835066</vt:i4>
      </vt:variant>
      <vt:variant>
        <vt:i4>233</vt:i4>
      </vt:variant>
      <vt:variant>
        <vt:i4>0</vt:i4>
      </vt:variant>
      <vt:variant>
        <vt:i4>5</vt:i4>
      </vt:variant>
      <vt:variant>
        <vt:lpwstr/>
      </vt:variant>
      <vt:variant>
        <vt:lpwstr>_Toc118953605</vt:lpwstr>
      </vt:variant>
      <vt:variant>
        <vt:i4>1835066</vt:i4>
      </vt:variant>
      <vt:variant>
        <vt:i4>227</vt:i4>
      </vt:variant>
      <vt:variant>
        <vt:i4>0</vt:i4>
      </vt:variant>
      <vt:variant>
        <vt:i4>5</vt:i4>
      </vt:variant>
      <vt:variant>
        <vt:lpwstr/>
      </vt:variant>
      <vt:variant>
        <vt:lpwstr>_Toc118953604</vt:lpwstr>
      </vt:variant>
      <vt:variant>
        <vt:i4>1835066</vt:i4>
      </vt:variant>
      <vt:variant>
        <vt:i4>221</vt:i4>
      </vt:variant>
      <vt:variant>
        <vt:i4>0</vt:i4>
      </vt:variant>
      <vt:variant>
        <vt:i4>5</vt:i4>
      </vt:variant>
      <vt:variant>
        <vt:lpwstr/>
      </vt:variant>
      <vt:variant>
        <vt:lpwstr>_Toc118953603</vt:lpwstr>
      </vt:variant>
      <vt:variant>
        <vt:i4>1835066</vt:i4>
      </vt:variant>
      <vt:variant>
        <vt:i4>215</vt:i4>
      </vt:variant>
      <vt:variant>
        <vt:i4>0</vt:i4>
      </vt:variant>
      <vt:variant>
        <vt:i4>5</vt:i4>
      </vt:variant>
      <vt:variant>
        <vt:lpwstr/>
      </vt:variant>
      <vt:variant>
        <vt:lpwstr>_Toc118953602</vt:lpwstr>
      </vt:variant>
      <vt:variant>
        <vt:i4>1835066</vt:i4>
      </vt:variant>
      <vt:variant>
        <vt:i4>209</vt:i4>
      </vt:variant>
      <vt:variant>
        <vt:i4>0</vt:i4>
      </vt:variant>
      <vt:variant>
        <vt:i4>5</vt:i4>
      </vt:variant>
      <vt:variant>
        <vt:lpwstr/>
      </vt:variant>
      <vt:variant>
        <vt:lpwstr>_Toc118953601</vt:lpwstr>
      </vt:variant>
      <vt:variant>
        <vt:i4>1835066</vt:i4>
      </vt:variant>
      <vt:variant>
        <vt:i4>203</vt:i4>
      </vt:variant>
      <vt:variant>
        <vt:i4>0</vt:i4>
      </vt:variant>
      <vt:variant>
        <vt:i4>5</vt:i4>
      </vt:variant>
      <vt:variant>
        <vt:lpwstr/>
      </vt:variant>
      <vt:variant>
        <vt:lpwstr>_Toc118953600</vt:lpwstr>
      </vt:variant>
      <vt:variant>
        <vt:i4>1376313</vt:i4>
      </vt:variant>
      <vt:variant>
        <vt:i4>197</vt:i4>
      </vt:variant>
      <vt:variant>
        <vt:i4>0</vt:i4>
      </vt:variant>
      <vt:variant>
        <vt:i4>5</vt:i4>
      </vt:variant>
      <vt:variant>
        <vt:lpwstr/>
      </vt:variant>
      <vt:variant>
        <vt:lpwstr>_Toc118953599</vt:lpwstr>
      </vt:variant>
      <vt:variant>
        <vt:i4>1376313</vt:i4>
      </vt:variant>
      <vt:variant>
        <vt:i4>191</vt:i4>
      </vt:variant>
      <vt:variant>
        <vt:i4>0</vt:i4>
      </vt:variant>
      <vt:variant>
        <vt:i4>5</vt:i4>
      </vt:variant>
      <vt:variant>
        <vt:lpwstr/>
      </vt:variant>
      <vt:variant>
        <vt:lpwstr>_Toc118953598</vt:lpwstr>
      </vt:variant>
      <vt:variant>
        <vt:i4>1376313</vt:i4>
      </vt:variant>
      <vt:variant>
        <vt:i4>185</vt:i4>
      </vt:variant>
      <vt:variant>
        <vt:i4>0</vt:i4>
      </vt:variant>
      <vt:variant>
        <vt:i4>5</vt:i4>
      </vt:variant>
      <vt:variant>
        <vt:lpwstr/>
      </vt:variant>
      <vt:variant>
        <vt:lpwstr>_Toc118953597</vt:lpwstr>
      </vt:variant>
      <vt:variant>
        <vt:i4>1376313</vt:i4>
      </vt:variant>
      <vt:variant>
        <vt:i4>179</vt:i4>
      </vt:variant>
      <vt:variant>
        <vt:i4>0</vt:i4>
      </vt:variant>
      <vt:variant>
        <vt:i4>5</vt:i4>
      </vt:variant>
      <vt:variant>
        <vt:lpwstr/>
      </vt:variant>
      <vt:variant>
        <vt:lpwstr>_Toc118953596</vt:lpwstr>
      </vt:variant>
      <vt:variant>
        <vt:i4>1376313</vt:i4>
      </vt:variant>
      <vt:variant>
        <vt:i4>173</vt:i4>
      </vt:variant>
      <vt:variant>
        <vt:i4>0</vt:i4>
      </vt:variant>
      <vt:variant>
        <vt:i4>5</vt:i4>
      </vt:variant>
      <vt:variant>
        <vt:lpwstr/>
      </vt:variant>
      <vt:variant>
        <vt:lpwstr>_Toc118953595</vt:lpwstr>
      </vt:variant>
      <vt:variant>
        <vt:i4>1376313</vt:i4>
      </vt:variant>
      <vt:variant>
        <vt:i4>167</vt:i4>
      </vt:variant>
      <vt:variant>
        <vt:i4>0</vt:i4>
      </vt:variant>
      <vt:variant>
        <vt:i4>5</vt:i4>
      </vt:variant>
      <vt:variant>
        <vt:lpwstr/>
      </vt:variant>
      <vt:variant>
        <vt:lpwstr>_Toc118953594</vt:lpwstr>
      </vt:variant>
      <vt:variant>
        <vt:i4>1376313</vt:i4>
      </vt:variant>
      <vt:variant>
        <vt:i4>161</vt:i4>
      </vt:variant>
      <vt:variant>
        <vt:i4>0</vt:i4>
      </vt:variant>
      <vt:variant>
        <vt:i4>5</vt:i4>
      </vt:variant>
      <vt:variant>
        <vt:lpwstr/>
      </vt:variant>
      <vt:variant>
        <vt:lpwstr>_Toc118953593</vt:lpwstr>
      </vt:variant>
      <vt:variant>
        <vt:i4>1376313</vt:i4>
      </vt:variant>
      <vt:variant>
        <vt:i4>155</vt:i4>
      </vt:variant>
      <vt:variant>
        <vt:i4>0</vt:i4>
      </vt:variant>
      <vt:variant>
        <vt:i4>5</vt:i4>
      </vt:variant>
      <vt:variant>
        <vt:lpwstr/>
      </vt:variant>
      <vt:variant>
        <vt:lpwstr>_Toc118953592</vt:lpwstr>
      </vt:variant>
      <vt:variant>
        <vt:i4>1376313</vt:i4>
      </vt:variant>
      <vt:variant>
        <vt:i4>149</vt:i4>
      </vt:variant>
      <vt:variant>
        <vt:i4>0</vt:i4>
      </vt:variant>
      <vt:variant>
        <vt:i4>5</vt:i4>
      </vt:variant>
      <vt:variant>
        <vt:lpwstr/>
      </vt:variant>
      <vt:variant>
        <vt:lpwstr>_Toc118953591</vt:lpwstr>
      </vt:variant>
      <vt:variant>
        <vt:i4>1376313</vt:i4>
      </vt:variant>
      <vt:variant>
        <vt:i4>143</vt:i4>
      </vt:variant>
      <vt:variant>
        <vt:i4>0</vt:i4>
      </vt:variant>
      <vt:variant>
        <vt:i4>5</vt:i4>
      </vt:variant>
      <vt:variant>
        <vt:lpwstr/>
      </vt:variant>
      <vt:variant>
        <vt:lpwstr>_Toc118953590</vt:lpwstr>
      </vt:variant>
      <vt:variant>
        <vt:i4>1310777</vt:i4>
      </vt:variant>
      <vt:variant>
        <vt:i4>137</vt:i4>
      </vt:variant>
      <vt:variant>
        <vt:i4>0</vt:i4>
      </vt:variant>
      <vt:variant>
        <vt:i4>5</vt:i4>
      </vt:variant>
      <vt:variant>
        <vt:lpwstr/>
      </vt:variant>
      <vt:variant>
        <vt:lpwstr>_Toc118953589</vt:lpwstr>
      </vt:variant>
      <vt:variant>
        <vt:i4>1310777</vt:i4>
      </vt:variant>
      <vt:variant>
        <vt:i4>131</vt:i4>
      </vt:variant>
      <vt:variant>
        <vt:i4>0</vt:i4>
      </vt:variant>
      <vt:variant>
        <vt:i4>5</vt:i4>
      </vt:variant>
      <vt:variant>
        <vt:lpwstr/>
      </vt:variant>
      <vt:variant>
        <vt:lpwstr>_Toc118953588</vt:lpwstr>
      </vt:variant>
      <vt:variant>
        <vt:i4>1310777</vt:i4>
      </vt:variant>
      <vt:variant>
        <vt:i4>125</vt:i4>
      </vt:variant>
      <vt:variant>
        <vt:i4>0</vt:i4>
      </vt:variant>
      <vt:variant>
        <vt:i4>5</vt:i4>
      </vt:variant>
      <vt:variant>
        <vt:lpwstr/>
      </vt:variant>
      <vt:variant>
        <vt:lpwstr>_Toc118953587</vt:lpwstr>
      </vt:variant>
      <vt:variant>
        <vt:i4>1310777</vt:i4>
      </vt:variant>
      <vt:variant>
        <vt:i4>119</vt:i4>
      </vt:variant>
      <vt:variant>
        <vt:i4>0</vt:i4>
      </vt:variant>
      <vt:variant>
        <vt:i4>5</vt:i4>
      </vt:variant>
      <vt:variant>
        <vt:lpwstr/>
      </vt:variant>
      <vt:variant>
        <vt:lpwstr>_Toc118953586</vt:lpwstr>
      </vt:variant>
      <vt:variant>
        <vt:i4>1310777</vt:i4>
      </vt:variant>
      <vt:variant>
        <vt:i4>113</vt:i4>
      </vt:variant>
      <vt:variant>
        <vt:i4>0</vt:i4>
      </vt:variant>
      <vt:variant>
        <vt:i4>5</vt:i4>
      </vt:variant>
      <vt:variant>
        <vt:lpwstr/>
      </vt:variant>
      <vt:variant>
        <vt:lpwstr>_Toc118953585</vt:lpwstr>
      </vt:variant>
      <vt:variant>
        <vt:i4>1310777</vt:i4>
      </vt:variant>
      <vt:variant>
        <vt:i4>107</vt:i4>
      </vt:variant>
      <vt:variant>
        <vt:i4>0</vt:i4>
      </vt:variant>
      <vt:variant>
        <vt:i4>5</vt:i4>
      </vt:variant>
      <vt:variant>
        <vt:lpwstr/>
      </vt:variant>
      <vt:variant>
        <vt:lpwstr>_Toc118953584</vt:lpwstr>
      </vt:variant>
      <vt:variant>
        <vt:i4>1310777</vt:i4>
      </vt:variant>
      <vt:variant>
        <vt:i4>101</vt:i4>
      </vt:variant>
      <vt:variant>
        <vt:i4>0</vt:i4>
      </vt:variant>
      <vt:variant>
        <vt:i4>5</vt:i4>
      </vt:variant>
      <vt:variant>
        <vt:lpwstr/>
      </vt:variant>
      <vt:variant>
        <vt:lpwstr>_Toc118953583</vt:lpwstr>
      </vt:variant>
      <vt:variant>
        <vt:i4>1310777</vt:i4>
      </vt:variant>
      <vt:variant>
        <vt:i4>95</vt:i4>
      </vt:variant>
      <vt:variant>
        <vt:i4>0</vt:i4>
      </vt:variant>
      <vt:variant>
        <vt:i4>5</vt:i4>
      </vt:variant>
      <vt:variant>
        <vt:lpwstr/>
      </vt:variant>
      <vt:variant>
        <vt:lpwstr>_Toc118953582</vt:lpwstr>
      </vt:variant>
      <vt:variant>
        <vt:i4>1310777</vt:i4>
      </vt:variant>
      <vt:variant>
        <vt:i4>89</vt:i4>
      </vt:variant>
      <vt:variant>
        <vt:i4>0</vt:i4>
      </vt:variant>
      <vt:variant>
        <vt:i4>5</vt:i4>
      </vt:variant>
      <vt:variant>
        <vt:lpwstr/>
      </vt:variant>
      <vt:variant>
        <vt:lpwstr>_Toc118953581</vt:lpwstr>
      </vt:variant>
      <vt:variant>
        <vt:i4>1310777</vt:i4>
      </vt:variant>
      <vt:variant>
        <vt:i4>83</vt:i4>
      </vt:variant>
      <vt:variant>
        <vt:i4>0</vt:i4>
      </vt:variant>
      <vt:variant>
        <vt:i4>5</vt:i4>
      </vt:variant>
      <vt:variant>
        <vt:lpwstr/>
      </vt:variant>
      <vt:variant>
        <vt:lpwstr>_Toc118953580</vt:lpwstr>
      </vt:variant>
      <vt:variant>
        <vt:i4>1769529</vt:i4>
      </vt:variant>
      <vt:variant>
        <vt:i4>77</vt:i4>
      </vt:variant>
      <vt:variant>
        <vt:i4>0</vt:i4>
      </vt:variant>
      <vt:variant>
        <vt:i4>5</vt:i4>
      </vt:variant>
      <vt:variant>
        <vt:lpwstr/>
      </vt:variant>
      <vt:variant>
        <vt:lpwstr>_Toc118953579</vt:lpwstr>
      </vt:variant>
      <vt:variant>
        <vt:i4>1769529</vt:i4>
      </vt:variant>
      <vt:variant>
        <vt:i4>71</vt:i4>
      </vt:variant>
      <vt:variant>
        <vt:i4>0</vt:i4>
      </vt:variant>
      <vt:variant>
        <vt:i4>5</vt:i4>
      </vt:variant>
      <vt:variant>
        <vt:lpwstr/>
      </vt:variant>
      <vt:variant>
        <vt:lpwstr>_Toc118953578</vt:lpwstr>
      </vt:variant>
      <vt:variant>
        <vt:i4>1769529</vt:i4>
      </vt:variant>
      <vt:variant>
        <vt:i4>65</vt:i4>
      </vt:variant>
      <vt:variant>
        <vt:i4>0</vt:i4>
      </vt:variant>
      <vt:variant>
        <vt:i4>5</vt:i4>
      </vt:variant>
      <vt:variant>
        <vt:lpwstr/>
      </vt:variant>
      <vt:variant>
        <vt:lpwstr>_Toc118953577</vt:lpwstr>
      </vt:variant>
      <vt:variant>
        <vt:i4>1769529</vt:i4>
      </vt:variant>
      <vt:variant>
        <vt:i4>59</vt:i4>
      </vt:variant>
      <vt:variant>
        <vt:i4>0</vt:i4>
      </vt:variant>
      <vt:variant>
        <vt:i4>5</vt:i4>
      </vt:variant>
      <vt:variant>
        <vt:lpwstr/>
      </vt:variant>
      <vt:variant>
        <vt:lpwstr>_Toc118953576</vt:lpwstr>
      </vt:variant>
      <vt:variant>
        <vt:i4>1769529</vt:i4>
      </vt:variant>
      <vt:variant>
        <vt:i4>53</vt:i4>
      </vt:variant>
      <vt:variant>
        <vt:i4>0</vt:i4>
      </vt:variant>
      <vt:variant>
        <vt:i4>5</vt:i4>
      </vt:variant>
      <vt:variant>
        <vt:lpwstr/>
      </vt:variant>
      <vt:variant>
        <vt:lpwstr>_Toc118953575</vt:lpwstr>
      </vt:variant>
      <vt:variant>
        <vt:i4>1769529</vt:i4>
      </vt:variant>
      <vt:variant>
        <vt:i4>47</vt:i4>
      </vt:variant>
      <vt:variant>
        <vt:i4>0</vt:i4>
      </vt:variant>
      <vt:variant>
        <vt:i4>5</vt:i4>
      </vt:variant>
      <vt:variant>
        <vt:lpwstr/>
      </vt:variant>
      <vt:variant>
        <vt:lpwstr>_Toc118953574</vt:lpwstr>
      </vt:variant>
      <vt:variant>
        <vt:i4>1769529</vt:i4>
      </vt:variant>
      <vt:variant>
        <vt:i4>41</vt:i4>
      </vt:variant>
      <vt:variant>
        <vt:i4>0</vt:i4>
      </vt:variant>
      <vt:variant>
        <vt:i4>5</vt:i4>
      </vt:variant>
      <vt:variant>
        <vt:lpwstr/>
      </vt:variant>
      <vt:variant>
        <vt:lpwstr>_Toc118953573</vt:lpwstr>
      </vt:variant>
      <vt:variant>
        <vt:i4>1769529</vt:i4>
      </vt:variant>
      <vt:variant>
        <vt:i4>35</vt:i4>
      </vt:variant>
      <vt:variant>
        <vt:i4>0</vt:i4>
      </vt:variant>
      <vt:variant>
        <vt:i4>5</vt:i4>
      </vt:variant>
      <vt:variant>
        <vt:lpwstr/>
      </vt:variant>
      <vt:variant>
        <vt:lpwstr>_Toc118953572</vt:lpwstr>
      </vt:variant>
      <vt:variant>
        <vt:i4>1769529</vt:i4>
      </vt:variant>
      <vt:variant>
        <vt:i4>29</vt:i4>
      </vt:variant>
      <vt:variant>
        <vt:i4>0</vt:i4>
      </vt:variant>
      <vt:variant>
        <vt:i4>5</vt:i4>
      </vt:variant>
      <vt:variant>
        <vt:lpwstr/>
      </vt:variant>
      <vt:variant>
        <vt:lpwstr>_Toc118953571</vt:lpwstr>
      </vt:variant>
      <vt:variant>
        <vt:i4>1769529</vt:i4>
      </vt:variant>
      <vt:variant>
        <vt:i4>23</vt:i4>
      </vt:variant>
      <vt:variant>
        <vt:i4>0</vt:i4>
      </vt:variant>
      <vt:variant>
        <vt:i4>5</vt:i4>
      </vt:variant>
      <vt:variant>
        <vt:lpwstr/>
      </vt:variant>
      <vt:variant>
        <vt:lpwstr>_Toc118953570</vt:lpwstr>
      </vt:variant>
      <vt:variant>
        <vt:i4>1703993</vt:i4>
      </vt:variant>
      <vt:variant>
        <vt:i4>17</vt:i4>
      </vt:variant>
      <vt:variant>
        <vt:i4>0</vt:i4>
      </vt:variant>
      <vt:variant>
        <vt:i4>5</vt:i4>
      </vt:variant>
      <vt:variant>
        <vt:lpwstr/>
      </vt:variant>
      <vt:variant>
        <vt:lpwstr>_Toc118953569</vt:lpwstr>
      </vt:variant>
      <vt:variant>
        <vt:i4>1703993</vt:i4>
      </vt:variant>
      <vt:variant>
        <vt:i4>11</vt:i4>
      </vt:variant>
      <vt:variant>
        <vt:i4>0</vt:i4>
      </vt:variant>
      <vt:variant>
        <vt:i4>5</vt:i4>
      </vt:variant>
      <vt:variant>
        <vt:lpwstr/>
      </vt:variant>
      <vt:variant>
        <vt:lpwstr>_Toc118953568</vt:lpwstr>
      </vt:variant>
      <vt:variant>
        <vt:i4>1703993</vt:i4>
      </vt:variant>
      <vt:variant>
        <vt:i4>5</vt:i4>
      </vt:variant>
      <vt:variant>
        <vt:i4>0</vt:i4>
      </vt:variant>
      <vt:variant>
        <vt:i4>5</vt:i4>
      </vt:variant>
      <vt:variant>
        <vt:lpwstr/>
      </vt:variant>
      <vt:variant>
        <vt:lpwstr>_Toc118953567</vt:lpwstr>
      </vt:variant>
      <vt:variant>
        <vt:i4>7340128</vt:i4>
      </vt:variant>
      <vt:variant>
        <vt:i4>0</vt:i4>
      </vt:variant>
      <vt:variant>
        <vt:i4>0</vt:i4>
      </vt:variant>
      <vt:variant>
        <vt:i4>5</vt:i4>
      </vt:variant>
      <vt:variant>
        <vt:lpwstr>http://www.environment.govt.nz/</vt:lpwstr>
      </vt:variant>
      <vt:variant>
        <vt:lpwstr/>
      </vt:variant>
      <vt:variant>
        <vt:i4>1245252</vt:i4>
      </vt:variant>
      <vt:variant>
        <vt:i4>141</vt:i4>
      </vt:variant>
      <vt:variant>
        <vt:i4>0</vt:i4>
      </vt:variant>
      <vt:variant>
        <vt:i4>5</vt:i4>
      </vt:variant>
      <vt:variant>
        <vt:lpwstr>https://www.legislation.govt.nz/regulation/public/2014/0326/latest/LMS470567.html</vt:lpwstr>
      </vt:variant>
      <vt:variant>
        <vt:lpwstr/>
      </vt:variant>
      <vt:variant>
        <vt:i4>7929867</vt:i4>
      </vt:variant>
      <vt:variant>
        <vt:i4>138</vt:i4>
      </vt:variant>
      <vt:variant>
        <vt:i4>0</vt:i4>
      </vt:variant>
      <vt:variant>
        <vt:i4>5</vt:i4>
      </vt:variant>
      <vt:variant>
        <vt:lpwstr>https://finance.ec.europa.eu/financial-crime/eu-context-anti-money-laundering-and-countering-financing-terrorism_en</vt:lpwstr>
      </vt:variant>
      <vt:variant>
        <vt:lpwstr/>
      </vt:variant>
      <vt:variant>
        <vt:i4>6029316</vt:i4>
      </vt:variant>
      <vt:variant>
        <vt:i4>135</vt:i4>
      </vt:variant>
      <vt:variant>
        <vt:i4>0</vt:i4>
      </vt:variant>
      <vt:variant>
        <vt:i4>5</vt:i4>
      </vt:variant>
      <vt:variant>
        <vt:lpwstr>https://www.fma.govt.nz/business/focus-areas/amlcft/amlcft-faqs/</vt:lpwstr>
      </vt:variant>
      <vt:variant>
        <vt:lpwstr/>
      </vt:variant>
      <vt:variant>
        <vt:i4>7405625</vt:i4>
      </vt:variant>
      <vt:variant>
        <vt:i4>132</vt:i4>
      </vt:variant>
      <vt:variant>
        <vt:i4>0</vt:i4>
      </vt:variant>
      <vt:variant>
        <vt:i4>5</vt:i4>
      </vt:variant>
      <vt:variant>
        <vt:lpwstr>https://www.fma.govt.nz/assets/Guidance/aml-cft-programme-guideline.pdf</vt:lpwstr>
      </vt:variant>
      <vt:variant>
        <vt:lpwstr/>
      </vt:variant>
      <vt:variant>
        <vt:i4>7798836</vt:i4>
      </vt:variant>
      <vt:variant>
        <vt:i4>129</vt:i4>
      </vt:variant>
      <vt:variant>
        <vt:i4>0</vt:i4>
      </vt:variant>
      <vt:variant>
        <vt:i4>5</vt:i4>
      </vt:variant>
      <vt:variant>
        <vt:lpwstr>https://www.fma.govt.nz/assets/Guidance/aml-cft-interpreting-ordinary-course-of-business-guideline.pdf</vt:lpwstr>
      </vt:variant>
      <vt:variant>
        <vt:lpwstr/>
      </vt:variant>
      <vt:variant>
        <vt:i4>6029316</vt:i4>
      </vt:variant>
      <vt:variant>
        <vt:i4>126</vt:i4>
      </vt:variant>
      <vt:variant>
        <vt:i4>0</vt:i4>
      </vt:variant>
      <vt:variant>
        <vt:i4>5</vt:i4>
      </vt:variant>
      <vt:variant>
        <vt:lpwstr>https://www.fma.govt.nz/business/focus-areas/amlcft/amlcft-faqs/</vt:lpwstr>
      </vt:variant>
      <vt:variant>
        <vt:lpwstr/>
      </vt:variant>
      <vt:variant>
        <vt:i4>7405625</vt:i4>
      </vt:variant>
      <vt:variant>
        <vt:i4>123</vt:i4>
      </vt:variant>
      <vt:variant>
        <vt:i4>0</vt:i4>
      </vt:variant>
      <vt:variant>
        <vt:i4>5</vt:i4>
      </vt:variant>
      <vt:variant>
        <vt:lpwstr>https://www.fma.govt.nz/assets/Guidance/aml-cft-programme-guideline.pdf</vt:lpwstr>
      </vt:variant>
      <vt:variant>
        <vt:lpwstr/>
      </vt:variant>
      <vt:variant>
        <vt:i4>6881342</vt:i4>
      </vt:variant>
      <vt:variant>
        <vt:i4>117</vt:i4>
      </vt:variant>
      <vt:variant>
        <vt:i4>0</vt:i4>
      </vt:variant>
      <vt:variant>
        <vt:i4>5</vt:i4>
      </vt:variant>
      <vt:variant>
        <vt:lpwstr>https://www.epa.govt.nz/industry-areas/emissions-trading-scheme/market-information/</vt:lpwstr>
      </vt:variant>
      <vt:variant>
        <vt:lpwstr/>
      </vt:variant>
      <vt:variant>
        <vt:i4>2162725</vt:i4>
      </vt:variant>
      <vt:variant>
        <vt:i4>114</vt:i4>
      </vt:variant>
      <vt:variant>
        <vt:i4>0</vt:i4>
      </vt:variant>
      <vt:variant>
        <vt:i4>5</vt:i4>
      </vt:variant>
      <vt:variant>
        <vt:lpwstr>https://www.legislation.govt.nz/regulation/public/2016/0258/latest/whole.html</vt:lpwstr>
      </vt:variant>
      <vt:variant>
        <vt:lpwstr>DLM6960559</vt:lpwstr>
      </vt:variant>
      <vt:variant>
        <vt:i4>4653068</vt:i4>
      </vt:variant>
      <vt:variant>
        <vt:i4>111</vt:i4>
      </vt:variant>
      <vt:variant>
        <vt:i4>0</vt:i4>
      </vt:variant>
      <vt:variant>
        <vt:i4>5</vt:i4>
      </vt:variant>
      <vt:variant>
        <vt:lpwstr>https://www.legislation.govt.nz/regulation/public/2016/0258/latest/whole.html</vt:lpwstr>
      </vt:variant>
      <vt:variant>
        <vt:lpwstr>contents</vt:lpwstr>
      </vt:variant>
      <vt:variant>
        <vt:i4>1310720</vt:i4>
      </vt:variant>
      <vt:variant>
        <vt:i4>105</vt:i4>
      </vt:variant>
      <vt:variant>
        <vt:i4>0</vt:i4>
      </vt:variant>
      <vt:variant>
        <vt:i4>5</vt:i4>
      </vt:variant>
      <vt:variant>
        <vt:lpwstr>https://www.legislation.govt.nz/regulation/public/2014/0326/latest/whole.html</vt:lpwstr>
      </vt:variant>
      <vt:variant>
        <vt:lpwstr>LMS469602</vt:lpwstr>
      </vt:variant>
      <vt:variant>
        <vt:i4>1245252</vt:i4>
      </vt:variant>
      <vt:variant>
        <vt:i4>102</vt:i4>
      </vt:variant>
      <vt:variant>
        <vt:i4>0</vt:i4>
      </vt:variant>
      <vt:variant>
        <vt:i4>5</vt:i4>
      </vt:variant>
      <vt:variant>
        <vt:lpwstr>https://www.legislation.govt.nz/regulation/public/2014/0326/latest/LMS470567.html</vt:lpwstr>
      </vt:variant>
      <vt:variant>
        <vt:lpwstr/>
      </vt:variant>
      <vt:variant>
        <vt:i4>5046348</vt:i4>
      </vt:variant>
      <vt:variant>
        <vt:i4>99</vt:i4>
      </vt:variant>
      <vt:variant>
        <vt:i4>0</vt:i4>
      </vt:variant>
      <vt:variant>
        <vt:i4>5</vt:i4>
      </vt:variant>
      <vt:variant>
        <vt:lpwstr>https://www.fma.govt.nz/assets/Licensing-guides/Standard-Conditions-for-full-FAP-licences.pdf</vt:lpwstr>
      </vt:variant>
      <vt:variant>
        <vt:lpwstr/>
      </vt:variant>
      <vt:variant>
        <vt:i4>2818172</vt:i4>
      </vt:variant>
      <vt:variant>
        <vt:i4>96</vt:i4>
      </vt:variant>
      <vt:variant>
        <vt:i4>0</vt:i4>
      </vt:variant>
      <vt:variant>
        <vt:i4>5</vt:i4>
      </vt:variant>
      <vt:variant>
        <vt:lpwstr>https://www.legislation.govt.nz/act/public/2008/0091/latest/whole.html</vt:lpwstr>
      </vt:variant>
      <vt:variant>
        <vt:lpwstr/>
      </vt:variant>
      <vt:variant>
        <vt:i4>8192042</vt:i4>
      </vt:variant>
      <vt:variant>
        <vt:i4>93</vt:i4>
      </vt:variant>
      <vt:variant>
        <vt:i4>0</vt:i4>
      </vt:variant>
      <vt:variant>
        <vt:i4>5</vt:i4>
      </vt:variant>
      <vt:variant>
        <vt:lpwstr>https://www.legislation.govt.nz/act/public/1949/0019/latest/LMS727503.html</vt:lpwstr>
      </vt:variant>
      <vt:variant>
        <vt:lpwstr/>
      </vt:variant>
      <vt:variant>
        <vt:i4>8126503</vt:i4>
      </vt:variant>
      <vt:variant>
        <vt:i4>90</vt:i4>
      </vt:variant>
      <vt:variant>
        <vt:i4>0</vt:i4>
      </vt:variant>
      <vt:variant>
        <vt:i4>5</vt:i4>
      </vt:variant>
      <vt:variant>
        <vt:lpwstr>https://www.legislation.govt.nz/act/public/2013/0069/latest/LMS465863.html</vt:lpwstr>
      </vt:variant>
      <vt:variant>
        <vt:lpwstr/>
      </vt:variant>
      <vt:variant>
        <vt:i4>7536677</vt:i4>
      </vt:variant>
      <vt:variant>
        <vt:i4>87</vt:i4>
      </vt:variant>
      <vt:variant>
        <vt:i4>0</vt:i4>
      </vt:variant>
      <vt:variant>
        <vt:i4>5</vt:i4>
      </vt:variant>
      <vt:variant>
        <vt:lpwstr>https://www.legislation.govt.nz/act/public/2013/0069/latest/LMS465891.html</vt:lpwstr>
      </vt:variant>
      <vt:variant>
        <vt:lpwstr/>
      </vt:variant>
      <vt:variant>
        <vt:i4>7995494</vt:i4>
      </vt:variant>
      <vt:variant>
        <vt:i4>84</vt:i4>
      </vt:variant>
      <vt:variant>
        <vt:i4>0</vt:i4>
      </vt:variant>
      <vt:variant>
        <vt:i4>5</vt:i4>
      </vt:variant>
      <vt:variant>
        <vt:lpwstr>https://www.legislation.govt.nz/act/public/2008/0097/latest/DLM1109499.html</vt:lpwstr>
      </vt:variant>
      <vt:variant>
        <vt:lpwstr/>
      </vt:variant>
      <vt:variant>
        <vt:i4>8192042</vt:i4>
      </vt:variant>
      <vt:variant>
        <vt:i4>81</vt:i4>
      </vt:variant>
      <vt:variant>
        <vt:i4>0</vt:i4>
      </vt:variant>
      <vt:variant>
        <vt:i4>5</vt:i4>
      </vt:variant>
      <vt:variant>
        <vt:lpwstr>https://www.legislation.govt.nz/act/public/1949/0019/latest/LMS727503.html</vt:lpwstr>
      </vt:variant>
      <vt:variant>
        <vt:lpwstr/>
      </vt:variant>
      <vt:variant>
        <vt:i4>327749</vt:i4>
      </vt:variant>
      <vt:variant>
        <vt:i4>72</vt:i4>
      </vt:variant>
      <vt:variant>
        <vt:i4>0</vt:i4>
      </vt:variant>
      <vt:variant>
        <vt:i4>5</vt:i4>
      </vt:variant>
      <vt:variant>
        <vt:lpwstr>https://dpmc.govt.nz/publications/co-12-7-guidelines-dealing-inside-information-about-public-issuers</vt:lpwstr>
      </vt:variant>
      <vt:variant>
        <vt:lpwstr/>
      </vt:variant>
      <vt:variant>
        <vt:i4>8126571</vt:i4>
      </vt:variant>
      <vt:variant>
        <vt:i4>69</vt:i4>
      </vt:variant>
      <vt:variant>
        <vt:i4>0</vt:i4>
      </vt:variant>
      <vt:variant>
        <vt:i4>5</vt:i4>
      </vt:variant>
      <vt:variant>
        <vt:lpwstr>https://www.legislation.govt.nz/act/public/2013/0069/latest/DLM4090981.html</vt:lpwstr>
      </vt:variant>
      <vt:variant>
        <vt:lpwstr/>
      </vt:variant>
      <vt:variant>
        <vt:i4>1310739</vt:i4>
      </vt:variant>
      <vt:variant>
        <vt:i4>66</vt:i4>
      </vt:variant>
      <vt:variant>
        <vt:i4>0</vt:i4>
      </vt:variant>
      <vt:variant>
        <vt:i4>5</vt:i4>
      </vt:variant>
      <vt:variant>
        <vt:lpwstr>https://www.legislation.govt.nz/regulation/public/2014/0326/latest/LMS48896.html</vt:lpwstr>
      </vt:variant>
      <vt:variant>
        <vt:lpwstr/>
      </vt:variant>
      <vt:variant>
        <vt:i4>7340103</vt:i4>
      </vt:variant>
      <vt:variant>
        <vt:i4>63</vt:i4>
      </vt:variant>
      <vt:variant>
        <vt:i4>0</vt:i4>
      </vt:variant>
      <vt:variant>
        <vt:i4>5</vt:i4>
      </vt:variant>
      <vt:variant>
        <vt:lpwstr/>
      </vt:variant>
      <vt:variant>
        <vt:lpwstr>_The_NZU_market</vt:lpwstr>
      </vt:variant>
      <vt:variant>
        <vt:i4>1114146</vt:i4>
      </vt:variant>
      <vt:variant>
        <vt:i4>54</vt:i4>
      </vt:variant>
      <vt:variant>
        <vt:i4>0</vt:i4>
      </vt:variant>
      <vt:variant>
        <vt:i4>5</vt:i4>
      </vt:variant>
      <vt:variant>
        <vt:lpwstr>https://consult.environment.govt.nz/climate/designing-a-governance-framework-for-the-nz-ets/supporting_documents/MG consultation document  FINAL.PDF</vt:lpwstr>
      </vt:variant>
      <vt:variant>
        <vt:lpwstr/>
      </vt:variant>
      <vt:variant>
        <vt:i4>7340067</vt:i4>
      </vt:variant>
      <vt:variant>
        <vt:i4>48</vt:i4>
      </vt:variant>
      <vt:variant>
        <vt:i4>0</vt:i4>
      </vt:variant>
      <vt:variant>
        <vt:i4>5</vt:i4>
      </vt:variant>
      <vt:variant>
        <vt:lpwstr>https://environment.govt.nz/assets/Publications/amendments-to-ccra-tranche-1-cab-18-min-0606.01.pdf</vt:lpwstr>
      </vt:variant>
      <vt:variant>
        <vt:lpwstr/>
      </vt:variant>
      <vt:variant>
        <vt:i4>6160394</vt:i4>
      </vt:variant>
      <vt:variant>
        <vt:i4>42</vt:i4>
      </vt:variant>
      <vt:variant>
        <vt:i4>0</vt:i4>
      </vt:variant>
      <vt:variant>
        <vt:i4>5</vt:i4>
      </vt:variant>
      <vt:variant>
        <vt:lpwstr>https://environment.govt.nz/assets/Publications/Files/Final-ETS-Consultation-document.pdf</vt:lpwstr>
      </vt:variant>
      <vt:variant>
        <vt:lpwstr/>
      </vt:variant>
      <vt:variant>
        <vt:i4>1507421</vt:i4>
      </vt:variant>
      <vt:variant>
        <vt:i4>39</vt:i4>
      </vt:variant>
      <vt:variant>
        <vt:i4>0</vt:i4>
      </vt:variant>
      <vt:variant>
        <vt:i4>5</vt:i4>
      </vt:variant>
      <vt:variant>
        <vt:lpwstr>https://environment.govt.nz/assets/Publications/Files/transitioning-to-a-low-emissions-future.pdf</vt:lpwstr>
      </vt:variant>
      <vt:variant>
        <vt:lpwstr/>
      </vt:variant>
      <vt:variant>
        <vt:i4>2162750</vt:i4>
      </vt:variant>
      <vt:variant>
        <vt:i4>36</vt:i4>
      </vt:variant>
      <vt:variant>
        <vt:i4>0</vt:i4>
      </vt:variant>
      <vt:variant>
        <vt:i4>5</vt:i4>
      </vt:variant>
      <vt:variant>
        <vt:lpwstr>https://www.productivity.govt.nz/assets/Documents/4e01d69a83/Productivity-Commission_Low-emissions-economy_Final-Report.pdf</vt:lpwstr>
      </vt:variant>
      <vt:variant>
        <vt:lpwstr/>
      </vt:variant>
      <vt:variant>
        <vt:i4>6553660</vt:i4>
      </vt:variant>
      <vt:variant>
        <vt:i4>33</vt:i4>
      </vt:variant>
      <vt:variant>
        <vt:i4>0</vt:i4>
      </vt:variant>
      <vt:variant>
        <vt:i4>5</vt:i4>
      </vt:variant>
      <vt:variant>
        <vt:lpwstr>https://ccc-production-media.s3.ap-southeast-2.amazonaws.com/public/evidence/advice-report-DRAFT-1ST-FEB/ADVICE/CCC-ADVICE-TO-GOVT-31-JAN-2021-pdf.pdf</vt:lpwstr>
      </vt:variant>
      <vt:variant>
        <vt:lpwstr/>
      </vt:variant>
      <vt:variant>
        <vt:i4>6160394</vt:i4>
      </vt:variant>
      <vt:variant>
        <vt:i4>27</vt:i4>
      </vt:variant>
      <vt:variant>
        <vt:i4>0</vt:i4>
      </vt:variant>
      <vt:variant>
        <vt:i4>5</vt:i4>
      </vt:variant>
      <vt:variant>
        <vt:lpwstr>https://environment.govt.nz/assets/Publications/Files/Final-ETS-Consultation-document.pdf</vt:lpwstr>
      </vt:variant>
      <vt:variant>
        <vt:lpwstr/>
      </vt:variant>
      <vt:variant>
        <vt:i4>4587551</vt:i4>
      </vt:variant>
      <vt:variant>
        <vt:i4>24</vt:i4>
      </vt:variant>
      <vt:variant>
        <vt:i4>0</vt:i4>
      </vt:variant>
      <vt:variant>
        <vt:i4>5</vt:i4>
      </vt:variant>
      <vt:variant>
        <vt:lpwstr>https://environment.govt.nz/assets/publications/ets-evaluation-report.pdf</vt:lpwstr>
      </vt:variant>
      <vt:variant>
        <vt:lpwstr/>
      </vt:variant>
      <vt:variant>
        <vt:i4>589857</vt:i4>
      </vt:variant>
      <vt:variant>
        <vt:i4>15</vt:i4>
      </vt:variant>
      <vt:variant>
        <vt:i4>0</vt:i4>
      </vt:variant>
      <vt:variant>
        <vt:i4>5</vt:i4>
      </vt:variant>
      <vt:variant>
        <vt:lpwstr/>
      </vt:variant>
      <vt:variant>
        <vt:lpwstr>_Glossary</vt:lpwstr>
      </vt:variant>
      <vt:variant>
        <vt:i4>7602275</vt:i4>
      </vt:variant>
      <vt:variant>
        <vt:i4>9</vt:i4>
      </vt:variant>
      <vt:variant>
        <vt:i4>0</vt:i4>
      </vt:variant>
      <vt:variant>
        <vt:i4>5</vt:i4>
      </vt:variant>
      <vt:variant>
        <vt:lpwstr>https://www.legislation.govt.nz/act/public/2013/0069/latest/DLM4090909.html</vt:lpwstr>
      </vt:variant>
      <vt:variant>
        <vt:lpwstr/>
      </vt:variant>
      <vt:variant>
        <vt:i4>1114146</vt:i4>
      </vt:variant>
      <vt:variant>
        <vt:i4>6</vt:i4>
      </vt:variant>
      <vt:variant>
        <vt:i4>0</vt:i4>
      </vt:variant>
      <vt:variant>
        <vt:i4>5</vt:i4>
      </vt:variant>
      <vt:variant>
        <vt:lpwstr>https://consult.environment.govt.nz/climate/designing-a-governance-framework-for-the-nz-ets/supporting_documents/MG consultation document  FINAL.PDF</vt:lpwstr>
      </vt:variant>
      <vt:variant>
        <vt:lpwstr/>
      </vt:variant>
      <vt:variant>
        <vt:i4>6160394</vt:i4>
      </vt:variant>
      <vt:variant>
        <vt:i4>3</vt:i4>
      </vt:variant>
      <vt:variant>
        <vt:i4>0</vt:i4>
      </vt:variant>
      <vt:variant>
        <vt:i4>5</vt:i4>
      </vt:variant>
      <vt:variant>
        <vt:lpwstr>https://environment.govt.nz/assets/Publications/Files/Final-ETS-Consultation-document.pdf</vt:lpwstr>
      </vt:variant>
      <vt:variant>
        <vt:lpwstr/>
      </vt:variant>
      <vt:variant>
        <vt:i4>589857</vt:i4>
      </vt:variant>
      <vt:variant>
        <vt:i4>0</vt:i4>
      </vt:variant>
      <vt:variant>
        <vt:i4>0</vt:i4>
      </vt:variant>
      <vt:variant>
        <vt:i4>5</vt:i4>
      </vt:variant>
      <vt:variant>
        <vt:lpwstr/>
      </vt:variant>
      <vt:variant>
        <vt:lpwstr>_Glossary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FreemanG</dc:creator>
  <cp:keywords/>
  <cp:lastModifiedBy>Gemma Freeman</cp:lastModifiedBy>
  <cp:revision>5</cp:revision>
  <cp:lastPrinted>2022-11-11T00:23:00Z</cp:lastPrinted>
  <dcterms:created xsi:type="dcterms:W3CDTF">2022-11-16T03:08:00Z</dcterms:created>
  <dcterms:modified xsi:type="dcterms:W3CDTF">2022-11-16T03:35:00Z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2022-11-09T19:58:20Z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c671fa54-07cd-43e6-8d96-ce981f559e99</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db1d9313-7223-43ae-babe-86d5b74e1ca5</vt:lpwstr>
  </property>
  <property fmtid="{D5CDD505-2E9C-101B-9397-08002B2CF9AE}" pid="11" name="MediaServiceImageTags">
    <vt:lpwstr/>
  </property>
</Properties>
</file>