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BB" w:rsidRPr="00F53BDD" w:rsidRDefault="009B6B17" w:rsidP="001856BB">
      <w:pPr>
        <w:pStyle w:val="BodyText"/>
      </w:pPr>
      <w:r w:rsidRPr="00F53BDD">
        <w:rPr>
          <w:noProof/>
        </w:rPr>
        <w:drawing>
          <wp:anchor distT="0" distB="0" distL="114300" distR="114300" simplePos="0" relativeHeight="251658240" behindDoc="0" locked="0" layoutInCell="1" allowOverlap="1" wp14:anchorId="1B10A5FA" wp14:editId="28277CC3">
            <wp:simplePos x="0" y="0"/>
            <wp:positionH relativeFrom="column">
              <wp:posOffset>-886460</wp:posOffset>
            </wp:positionH>
            <wp:positionV relativeFrom="paragraph">
              <wp:posOffset>-3589655</wp:posOffset>
            </wp:positionV>
            <wp:extent cx="7565396" cy="1070163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396" cy="10701630"/>
                    </a:xfrm>
                    <a:prstGeom prst="rect">
                      <a:avLst/>
                    </a:prstGeom>
                  </pic:spPr>
                </pic:pic>
              </a:graphicData>
            </a:graphic>
            <wp14:sizeRelH relativeFrom="margin">
              <wp14:pctWidth>0</wp14:pctWidth>
            </wp14:sizeRelH>
            <wp14:sizeRelV relativeFrom="margin">
              <wp14:pctHeight>0</wp14:pctHeight>
            </wp14:sizeRelV>
          </wp:anchor>
        </w:drawing>
      </w:r>
    </w:p>
    <w:p w:rsidR="001856BB" w:rsidRPr="00F53BDD" w:rsidRDefault="001856BB" w:rsidP="001856BB">
      <w:pPr>
        <w:jc w:val="left"/>
        <w:rPr>
          <w:color w:val="FF0000"/>
        </w:rPr>
        <w:sectPr w:rsidR="001856BB" w:rsidRPr="00F53BDD" w:rsidSect="0036151C">
          <w:headerReference w:type="even" r:id="rId9"/>
          <w:headerReference w:type="default" r:id="rId10"/>
          <w:footerReference w:type="even" r:id="rId11"/>
          <w:footerReference w:type="default" r:id="rId12"/>
          <w:headerReference w:type="first" r:id="rId13"/>
          <w:footerReference w:type="first" r:id="rId14"/>
          <w:pgSz w:w="11907" w:h="16840" w:code="9"/>
          <w:pgMar w:top="5670" w:right="1418" w:bottom="1701" w:left="1418" w:header="567" w:footer="1134" w:gutter="0"/>
          <w:cols w:space="720"/>
        </w:sectPr>
      </w:pPr>
    </w:p>
    <w:p w:rsidR="001856BB" w:rsidRPr="00F53BDD" w:rsidRDefault="001856BB" w:rsidP="00C16D8C">
      <w:pPr>
        <w:pStyle w:val="Imprint"/>
        <w:spacing w:before="0" w:after="0"/>
        <w:rPr>
          <w:b/>
          <w:bCs/>
        </w:rPr>
      </w:pPr>
      <w:r w:rsidRPr="00F53BDD">
        <w:rPr>
          <w:b/>
          <w:bCs/>
        </w:rPr>
        <w:t>Disclaimer</w:t>
      </w:r>
    </w:p>
    <w:p w:rsidR="00172B29" w:rsidRPr="008A09D3" w:rsidRDefault="00172B29" w:rsidP="00172B29">
      <w:pPr>
        <w:pStyle w:val="BodyText"/>
      </w:pPr>
      <w:r w:rsidRPr="008F26BC">
        <w:t>The information in this publication is, according to the Ministry for the Environment’s best efforts, accurate at the time of publication. The Ministry will make every reasonable effort to keep it current and accurate. However, users of this publication are advised that:</w:t>
      </w:r>
      <w:r w:rsidRPr="008A09D3">
        <w:t xml:space="preserve"> </w:t>
      </w:r>
    </w:p>
    <w:p w:rsidR="00172B29" w:rsidRDefault="00172B29" w:rsidP="00172B29">
      <w:pPr>
        <w:pStyle w:val="Bullets"/>
      </w:pPr>
      <w:r>
        <w:t xml:space="preserve">The information does not alter the laws of New Zealand, other official guidelines, or requirements. </w:t>
      </w:r>
    </w:p>
    <w:p w:rsidR="00172B29" w:rsidRDefault="00172B29" w:rsidP="00172B29">
      <w:pPr>
        <w:pStyle w:val="Bullets"/>
      </w:pPr>
      <w:r>
        <w:t xml:space="preserve">It does not constitute legal advice, and users should take specific advice from qualified professionals before taking any action based on information in this publication. </w:t>
      </w:r>
    </w:p>
    <w:p w:rsidR="00172B29" w:rsidRDefault="00172B29" w:rsidP="00172B29">
      <w:pPr>
        <w:pStyle w:val="Bullets"/>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rsidR="00172B29" w:rsidRPr="00A03684" w:rsidRDefault="00172B29" w:rsidP="00172B29">
      <w:pPr>
        <w:pStyle w:val="Bullets"/>
        <w:spacing w:after="240"/>
      </w:pPr>
      <w:r>
        <w:t>All references to websites, organisations or people not within the Ministry are for convenience only and should not be taken as endorsement of those websites or information contained in those websites nor of organisations or people referred to.</w:t>
      </w:r>
      <w:r w:rsidRPr="008A09D3">
        <w:t xml:space="preserve"> </w:t>
      </w:r>
    </w:p>
    <w:p w:rsidR="001856BB" w:rsidRPr="00F53BDD" w:rsidRDefault="001856BB" w:rsidP="001856BB">
      <w:pPr>
        <w:pStyle w:val="Imprint"/>
      </w:pPr>
    </w:p>
    <w:p w:rsidR="001856BB" w:rsidRPr="00F53BDD" w:rsidRDefault="001856BB" w:rsidP="001856BB">
      <w:pPr>
        <w:pStyle w:val="Imprint"/>
      </w:pPr>
    </w:p>
    <w:p w:rsidR="001856BB" w:rsidRPr="00F53BDD" w:rsidRDefault="001856BB" w:rsidP="001856BB">
      <w:pPr>
        <w:pStyle w:val="Imprint"/>
      </w:pPr>
      <w:r w:rsidRPr="00F53BDD">
        <w:t xml:space="preserve">This document may be cited as: Ministry for the Environment. </w:t>
      </w:r>
      <w:r w:rsidR="00395D0E" w:rsidRPr="00F53BDD">
        <w:t>2021</w:t>
      </w:r>
      <w:r w:rsidRPr="00F53BDD">
        <w:t xml:space="preserve">. </w:t>
      </w:r>
      <w:r w:rsidR="00395D0E" w:rsidRPr="00F53BDD">
        <w:rPr>
          <w:i/>
          <w:iCs/>
        </w:rPr>
        <w:t>Designing a governance</w:t>
      </w:r>
      <w:r w:rsidR="00295C02" w:rsidRPr="00F53BDD">
        <w:rPr>
          <w:i/>
          <w:iCs/>
        </w:rPr>
        <w:t> </w:t>
      </w:r>
      <w:r w:rsidR="00395D0E" w:rsidRPr="00F53BDD">
        <w:rPr>
          <w:i/>
          <w:iCs/>
        </w:rPr>
        <w:t>framework for the New Zealand Emissions Trading Scheme</w:t>
      </w:r>
      <w:r w:rsidR="00172B29">
        <w:rPr>
          <w:i/>
          <w:iCs/>
        </w:rPr>
        <w:t>: Consultation document</w:t>
      </w:r>
      <w:r w:rsidRPr="00F53BDD">
        <w:t>. Wellington: Ministry</w:t>
      </w:r>
      <w:r w:rsidR="00295C02" w:rsidRPr="00F53BDD">
        <w:t> </w:t>
      </w:r>
      <w:r w:rsidRPr="00F53BDD">
        <w:t>for the Environment.</w:t>
      </w:r>
    </w:p>
    <w:p w:rsidR="001856BB" w:rsidRPr="00F53BDD" w:rsidRDefault="001856BB" w:rsidP="001856BB">
      <w:pPr>
        <w:pStyle w:val="Imprint"/>
      </w:pPr>
    </w:p>
    <w:p w:rsidR="001856BB" w:rsidRPr="00F53BDD" w:rsidRDefault="001856BB" w:rsidP="001856BB">
      <w:pPr>
        <w:pStyle w:val="Imprint"/>
      </w:pPr>
    </w:p>
    <w:p w:rsidR="009B6B17" w:rsidRPr="00F53BDD" w:rsidRDefault="009B6B17" w:rsidP="001856BB">
      <w:pPr>
        <w:pStyle w:val="Imprint"/>
      </w:pPr>
    </w:p>
    <w:p w:rsidR="009B6B17" w:rsidRPr="00F53BDD" w:rsidRDefault="009B6B17" w:rsidP="001856BB">
      <w:pPr>
        <w:pStyle w:val="Imprint"/>
      </w:pPr>
    </w:p>
    <w:p w:rsidR="009B6B17" w:rsidRPr="00F53BDD" w:rsidRDefault="009B6B17" w:rsidP="001856BB">
      <w:pPr>
        <w:pStyle w:val="Imprint"/>
      </w:pPr>
    </w:p>
    <w:p w:rsidR="00C16D8C" w:rsidRPr="00F53BDD" w:rsidRDefault="00C16D8C" w:rsidP="001856BB">
      <w:pPr>
        <w:pStyle w:val="Imprint"/>
      </w:pPr>
    </w:p>
    <w:p w:rsidR="00C16D8C" w:rsidRPr="00F53BDD" w:rsidRDefault="00C16D8C" w:rsidP="00C16D8C">
      <w:pPr>
        <w:pStyle w:val="Imprint"/>
        <w:spacing w:after="240"/>
      </w:pPr>
    </w:p>
    <w:p w:rsidR="001856BB" w:rsidRPr="00F53BDD" w:rsidRDefault="001856BB" w:rsidP="00C16D8C">
      <w:pPr>
        <w:pStyle w:val="Imprint"/>
        <w:spacing w:before="0" w:after="0"/>
      </w:pPr>
    </w:p>
    <w:p w:rsidR="001856BB" w:rsidRPr="00F53BDD" w:rsidRDefault="001856BB" w:rsidP="00C16D8C">
      <w:pPr>
        <w:pStyle w:val="Imprint"/>
        <w:spacing w:before="0"/>
      </w:pPr>
      <w:r w:rsidRPr="00F53BDD">
        <w:t xml:space="preserve">Published in </w:t>
      </w:r>
      <w:r w:rsidR="00395D0E" w:rsidRPr="00F53BDD">
        <w:t>July 2021</w:t>
      </w:r>
      <w:r w:rsidRPr="00F53BDD">
        <w:t xml:space="preserve"> by the</w:t>
      </w:r>
      <w:r w:rsidRPr="00F53BDD">
        <w:br/>
        <w:t xml:space="preserve">Ministry for the Environment </w:t>
      </w:r>
      <w:r w:rsidRPr="00F53BDD">
        <w:br/>
        <w:t>Manatū Mō Te Taiao</w:t>
      </w:r>
      <w:r w:rsidRPr="00F53BDD">
        <w:br/>
        <w:t>PO Box 10362, Wellington 6143, New Zealand</w:t>
      </w:r>
    </w:p>
    <w:p w:rsidR="001856BB" w:rsidRPr="00F27CCD" w:rsidRDefault="001856BB" w:rsidP="00F27CCD">
      <w:pPr>
        <w:spacing w:before="0" w:after="0" w:line="240" w:lineRule="auto"/>
        <w:jc w:val="left"/>
        <w:rPr>
          <w:rFonts w:eastAsia="Times New Roman" w:cs="Calibri"/>
        </w:rPr>
      </w:pPr>
      <w:r w:rsidRPr="00F53BDD">
        <w:t>ISBN:</w:t>
      </w:r>
      <w:r w:rsidR="00F27CCD">
        <w:t xml:space="preserve"> </w:t>
      </w:r>
      <w:r w:rsidR="00F27CCD" w:rsidRPr="00F27CCD">
        <w:rPr>
          <w:rFonts w:eastAsia="Times New Roman" w:cs="Calibri"/>
        </w:rPr>
        <w:t>978-1-99-003361-2</w:t>
      </w:r>
      <w:r w:rsidRPr="00F53BDD">
        <w:t xml:space="preserve"> </w:t>
      </w:r>
      <w:r w:rsidR="009B6B17" w:rsidRPr="00F53BDD">
        <w:br/>
      </w:r>
      <w:r w:rsidRPr="00F53BDD">
        <w:t>Publication number: ME</w:t>
      </w:r>
      <w:r w:rsidR="00F27CCD">
        <w:t xml:space="preserve"> 1574</w:t>
      </w:r>
    </w:p>
    <w:p w:rsidR="001856BB" w:rsidRPr="00F53BDD" w:rsidRDefault="001856BB" w:rsidP="001856BB">
      <w:pPr>
        <w:pStyle w:val="Imprint"/>
        <w:spacing w:after="80"/>
      </w:pPr>
      <w:r w:rsidRPr="00F53BDD">
        <w:t xml:space="preserve">© Crown copyright New Zealand </w:t>
      </w:r>
      <w:r w:rsidR="00395D0E" w:rsidRPr="00F53BDD">
        <w:t>2021</w:t>
      </w:r>
    </w:p>
    <w:p w:rsidR="001856BB" w:rsidRPr="00F53BDD" w:rsidRDefault="001856BB" w:rsidP="001856BB">
      <w:pPr>
        <w:pStyle w:val="Imprint"/>
        <w:spacing w:before="240" w:after="0"/>
      </w:pPr>
      <w:r w:rsidRPr="00F53BDD">
        <w:t xml:space="preserve">This document is available on the Ministry for the Environment website: </w:t>
      </w:r>
      <w:hyperlink r:id="rId15" w:history="1">
        <w:r w:rsidR="00395D0E" w:rsidRPr="00F53BDD">
          <w:rPr>
            <w:rStyle w:val="Hyperlink"/>
          </w:rPr>
          <w:t>environment.govt.nz</w:t>
        </w:r>
      </w:hyperlink>
      <w:r w:rsidRPr="00F53BDD">
        <w:rPr>
          <w:rStyle w:val="Hyperlink"/>
          <w:color w:val="auto"/>
        </w:rPr>
        <w:t>.</w:t>
      </w:r>
    </w:p>
    <w:p w:rsidR="001856BB" w:rsidRPr="00F53BDD" w:rsidRDefault="001856BB" w:rsidP="001856BB">
      <w:pPr>
        <w:sectPr w:rsidR="001856BB" w:rsidRPr="00F53BDD" w:rsidSect="008A0C11">
          <w:headerReference w:type="even" r:id="rId16"/>
          <w:headerReference w:type="default" r:id="rId17"/>
          <w:footerReference w:type="even" r:id="rId18"/>
          <w:footerReference w:type="default" r:id="rId19"/>
          <w:pgSz w:w="11907" w:h="16840" w:code="9"/>
          <w:pgMar w:top="1134" w:right="1701" w:bottom="1134" w:left="1701" w:header="567" w:footer="567" w:gutter="0"/>
          <w:pgNumType w:fmt="lowerRoman"/>
          <w:cols w:space="720"/>
        </w:sectPr>
      </w:pPr>
    </w:p>
    <w:p w:rsidR="001856BB" w:rsidRPr="00F53BDD" w:rsidRDefault="001856BB" w:rsidP="001856BB">
      <w:pPr>
        <w:pStyle w:val="Heading"/>
      </w:pPr>
      <w:bookmarkStart w:id="0" w:name="_Hlk74598974"/>
      <w:r w:rsidRPr="00F53BDD">
        <w:t>Contents</w:t>
      </w:r>
    </w:p>
    <w:p w:rsidR="0019184A" w:rsidRDefault="001856BB">
      <w:pPr>
        <w:pStyle w:val="TOC1"/>
        <w:rPr>
          <w:rFonts w:asciiTheme="minorHAnsi" w:hAnsiTheme="minorHAnsi"/>
          <w:noProof/>
        </w:rPr>
      </w:pPr>
      <w:r w:rsidRPr="00F53BDD">
        <w:rPr>
          <w:color w:val="0092CF"/>
        </w:rPr>
        <w:fldChar w:fldCharType="begin"/>
      </w:r>
      <w:r w:rsidRPr="00F53BDD">
        <w:rPr>
          <w:color w:val="0092CF"/>
        </w:rPr>
        <w:instrText xml:space="preserve"> TOC \h \z \t "Heading 1,1,Heading 2,2" </w:instrText>
      </w:r>
      <w:r w:rsidRPr="00F53BDD">
        <w:rPr>
          <w:color w:val="0092CF"/>
        </w:rPr>
        <w:fldChar w:fldCharType="separate"/>
      </w:r>
      <w:hyperlink w:anchor="_Toc75250042" w:history="1">
        <w:r w:rsidR="0019184A" w:rsidRPr="008735BF">
          <w:rPr>
            <w:rStyle w:val="Hyperlink"/>
            <w:noProof/>
          </w:rPr>
          <w:t>Message from the Minister</w:t>
        </w:r>
        <w:r w:rsidR="0019184A">
          <w:rPr>
            <w:noProof/>
            <w:webHidden/>
          </w:rPr>
          <w:tab/>
        </w:r>
        <w:r w:rsidR="0019184A">
          <w:rPr>
            <w:noProof/>
            <w:webHidden/>
          </w:rPr>
          <w:fldChar w:fldCharType="begin"/>
        </w:r>
        <w:r w:rsidR="0019184A">
          <w:rPr>
            <w:noProof/>
            <w:webHidden/>
          </w:rPr>
          <w:instrText xml:space="preserve"> PAGEREF _Toc75250042 \h </w:instrText>
        </w:r>
        <w:r w:rsidR="0019184A">
          <w:rPr>
            <w:noProof/>
            <w:webHidden/>
          </w:rPr>
        </w:r>
        <w:r w:rsidR="0019184A">
          <w:rPr>
            <w:noProof/>
            <w:webHidden/>
          </w:rPr>
          <w:fldChar w:fldCharType="separate"/>
        </w:r>
        <w:r w:rsidR="000450CB">
          <w:rPr>
            <w:noProof/>
            <w:webHidden/>
          </w:rPr>
          <w:t>6</w:t>
        </w:r>
        <w:r w:rsidR="0019184A">
          <w:rPr>
            <w:noProof/>
            <w:webHidden/>
          </w:rPr>
          <w:fldChar w:fldCharType="end"/>
        </w:r>
      </w:hyperlink>
    </w:p>
    <w:p w:rsidR="0019184A" w:rsidRDefault="0004528A">
      <w:pPr>
        <w:pStyle w:val="TOC1"/>
        <w:rPr>
          <w:rFonts w:asciiTheme="minorHAnsi" w:hAnsiTheme="minorHAnsi"/>
          <w:noProof/>
        </w:rPr>
      </w:pPr>
      <w:hyperlink w:anchor="_Toc75250043" w:history="1">
        <w:r w:rsidR="0019184A" w:rsidRPr="008735BF">
          <w:rPr>
            <w:rStyle w:val="Hyperlink"/>
            <w:noProof/>
          </w:rPr>
          <w:t>About this consultation document</w:t>
        </w:r>
        <w:r w:rsidR="0019184A">
          <w:rPr>
            <w:noProof/>
            <w:webHidden/>
          </w:rPr>
          <w:tab/>
        </w:r>
        <w:r w:rsidR="0019184A">
          <w:rPr>
            <w:noProof/>
            <w:webHidden/>
          </w:rPr>
          <w:fldChar w:fldCharType="begin"/>
        </w:r>
        <w:r w:rsidR="0019184A">
          <w:rPr>
            <w:noProof/>
            <w:webHidden/>
          </w:rPr>
          <w:instrText xml:space="preserve"> PAGEREF _Toc75250043 \h </w:instrText>
        </w:r>
        <w:r w:rsidR="0019184A">
          <w:rPr>
            <w:noProof/>
            <w:webHidden/>
          </w:rPr>
        </w:r>
        <w:r w:rsidR="0019184A">
          <w:rPr>
            <w:noProof/>
            <w:webHidden/>
          </w:rPr>
          <w:fldChar w:fldCharType="separate"/>
        </w:r>
        <w:r w:rsidR="000450CB">
          <w:rPr>
            <w:noProof/>
            <w:webHidden/>
          </w:rPr>
          <w:t>7</w:t>
        </w:r>
        <w:r w:rsidR="0019184A">
          <w:rPr>
            <w:noProof/>
            <w:webHidden/>
          </w:rPr>
          <w:fldChar w:fldCharType="end"/>
        </w:r>
      </w:hyperlink>
    </w:p>
    <w:p w:rsidR="0019184A" w:rsidRDefault="0004528A">
      <w:pPr>
        <w:pStyle w:val="TOC2"/>
        <w:rPr>
          <w:rFonts w:asciiTheme="minorHAnsi" w:hAnsiTheme="minorHAnsi"/>
          <w:noProof/>
        </w:rPr>
      </w:pPr>
      <w:hyperlink w:anchor="_Toc75250044" w:history="1">
        <w:r w:rsidR="0019184A" w:rsidRPr="008735BF">
          <w:rPr>
            <w:rStyle w:val="Hyperlink"/>
            <w:noProof/>
          </w:rPr>
          <w:t>We are seeking your feedback on options to improve governance of the New Zealand Emissions Trading Scheme</w:t>
        </w:r>
        <w:r w:rsidR="0019184A">
          <w:rPr>
            <w:noProof/>
            <w:webHidden/>
          </w:rPr>
          <w:tab/>
        </w:r>
        <w:r w:rsidR="0019184A">
          <w:rPr>
            <w:noProof/>
            <w:webHidden/>
          </w:rPr>
          <w:fldChar w:fldCharType="begin"/>
        </w:r>
        <w:r w:rsidR="0019184A">
          <w:rPr>
            <w:noProof/>
            <w:webHidden/>
          </w:rPr>
          <w:instrText xml:space="preserve"> PAGEREF _Toc75250044 \h </w:instrText>
        </w:r>
        <w:r w:rsidR="0019184A">
          <w:rPr>
            <w:noProof/>
            <w:webHidden/>
          </w:rPr>
        </w:r>
        <w:r w:rsidR="0019184A">
          <w:rPr>
            <w:noProof/>
            <w:webHidden/>
          </w:rPr>
          <w:fldChar w:fldCharType="separate"/>
        </w:r>
        <w:r w:rsidR="000450CB">
          <w:rPr>
            <w:noProof/>
            <w:webHidden/>
          </w:rPr>
          <w:t>7</w:t>
        </w:r>
        <w:r w:rsidR="0019184A">
          <w:rPr>
            <w:noProof/>
            <w:webHidden/>
          </w:rPr>
          <w:fldChar w:fldCharType="end"/>
        </w:r>
      </w:hyperlink>
    </w:p>
    <w:p w:rsidR="0019184A" w:rsidRDefault="0004528A">
      <w:pPr>
        <w:pStyle w:val="TOC2"/>
        <w:rPr>
          <w:rFonts w:asciiTheme="minorHAnsi" w:hAnsiTheme="minorHAnsi"/>
          <w:noProof/>
        </w:rPr>
      </w:pPr>
      <w:hyperlink w:anchor="_Toc75250045" w:history="1">
        <w:r w:rsidR="0019184A" w:rsidRPr="008735BF">
          <w:rPr>
            <w:rStyle w:val="Hyperlink"/>
            <w:noProof/>
          </w:rPr>
          <w:t>What this document covers</w:t>
        </w:r>
        <w:r w:rsidR="0019184A">
          <w:rPr>
            <w:noProof/>
            <w:webHidden/>
          </w:rPr>
          <w:tab/>
        </w:r>
        <w:r w:rsidR="0019184A">
          <w:rPr>
            <w:noProof/>
            <w:webHidden/>
          </w:rPr>
          <w:fldChar w:fldCharType="begin"/>
        </w:r>
        <w:r w:rsidR="0019184A">
          <w:rPr>
            <w:noProof/>
            <w:webHidden/>
          </w:rPr>
          <w:instrText xml:space="preserve"> PAGEREF _Toc75250045 \h </w:instrText>
        </w:r>
        <w:r w:rsidR="0019184A">
          <w:rPr>
            <w:noProof/>
            <w:webHidden/>
          </w:rPr>
        </w:r>
        <w:r w:rsidR="0019184A">
          <w:rPr>
            <w:noProof/>
            <w:webHidden/>
          </w:rPr>
          <w:fldChar w:fldCharType="separate"/>
        </w:r>
        <w:r w:rsidR="000450CB">
          <w:rPr>
            <w:noProof/>
            <w:webHidden/>
          </w:rPr>
          <w:t>7</w:t>
        </w:r>
        <w:r w:rsidR="0019184A">
          <w:rPr>
            <w:noProof/>
            <w:webHidden/>
          </w:rPr>
          <w:fldChar w:fldCharType="end"/>
        </w:r>
      </w:hyperlink>
    </w:p>
    <w:p w:rsidR="0019184A" w:rsidRDefault="0004528A">
      <w:pPr>
        <w:pStyle w:val="TOC2"/>
        <w:rPr>
          <w:rFonts w:asciiTheme="minorHAnsi" w:hAnsiTheme="minorHAnsi"/>
          <w:noProof/>
        </w:rPr>
      </w:pPr>
      <w:hyperlink w:anchor="_Toc75250046" w:history="1">
        <w:r w:rsidR="0019184A" w:rsidRPr="008735BF">
          <w:rPr>
            <w:rStyle w:val="Hyperlink"/>
            <w:noProof/>
          </w:rPr>
          <w:t>Next steps</w:t>
        </w:r>
        <w:r w:rsidR="0019184A">
          <w:rPr>
            <w:noProof/>
            <w:webHidden/>
          </w:rPr>
          <w:tab/>
        </w:r>
        <w:r w:rsidR="0019184A">
          <w:rPr>
            <w:noProof/>
            <w:webHidden/>
          </w:rPr>
          <w:fldChar w:fldCharType="begin"/>
        </w:r>
        <w:r w:rsidR="0019184A">
          <w:rPr>
            <w:noProof/>
            <w:webHidden/>
          </w:rPr>
          <w:instrText xml:space="preserve"> PAGEREF _Toc75250046 \h </w:instrText>
        </w:r>
        <w:r w:rsidR="0019184A">
          <w:rPr>
            <w:noProof/>
            <w:webHidden/>
          </w:rPr>
        </w:r>
        <w:r w:rsidR="0019184A">
          <w:rPr>
            <w:noProof/>
            <w:webHidden/>
          </w:rPr>
          <w:fldChar w:fldCharType="separate"/>
        </w:r>
        <w:r w:rsidR="000450CB">
          <w:rPr>
            <w:noProof/>
            <w:webHidden/>
          </w:rPr>
          <w:t>7</w:t>
        </w:r>
        <w:r w:rsidR="0019184A">
          <w:rPr>
            <w:noProof/>
            <w:webHidden/>
          </w:rPr>
          <w:fldChar w:fldCharType="end"/>
        </w:r>
      </w:hyperlink>
    </w:p>
    <w:p w:rsidR="0019184A" w:rsidRDefault="0004528A">
      <w:pPr>
        <w:pStyle w:val="TOC2"/>
        <w:rPr>
          <w:rFonts w:asciiTheme="minorHAnsi" w:hAnsiTheme="minorHAnsi"/>
          <w:noProof/>
        </w:rPr>
      </w:pPr>
      <w:hyperlink w:anchor="_Toc75250047" w:history="1">
        <w:r w:rsidR="0019184A" w:rsidRPr="008735BF">
          <w:rPr>
            <w:rStyle w:val="Hyperlink"/>
            <w:noProof/>
          </w:rPr>
          <w:t>More information</w:t>
        </w:r>
        <w:r w:rsidR="0019184A">
          <w:rPr>
            <w:noProof/>
            <w:webHidden/>
          </w:rPr>
          <w:tab/>
        </w:r>
        <w:r w:rsidR="0019184A">
          <w:rPr>
            <w:noProof/>
            <w:webHidden/>
          </w:rPr>
          <w:fldChar w:fldCharType="begin"/>
        </w:r>
        <w:r w:rsidR="0019184A">
          <w:rPr>
            <w:noProof/>
            <w:webHidden/>
          </w:rPr>
          <w:instrText xml:space="preserve"> PAGEREF _Toc75250047 \h </w:instrText>
        </w:r>
        <w:r w:rsidR="0019184A">
          <w:rPr>
            <w:noProof/>
            <w:webHidden/>
          </w:rPr>
        </w:r>
        <w:r w:rsidR="0019184A">
          <w:rPr>
            <w:noProof/>
            <w:webHidden/>
          </w:rPr>
          <w:fldChar w:fldCharType="separate"/>
        </w:r>
        <w:r w:rsidR="000450CB">
          <w:rPr>
            <w:noProof/>
            <w:webHidden/>
          </w:rPr>
          <w:t>8</w:t>
        </w:r>
        <w:r w:rsidR="0019184A">
          <w:rPr>
            <w:noProof/>
            <w:webHidden/>
          </w:rPr>
          <w:fldChar w:fldCharType="end"/>
        </w:r>
      </w:hyperlink>
    </w:p>
    <w:p w:rsidR="0019184A" w:rsidRDefault="0004528A">
      <w:pPr>
        <w:pStyle w:val="TOC1"/>
        <w:rPr>
          <w:rFonts w:asciiTheme="minorHAnsi" w:hAnsiTheme="minorHAnsi"/>
          <w:noProof/>
        </w:rPr>
      </w:pPr>
      <w:hyperlink w:anchor="_Toc75250048" w:history="1">
        <w:r w:rsidR="0019184A" w:rsidRPr="008735BF">
          <w:rPr>
            <w:rStyle w:val="Hyperlink"/>
            <w:noProof/>
          </w:rPr>
          <w:t>Glossary</w:t>
        </w:r>
        <w:r w:rsidR="0019184A">
          <w:rPr>
            <w:noProof/>
            <w:webHidden/>
          </w:rPr>
          <w:tab/>
        </w:r>
        <w:r w:rsidR="0019184A">
          <w:rPr>
            <w:noProof/>
            <w:webHidden/>
          </w:rPr>
          <w:fldChar w:fldCharType="begin"/>
        </w:r>
        <w:r w:rsidR="0019184A">
          <w:rPr>
            <w:noProof/>
            <w:webHidden/>
          </w:rPr>
          <w:instrText xml:space="preserve"> PAGEREF _Toc75250048 \h </w:instrText>
        </w:r>
        <w:r w:rsidR="0019184A">
          <w:rPr>
            <w:noProof/>
            <w:webHidden/>
          </w:rPr>
        </w:r>
        <w:r w:rsidR="0019184A">
          <w:rPr>
            <w:noProof/>
            <w:webHidden/>
          </w:rPr>
          <w:fldChar w:fldCharType="separate"/>
        </w:r>
        <w:r w:rsidR="000450CB">
          <w:rPr>
            <w:noProof/>
            <w:webHidden/>
          </w:rPr>
          <w:t>9</w:t>
        </w:r>
        <w:r w:rsidR="0019184A">
          <w:rPr>
            <w:noProof/>
            <w:webHidden/>
          </w:rPr>
          <w:fldChar w:fldCharType="end"/>
        </w:r>
      </w:hyperlink>
    </w:p>
    <w:p w:rsidR="0019184A" w:rsidRDefault="0004528A">
      <w:pPr>
        <w:pStyle w:val="TOC1"/>
        <w:rPr>
          <w:rFonts w:asciiTheme="minorHAnsi" w:hAnsiTheme="minorHAnsi"/>
          <w:noProof/>
        </w:rPr>
      </w:pPr>
      <w:hyperlink w:anchor="_Toc75250049" w:history="1">
        <w:r w:rsidR="0019184A" w:rsidRPr="008735BF">
          <w:rPr>
            <w:rStyle w:val="Hyperlink"/>
            <w:noProof/>
          </w:rPr>
          <w:t>Executive summary</w:t>
        </w:r>
        <w:r w:rsidR="0019184A">
          <w:rPr>
            <w:noProof/>
            <w:webHidden/>
          </w:rPr>
          <w:tab/>
        </w:r>
        <w:r w:rsidR="0019184A">
          <w:rPr>
            <w:noProof/>
            <w:webHidden/>
          </w:rPr>
          <w:fldChar w:fldCharType="begin"/>
        </w:r>
        <w:r w:rsidR="0019184A">
          <w:rPr>
            <w:noProof/>
            <w:webHidden/>
          </w:rPr>
          <w:instrText xml:space="preserve"> PAGEREF _Toc75250049 \h </w:instrText>
        </w:r>
        <w:r w:rsidR="0019184A">
          <w:rPr>
            <w:noProof/>
            <w:webHidden/>
          </w:rPr>
        </w:r>
        <w:r w:rsidR="0019184A">
          <w:rPr>
            <w:noProof/>
            <w:webHidden/>
          </w:rPr>
          <w:fldChar w:fldCharType="separate"/>
        </w:r>
        <w:r w:rsidR="000450CB">
          <w:rPr>
            <w:noProof/>
            <w:webHidden/>
          </w:rPr>
          <w:t>10</w:t>
        </w:r>
        <w:r w:rsidR="0019184A">
          <w:rPr>
            <w:noProof/>
            <w:webHidden/>
          </w:rPr>
          <w:fldChar w:fldCharType="end"/>
        </w:r>
      </w:hyperlink>
    </w:p>
    <w:p w:rsidR="0019184A" w:rsidRDefault="0004528A">
      <w:pPr>
        <w:pStyle w:val="TOC2"/>
        <w:rPr>
          <w:rFonts w:asciiTheme="minorHAnsi" w:hAnsiTheme="minorHAnsi"/>
          <w:noProof/>
        </w:rPr>
      </w:pPr>
      <w:hyperlink w:anchor="_Toc75250050" w:history="1">
        <w:r w:rsidR="0019184A" w:rsidRPr="008735BF">
          <w:rPr>
            <w:rStyle w:val="Hyperlink"/>
            <w:noProof/>
          </w:rPr>
          <w:t>New Zealand lacks a robust ETS governance framework</w:t>
        </w:r>
        <w:r w:rsidR="0019184A">
          <w:rPr>
            <w:noProof/>
            <w:webHidden/>
          </w:rPr>
          <w:tab/>
        </w:r>
        <w:r w:rsidR="0019184A">
          <w:rPr>
            <w:noProof/>
            <w:webHidden/>
          </w:rPr>
          <w:fldChar w:fldCharType="begin"/>
        </w:r>
        <w:r w:rsidR="0019184A">
          <w:rPr>
            <w:noProof/>
            <w:webHidden/>
          </w:rPr>
          <w:instrText xml:space="preserve"> PAGEREF _Toc75250050 \h </w:instrText>
        </w:r>
        <w:r w:rsidR="0019184A">
          <w:rPr>
            <w:noProof/>
            <w:webHidden/>
          </w:rPr>
        </w:r>
        <w:r w:rsidR="0019184A">
          <w:rPr>
            <w:noProof/>
            <w:webHidden/>
          </w:rPr>
          <w:fldChar w:fldCharType="separate"/>
        </w:r>
        <w:r w:rsidR="000450CB">
          <w:rPr>
            <w:noProof/>
            <w:webHidden/>
          </w:rPr>
          <w:t>10</w:t>
        </w:r>
        <w:r w:rsidR="0019184A">
          <w:rPr>
            <w:noProof/>
            <w:webHidden/>
          </w:rPr>
          <w:fldChar w:fldCharType="end"/>
        </w:r>
      </w:hyperlink>
    </w:p>
    <w:p w:rsidR="0019184A" w:rsidRDefault="0004528A">
      <w:pPr>
        <w:pStyle w:val="TOC2"/>
        <w:rPr>
          <w:rFonts w:asciiTheme="minorHAnsi" w:hAnsiTheme="minorHAnsi"/>
          <w:noProof/>
        </w:rPr>
      </w:pPr>
      <w:hyperlink w:anchor="_Toc75250051" w:history="1">
        <w:r w:rsidR="0019184A" w:rsidRPr="008735BF">
          <w:rPr>
            <w:rStyle w:val="Hyperlink"/>
            <w:noProof/>
          </w:rPr>
          <w:t>Key risks and themes</w:t>
        </w:r>
        <w:r w:rsidR="0019184A">
          <w:rPr>
            <w:noProof/>
            <w:webHidden/>
          </w:rPr>
          <w:tab/>
        </w:r>
        <w:r w:rsidR="0019184A">
          <w:rPr>
            <w:noProof/>
            <w:webHidden/>
          </w:rPr>
          <w:fldChar w:fldCharType="begin"/>
        </w:r>
        <w:r w:rsidR="0019184A">
          <w:rPr>
            <w:noProof/>
            <w:webHidden/>
          </w:rPr>
          <w:instrText xml:space="preserve"> PAGEREF _Toc75250051 \h </w:instrText>
        </w:r>
        <w:r w:rsidR="0019184A">
          <w:rPr>
            <w:noProof/>
            <w:webHidden/>
          </w:rPr>
        </w:r>
        <w:r w:rsidR="0019184A">
          <w:rPr>
            <w:noProof/>
            <w:webHidden/>
          </w:rPr>
          <w:fldChar w:fldCharType="separate"/>
        </w:r>
        <w:r w:rsidR="000450CB">
          <w:rPr>
            <w:noProof/>
            <w:webHidden/>
          </w:rPr>
          <w:t>10</w:t>
        </w:r>
        <w:r w:rsidR="0019184A">
          <w:rPr>
            <w:noProof/>
            <w:webHidden/>
          </w:rPr>
          <w:fldChar w:fldCharType="end"/>
        </w:r>
      </w:hyperlink>
    </w:p>
    <w:p w:rsidR="0019184A" w:rsidRDefault="0004528A">
      <w:pPr>
        <w:pStyle w:val="TOC2"/>
        <w:rPr>
          <w:rFonts w:asciiTheme="minorHAnsi" w:hAnsiTheme="minorHAnsi"/>
          <w:noProof/>
        </w:rPr>
      </w:pPr>
      <w:hyperlink w:anchor="_Toc75250052" w:history="1">
        <w:r w:rsidR="0019184A" w:rsidRPr="008735BF">
          <w:rPr>
            <w:rStyle w:val="Hyperlink"/>
            <w:noProof/>
          </w:rPr>
          <w:t>Your views</w:t>
        </w:r>
        <w:r w:rsidR="0019184A">
          <w:rPr>
            <w:noProof/>
            <w:webHidden/>
          </w:rPr>
          <w:tab/>
        </w:r>
        <w:r w:rsidR="0019184A">
          <w:rPr>
            <w:noProof/>
            <w:webHidden/>
          </w:rPr>
          <w:fldChar w:fldCharType="begin"/>
        </w:r>
        <w:r w:rsidR="0019184A">
          <w:rPr>
            <w:noProof/>
            <w:webHidden/>
          </w:rPr>
          <w:instrText xml:space="preserve"> PAGEREF _Toc75250052 \h </w:instrText>
        </w:r>
        <w:r w:rsidR="0019184A">
          <w:rPr>
            <w:noProof/>
            <w:webHidden/>
          </w:rPr>
        </w:r>
        <w:r w:rsidR="0019184A">
          <w:rPr>
            <w:noProof/>
            <w:webHidden/>
          </w:rPr>
          <w:fldChar w:fldCharType="separate"/>
        </w:r>
        <w:r w:rsidR="000450CB">
          <w:rPr>
            <w:noProof/>
            <w:webHidden/>
          </w:rPr>
          <w:t>11</w:t>
        </w:r>
        <w:r w:rsidR="0019184A">
          <w:rPr>
            <w:noProof/>
            <w:webHidden/>
          </w:rPr>
          <w:fldChar w:fldCharType="end"/>
        </w:r>
      </w:hyperlink>
    </w:p>
    <w:p w:rsidR="0019184A" w:rsidRDefault="0004528A">
      <w:pPr>
        <w:pStyle w:val="TOC1"/>
        <w:rPr>
          <w:rFonts w:asciiTheme="minorHAnsi" w:hAnsiTheme="minorHAnsi"/>
          <w:noProof/>
        </w:rPr>
      </w:pPr>
      <w:hyperlink w:anchor="_Toc75250053" w:history="1">
        <w:r w:rsidR="0019184A" w:rsidRPr="008735BF">
          <w:rPr>
            <w:rStyle w:val="Hyperlink"/>
            <w:noProof/>
          </w:rPr>
          <w:t>Section 1: Context</w:t>
        </w:r>
        <w:r w:rsidR="0019184A">
          <w:rPr>
            <w:noProof/>
            <w:webHidden/>
          </w:rPr>
          <w:tab/>
        </w:r>
        <w:r w:rsidR="0019184A">
          <w:rPr>
            <w:noProof/>
            <w:webHidden/>
          </w:rPr>
          <w:fldChar w:fldCharType="begin"/>
        </w:r>
        <w:r w:rsidR="0019184A">
          <w:rPr>
            <w:noProof/>
            <w:webHidden/>
          </w:rPr>
          <w:instrText xml:space="preserve"> PAGEREF _Toc75250053 \h </w:instrText>
        </w:r>
        <w:r w:rsidR="0019184A">
          <w:rPr>
            <w:noProof/>
            <w:webHidden/>
          </w:rPr>
        </w:r>
        <w:r w:rsidR="0019184A">
          <w:rPr>
            <w:noProof/>
            <w:webHidden/>
          </w:rPr>
          <w:fldChar w:fldCharType="separate"/>
        </w:r>
        <w:r w:rsidR="000450CB">
          <w:rPr>
            <w:noProof/>
            <w:webHidden/>
          </w:rPr>
          <w:t>13</w:t>
        </w:r>
        <w:r w:rsidR="0019184A">
          <w:rPr>
            <w:noProof/>
            <w:webHidden/>
          </w:rPr>
          <w:fldChar w:fldCharType="end"/>
        </w:r>
      </w:hyperlink>
    </w:p>
    <w:p w:rsidR="0019184A" w:rsidRDefault="0004528A">
      <w:pPr>
        <w:pStyle w:val="TOC2"/>
        <w:rPr>
          <w:rFonts w:asciiTheme="minorHAnsi" w:hAnsiTheme="minorHAnsi"/>
          <w:noProof/>
        </w:rPr>
      </w:pPr>
      <w:hyperlink w:anchor="_Toc75250054" w:history="1">
        <w:r w:rsidR="0019184A" w:rsidRPr="008735BF">
          <w:rPr>
            <w:rStyle w:val="Hyperlink"/>
            <w:noProof/>
          </w:rPr>
          <w:t>NZ ETS: a key tool for addressing climate change</w:t>
        </w:r>
        <w:r w:rsidR="0019184A">
          <w:rPr>
            <w:noProof/>
            <w:webHidden/>
          </w:rPr>
          <w:tab/>
        </w:r>
        <w:r w:rsidR="0019184A">
          <w:rPr>
            <w:noProof/>
            <w:webHidden/>
          </w:rPr>
          <w:fldChar w:fldCharType="begin"/>
        </w:r>
        <w:r w:rsidR="0019184A">
          <w:rPr>
            <w:noProof/>
            <w:webHidden/>
          </w:rPr>
          <w:instrText xml:space="preserve"> PAGEREF _Toc75250054 \h </w:instrText>
        </w:r>
        <w:r w:rsidR="0019184A">
          <w:rPr>
            <w:noProof/>
            <w:webHidden/>
          </w:rPr>
        </w:r>
        <w:r w:rsidR="0019184A">
          <w:rPr>
            <w:noProof/>
            <w:webHidden/>
          </w:rPr>
          <w:fldChar w:fldCharType="separate"/>
        </w:r>
        <w:r w:rsidR="000450CB">
          <w:rPr>
            <w:noProof/>
            <w:webHidden/>
          </w:rPr>
          <w:t>13</w:t>
        </w:r>
        <w:r w:rsidR="0019184A">
          <w:rPr>
            <w:noProof/>
            <w:webHidden/>
          </w:rPr>
          <w:fldChar w:fldCharType="end"/>
        </w:r>
      </w:hyperlink>
    </w:p>
    <w:p w:rsidR="0019184A" w:rsidRDefault="0004528A">
      <w:pPr>
        <w:pStyle w:val="TOC2"/>
        <w:rPr>
          <w:rFonts w:asciiTheme="minorHAnsi" w:hAnsiTheme="minorHAnsi"/>
          <w:noProof/>
        </w:rPr>
      </w:pPr>
      <w:hyperlink w:anchor="_Toc75250055" w:history="1">
        <w:r w:rsidR="0019184A" w:rsidRPr="008735BF">
          <w:rPr>
            <w:rStyle w:val="Hyperlink"/>
            <w:noProof/>
          </w:rPr>
          <w:t>Overview of trading in the NZ ETS</w:t>
        </w:r>
        <w:r w:rsidR="0019184A">
          <w:rPr>
            <w:noProof/>
            <w:webHidden/>
          </w:rPr>
          <w:tab/>
        </w:r>
        <w:r w:rsidR="0019184A">
          <w:rPr>
            <w:noProof/>
            <w:webHidden/>
          </w:rPr>
          <w:fldChar w:fldCharType="begin"/>
        </w:r>
        <w:r w:rsidR="0019184A">
          <w:rPr>
            <w:noProof/>
            <w:webHidden/>
          </w:rPr>
          <w:instrText xml:space="preserve"> PAGEREF _Toc75250055 \h </w:instrText>
        </w:r>
        <w:r w:rsidR="0019184A">
          <w:rPr>
            <w:noProof/>
            <w:webHidden/>
          </w:rPr>
        </w:r>
        <w:r w:rsidR="0019184A">
          <w:rPr>
            <w:noProof/>
            <w:webHidden/>
          </w:rPr>
          <w:fldChar w:fldCharType="separate"/>
        </w:r>
        <w:r w:rsidR="000450CB">
          <w:rPr>
            <w:noProof/>
            <w:webHidden/>
          </w:rPr>
          <w:t>14</w:t>
        </w:r>
        <w:r w:rsidR="0019184A">
          <w:rPr>
            <w:noProof/>
            <w:webHidden/>
          </w:rPr>
          <w:fldChar w:fldCharType="end"/>
        </w:r>
      </w:hyperlink>
    </w:p>
    <w:p w:rsidR="0019184A" w:rsidRDefault="0004528A">
      <w:pPr>
        <w:pStyle w:val="TOC1"/>
        <w:rPr>
          <w:rFonts w:asciiTheme="minorHAnsi" w:hAnsiTheme="minorHAnsi"/>
          <w:noProof/>
        </w:rPr>
      </w:pPr>
      <w:hyperlink w:anchor="_Toc75250056" w:history="1">
        <w:r w:rsidR="0019184A" w:rsidRPr="008735BF">
          <w:rPr>
            <w:rStyle w:val="Hyperlink"/>
            <w:noProof/>
          </w:rPr>
          <w:t>Section 2: Market governance framework</w:t>
        </w:r>
        <w:r w:rsidR="0019184A">
          <w:rPr>
            <w:noProof/>
            <w:webHidden/>
          </w:rPr>
          <w:tab/>
        </w:r>
        <w:r w:rsidR="0019184A">
          <w:rPr>
            <w:noProof/>
            <w:webHidden/>
          </w:rPr>
          <w:fldChar w:fldCharType="begin"/>
        </w:r>
        <w:r w:rsidR="0019184A">
          <w:rPr>
            <w:noProof/>
            <w:webHidden/>
          </w:rPr>
          <w:instrText xml:space="preserve"> PAGEREF _Toc75250056 \h </w:instrText>
        </w:r>
        <w:r w:rsidR="0019184A">
          <w:rPr>
            <w:noProof/>
            <w:webHidden/>
          </w:rPr>
        </w:r>
        <w:r w:rsidR="0019184A">
          <w:rPr>
            <w:noProof/>
            <w:webHidden/>
          </w:rPr>
          <w:fldChar w:fldCharType="separate"/>
        </w:r>
        <w:r w:rsidR="000450CB">
          <w:rPr>
            <w:noProof/>
            <w:webHidden/>
          </w:rPr>
          <w:t>17</w:t>
        </w:r>
        <w:r w:rsidR="0019184A">
          <w:rPr>
            <w:noProof/>
            <w:webHidden/>
          </w:rPr>
          <w:fldChar w:fldCharType="end"/>
        </w:r>
      </w:hyperlink>
    </w:p>
    <w:p w:rsidR="0019184A" w:rsidRDefault="0004528A">
      <w:pPr>
        <w:pStyle w:val="TOC2"/>
        <w:rPr>
          <w:rFonts w:asciiTheme="minorHAnsi" w:hAnsiTheme="minorHAnsi"/>
          <w:noProof/>
        </w:rPr>
      </w:pPr>
      <w:hyperlink w:anchor="_Toc75250057" w:history="1">
        <w:r w:rsidR="0019184A" w:rsidRPr="008735BF">
          <w:rPr>
            <w:rStyle w:val="Hyperlink"/>
            <w:noProof/>
          </w:rPr>
          <w:t>Objective</w:t>
        </w:r>
        <w:r w:rsidR="0019184A">
          <w:rPr>
            <w:noProof/>
            <w:webHidden/>
          </w:rPr>
          <w:tab/>
        </w:r>
        <w:r w:rsidR="0019184A">
          <w:rPr>
            <w:noProof/>
            <w:webHidden/>
          </w:rPr>
          <w:fldChar w:fldCharType="begin"/>
        </w:r>
        <w:r w:rsidR="0019184A">
          <w:rPr>
            <w:noProof/>
            <w:webHidden/>
          </w:rPr>
          <w:instrText xml:space="preserve"> PAGEREF _Toc75250057 \h </w:instrText>
        </w:r>
        <w:r w:rsidR="0019184A">
          <w:rPr>
            <w:noProof/>
            <w:webHidden/>
          </w:rPr>
        </w:r>
        <w:r w:rsidR="0019184A">
          <w:rPr>
            <w:noProof/>
            <w:webHidden/>
          </w:rPr>
          <w:fldChar w:fldCharType="separate"/>
        </w:r>
        <w:r w:rsidR="000450CB">
          <w:rPr>
            <w:noProof/>
            <w:webHidden/>
          </w:rPr>
          <w:t>17</w:t>
        </w:r>
        <w:r w:rsidR="0019184A">
          <w:rPr>
            <w:noProof/>
            <w:webHidden/>
          </w:rPr>
          <w:fldChar w:fldCharType="end"/>
        </w:r>
      </w:hyperlink>
    </w:p>
    <w:p w:rsidR="0019184A" w:rsidRDefault="0004528A">
      <w:pPr>
        <w:pStyle w:val="TOC2"/>
        <w:rPr>
          <w:rFonts w:asciiTheme="minorHAnsi" w:hAnsiTheme="minorHAnsi"/>
          <w:noProof/>
        </w:rPr>
      </w:pPr>
      <w:hyperlink w:anchor="_Toc75250058" w:history="1">
        <w:r w:rsidR="0019184A" w:rsidRPr="008735BF">
          <w:rPr>
            <w:rStyle w:val="Hyperlink"/>
            <w:noProof/>
          </w:rPr>
          <w:t>Defining the problem</w:t>
        </w:r>
        <w:r w:rsidR="0019184A">
          <w:rPr>
            <w:noProof/>
            <w:webHidden/>
          </w:rPr>
          <w:tab/>
        </w:r>
        <w:r w:rsidR="0019184A">
          <w:rPr>
            <w:noProof/>
            <w:webHidden/>
          </w:rPr>
          <w:fldChar w:fldCharType="begin"/>
        </w:r>
        <w:r w:rsidR="0019184A">
          <w:rPr>
            <w:noProof/>
            <w:webHidden/>
          </w:rPr>
          <w:instrText xml:space="preserve"> PAGEREF _Toc75250058 \h </w:instrText>
        </w:r>
        <w:r w:rsidR="0019184A">
          <w:rPr>
            <w:noProof/>
            <w:webHidden/>
          </w:rPr>
        </w:r>
        <w:r w:rsidR="0019184A">
          <w:rPr>
            <w:noProof/>
            <w:webHidden/>
          </w:rPr>
          <w:fldChar w:fldCharType="separate"/>
        </w:r>
        <w:r w:rsidR="000450CB">
          <w:rPr>
            <w:noProof/>
            <w:webHidden/>
          </w:rPr>
          <w:t>17</w:t>
        </w:r>
        <w:r w:rsidR="0019184A">
          <w:rPr>
            <w:noProof/>
            <w:webHidden/>
          </w:rPr>
          <w:fldChar w:fldCharType="end"/>
        </w:r>
      </w:hyperlink>
    </w:p>
    <w:p w:rsidR="0019184A" w:rsidRDefault="0004528A">
      <w:pPr>
        <w:pStyle w:val="TOC2"/>
        <w:rPr>
          <w:rFonts w:asciiTheme="minorHAnsi" w:hAnsiTheme="minorHAnsi"/>
          <w:noProof/>
        </w:rPr>
      </w:pPr>
      <w:hyperlink w:anchor="_Toc75250059" w:history="1">
        <w:r w:rsidR="0019184A" w:rsidRPr="008735BF">
          <w:rPr>
            <w:rStyle w:val="Hyperlink"/>
            <w:noProof/>
          </w:rPr>
          <w:t>Your views</w:t>
        </w:r>
        <w:r w:rsidR="0019184A">
          <w:rPr>
            <w:noProof/>
            <w:webHidden/>
          </w:rPr>
          <w:tab/>
        </w:r>
        <w:r w:rsidR="0019184A">
          <w:rPr>
            <w:noProof/>
            <w:webHidden/>
          </w:rPr>
          <w:fldChar w:fldCharType="begin"/>
        </w:r>
        <w:r w:rsidR="0019184A">
          <w:rPr>
            <w:noProof/>
            <w:webHidden/>
          </w:rPr>
          <w:instrText xml:space="preserve"> PAGEREF _Toc75250059 \h </w:instrText>
        </w:r>
        <w:r w:rsidR="0019184A">
          <w:rPr>
            <w:noProof/>
            <w:webHidden/>
          </w:rPr>
        </w:r>
        <w:r w:rsidR="0019184A">
          <w:rPr>
            <w:noProof/>
            <w:webHidden/>
          </w:rPr>
          <w:fldChar w:fldCharType="separate"/>
        </w:r>
        <w:r w:rsidR="000450CB">
          <w:rPr>
            <w:noProof/>
            <w:webHidden/>
          </w:rPr>
          <w:t>18</w:t>
        </w:r>
        <w:r w:rsidR="0019184A">
          <w:rPr>
            <w:noProof/>
            <w:webHidden/>
          </w:rPr>
          <w:fldChar w:fldCharType="end"/>
        </w:r>
      </w:hyperlink>
    </w:p>
    <w:p w:rsidR="0019184A" w:rsidRDefault="0004528A">
      <w:pPr>
        <w:pStyle w:val="TOC2"/>
        <w:rPr>
          <w:rFonts w:asciiTheme="minorHAnsi" w:hAnsiTheme="minorHAnsi"/>
          <w:noProof/>
        </w:rPr>
      </w:pPr>
      <w:hyperlink w:anchor="_Toc75250060" w:history="1">
        <w:r w:rsidR="0019184A" w:rsidRPr="008735BF">
          <w:rPr>
            <w:rStyle w:val="Hyperlink"/>
            <w:noProof/>
          </w:rPr>
          <w:t>How international ETSs address governance risks</w:t>
        </w:r>
        <w:r w:rsidR="0019184A">
          <w:rPr>
            <w:noProof/>
            <w:webHidden/>
          </w:rPr>
          <w:tab/>
        </w:r>
        <w:r w:rsidR="0019184A">
          <w:rPr>
            <w:noProof/>
            <w:webHidden/>
          </w:rPr>
          <w:fldChar w:fldCharType="begin"/>
        </w:r>
        <w:r w:rsidR="0019184A">
          <w:rPr>
            <w:noProof/>
            <w:webHidden/>
          </w:rPr>
          <w:instrText xml:space="preserve"> PAGEREF _Toc75250060 \h </w:instrText>
        </w:r>
        <w:r w:rsidR="0019184A">
          <w:rPr>
            <w:noProof/>
            <w:webHidden/>
          </w:rPr>
        </w:r>
        <w:r w:rsidR="0019184A">
          <w:rPr>
            <w:noProof/>
            <w:webHidden/>
          </w:rPr>
          <w:fldChar w:fldCharType="separate"/>
        </w:r>
        <w:r w:rsidR="000450CB">
          <w:rPr>
            <w:noProof/>
            <w:webHidden/>
          </w:rPr>
          <w:t>19</w:t>
        </w:r>
        <w:r w:rsidR="0019184A">
          <w:rPr>
            <w:noProof/>
            <w:webHidden/>
          </w:rPr>
          <w:fldChar w:fldCharType="end"/>
        </w:r>
      </w:hyperlink>
    </w:p>
    <w:p w:rsidR="0019184A" w:rsidRDefault="0004528A">
      <w:pPr>
        <w:pStyle w:val="TOC2"/>
        <w:rPr>
          <w:rFonts w:asciiTheme="minorHAnsi" w:hAnsiTheme="minorHAnsi"/>
          <w:noProof/>
        </w:rPr>
      </w:pPr>
      <w:hyperlink w:anchor="_Toc75250061" w:history="1">
        <w:r w:rsidR="0019184A" w:rsidRPr="008735BF">
          <w:rPr>
            <w:rStyle w:val="Hyperlink"/>
            <w:rFonts w:eastAsia="Times New Roman"/>
            <w:noProof/>
          </w:rPr>
          <w:t>Comparing the NZ ETS with international schemes</w:t>
        </w:r>
        <w:r w:rsidR="0019184A">
          <w:rPr>
            <w:noProof/>
            <w:webHidden/>
          </w:rPr>
          <w:tab/>
        </w:r>
        <w:r w:rsidR="0019184A">
          <w:rPr>
            <w:noProof/>
            <w:webHidden/>
          </w:rPr>
          <w:fldChar w:fldCharType="begin"/>
        </w:r>
        <w:r w:rsidR="0019184A">
          <w:rPr>
            <w:noProof/>
            <w:webHidden/>
          </w:rPr>
          <w:instrText xml:space="preserve"> PAGEREF _Toc75250061 \h </w:instrText>
        </w:r>
        <w:r w:rsidR="0019184A">
          <w:rPr>
            <w:noProof/>
            <w:webHidden/>
          </w:rPr>
        </w:r>
        <w:r w:rsidR="0019184A">
          <w:rPr>
            <w:noProof/>
            <w:webHidden/>
          </w:rPr>
          <w:fldChar w:fldCharType="separate"/>
        </w:r>
        <w:r w:rsidR="000450CB">
          <w:rPr>
            <w:noProof/>
            <w:webHidden/>
          </w:rPr>
          <w:t>20</w:t>
        </w:r>
        <w:r w:rsidR="0019184A">
          <w:rPr>
            <w:noProof/>
            <w:webHidden/>
          </w:rPr>
          <w:fldChar w:fldCharType="end"/>
        </w:r>
      </w:hyperlink>
    </w:p>
    <w:p w:rsidR="0019184A" w:rsidRDefault="0004528A">
      <w:pPr>
        <w:pStyle w:val="TOC1"/>
        <w:rPr>
          <w:rFonts w:asciiTheme="minorHAnsi" w:hAnsiTheme="minorHAnsi"/>
          <w:noProof/>
        </w:rPr>
      </w:pPr>
      <w:hyperlink w:anchor="_Toc75250062" w:history="1">
        <w:r w:rsidR="0019184A" w:rsidRPr="008735BF">
          <w:rPr>
            <w:rStyle w:val="Hyperlink"/>
            <w:noProof/>
          </w:rPr>
          <w:t>Section 3: Governance of advice</w:t>
        </w:r>
        <w:r w:rsidR="0019184A">
          <w:rPr>
            <w:noProof/>
            <w:webHidden/>
          </w:rPr>
          <w:tab/>
        </w:r>
        <w:r w:rsidR="0019184A">
          <w:rPr>
            <w:noProof/>
            <w:webHidden/>
          </w:rPr>
          <w:fldChar w:fldCharType="begin"/>
        </w:r>
        <w:r w:rsidR="0019184A">
          <w:rPr>
            <w:noProof/>
            <w:webHidden/>
          </w:rPr>
          <w:instrText xml:space="preserve"> PAGEREF _Toc75250062 \h </w:instrText>
        </w:r>
        <w:r w:rsidR="0019184A">
          <w:rPr>
            <w:noProof/>
            <w:webHidden/>
          </w:rPr>
        </w:r>
        <w:r w:rsidR="0019184A">
          <w:rPr>
            <w:noProof/>
            <w:webHidden/>
          </w:rPr>
          <w:fldChar w:fldCharType="separate"/>
        </w:r>
        <w:r w:rsidR="000450CB">
          <w:rPr>
            <w:noProof/>
            <w:webHidden/>
          </w:rPr>
          <w:t>21</w:t>
        </w:r>
        <w:r w:rsidR="0019184A">
          <w:rPr>
            <w:noProof/>
            <w:webHidden/>
          </w:rPr>
          <w:fldChar w:fldCharType="end"/>
        </w:r>
      </w:hyperlink>
    </w:p>
    <w:p w:rsidR="0019184A" w:rsidRDefault="0004528A">
      <w:pPr>
        <w:pStyle w:val="TOC2"/>
        <w:rPr>
          <w:rFonts w:asciiTheme="minorHAnsi" w:hAnsiTheme="minorHAnsi"/>
          <w:noProof/>
        </w:rPr>
      </w:pPr>
      <w:hyperlink w:anchor="_Toc75250063" w:history="1">
        <w:r w:rsidR="0019184A" w:rsidRPr="008735BF">
          <w:rPr>
            <w:rStyle w:val="Hyperlink"/>
            <w:noProof/>
          </w:rPr>
          <w:t>Risk 1: Inadequate, false or misleading advice to users</w:t>
        </w:r>
        <w:r w:rsidR="0019184A">
          <w:rPr>
            <w:noProof/>
            <w:webHidden/>
          </w:rPr>
          <w:tab/>
        </w:r>
        <w:r w:rsidR="0019184A">
          <w:rPr>
            <w:noProof/>
            <w:webHidden/>
          </w:rPr>
          <w:fldChar w:fldCharType="begin"/>
        </w:r>
        <w:r w:rsidR="0019184A">
          <w:rPr>
            <w:noProof/>
            <w:webHidden/>
          </w:rPr>
          <w:instrText xml:space="preserve"> PAGEREF _Toc75250063 \h </w:instrText>
        </w:r>
        <w:r w:rsidR="0019184A">
          <w:rPr>
            <w:noProof/>
            <w:webHidden/>
          </w:rPr>
        </w:r>
        <w:r w:rsidR="0019184A">
          <w:rPr>
            <w:noProof/>
            <w:webHidden/>
          </w:rPr>
          <w:fldChar w:fldCharType="separate"/>
        </w:r>
        <w:r w:rsidR="000450CB">
          <w:rPr>
            <w:noProof/>
            <w:webHidden/>
          </w:rPr>
          <w:t>21</w:t>
        </w:r>
        <w:r w:rsidR="0019184A">
          <w:rPr>
            <w:noProof/>
            <w:webHidden/>
          </w:rPr>
          <w:fldChar w:fldCharType="end"/>
        </w:r>
      </w:hyperlink>
    </w:p>
    <w:p w:rsidR="0019184A" w:rsidRDefault="0004528A">
      <w:pPr>
        <w:pStyle w:val="TOC2"/>
        <w:rPr>
          <w:rFonts w:asciiTheme="minorHAnsi" w:hAnsiTheme="minorHAnsi"/>
          <w:noProof/>
        </w:rPr>
      </w:pPr>
      <w:hyperlink w:anchor="_Toc75250064" w:history="1">
        <w:r w:rsidR="0019184A" w:rsidRPr="008735BF">
          <w:rPr>
            <w:rStyle w:val="Hyperlink"/>
            <w:noProof/>
          </w:rPr>
          <w:t>Risk 2: Conflicts of interest</w:t>
        </w:r>
        <w:r w:rsidR="0019184A">
          <w:rPr>
            <w:noProof/>
            <w:webHidden/>
          </w:rPr>
          <w:tab/>
        </w:r>
        <w:r w:rsidR="0019184A">
          <w:rPr>
            <w:noProof/>
            <w:webHidden/>
          </w:rPr>
          <w:fldChar w:fldCharType="begin"/>
        </w:r>
        <w:r w:rsidR="0019184A">
          <w:rPr>
            <w:noProof/>
            <w:webHidden/>
          </w:rPr>
          <w:instrText xml:space="preserve"> PAGEREF _Toc75250064 \h </w:instrText>
        </w:r>
        <w:r w:rsidR="0019184A">
          <w:rPr>
            <w:noProof/>
            <w:webHidden/>
          </w:rPr>
        </w:r>
        <w:r w:rsidR="0019184A">
          <w:rPr>
            <w:noProof/>
            <w:webHidden/>
          </w:rPr>
          <w:fldChar w:fldCharType="separate"/>
        </w:r>
        <w:r w:rsidR="000450CB">
          <w:rPr>
            <w:noProof/>
            <w:webHidden/>
          </w:rPr>
          <w:t>21</w:t>
        </w:r>
        <w:r w:rsidR="0019184A">
          <w:rPr>
            <w:noProof/>
            <w:webHidden/>
          </w:rPr>
          <w:fldChar w:fldCharType="end"/>
        </w:r>
      </w:hyperlink>
    </w:p>
    <w:p w:rsidR="0019184A" w:rsidRDefault="0004528A">
      <w:pPr>
        <w:pStyle w:val="TOC2"/>
        <w:rPr>
          <w:rFonts w:asciiTheme="minorHAnsi" w:hAnsiTheme="minorHAnsi"/>
          <w:noProof/>
        </w:rPr>
      </w:pPr>
      <w:hyperlink w:anchor="_Toc75250065" w:history="1">
        <w:r w:rsidR="0019184A" w:rsidRPr="008735BF">
          <w:rPr>
            <w:rStyle w:val="Hyperlink"/>
            <w:noProof/>
          </w:rPr>
          <w:t>Options</w:t>
        </w:r>
        <w:r w:rsidR="0019184A">
          <w:rPr>
            <w:noProof/>
            <w:webHidden/>
          </w:rPr>
          <w:tab/>
        </w:r>
        <w:r w:rsidR="0019184A">
          <w:rPr>
            <w:noProof/>
            <w:webHidden/>
          </w:rPr>
          <w:fldChar w:fldCharType="begin"/>
        </w:r>
        <w:r w:rsidR="0019184A">
          <w:rPr>
            <w:noProof/>
            <w:webHidden/>
          </w:rPr>
          <w:instrText xml:space="preserve"> PAGEREF _Toc75250065 \h </w:instrText>
        </w:r>
        <w:r w:rsidR="0019184A">
          <w:rPr>
            <w:noProof/>
            <w:webHidden/>
          </w:rPr>
        </w:r>
        <w:r w:rsidR="0019184A">
          <w:rPr>
            <w:noProof/>
            <w:webHidden/>
          </w:rPr>
          <w:fldChar w:fldCharType="separate"/>
        </w:r>
        <w:r w:rsidR="000450CB">
          <w:rPr>
            <w:noProof/>
            <w:webHidden/>
          </w:rPr>
          <w:t>22</w:t>
        </w:r>
        <w:r w:rsidR="0019184A">
          <w:rPr>
            <w:noProof/>
            <w:webHidden/>
          </w:rPr>
          <w:fldChar w:fldCharType="end"/>
        </w:r>
      </w:hyperlink>
    </w:p>
    <w:p w:rsidR="0019184A" w:rsidRDefault="0004528A">
      <w:pPr>
        <w:pStyle w:val="TOC2"/>
        <w:rPr>
          <w:rFonts w:asciiTheme="minorHAnsi" w:hAnsiTheme="minorHAnsi"/>
          <w:noProof/>
        </w:rPr>
      </w:pPr>
      <w:hyperlink w:anchor="_Toc75250066" w:history="1">
        <w:r w:rsidR="0019184A" w:rsidRPr="008735BF">
          <w:rPr>
            <w:rStyle w:val="Hyperlink"/>
            <w:noProof/>
          </w:rPr>
          <w:t>Consultation questions</w:t>
        </w:r>
        <w:r w:rsidR="0019184A">
          <w:rPr>
            <w:noProof/>
            <w:webHidden/>
          </w:rPr>
          <w:tab/>
        </w:r>
        <w:r w:rsidR="0019184A">
          <w:rPr>
            <w:noProof/>
            <w:webHidden/>
          </w:rPr>
          <w:fldChar w:fldCharType="begin"/>
        </w:r>
        <w:r w:rsidR="0019184A">
          <w:rPr>
            <w:noProof/>
            <w:webHidden/>
          </w:rPr>
          <w:instrText xml:space="preserve"> PAGEREF _Toc75250066 \h </w:instrText>
        </w:r>
        <w:r w:rsidR="0019184A">
          <w:rPr>
            <w:noProof/>
            <w:webHidden/>
          </w:rPr>
        </w:r>
        <w:r w:rsidR="0019184A">
          <w:rPr>
            <w:noProof/>
            <w:webHidden/>
          </w:rPr>
          <w:fldChar w:fldCharType="separate"/>
        </w:r>
        <w:r w:rsidR="000450CB">
          <w:rPr>
            <w:noProof/>
            <w:webHidden/>
          </w:rPr>
          <w:t>25</w:t>
        </w:r>
        <w:r w:rsidR="0019184A">
          <w:rPr>
            <w:noProof/>
            <w:webHidden/>
          </w:rPr>
          <w:fldChar w:fldCharType="end"/>
        </w:r>
      </w:hyperlink>
    </w:p>
    <w:p w:rsidR="0019184A" w:rsidRDefault="0004528A">
      <w:pPr>
        <w:pStyle w:val="TOC1"/>
        <w:rPr>
          <w:rFonts w:asciiTheme="minorHAnsi" w:hAnsiTheme="minorHAnsi"/>
          <w:noProof/>
        </w:rPr>
      </w:pPr>
      <w:hyperlink w:anchor="_Toc75250067" w:history="1">
        <w:r w:rsidR="0019184A" w:rsidRPr="008735BF">
          <w:rPr>
            <w:rStyle w:val="Hyperlink"/>
            <w:noProof/>
          </w:rPr>
          <w:t>Section 4: Governance of trading</w:t>
        </w:r>
        <w:r w:rsidR="0019184A">
          <w:rPr>
            <w:noProof/>
            <w:webHidden/>
          </w:rPr>
          <w:tab/>
        </w:r>
        <w:r w:rsidR="0019184A">
          <w:rPr>
            <w:noProof/>
            <w:webHidden/>
          </w:rPr>
          <w:fldChar w:fldCharType="begin"/>
        </w:r>
        <w:r w:rsidR="0019184A">
          <w:rPr>
            <w:noProof/>
            <w:webHidden/>
          </w:rPr>
          <w:instrText xml:space="preserve"> PAGEREF _Toc75250067 \h </w:instrText>
        </w:r>
        <w:r w:rsidR="0019184A">
          <w:rPr>
            <w:noProof/>
            <w:webHidden/>
          </w:rPr>
        </w:r>
        <w:r w:rsidR="0019184A">
          <w:rPr>
            <w:noProof/>
            <w:webHidden/>
          </w:rPr>
          <w:fldChar w:fldCharType="separate"/>
        </w:r>
        <w:r w:rsidR="000450CB">
          <w:rPr>
            <w:noProof/>
            <w:webHidden/>
          </w:rPr>
          <w:t>26</w:t>
        </w:r>
        <w:r w:rsidR="0019184A">
          <w:rPr>
            <w:noProof/>
            <w:webHidden/>
          </w:rPr>
          <w:fldChar w:fldCharType="end"/>
        </w:r>
      </w:hyperlink>
    </w:p>
    <w:p w:rsidR="0019184A" w:rsidRDefault="0004528A">
      <w:pPr>
        <w:pStyle w:val="TOC2"/>
        <w:rPr>
          <w:rFonts w:asciiTheme="minorHAnsi" w:hAnsiTheme="minorHAnsi"/>
          <w:noProof/>
        </w:rPr>
      </w:pPr>
      <w:hyperlink w:anchor="_Toc75250068" w:history="1">
        <w:r w:rsidR="0019184A" w:rsidRPr="008735BF">
          <w:rPr>
            <w:rStyle w:val="Hyperlink"/>
            <w:noProof/>
          </w:rPr>
          <w:t>Risk 3: Lack of transparency, oversight and monitoring of trades in the secondary market</w:t>
        </w:r>
        <w:r w:rsidR="0019184A">
          <w:rPr>
            <w:noProof/>
            <w:webHidden/>
          </w:rPr>
          <w:tab/>
        </w:r>
        <w:r w:rsidR="0019184A">
          <w:rPr>
            <w:noProof/>
            <w:webHidden/>
          </w:rPr>
          <w:fldChar w:fldCharType="begin"/>
        </w:r>
        <w:r w:rsidR="0019184A">
          <w:rPr>
            <w:noProof/>
            <w:webHidden/>
          </w:rPr>
          <w:instrText xml:space="preserve"> PAGEREF _Toc75250068 \h </w:instrText>
        </w:r>
        <w:r w:rsidR="0019184A">
          <w:rPr>
            <w:noProof/>
            <w:webHidden/>
          </w:rPr>
        </w:r>
        <w:r w:rsidR="0019184A">
          <w:rPr>
            <w:noProof/>
            <w:webHidden/>
          </w:rPr>
          <w:fldChar w:fldCharType="separate"/>
        </w:r>
        <w:r w:rsidR="000450CB">
          <w:rPr>
            <w:noProof/>
            <w:webHidden/>
          </w:rPr>
          <w:t>26</w:t>
        </w:r>
        <w:r w:rsidR="0019184A">
          <w:rPr>
            <w:noProof/>
            <w:webHidden/>
          </w:rPr>
          <w:fldChar w:fldCharType="end"/>
        </w:r>
      </w:hyperlink>
    </w:p>
    <w:p w:rsidR="0019184A" w:rsidRDefault="0004528A">
      <w:pPr>
        <w:pStyle w:val="TOC2"/>
        <w:rPr>
          <w:rFonts w:asciiTheme="minorHAnsi" w:hAnsiTheme="minorHAnsi"/>
          <w:noProof/>
        </w:rPr>
      </w:pPr>
      <w:hyperlink w:anchor="_Toc75250069" w:history="1">
        <w:r w:rsidR="0019184A" w:rsidRPr="008735BF">
          <w:rPr>
            <w:rStyle w:val="Hyperlink"/>
            <w:noProof/>
          </w:rPr>
          <w:t>Risk 4: Credit and counter-party risk</w:t>
        </w:r>
        <w:r w:rsidR="0019184A">
          <w:rPr>
            <w:noProof/>
            <w:webHidden/>
          </w:rPr>
          <w:tab/>
        </w:r>
        <w:r w:rsidR="0019184A">
          <w:rPr>
            <w:noProof/>
            <w:webHidden/>
          </w:rPr>
          <w:fldChar w:fldCharType="begin"/>
        </w:r>
        <w:r w:rsidR="0019184A">
          <w:rPr>
            <w:noProof/>
            <w:webHidden/>
          </w:rPr>
          <w:instrText xml:space="preserve"> PAGEREF _Toc75250069 \h </w:instrText>
        </w:r>
        <w:r w:rsidR="0019184A">
          <w:rPr>
            <w:noProof/>
            <w:webHidden/>
          </w:rPr>
        </w:r>
        <w:r w:rsidR="0019184A">
          <w:rPr>
            <w:noProof/>
            <w:webHidden/>
          </w:rPr>
          <w:fldChar w:fldCharType="separate"/>
        </w:r>
        <w:r w:rsidR="000450CB">
          <w:rPr>
            <w:noProof/>
            <w:webHidden/>
          </w:rPr>
          <w:t>26</w:t>
        </w:r>
        <w:r w:rsidR="0019184A">
          <w:rPr>
            <w:noProof/>
            <w:webHidden/>
          </w:rPr>
          <w:fldChar w:fldCharType="end"/>
        </w:r>
      </w:hyperlink>
    </w:p>
    <w:p w:rsidR="0019184A" w:rsidRDefault="0004528A">
      <w:pPr>
        <w:pStyle w:val="TOC2"/>
        <w:rPr>
          <w:rFonts w:asciiTheme="minorHAnsi" w:hAnsiTheme="minorHAnsi"/>
          <w:noProof/>
        </w:rPr>
      </w:pPr>
      <w:hyperlink w:anchor="_Toc75250070" w:history="1">
        <w:r w:rsidR="0019184A" w:rsidRPr="008735BF">
          <w:rPr>
            <w:rStyle w:val="Hyperlink"/>
            <w:noProof/>
          </w:rPr>
          <w:t>Options</w:t>
        </w:r>
        <w:r w:rsidR="0019184A">
          <w:rPr>
            <w:noProof/>
            <w:webHidden/>
          </w:rPr>
          <w:tab/>
        </w:r>
        <w:r w:rsidR="0019184A">
          <w:rPr>
            <w:noProof/>
            <w:webHidden/>
          </w:rPr>
          <w:fldChar w:fldCharType="begin"/>
        </w:r>
        <w:r w:rsidR="0019184A">
          <w:rPr>
            <w:noProof/>
            <w:webHidden/>
          </w:rPr>
          <w:instrText xml:space="preserve"> PAGEREF _Toc75250070 \h </w:instrText>
        </w:r>
        <w:r w:rsidR="0019184A">
          <w:rPr>
            <w:noProof/>
            <w:webHidden/>
          </w:rPr>
        </w:r>
        <w:r w:rsidR="0019184A">
          <w:rPr>
            <w:noProof/>
            <w:webHidden/>
          </w:rPr>
          <w:fldChar w:fldCharType="separate"/>
        </w:r>
        <w:r w:rsidR="000450CB">
          <w:rPr>
            <w:noProof/>
            <w:webHidden/>
          </w:rPr>
          <w:t>26</w:t>
        </w:r>
        <w:r w:rsidR="0019184A">
          <w:rPr>
            <w:noProof/>
            <w:webHidden/>
          </w:rPr>
          <w:fldChar w:fldCharType="end"/>
        </w:r>
      </w:hyperlink>
    </w:p>
    <w:p w:rsidR="0019184A" w:rsidRDefault="0004528A">
      <w:pPr>
        <w:pStyle w:val="TOC2"/>
        <w:rPr>
          <w:rFonts w:asciiTheme="minorHAnsi" w:hAnsiTheme="minorHAnsi"/>
          <w:noProof/>
        </w:rPr>
      </w:pPr>
      <w:hyperlink w:anchor="_Toc75250071" w:history="1">
        <w:r w:rsidR="009A73A5">
          <w:rPr>
            <w:rStyle w:val="Hyperlink"/>
            <w:noProof/>
          </w:rPr>
          <w:t>Consultation</w:t>
        </w:r>
        <w:r w:rsidR="0019184A" w:rsidRPr="008735BF">
          <w:rPr>
            <w:rStyle w:val="Hyperlink"/>
            <w:noProof/>
          </w:rPr>
          <w:t xml:space="preserve"> questions</w:t>
        </w:r>
        <w:r w:rsidR="0019184A">
          <w:rPr>
            <w:noProof/>
            <w:webHidden/>
          </w:rPr>
          <w:tab/>
        </w:r>
        <w:r w:rsidR="0019184A">
          <w:rPr>
            <w:noProof/>
            <w:webHidden/>
          </w:rPr>
          <w:fldChar w:fldCharType="begin"/>
        </w:r>
        <w:r w:rsidR="0019184A">
          <w:rPr>
            <w:noProof/>
            <w:webHidden/>
          </w:rPr>
          <w:instrText xml:space="preserve"> PAGEREF _Toc75250071 \h </w:instrText>
        </w:r>
        <w:r w:rsidR="0019184A">
          <w:rPr>
            <w:noProof/>
            <w:webHidden/>
          </w:rPr>
        </w:r>
        <w:r w:rsidR="0019184A">
          <w:rPr>
            <w:noProof/>
            <w:webHidden/>
          </w:rPr>
          <w:fldChar w:fldCharType="separate"/>
        </w:r>
        <w:r w:rsidR="000450CB">
          <w:rPr>
            <w:noProof/>
            <w:webHidden/>
          </w:rPr>
          <w:t>30</w:t>
        </w:r>
        <w:r w:rsidR="0019184A">
          <w:rPr>
            <w:noProof/>
            <w:webHidden/>
          </w:rPr>
          <w:fldChar w:fldCharType="end"/>
        </w:r>
      </w:hyperlink>
    </w:p>
    <w:p w:rsidR="0019184A" w:rsidRDefault="0004528A">
      <w:pPr>
        <w:pStyle w:val="TOC1"/>
        <w:rPr>
          <w:rFonts w:asciiTheme="minorHAnsi" w:hAnsiTheme="minorHAnsi"/>
          <w:noProof/>
        </w:rPr>
      </w:pPr>
      <w:hyperlink w:anchor="_Toc75250072" w:history="1">
        <w:r w:rsidR="0019184A" w:rsidRPr="008735BF">
          <w:rPr>
            <w:rStyle w:val="Hyperlink"/>
            <w:noProof/>
          </w:rPr>
          <w:t>Section 5: Governance of market conduct</w:t>
        </w:r>
        <w:r w:rsidR="0019184A">
          <w:rPr>
            <w:noProof/>
            <w:webHidden/>
          </w:rPr>
          <w:tab/>
        </w:r>
        <w:r w:rsidR="0019184A">
          <w:rPr>
            <w:noProof/>
            <w:webHidden/>
          </w:rPr>
          <w:fldChar w:fldCharType="begin"/>
        </w:r>
        <w:r w:rsidR="0019184A">
          <w:rPr>
            <w:noProof/>
            <w:webHidden/>
          </w:rPr>
          <w:instrText xml:space="preserve"> PAGEREF _Toc75250072 \h </w:instrText>
        </w:r>
        <w:r w:rsidR="0019184A">
          <w:rPr>
            <w:noProof/>
            <w:webHidden/>
          </w:rPr>
        </w:r>
        <w:r w:rsidR="0019184A">
          <w:rPr>
            <w:noProof/>
            <w:webHidden/>
          </w:rPr>
          <w:fldChar w:fldCharType="separate"/>
        </w:r>
        <w:r w:rsidR="000450CB">
          <w:rPr>
            <w:noProof/>
            <w:webHidden/>
          </w:rPr>
          <w:t>31</w:t>
        </w:r>
        <w:r w:rsidR="0019184A">
          <w:rPr>
            <w:noProof/>
            <w:webHidden/>
          </w:rPr>
          <w:fldChar w:fldCharType="end"/>
        </w:r>
      </w:hyperlink>
    </w:p>
    <w:p w:rsidR="0019184A" w:rsidRDefault="0004528A">
      <w:pPr>
        <w:pStyle w:val="TOC2"/>
        <w:rPr>
          <w:rFonts w:asciiTheme="minorHAnsi" w:hAnsiTheme="minorHAnsi"/>
          <w:noProof/>
        </w:rPr>
      </w:pPr>
      <w:hyperlink w:anchor="_Toc75250073" w:history="1">
        <w:r w:rsidR="0019184A" w:rsidRPr="008735BF">
          <w:rPr>
            <w:rStyle w:val="Hyperlink"/>
            <w:noProof/>
          </w:rPr>
          <w:t>Risk 5: Insider trading and information asymmetry</w:t>
        </w:r>
        <w:r w:rsidR="0019184A">
          <w:rPr>
            <w:noProof/>
            <w:webHidden/>
          </w:rPr>
          <w:tab/>
        </w:r>
        <w:r w:rsidR="0019184A">
          <w:rPr>
            <w:noProof/>
            <w:webHidden/>
          </w:rPr>
          <w:fldChar w:fldCharType="begin"/>
        </w:r>
        <w:r w:rsidR="0019184A">
          <w:rPr>
            <w:noProof/>
            <w:webHidden/>
          </w:rPr>
          <w:instrText xml:space="preserve"> PAGEREF _Toc75250073 \h </w:instrText>
        </w:r>
        <w:r w:rsidR="0019184A">
          <w:rPr>
            <w:noProof/>
            <w:webHidden/>
          </w:rPr>
        </w:r>
        <w:r w:rsidR="0019184A">
          <w:rPr>
            <w:noProof/>
            <w:webHidden/>
          </w:rPr>
          <w:fldChar w:fldCharType="separate"/>
        </w:r>
        <w:r w:rsidR="000450CB">
          <w:rPr>
            <w:noProof/>
            <w:webHidden/>
          </w:rPr>
          <w:t>31</w:t>
        </w:r>
        <w:r w:rsidR="0019184A">
          <w:rPr>
            <w:noProof/>
            <w:webHidden/>
          </w:rPr>
          <w:fldChar w:fldCharType="end"/>
        </w:r>
      </w:hyperlink>
    </w:p>
    <w:p w:rsidR="0019184A" w:rsidRDefault="0004528A">
      <w:pPr>
        <w:pStyle w:val="TOC2"/>
        <w:rPr>
          <w:rFonts w:asciiTheme="minorHAnsi" w:hAnsiTheme="minorHAnsi"/>
          <w:noProof/>
        </w:rPr>
      </w:pPr>
      <w:hyperlink w:anchor="_Toc75250074" w:history="1">
        <w:r w:rsidR="0019184A" w:rsidRPr="008735BF">
          <w:rPr>
            <w:rStyle w:val="Hyperlink"/>
            <w:noProof/>
          </w:rPr>
          <w:t>Risk 6: Manipulation of NZU prices</w:t>
        </w:r>
        <w:r w:rsidR="0019184A">
          <w:rPr>
            <w:noProof/>
            <w:webHidden/>
          </w:rPr>
          <w:tab/>
        </w:r>
        <w:r w:rsidR="0019184A">
          <w:rPr>
            <w:noProof/>
            <w:webHidden/>
          </w:rPr>
          <w:fldChar w:fldCharType="begin"/>
        </w:r>
        <w:r w:rsidR="0019184A">
          <w:rPr>
            <w:noProof/>
            <w:webHidden/>
          </w:rPr>
          <w:instrText xml:space="preserve"> PAGEREF _Toc75250074 \h </w:instrText>
        </w:r>
        <w:r w:rsidR="0019184A">
          <w:rPr>
            <w:noProof/>
            <w:webHidden/>
          </w:rPr>
        </w:r>
        <w:r w:rsidR="0019184A">
          <w:rPr>
            <w:noProof/>
            <w:webHidden/>
          </w:rPr>
          <w:fldChar w:fldCharType="separate"/>
        </w:r>
        <w:r w:rsidR="000450CB">
          <w:rPr>
            <w:noProof/>
            <w:webHidden/>
          </w:rPr>
          <w:t>31</w:t>
        </w:r>
        <w:r w:rsidR="0019184A">
          <w:rPr>
            <w:noProof/>
            <w:webHidden/>
          </w:rPr>
          <w:fldChar w:fldCharType="end"/>
        </w:r>
      </w:hyperlink>
    </w:p>
    <w:p w:rsidR="0019184A" w:rsidRDefault="0004528A">
      <w:pPr>
        <w:pStyle w:val="TOC2"/>
        <w:rPr>
          <w:rFonts w:asciiTheme="minorHAnsi" w:hAnsiTheme="minorHAnsi"/>
          <w:noProof/>
        </w:rPr>
      </w:pPr>
      <w:hyperlink w:anchor="_Toc75250075" w:history="1">
        <w:r w:rsidR="0019184A" w:rsidRPr="008735BF">
          <w:rPr>
            <w:rStyle w:val="Hyperlink"/>
            <w:noProof/>
          </w:rPr>
          <w:t>Risk 7: Money laundering and financing of terrorism</w:t>
        </w:r>
        <w:r w:rsidR="0019184A">
          <w:rPr>
            <w:noProof/>
            <w:webHidden/>
          </w:rPr>
          <w:tab/>
        </w:r>
        <w:r w:rsidR="0019184A">
          <w:rPr>
            <w:noProof/>
            <w:webHidden/>
          </w:rPr>
          <w:fldChar w:fldCharType="begin"/>
        </w:r>
        <w:r w:rsidR="0019184A">
          <w:rPr>
            <w:noProof/>
            <w:webHidden/>
          </w:rPr>
          <w:instrText xml:space="preserve"> PAGEREF _Toc75250075 \h </w:instrText>
        </w:r>
        <w:r w:rsidR="0019184A">
          <w:rPr>
            <w:noProof/>
            <w:webHidden/>
          </w:rPr>
        </w:r>
        <w:r w:rsidR="0019184A">
          <w:rPr>
            <w:noProof/>
            <w:webHidden/>
          </w:rPr>
          <w:fldChar w:fldCharType="separate"/>
        </w:r>
        <w:r w:rsidR="000450CB">
          <w:rPr>
            <w:noProof/>
            <w:webHidden/>
          </w:rPr>
          <w:t>31</w:t>
        </w:r>
        <w:r w:rsidR="0019184A">
          <w:rPr>
            <w:noProof/>
            <w:webHidden/>
          </w:rPr>
          <w:fldChar w:fldCharType="end"/>
        </w:r>
      </w:hyperlink>
    </w:p>
    <w:p w:rsidR="0019184A" w:rsidRDefault="0004528A">
      <w:pPr>
        <w:pStyle w:val="TOC2"/>
        <w:rPr>
          <w:rFonts w:asciiTheme="minorHAnsi" w:hAnsiTheme="minorHAnsi"/>
          <w:noProof/>
        </w:rPr>
      </w:pPr>
      <w:hyperlink w:anchor="_Toc75250076" w:history="1">
        <w:r w:rsidR="0019184A" w:rsidRPr="008735BF">
          <w:rPr>
            <w:rStyle w:val="Hyperlink"/>
            <w:noProof/>
          </w:rPr>
          <w:t>Options</w:t>
        </w:r>
        <w:r w:rsidR="0019184A">
          <w:rPr>
            <w:noProof/>
            <w:webHidden/>
          </w:rPr>
          <w:tab/>
        </w:r>
        <w:r w:rsidR="0019184A">
          <w:rPr>
            <w:noProof/>
            <w:webHidden/>
          </w:rPr>
          <w:fldChar w:fldCharType="begin"/>
        </w:r>
        <w:r w:rsidR="0019184A">
          <w:rPr>
            <w:noProof/>
            <w:webHidden/>
          </w:rPr>
          <w:instrText xml:space="preserve"> PAGEREF _Toc75250076 \h </w:instrText>
        </w:r>
        <w:r w:rsidR="0019184A">
          <w:rPr>
            <w:noProof/>
            <w:webHidden/>
          </w:rPr>
        </w:r>
        <w:r w:rsidR="0019184A">
          <w:rPr>
            <w:noProof/>
            <w:webHidden/>
          </w:rPr>
          <w:fldChar w:fldCharType="separate"/>
        </w:r>
        <w:r w:rsidR="000450CB">
          <w:rPr>
            <w:noProof/>
            <w:webHidden/>
          </w:rPr>
          <w:t>32</w:t>
        </w:r>
        <w:r w:rsidR="0019184A">
          <w:rPr>
            <w:noProof/>
            <w:webHidden/>
          </w:rPr>
          <w:fldChar w:fldCharType="end"/>
        </w:r>
      </w:hyperlink>
    </w:p>
    <w:p w:rsidR="0019184A" w:rsidRDefault="0004528A">
      <w:pPr>
        <w:pStyle w:val="TOC2"/>
        <w:rPr>
          <w:rFonts w:asciiTheme="minorHAnsi" w:hAnsiTheme="minorHAnsi"/>
          <w:noProof/>
        </w:rPr>
      </w:pPr>
      <w:hyperlink w:anchor="_Toc75250077" w:history="1">
        <w:r w:rsidR="0019184A" w:rsidRPr="008735BF">
          <w:rPr>
            <w:rStyle w:val="Hyperlink"/>
            <w:noProof/>
          </w:rPr>
          <w:t>Consultation questions</w:t>
        </w:r>
        <w:r w:rsidR="0019184A">
          <w:rPr>
            <w:noProof/>
            <w:webHidden/>
          </w:rPr>
          <w:tab/>
        </w:r>
        <w:r w:rsidR="0019184A">
          <w:rPr>
            <w:noProof/>
            <w:webHidden/>
          </w:rPr>
          <w:fldChar w:fldCharType="begin"/>
        </w:r>
        <w:r w:rsidR="0019184A">
          <w:rPr>
            <w:noProof/>
            <w:webHidden/>
          </w:rPr>
          <w:instrText xml:space="preserve"> PAGEREF _Toc75250077 \h </w:instrText>
        </w:r>
        <w:r w:rsidR="0019184A">
          <w:rPr>
            <w:noProof/>
            <w:webHidden/>
          </w:rPr>
        </w:r>
        <w:r w:rsidR="0019184A">
          <w:rPr>
            <w:noProof/>
            <w:webHidden/>
          </w:rPr>
          <w:fldChar w:fldCharType="separate"/>
        </w:r>
        <w:r w:rsidR="000450CB">
          <w:rPr>
            <w:noProof/>
            <w:webHidden/>
          </w:rPr>
          <w:t>34</w:t>
        </w:r>
        <w:r w:rsidR="0019184A">
          <w:rPr>
            <w:noProof/>
            <w:webHidden/>
          </w:rPr>
          <w:fldChar w:fldCharType="end"/>
        </w:r>
      </w:hyperlink>
    </w:p>
    <w:p w:rsidR="0019184A" w:rsidRDefault="0004528A">
      <w:pPr>
        <w:pStyle w:val="TOC1"/>
        <w:rPr>
          <w:rFonts w:asciiTheme="minorHAnsi" w:hAnsiTheme="minorHAnsi"/>
          <w:noProof/>
        </w:rPr>
      </w:pPr>
      <w:hyperlink w:anchor="_Toc75250078" w:history="1">
        <w:r w:rsidR="0019184A" w:rsidRPr="008735BF">
          <w:rPr>
            <w:rStyle w:val="Hyperlink"/>
            <w:noProof/>
          </w:rPr>
          <w:t>Section 6: Appointing a regulator</w:t>
        </w:r>
        <w:r w:rsidR="0019184A">
          <w:rPr>
            <w:noProof/>
            <w:webHidden/>
          </w:rPr>
          <w:tab/>
        </w:r>
        <w:r w:rsidR="0019184A">
          <w:rPr>
            <w:noProof/>
            <w:webHidden/>
          </w:rPr>
          <w:fldChar w:fldCharType="begin"/>
        </w:r>
        <w:r w:rsidR="0019184A">
          <w:rPr>
            <w:noProof/>
            <w:webHidden/>
          </w:rPr>
          <w:instrText xml:space="preserve"> PAGEREF _Toc75250078 \h </w:instrText>
        </w:r>
        <w:r w:rsidR="0019184A">
          <w:rPr>
            <w:noProof/>
            <w:webHidden/>
          </w:rPr>
        </w:r>
        <w:r w:rsidR="0019184A">
          <w:rPr>
            <w:noProof/>
            <w:webHidden/>
          </w:rPr>
          <w:fldChar w:fldCharType="separate"/>
        </w:r>
        <w:r w:rsidR="000450CB">
          <w:rPr>
            <w:noProof/>
            <w:webHidden/>
          </w:rPr>
          <w:t>35</w:t>
        </w:r>
        <w:r w:rsidR="0019184A">
          <w:rPr>
            <w:noProof/>
            <w:webHidden/>
          </w:rPr>
          <w:fldChar w:fldCharType="end"/>
        </w:r>
      </w:hyperlink>
    </w:p>
    <w:p w:rsidR="0019184A" w:rsidRDefault="0004528A">
      <w:pPr>
        <w:pStyle w:val="TOC2"/>
        <w:rPr>
          <w:rFonts w:asciiTheme="minorHAnsi" w:hAnsiTheme="minorHAnsi"/>
          <w:noProof/>
        </w:rPr>
      </w:pPr>
      <w:hyperlink w:anchor="_Toc75250079" w:history="1">
        <w:r w:rsidR="0019184A" w:rsidRPr="008735BF">
          <w:rPr>
            <w:rStyle w:val="Hyperlink"/>
            <w:noProof/>
          </w:rPr>
          <w:t>Options</w:t>
        </w:r>
        <w:r w:rsidR="0019184A">
          <w:rPr>
            <w:noProof/>
            <w:webHidden/>
          </w:rPr>
          <w:tab/>
        </w:r>
        <w:r w:rsidR="0019184A">
          <w:rPr>
            <w:noProof/>
            <w:webHidden/>
          </w:rPr>
          <w:fldChar w:fldCharType="begin"/>
        </w:r>
        <w:r w:rsidR="0019184A">
          <w:rPr>
            <w:noProof/>
            <w:webHidden/>
          </w:rPr>
          <w:instrText xml:space="preserve"> PAGEREF _Toc75250079 \h </w:instrText>
        </w:r>
        <w:r w:rsidR="0019184A">
          <w:rPr>
            <w:noProof/>
            <w:webHidden/>
          </w:rPr>
        </w:r>
        <w:r w:rsidR="0019184A">
          <w:rPr>
            <w:noProof/>
            <w:webHidden/>
          </w:rPr>
          <w:fldChar w:fldCharType="separate"/>
        </w:r>
        <w:r w:rsidR="000450CB">
          <w:rPr>
            <w:noProof/>
            <w:webHidden/>
          </w:rPr>
          <w:t>35</w:t>
        </w:r>
        <w:r w:rsidR="0019184A">
          <w:rPr>
            <w:noProof/>
            <w:webHidden/>
          </w:rPr>
          <w:fldChar w:fldCharType="end"/>
        </w:r>
      </w:hyperlink>
    </w:p>
    <w:p w:rsidR="0019184A" w:rsidRDefault="0004528A">
      <w:pPr>
        <w:pStyle w:val="TOC2"/>
        <w:rPr>
          <w:rFonts w:asciiTheme="minorHAnsi" w:hAnsiTheme="minorHAnsi"/>
          <w:noProof/>
        </w:rPr>
      </w:pPr>
      <w:hyperlink w:anchor="_Toc75250080" w:history="1">
        <w:r w:rsidR="0019184A" w:rsidRPr="008735BF">
          <w:rPr>
            <w:rStyle w:val="Hyperlink"/>
            <w:noProof/>
          </w:rPr>
          <w:t>Consultation questions</w:t>
        </w:r>
        <w:r w:rsidR="0019184A">
          <w:rPr>
            <w:noProof/>
            <w:webHidden/>
          </w:rPr>
          <w:tab/>
        </w:r>
        <w:r w:rsidR="0019184A">
          <w:rPr>
            <w:noProof/>
            <w:webHidden/>
          </w:rPr>
          <w:fldChar w:fldCharType="begin"/>
        </w:r>
        <w:r w:rsidR="0019184A">
          <w:rPr>
            <w:noProof/>
            <w:webHidden/>
          </w:rPr>
          <w:instrText xml:space="preserve"> PAGEREF _Toc75250080 \h </w:instrText>
        </w:r>
        <w:r w:rsidR="0019184A">
          <w:rPr>
            <w:noProof/>
            <w:webHidden/>
          </w:rPr>
        </w:r>
        <w:r w:rsidR="0019184A">
          <w:rPr>
            <w:noProof/>
            <w:webHidden/>
          </w:rPr>
          <w:fldChar w:fldCharType="separate"/>
        </w:r>
        <w:r w:rsidR="000450CB">
          <w:rPr>
            <w:noProof/>
            <w:webHidden/>
          </w:rPr>
          <w:t>42</w:t>
        </w:r>
        <w:r w:rsidR="0019184A">
          <w:rPr>
            <w:noProof/>
            <w:webHidden/>
          </w:rPr>
          <w:fldChar w:fldCharType="end"/>
        </w:r>
      </w:hyperlink>
    </w:p>
    <w:p w:rsidR="0019184A" w:rsidRDefault="0004528A">
      <w:pPr>
        <w:pStyle w:val="TOC1"/>
        <w:rPr>
          <w:rFonts w:asciiTheme="minorHAnsi" w:hAnsiTheme="minorHAnsi"/>
          <w:noProof/>
        </w:rPr>
      </w:pPr>
      <w:hyperlink w:anchor="_Toc75250081" w:history="1">
        <w:r w:rsidR="0019184A" w:rsidRPr="008735BF">
          <w:rPr>
            <w:rStyle w:val="Hyperlink"/>
            <w:noProof/>
          </w:rPr>
          <w:t>Section 7: Analysis of options</w:t>
        </w:r>
        <w:r w:rsidR="0019184A">
          <w:rPr>
            <w:noProof/>
            <w:webHidden/>
          </w:rPr>
          <w:tab/>
        </w:r>
        <w:r w:rsidR="0019184A">
          <w:rPr>
            <w:noProof/>
            <w:webHidden/>
          </w:rPr>
          <w:fldChar w:fldCharType="begin"/>
        </w:r>
        <w:r w:rsidR="0019184A">
          <w:rPr>
            <w:noProof/>
            <w:webHidden/>
          </w:rPr>
          <w:instrText xml:space="preserve"> PAGEREF _Toc75250081 \h </w:instrText>
        </w:r>
        <w:r w:rsidR="0019184A">
          <w:rPr>
            <w:noProof/>
            <w:webHidden/>
          </w:rPr>
        </w:r>
        <w:r w:rsidR="0019184A">
          <w:rPr>
            <w:noProof/>
            <w:webHidden/>
          </w:rPr>
          <w:fldChar w:fldCharType="separate"/>
        </w:r>
        <w:r w:rsidR="000450CB">
          <w:rPr>
            <w:noProof/>
            <w:webHidden/>
          </w:rPr>
          <w:t>43</w:t>
        </w:r>
        <w:r w:rsidR="0019184A">
          <w:rPr>
            <w:noProof/>
            <w:webHidden/>
          </w:rPr>
          <w:fldChar w:fldCharType="end"/>
        </w:r>
      </w:hyperlink>
    </w:p>
    <w:p w:rsidR="0019184A" w:rsidRDefault="0004528A">
      <w:pPr>
        <w:pStyle w:val="TOC2"/>
        <w:rPr>
          <w:rFonts w:asciiTheme="minorHAnsi" w:hAnsiTheme="minorHAnsi"/>
          <w:noProof/>
        </w:rPr>
      </w:pPr>
      <w:hyperlink w:anchor="_Toc75250082" w:history="1">
        <w:r w:rsidR="0019184A" w:rsidRPr="008735BF">
          <w:rPr>
            <w:rStyle w:val="Hyperlink"/>
            <w:noProof/>
          </w:rPr>
          <w:t>Analysis of risk coverage</w:t>
        </w:r>
        <w:r w:rsidR="0019184A">
          <w:rPr>
            <w:noProof/>
            <w:webHidden/>
          </w:rPr>
          <w:tab/>
        </w:r>
        <w:r w:rsidR="0019184A">
          <w:rPr>
            <w:noProof/>
            <w:webHidden/>
          </w:rPr>
          <w:fldChar w:fldCharType="begin"/>
        </w:r>
        <w:r w:rsidR="0019184A">
          <w:rPr>
            <w:noProof/>
            <w:webHidden/>
          </w:rPr>
          <w:instrText xml:space="preserve"> PAGEREF _Toc75250082 \h </w:instrText>
        </w:r>
        <w:r w:rsidR="0019184A">
          <w:rPr>
            <w:noProof/>
            <w:webHidden/>
          </w:rPr>
        </w:r>
        <w:r w:rsidR="0019184A">
          <w:rPr>
            <w:noProof/>
            <w:webHidden/>
          </w:rPr>
          <w:fldChar w:fldCharType="separate"/>
        </w:r>
        <w:r w:rsidR="000450CB">
          <w:rPr>
            <w:noProof/>
            <w:webHidden/>
          </w:rPr>
          <w:t>43</w:t>
        </w:r>
        <w:r w:rsidR="0019184A">
          <w:rPr>
            <w:noProof/>
            <w:webHidden/>
          </w:rPr>
          <w:fldChar w:fldCharType="end"/>
        </w:r>
      </w:hyperlink>
    </w:p>
    <w:p w:rsidR="0019184A" w:rsidRDefault="0004528A">
      <w:pPr>
        <w:pStyle w:val="TOC2"/>
        <w:rPr>
          <w:rFonts w:asciiTheme="minorHAnsi" w:hAnsiTheme="minorHAnsi"/>
          <w:noProof/>
        </w:rPr>
      </w:pPr>
      <w:hyperlink w:anchor="_Toc75250083" w:history="1">
        <w:r w:rsidR="0019184A" w:rsidRPr="008735BF">
          <w:rPr>
            <w:rStyle w:val="Hyperlink"/>
            <w:noProof/>
          </w:rPr>
          <w:t>Impact analysis</w:t>
        </w:r>
        <w:r w:rsidR="0019184A">
          <w:rPr>
            <w:noProof/>
            <w:webHidden/>
          </w:rPr>
          <w:tab/>
        </w:r>
        <w:r w:rsidR="0019184A">
          <w:rPr>
            <w:noProof/>
            <w:webHidden/>
          </w:rPr>
          <w:fldChar w:fldCharType="begin"/>
        </w:r>
        <w:r w:rsidR="0019184A">
          <w:rPr>
            <w:noProof/>
            <w:webHidden/>
          </w:rPr>
          <w:instrText xml:space="preserve"> PAGEREF _Toc75250083 \h </w:instrText>
        </w:r>
        <w:r w:rsidR="0019184A">
          <w:rPr>
            <w:noProof/>
            <w:webHidden/>
          </w:rPr>
        </w:r>
        <w:r w:rsidR="0019184A">
          <w:rPr>
            <w:noProof/>
            <w:webHidden/>
          </w:rPr>
          <w:fldChar w:fldCharType="separate"/>
        </w:r>
        <w:r w:rsidR="000450CB">
          <w:rPr>
            <w:noProof/>
            <w:webHidden/>
          </w:rPr>
          <w:t>45</w:t>
        </w:r>
        <w:r w:rsidR="0019184A">
          <w:rPr>
            <w:noProof/>
            <w:webHidden/>
          </w:rPr>
          <w:fldChar w:fldCharType="end"/>
        </w:r>
      </w:hyperlink>
    </w:p>
    <w:p w:rsidR="0019184A" w:rsidRDefault="0004528A">
      <w:pPr>
        <w:pStyle w:val="TOC2"/>
        <w:rPr>
          <w:rFonts w:asciiTheme="minorHAnsi" w:hAnsiTheme="minorHAnsi"/>
          <w:noProof/>
        </w:rPr>
      </w:pPr>
      <w:hyperlink w:anchor="_Toc75250084" w:history="1">
        <w:r w:rsidR="0019184A" w:rsidRPr="008735BF">
          <w:rPr>
            <w:rStyle w:val="Hyperlink"/>
            <w:noProof/>
          </w:rPr>
          <w:t>Consultation questions</w:t>
        </w:r>
        <w:r w:rsidR="0019184A">
          <w:rPr>
            <w:noProof/>
            <w:webHidden/>
          </w:rPr>
          <w:tab/>
        </w:r>
        <w:r w:rsidR="0019184A">
          <w:rPr>
            <w:noProof/>
            <w:webHidden/>
          </w:rPr>
          <w:fldChar w:fldCharType="begin"/>
        </w:r>
        <w:r w:rsidR="0019184A">
          <w:rPr>
            <w:noProof/>
            <w:webHidden/>
          </w:rPr>
          <w:instrText xml:space="preserve"> PAGEREF _Toc75250084 \h </w:instrText>
        </w:r>
        <w:r w:rsidR="0019184A">
          <w:rPr>
            <w:noProof/>
            <w:webHidden/>
          </w:rPr>
        </w:r>
        <w:r w:rsidR="0019184A">
          <w:rPr>
            <w:noProof/>
            <w:webHidden/>
          </w:rPr>
          <w:fldChar w:fldCharType="separate"/>
        </w:r>
        <w:r w:rsidR="000450CB">
          <w:rPr>
            <w:noProof/>
            <w:webHidden/>
          </w:rPr>
          <w:t>48</w:t>
        </w:r>
        <w:r w:rsidR="0019184A">
          <w:rPr>
            <w:noProof/>
            <w:webHidden/>
          </w:rPr>
          <w:fldChar w:fldCharType="end"/>
        </w:r>
      </w:hyperlink>
    </w:p>
    <w:p w:rsidR="0019184A" w:rsidRDefault="0004528A">
      <w:pPr>
        <w:pStyle w:val="TOC1"/>
        <w:rPr>
          <w:rFonts w:asciiTheme="minorHAnsi" w:hAnsiTheme="minorHAnsi"/>
          <w:noProof/>
        </w:rPr>
      </w:pPr>
      <w:hyperlink w:anchor="_Toc75250085" w:history="1">
        <w:r w:rsidR="0019184A" w:rsidRPr="008735BF">
          <w:rPr>
            <w:rStyle w:val="Hyperlink"/>
            <w:noProof/>
          </w:rPr>
          <w:t>Section 8: Scenarios for ETS market governance</w:t>
        </w:r>
        <w:r w:rsidR="0019184A">
          <w:rPr>
            <w:noProof/>
            <w:webHidden/>
          </w:rPr>
          <w:tab/>
        </w:r>
        <w:r w:rsidR="0019184A">
          <w:rPr>
            <w:noProof/>
            <w:webHidden/>
          </w:rPr>
          <w:fldChar w:fldCharType="begin"/>
        </w:r>
        <w:r w:rsidR="0019184A">
          <w:rPr>
            <w:noProof/>
            <w:webHidden/>
          </w:rPr>
          <w:instrText xml:space="preserve"> PAGEREF _Toc75250085 \h </w:instrText>
        </w:r>
        <w:r w:rsidR="0019184A">
          <w:rPr>
            <w:noProof/>
            <w:webHidden/>
          </w:rPr>
        </w:r>
        <w:r w:rsidR="0019184A">
          <w:rPr>
            <w:noProof/>
            <w:webHidden/>
          </w:rPr>
          <w:fldChar w:fldCharType="separate"/>
        </w:r>
        <w:r w:rsidR="000450CB">
          <w:rPr>
            <w:noProof/>
            <w:webHidden/>
          </w:rPr>
          <w:t>49</w:t>
        </w:r>
        <w:r w:rsidR="0019184A">
          <w:rPr>
            <w:noProof/>
            <w:webHidden/>
          </w:rPr>
          <w:fldChar w:fldCharType="end"/>
        </w:r>
      </w:hyperlink>
    </w:p>
    <w:p w:rsidR="0019184A" w:rsidRDefault="0004528A">
      <w:pPr>
        <w:pStyle w:val="TOC2"/>
        <w:rPr>
          <w:rFonts w:asciiTheme="minorHAnsi" w:hAnsiTheme="minorHAnsi"/>
          <w:noProof/>
        </w:rPr>
      </w:pPr>
      <w:hyperlink w:anchor="_Toc75250086" w:history="1">
        <w:r w:rsidR="0019184A" w:rsidRPr="008735BF">
          <w:rPr>
            <w:rStyle w:val="Hyperlink"/>
            <w:noProof/>
          </w:rPr>
          <w:t>Low regulatory scenario</w:t>
        </w:r>
        <w:r w:rsidR="0019184A">
          <w:rPr>
            <w:noProof/>
            <w:webHidden/>
          </w:rPr>
          <w:tab/>
        </w:r>
        <w:r w:rsidR="0019184A">
          <w:rPr>
            <w:noProof/>
            <w:webHidden/>
          </w:rPr>
          <w:fldChar w:fldCharType="begin"/>
        </w:r>
        <w:r w:rsidR="0019184A">
          <w:rPr>
            <w:noProof/>
            <w:webHidden/>
          </w:rPr>
          <w:instrText xml:space="preserve"> PAGEREF _Toc75250086 \h </w:instrText>
        </w:r>
        <w:r w:rsidR="0019184A">
          <w:rPr>
            <w:noProof/>
            <w:webHidden/>
          </w:rPr>
        </w:r>
        <w:r w:rsidR="0019184A">
          <w:rPr>
            <w:noProof/>
            <w:webHidden/>
          </w:rPr>
          <w:fldChar w:fldCharType="separate"/>
        </w:r>
        <w:r w:rsidR="000450CB">
          <w:rPr>
            <w:noProof/>
            <w:webHidden/>
          </w:rPr>
          <w:t>49</w:t>
        </w:r>
        <w:r w:rsidR="0019184A">
          <w:rPr>
            <w:noProof/>
            <w:webHidden/>
          </w:rPr>
          <w:fldChar w:fldCharType="end"/>
        </w:r>
      </w:hyperlink>
    </w:p>
    <w:p w:rsidR="0019184A" w:rsidRDefault="0004528A">
      <w:pPr>
        <w:pStyle w:val="TOC2"/>
        <w:rPr>
          <w:rFonts w:asciiTheme="minorHAnsi" w:hAnsiTheme="minorHAnsi"/>
          <w:noProof/>
        </w:rPr>
      </w:pPr>
      <w:hyperlink w:anchor="_Toc75250087" w:history="1">
        <w:r w:rsidR="0019184A" w:rsidRPr="008735BF">
          <w:rPr>
            <w:rStyle w:val="Hyperlink"/>
            <w:noProof/>
          </w:rPr>
          <w:t>Consultation questions</w:t>
        </w:r>
        <w:r w:rsidR="0019184A">
          <w:rPr>
            <w:noProof/>
            <w:webHidden/>
          </w:rPr>
          <w:tab/>
        </w:r>
        <w:r w:rsidR="0019184A">
          <w:rPr>
            <w:noProof/>
            <w:webHidden/>
          </w:rPr>
          <w:fldChar w:fldCharType="begin"/>
        </w:r>
        <w:r w:rsidR="0019184A">
          <w:rPr>
            <w:noProof/>
            <w:webHidden/>
          </w:rPr>
          <w:instrText xml:space="preserve"> PAGEREF _Toc75250087 \h </w:instrText>
        </w:r>
        <w:r w:rsidR="0019184A">
          <w:rPr>
            <w:noProof/>
            <w:webHidden/>
          </w:rPr>
        </w:r>
        <w:r w:rsidR="0019184A">
          <w:rPr>
            <w:noProof/>
            <w:webHidden/>
          </w:rPr>
          <w:fldChar w:fldCharType="separate"/>
        </w:r>
        <w:r w:rsidR="000450CB">
          <w:rPr>
            <w:noProof/>
            <w:webHidden/>
          </w:rPr>
          <w:t>50</w:t>
        </w:r>
        <w:r w:rsidR="0019184A">
          <w:rPr>
            <w:noProof/>
            <w:webHidden/>
          </w:rPr>
          <w:fldChar w:fldCharType="end"/>
        </w:r>
      </w:hyperlink>
    </w:p>
    <w:p w:rsidR="0019184A" w:rsidRDefault="0004528A">
      <w:pPr>
        <w:pStyle w:val="TOC2"/>
        <w:rPr>
          <w:rFonts w:asciiTheme="minorHAnsi" w:hAnsiTheme="minorHAnsi"/>
          <w:noProof/>
        </w:rPr>
      </w:pPr>
      <w:hyperlink w:anchor="_Toc75250088" w:history="1">
        <w:r w:rsidR="0019184A" w:rsidRPr="008735BF">
          <w:rPr>
            <w:rStyle w:val="Hyperlink"/>
            <w:noProof/>
          </w:rPr>
          <w:t>The balanced scenario</w:t>
        </w:r>
        <w:r w:rsidR="0019184A">
          <w:rPr>
            <w:noProof/>
            <w:webHidden/>
          </w:rPr>
          <w:tab/>
        </w:r>
        <w:r w:rsidR="0019184A">
          <w:rPr>
            <w:noProof/>
            <w:webHidden/>
          </w:rPr>
          <w:fldChar w:fldCharType="begin"/>
        </w:r>
        <w:r w:rsidR="0019184A">
          <w:rPr>
            <w:noProof/>
            <w:webHidden/>
          </w:rPr>
          <w:instrText xml:space="preserve"> PAGEREF _Toc75250088 \h </w:instrText>
        </w:r>
        <w:r w:rsidR="0019184A">
          <w:rPr>
            <w:noProof/>
            <w:webHidden/>
          </w:rPr>
        </w:r>
        <w:r w:rsidR="0019184A">
          <w:rPr>
            <w:noProof/>
            <w:webHidden/>
          </w:rPr>
          <w:fldChar w:fldCharType="separate"/>
        </w:r>
        <w:r w:rsidR="000450CB">
          <w:rPr>
            <w:noProof/>
            <w:webHidden/>
          </w:rPr>
          <w:t>50</w:t>
        </w:r>
        <w:r w:rsidR="0019184A">
          <w:rPr>
            <w:noProof/>
            <w:webHidden/>
          </w:rPr>
          <w:fldChar w:fldCharType="end"/>
        </w:r>
      </w:hyperlink>
    </w:p>
    <w:p w:rsidR="0019184A" w:rsidRDefault="0004528A">
      <w:pPr>
        <w:pStyle w:val="TOC2"/>
        <w:rPr>
          <w:rFonts w:asciiTheme="minorHAnsi" w:hAnsiTheme="minorHAnsi"/>
          <w:noProof/>
        </w:rPr>
      </w:pPr>
      <w:hyperlink w:anchor="_Toc75250089" w:history="1">
        <w:r w:rsidR="0019184A" w:rsidRPr="008735BF">
          <w:rPr>
            <w:rStyle w:val="Hyperlink"/>
            <w:noProof/>
          </w:rPr>
          <w:t>Consultation questions</w:t>
        </w:r>
        <w:r w:rsidR="0019184A">
          <w:rPr>
            <w:noProof/>
            <w:webHidden/>
          </w:rPr>
          <w:tab/>
        </w:r>
        <w:r w:rsidR="0019184A">
          <w:rPr>
            <w:noProof/>
            <w:webHidden/>
          </w:rPr>
          <w:fldChar w:fldCharType="begin"/>
        </w:r>
        <w:r w:rsidR="0019184A">
          <w:rPr>
            <w:noProof/>
            <w:webHidden/>
          </w:rPr>
          <w:instrText xml:space="preserve"> PAGEREF _Toc75250089 \h </w:instrText>
        </w:r>
        <w:r w:rsidR="0019184A">
          <w:rPr>
            <w:noProof/>
            <w:webHidden/>
          </w:rPr>
        </w:r>
        <w:r w:rsidR="0019184A">
          <w:rPr>
            <w:noProof/>
            <w:webHidden/>
          </w:rPr>
          <w:fldChar w:fldCharType="separate"/>
        </w:r>
        <w:r w:rsidR="000450CB">
          <w:rPr>
            <w:noProof/>
            <w:webHidden/>
          </w:rPr>
          <w:t>51</w:t>
        </w:r>
        <w:r w:rsidR="0019184A">
          <w:rPr>
            <w:noProof/>
            <w:webHidden/>
          </w:rPr>
          <w:fldChar w:fldCharType="end"/>
        </w:r>
      </w:hyperlink>
    </w:p>
    <w:p w:rsidR="0019184A" w:rsidRDefault="0004528A">
      <w:pPr>
        <w:pStyle w:val="TOC2"/>
        <w:rPr>
          <w:rFonts w:asciiTheme="minorHAnsi" w:hAnsiTheme="minorHAnsi"/>
          <w:noProof/>
        </w:rPr>
      </w:pPr>
      <w:hyperlink w:anchor="_Toc75250090" w:history="1">
        <w:r w:rsidR="0019184A" w:rsidRPr="008735BF">
          <w:rPr>
            <w:rStyle w:val="Hyperlink"/>
            <w:noProof/>
          </w:rPr>
          <w:t>The risk mitigation scenario</w:t>
        </w:r>
        <w:r w:rsidR="0019184A">
          <w:rPr>
            <w:noProof/>
            <w:webHidden/>
          </w:rPr>
          <w:tab/>
        </w:r>
        <w:r w:rsidR="0019184A">
          <w:rPr>
            <w:noProof/>
            <w:webHidden/>
          </w:rPr>
          <w:fldChar w:fldCharType="begin"/>
        </w:r>
        <w:r w:rsidR="0019184A">
          <w:rPr>
            <w:noProof/>
            <w:webHidden/>
          </w:rPr>
          <w:instrText xml:space="preserve"> PAGEREF _Toc75250090 \h </w:instrText>
        </w:r>
        <w:r w:rsidR="0019184A">
          <w:rPr>
            <w:noProof/>
            <w:webHidden/>
          </w:rPr>
        </w:r>
        <w:r w:rsidR="0019184A">
          <w:rPr>
            <w:noProof/>
            <w:webHidden/>
          </w:rPr>
          <w:fldChar w:fldCharType="separate"/>
        </w:r>
        <w:r w:rsidR="000450CB">
          <w:rPr>
            <w:noProof/>
            <w:webHidden/>
          </w:rPr>
          <w:t>52</w:t>
        </w:r>
        <w:r w:rsidR="0019184A">
          <w:rPr>
            <w:noProof/>
            <w:webHidden/>
          </w:rPr>
          <w:fldChar w:fldCharType="end"/>
        </w:r>
      </w:hyperlink>
    </w:p>
    <w:p w:rsidR="0019184A" w:rsidRDefault="0004528A">
      <w:pPr>
        <w:pStyle w:val="TOC2"/>
        <w:rPr>
          <w:rFonts w:asciiTheme="minorHAnsi" w:hAnsiTheme="minorHAnsi"/>
          <w:noProof/>
        </w:rPr>
      </w:pPr>
      <w:hyperlink w:anchor="_Toc75250091" w:history="1">
        <w:r w:rsidR="0019184A" w:rsidRPr="008735BF">
          <w:rPr>
            <w:rStyle w:val="Hyperlink"/>
            <w:noProof/>
          </w:rPr>
          <w:t>Consultation questions</w:t>
        </w:r>
        <w:r w:rsidR="0019184A">
          <w:rPr>
            <w:noProof/>
            <w:webHidden/>
          </w:rPr>
          <w:tab/>
        </w:r>
        <w:r w:rsidR="0019184A">
          <w:rPr>
            <w:noProof/>
            <w:webHidden/>
          </w:rPr>
          <w:fldChar w:fldCharType="begin"/>
        </w:r>
        <w:r w:rsidR="0019184A">
          <w:rPr>
            <w:noProof/>
            <w:webHidden/>
          </w:rPr>
          <w:instrText xml:space="preserve"> PAGEREF _Toc75250091 \h </w:instrText>
        </w:r>
        <w:r w:rsidR="0019184A">
          <w:rPr>
            <w:noProof/>
            <w:webHidden/>
          </w:rPr>
        </w:r>
        <w:r w:rsidR="0019184A">
          <w:rPr>
            <w:noProof/>
            <w:webHidden/>
          </w:rPr>
          <w:fldChar w:fldCharType="separate"/>
        </w:r>
        <w:r w:rsidR="000450CB">
          <w:rPr>
            <w:noProof/>
            <w:webHidden/>
          </w:rPr>
          <w:t>53</w:t>
        </w:r>
        <w:r w:rsidR="0019184A">
          <w:rPr>
            <w:noProof/>
            <w:webHidden/>
          </w:rPr>
          <w:fldChar w:fldCharType="end"/>
        </w:r>
      </w:hyperlink>
    </w:p>
    <w:p w:rsidR="0019184A" w:rsidRDefault="0004528A">
      <w:pPr>
        <w:pStyle w:val="TOC1"/>
        <w:rPr>
          <w:rFonts w:asciiTheme="minorHAnsi" w:hAnsiTheme="minorHAnsi"/>
          <w:noProof/>
        </w:rPr>
      </w:pPr>
      <w:hyperlink w:anchor="_Toc75250092" w:history="1">
        <w:r w:rsidR="0019184A" w:rsidRPr="008735BF">
          <w:rPr>
            <w:rStyle w:val="Hyperlink"/>
            <w:rFonts w:eastAsia="Times New Roman"/>
            <w:noProof/>
          </w:rPr>
          <w:t>Section 9: Consultation process</w:t>
        </w:r>
        <w:r w:rsidR="0019184A">
          <w:rPr>
            <w:noProof/>
            <w:webHidden/>
          </w:rPr>
          <w:tab/>
        </w:r>
        <w:r w:rsidR="0019184A">
          <w:rPr>
            <w:noProof/>
            <w:webHidden/>
          </w:rPr>
          <w:fldChar w:fldCharType="begin"/>
        </w:r>
        <w:r w:rsidR="0019184A">
          <w:rPr>
            <w:noProof/>
            <w:webHidden/>
          </w:rPr>
          <w:instrText xml:space="preserve"> PAGEREF _Toc75250092 \h </w:instrText>
        </w:r>
        <w:r w:rsidR="0019184A">
          <w:rPr>
            <w:noProof/>
            <w:webHidden/>
          </w:rPr>
        </w:r>
        <w:r w:rsidR="0019184A">
          <w:rPr>
            <w:noProof/>
            <w:webHidden/>
          </w:rPr>
          <w:fldChar w:fldCharType="separate"/>
        </w:r>
        <w:r w:rsidR="000450CB">
          <w:rPr>
            <w:noProof/>
            <w:webHidden/>
          </w:rPr>
          <w:t>54</w:t>
        </w:r>
        <w:r w:rsidR="0019184A">
          <w:rPr>
            <w:noProof/>
            <w:webHidden/>
          </w:rPr>
          <w:fldChar w:fldCharType="end"/>
        </w:r>
      </w:hyperlink>
    </w:p>
    <w:p w:rsidR="0019184A" w:rsidRDefault="0004528A">
      <w:pPr>
        <w:pStyle w:val="TOC2"/>
        <w:rPr>
          <w:rFonts w:asciiTheme="minorHAnsi" w:hAnsiTheme="minorHAnsi"/>
          <w:noProof/>
        </w:rPr>
      </w:pPr>
      <w:hyperlink w:anchor="_Toc75250093" w:history="1">
        <w:r w:rsidR="0019184A" w:rsidRPr="008735BF">
          <w:rPr>
            <w:rStyle w:val="Hyperlink"/>
            <w:noProof/>
          </w:rPr>
          <w:t>How to make a submission</w:t>
        </w:r>
        <w:r w:rsidR="0019184A">
          <w:rPr>
            <w:noProof/>
            <w:webHidden/>
          </w:rPr>
          <w:tab/>
        </w:r>
        <w:r w:rsidR="0019184A">
          <w:rPr>
            <w:noProof/>
            <w:webHidden/>
          </w:rPr>
          <w:fldChar w:fldCharType="begin"/>
        </w:r>
        <w:r w:rsidR="0019184A">
          <w:rPr>
            <w:noProof/>
            <w:webHidden/>
          </w:rPr>
          <w:instrText xml:space="preserve"> PAGEREF _Toc75250093 \h </w:instrText>
        </w:r>
        <w:r w:rsidR="0019184A">
          <w:rPr>
            <w:noProof/>
            <w:webHidden/>
          </w:rPr>
        </w:r>
        <w:r w:rsidR="0019184A">
          <w:rPr>
            <w:noProof/>
            <w:webHidden/>
          </w:rPr>
          <w:fldChar w:fldCharType="separate"/>
        </w:r>
        <w:r w:rsidR="000450CB">
          <w:rPr>
            <w:noProof/>
            <w:webHidden/>
          </w:rPr>
          <w:t>54</w:t>
        </w:r>
        <w:r w:rsidR="0019184A">
          <w:rPr>
            <w:noProof/>
            <w:webHidden/>
          </w:rPr>
          <w:fldChar w:fldCharType="end"/>
        </w:r>
      </w:hyperlink>
    </w:p>
    <w:p w:rsidR="0019184A" w:rsidRDefault="0004528A">
      <w:pPr>
        <w:pStyle w:val="TOC2"/>
        <w:rPr>
          <w:rFonts w:asciiTheme="minorHAnsi" w:hAnsiTheme="minorHAnsi"/>
          <w:noProof/>
        </w:rPr>
      </w:pPr>
      <w:hyperlink w:anchor="_Toc75250094" w:history="1">
        <w:r w:rsidR="0019184A" w:rsidRPr="008735BF">
          <w:rPr>
            <w:rStyle w:val="Hyperlink"/>
            <w:noProof/>
          </w:rPr>
          <w:t>Timeframes</w:t>
        </w:r>
        <w:r w:rsidR="0019184A">
          <w:rPr>
            <w:noProof/>
            <w:webHidden/>
          </w:rPr>
          <w:tab/>
        </w:r>
        <w:r w:rsidR="0019184A">
          <w:rPr>
            <w:noProof/>
            <w:webHidden/>
          </w:rPr>
          <w:fldChar w:fldCharType="begin"/>
        </w:r>
        <w:r w:rsidR="0019184A">
          <w:rPr>
            <w:noProof/>
            <w:webHidden/>
          </w:rPr>
          <w:instrText xml:space="preserve"> PAGEREF _Toc75250094 \h </w:instrText>
        </w:r>
        <w:r w:rsidR="0019184A">
          <w:rPr>
            <w:noProof/>
            <w:webHidden/>
          </w:rPr>
        </w:r>
        <w:r w:rsidR="0019184A">
          <w:rPr>
            <w:noProof/>
            <w:webHidden/>
          </w:rPr>
          <w:fldChar w:fldCharType="separate"/>
        </w:r>
        <w:r w:rsidR="000450CB">
          <w:rPr>
            <w:noProof/>
            <w:webHidden/>
          </w:rPr>
          <w:t>54</w:t>
        </w:r>
        <w:r w:rsidR="0019184A">
          <w:rPr>
            <w:noProof/>
            <w:webHidden/>
          </w:rPr>
          <w:fldChar w:fldCharType="end"/>
        </w:r>
      </w:hyperlink>
    </w:p>
    <w:p w:rsidR="0019184A" w:rsidRDefault="0004528A">
      <w:pPr>
        <w:pStyle w:val="TOC2"/>
        <w:rPr>
          <w:rFonts w:asciiTheme="minorHAnsi" w:hAnsiTheme="minorHAnsi"/>
          <w:noProof/>
        </w:rPr>
      </w:pPr>
      <w:hyperlink w:anchor="_Toc75250095" w:history="1">
        <w:r w:rsidR="0019184A" w:rsidRPr="008735BF">
          <w:rPr>
            <w:rStyle w:val="Hyperlink"/>
            <w:noProof/>
          </w:rPr>
          <w:t>How to provide feedback</w:t>
        </w:r>
        <w:r w:rsidR="0019184A">
          <w:rPr>
            <w:noProof/>
            <w:webHidden/>
          </w:rPr>
          <w:tab/>
        </w:r>
        <w:r w:rsidR="0019184A">
          <w:rPr>
            <w:noProof/>
            <w:webHidden/>
          </w:rPr>
          <w:fldChar w:fldCharType="begin"/>
        </w:r>
        <w:r w:rsidR="0019184A">
          <w:rPr>
            <w:noProof/>
            <w:webHidden/>
          </w:rPr>
          <w:instrText xml:space="preserve"> PAGEREF _Toc75250095 \h </w:instrText>
        </w:r>
        <w:r w:rsidR="0019184A">
          <w:rPr>
            <w:noProof/>
            <w:webHidden/>
          </w:rPr>
        </w:r>
        <w:r w:rsidR="0019184A">
          <w:rPr>
            <w:noProof/>
            <w:webHidden/>
          </w:rPr>
          <w:fldChar w:fldCharType="separate"/>
        </w:r>
        <w:r w:rsidR="000450CB">
          <w:rPr>
            <w:noProof/>
            <w:webHidden/>
          </w:rPr>
          <w:t>54</w:t>
        </w:r>
        <w:r w:rsidR="0019184A">
          <w:rPr>
            <w:noProof/>
            <w:webHidden/>
          </w:rPr>
          <w:fldChar w:fldCharType="end"/>
        </w:r>
      </w:hyperlink>
    </w:p>
    <w:p w:rsidR="0019184A" w:rsidRDefault="0004528A">
      <w:pPr>
        <w:pStyle w:val="TOC2"/>
        <w:rPr>
          <w:rFonts w:asciiTheme="minorHAnsi" w:hAnsiTheme="minorHAnsi"/>
          <w:noProof/>
        </w:rPr>
      </w:pPr>
      <w:hyperlink w:anchor="_Toc75250096" w:history="1">
        <w:r w:rsidR="0019184A" w:rsidRPr="008735BF">
          <w:rPr>
            <w:rStyle w:val="Hyperlink"/>
            <w:noProof/>
          </w:rPr>
          <w:t>More information</w:t>
        </w:r>
        <w:r w:rsidR="0019184A">
          <w:rPr>
            <w:noProof/>
            <w:webHidden/>
          </w:rPr>
          <w:tab/>
        </w:r>
        <w:r w:rsidR="0019184A">
          <w:rPr>
            <w:noProof/>
            <w:webHidden/>
          </w:rPr>
          <w:fldChar w:fldCharType="begin"/>
        </w:r>
        <w:r w:rsidR="0019184A">
          <w:rPr>
            <w:noProof/>
            <w:webHidden/>
          </w:rPr>
          <w:instrText xml:space="preserve"> PAGEREF _Toc75250096 \h </w:instrText>
        </w:r>
        <w:r w:rsidR="0019184A">
          <w:rPr>
            <w:noProof/>
            <w:webHidden/>
          </w:rPr>
        </w:r>
        <w:r w:rsidR="0019184A">
          <w:rPr>
            <w:noProof/>
            <w:webHidden/>
          </w:rPr>
          <w:fldChar w:fldCharType="separate"/>
        </w:r>
        <w:r w:rsidR="000450CB">
          <w:rPr>
            <w:noProof/>
            <w:webHidden/>
          </w:rPr>
          <w:t>55</w:t>
        </w:r>
        <w:r w:rsidR="0019184A">
          <w:rPr>
            <w:noProof/>
            <w:webHidden/>
          </w:rPr>
          <w:fldChar w:fldCharType="end"/>
        </w:r>
      </w:hyperlink>
    </w:p>
    <w:p w:rsidR="0019184A" w:rsidRDefault="0004528A">
      <w:pPr>
        <w:pStyle w:val="TOC2"/>
        <w:rPr>
          <w:rFonts w:asciiTheme="minorHAnsi" w:hAnsiTheme="minorHAnsi"/>
          <w:noProof/>
        </w:rPr>
      </w:pPr>
      <w:hyperlink w:anchor="_Toc75250097" w:history="1">
        <w:r w:rsidR="0019184A" w:rsidRPr="008735BF">
          <w:rPr>
            <w:rStyle w:val="Hyperlink"/>
            <w:noProof/>
          </w:rPr>
          <w:t>Publishing and releasing submissions</w:t>
        </w:r>
        <w:r w:rsidR="0019184A">
          <w:rPr>
            <w:noProof/>
            <w:webHidden/>
          </w:rPr>
          <w:tab/>
        </w:r>
        <w:r w:rsidR="0019184A">
          <w:rPr>
            <w:noProof/>
            <w:webHidden/>
          </w:rPr>
          <w:fldChar w:fldCharType="begin"/>
        </w:r>
        <w:r w:rsidR="0019184A">
          <w:rPr>
            <w:noProof/>
            <w:webHidden/>
          </w:rPr>
          <w:instrText xml:space="preserve"> PAGEREF _Toc75250097 \h </w:instrText>
        </w:r>
        <w:r w:rsidR="0019184A">
          <w:rPr>
            <w:noProof/>
            <w:webHidden/>
          </w:rPr>
        </w:r>
        <w:r w:rsidR="0019184A">
          <w:rPr>
            <w:noProof/>
            <w:webHidden/>
          </w:rPr>
          <w:fldChar w:fldCharType="separate"/>
        </w:r>
        <w:r w:rsidR="000450CB">
          <w:rPr>
            <w:noProof/>
            <w:webHidden/>
          </w:rPr>
          <w:t>55</w:t>
        </w:r>
        <w:r w:rsidR="0019184A">
          <w:rPr>
            <w:noProof/>
            <w:webHidden/>
          </w:rPr>
          <w:fldChar w:fldCharType="end"/>
        </w:r>
      </w:hyperlink>
    </w:p>
    <w:p w:rsidR="0019184A" w:rsidRDefault="0004528A">
      <w:pPr>
        <w:pStyle w:val="TOC1"/>
        <w:rPr>
          <w:rFonts w:asciiTheme="minorHAnsi" w:hAnsiTheme="minorHAnsi"/>
          <w:noProof/>
        </w:rPr>
      </w:pPr>
      <w:hyperlink w:anchor="_Toc75250098" w:history="1">
        <w:r w:rsidR="0019184A" w:rsidRPr="008735BF">
          <w:rPr>
            <w:rStyle w:val="Hyperlink"/>
            <w:rFonts w:eastAsia="Times New Roman"/>
            <w:noProof/>
          </w:rPr>
          <w:t>Section 10: Consultation questions</w:t>
        </w:r>
        <w:r w:rsidR="0019184A">
          <w:rPr>
            <w:noProof/>
            <w:webHidden/>
          </w:rPr>
          <w:tab/>
        </w:r>
        <w:r w:rsidR="0019184A">
          <w:rPr>
            <w:noProof/>
            <w:webHidden/>
          </w:rPr>
          <w:fldChar w:fldCharType="begin"/>
        </w:r>
        <w:r w:rsidR="0019184A">
          <w:rPr>
            <w:noProof/>
            <w:webHidden/>
          </w:rPr>
          <w:instrText xml:space="preserve"> PAGEREF _Toc75250098 \h </w:instrText>
        </w:r>
        <w:r w:rsidR="0019184A">
          <w:rPr>
            <w:noProof/>
            <w:webHidden/>
          </w:rPr>
        </w:r>
        <w:r w:rsidR="0019184A">
          <w:rPr>
            <w:noProof/>
            <w:webHidden/>
          </w:rPr>
          <w:fldChar w:fldCharType="separate"/>
        </w:r>
        <w:r w:rsidR="000450CB">
          <w:rPr>
            <w:noProof/>
            <w:webHidden/>
          </w:rPr>
          <w:t>56</w:t>
        </w:r>
        <w:r w:rsidR="0019184A">
          <w:rPr>
            <w:noProof/>
            <w:webHidden/>
          </w:rPr>
          <w:fldChar w:fldCharType="end"/>
        </w:r>
      </w:hyperlink>
    </w:p>
    <w:p w:rsidR="0019184A" w:rsidRDefault="0004528A">
      <w:pPr>
        <w:pStyle w:val="TOC1"/>
        <w:rPr>
          <w:rFonts w:asciiTheme="minorHAnsi" w:hAnsiTheme="minorHAnsi"/>
          <w:noProof/>
        </w:rPr>
      </w:pPr>
      <w:hyperlink w:anchor="_Toc75250099" w:history="1">
        <w:r w:rsidR="0019184A" w:rsidRPr="008735BF">
          <w:rPr>
            <w:rStyle w:val="Hyperlink"/>
            <w:noProof/>
          </w:rPr>
          <w:t>References</w:t>
        </w:r>
        <w:r w:rsidR="0019184A">
          <w:rPr>
            <w:noProof/>
            <w:webHidden/>
          </w:rPr>
          <w:tab/>
        </w:r>
        <w:r w:rsidR="0019184A">
          <w:rPr>
            <w:noProof/>
            <w:webHidden/>
          </w:rPr>
          <w:fldChar w:fldCharType="begin"/>
        </w:r>
        <w:r w:rsidR="0019184A">
          <w:rPr>
            <w:noProof/>
            <w:webHidden/>
          </w:rPr>
          <w:instrText xml:space="preserve"> PAGEREF _Toc75250099 \h </w:instrText>
        </w:r>
        <w:r w:rsidR="0019184A">
          <w:rPr>
            <w:noProof/>
            <w:webHidden/>
          </w:rPr>
        </w:r>
        <w:r w:rsidR="0019184A">
          <w:rPr>
            <w:noProof/>
            <w:webHidden/>
          </w:rPr>
          <w:fldChar w:fldCharType="separate"/>
        </w:r>
        <w:r w:rsidR="000450CB">
          <w:rPr>
            <w:noProof/>
            <w:webHidden/>
          </w:rPr>
          <w:t>59</w:t>
        </w:r>
        <w:r w:rsidR="0019184A">
          <w:rPr>
            <w:noProof/>
            <w:webHidden/>
          </w:rPr>
          <w:fldChar w:fldCharType="end"/>
        </w:r>
      </w:hyperlink>
    </w:p>
    <w:p w:rsidR="0019184A" w:rsidRDefault="0004528A">
      <w:pPr>
        <w:pStyle w:val="TOC1"/>
        <w:rPr>
          <w:rFonts w:asciiTheme="minorHAnsi" w:hAnsiTheme="minorHAnsi"/>
          <w:noProof/>
        </w:rPr>
      </w:pPr>
      <w:hyperlink w:anchor="_Toc75250100" w:history="1">
        <w:r w:rsidR="0019184A" w:rsidRPr="008735BF">
          <w:rPr>
            <w:rStyle w:val="Hyperlink"/>
            <w:noProof/>
          </w:rPr>
          <w:t>Appendix A: Case studies</w:t>
        </w:r>
        <w:r w:rsidR="0019184A">
          <w:rPr>
            <w:noProof/>
            <w:webHidden/>
          </w:rPr>
          <w:tab/>
        </w:r>
        <w:r w:rsidR="0019184A">
          <w:rPr>
            <w:noProof/>
            <w:webHidden/>
          </w:rPr>
          <w:fldChar w:fldCharType="begin"/>
        </w:r>
        <w:r w:rsidR="0019184A">
          <w:rPr>
            <w:noProof/>
            <w:webHidden/>
          </w:rPr>
          <w:instrText xml:space="preserve"> PAGEREF _Toc75250100 \h </w:instrText>
        </w:r>
        <w:r w:rsidR="0019184A">
          <w:rPr>
            <w:noProof/>
            <w:webHidden/>
          </w:rPr>
        </w:r>
        <w:r w:rsidR="0019184A">
          <w:rPr>
            <w:noProof/>
            <w:webHidden/>
          </w:rPr>
          <w:fldChar w:fldCharType="separate"/>
        </w:r>
        <w:r w:rsidR="000450CB">
          <w:rPr>
            <w:noProof/>
            <w:webHidden/>
          </w:rPr>
          <w:t>60</w:t>
        </w:r>
        <w:r w:rsidR="0019184A">
          <w:rPr>
            <w:noProof/>
            <w:webHidden/>
          </w:rPr>
          <w:fldChar w:fldCharType="end"/>
        </w:r>
      </w:hyperlink>
    </w:p>
    <w:p w:rsidR="0019184A" w:rsidRDefault="0004528A">
      <w:pPr>
        <w:pStyle w:val="TOC1"/>
        <w:rPr>
          <w:rFonts w:asciiTheme="minorHAnsi" w:hAnsiTheme="minorHAnsi"/>
          <w:noProof/>
        </w:rPr>
      </w:pPr>
      <w:hyperlink w:anchor="_Toc75250101" w:history="1">
        <w:r w:rsidR="0019184A" w:rsidRPr="008735BF">
          <w:rPr>
            <w:rStyle w:val="Hyperlink"/>
            <w:noProof/>
          </w:rPr>
          <w:t>Appendix B: Risk coverage analysis</w:t>
        </w:r>
        <w:r w:rsidR="0019184A">
          <w:rPr>
            <w:noProof/>
            <w:webHidden/>
          </w:rPr>
          <w:tab/>
        </w:r>
        <w:r w:rsidR="0019184A">
          <w:rPr>
            <w:noProof/>
            <w:webHidden/>
          </w:rPr>
          <w:fldChar w:fldCharType="begin"/>
        </w:r>
        <w:r w:rsidR="0019184A">
          <w:rPr>
            <w:noProof/>
            <w:webHidden/>
          </w:rPr>
          <w:instrText xml:space="preserve"> PAGEREF _Toc75250101 \h </w:instrText>
        </w:r>
        <w:r w:rsidR="0019184A">
          <w:rPr>
            <w:noProof/>
            <w:webHidden/>
          </w:rPr>
        </w:r>
        <w:r w:rsidR="0019184A">
          <w:rPr>
            <w:noProof/>
            <w:webHidden/>
          </w:rPr>
          <w:fldChar w:fldCharType="separate"/>
        </w:r>
        <w:r w:rsidR="000450CB">
          <w:rPr>
            <w:noProof/>
            <w:webHidden/>
          </w:rPr>
          <w:t>63</w:t>
        </w:r>
        <w:r w:rsidR="0019184A">
          <w:rPr>
            <w:noProof/>
            <w:webHidden/>
          </w:rPr>
          <w:fldChar w:fldCharType="end"/>
        </w:r>
      </w:hyperlink>
    </w:p>
    <w:p w:rsidR="0019184A" w:rsidRDefault="0004528A">
      <w:pPr>
        <w:pStyle w:val="TOC1"/>
        <w:rPr>
          <w:rFonts w:asciiTheme="minorHAnsi" w:hAnsiTheme="minorHAnsi"/>
          <w:noProof/>
        </w:rPr>
      </w:pPr>
      <w:hyperlink w:anchor="_Toc75250102" w:history="1">
        <w:r w:rsidR="0019184A" w:rsidRPr="008735BF">
          <w:rPr>
            <w:rStyle w:val="Hyperlink"/>
            <w:noProof/>
          </w:rPr>
          <w:t>Appendix C: Impact analysis</w:t>
        </w:r>
        <w:r w:rsidR="0019184A">
          <w:rPr>
            <w:noProof/>
            <w:webHidden/>
          </w:rPr>
          <w:tab/>
        </w:r>
        <w:r w:rsidR="0019184A">
          <w:rPr>
            <w:noProof/>
            <w:webHidden/>
          </w:rPr>
          <w:fldChar w:fldCharType="begin"/>
        </w:r>
        <w:r w:rsidR="0019184A">
          <w:rPr>
            <w:noProof/>
            <w:webHidden/>
          </w:rPr>
          <w:instrText xml:space="preserve"> PAGEREF _Toc75250102 \h </w:instrText>
        </w:r>
        <w:r w:rsidR="0019184A">
          <w:rPr>
            <w:noProof/>
            <w:webHidden/>
          </w:rPr>
        </w:r>
        <w:r w:rsidR="0019184A">
          <w:rPr>
            <w:noProof/>
            <w:webHidden/>
          </w:rPr>
          <w:fldChar w:fldCharType="separate"/>
        </w:r>
        <w:r w:rsidR="000450CB">
          <w:rPr>
            <w:noProof/>
            <w:webHidden/>
          </w:rPr>
          <w:t>68</w:t>
        </w:r>
        <w:r w:rsidR="0019184A">
          <w:rPr>
            <w:noProof/>
            <w:webHidden/>
          </w:rPr>
          <w:fldChar w:fldCharType="end"/>
        </w:r>
      </w:hyperlink>
    </w:p>
    <w:p w:rsidR="0019184A" w:rsidRDefault="0004528A">
      <w:pPr>
        <w:pStyle w:val="TOC1"/>
        <w:rPr>
          <w:rFonts w:asciiTheme="minorHAnsi" w:hAnsiTheme="minorHAnsi"/>
          <w:noProof/>
        </w:rPr>
      </w:pPr>
      <w:hyperlink w:anchor="_Toc75250103" w:history="1">
        <w:r w:rsidR="0019184A" w:rsidRPr="008735BF">
          <w:rPr>
            <w:rStyle w:val="Hyperlink"/>
            <w:noProof/>
          </w:rPr>
          <w:t>Appendix D: Analysis of scenarios</w:t>
        </w:r>
        <w:r w:rsidR="0019184A">
          <w:rPr>
            <w:noProof/>
            <w:webHidden/>
          </w:rPr>
          <w:tab/>
        </w:r>
        <w:r w:rsidR="0019184A">
          <w:rPr>
            <w:noProof/>
            <w:webHidden/>
          </w:rPr>
          <w:fldChar w:fldCharType="begin"/>
        </w:r>
        <w:r w:rsidR="0019184A">
          <w:rPr>
            <w:noProof/>
            <w:webHidden/>
          </w:rPr>
          <w:instrText xml:space="preserve"> PAGEREF _Toc75250103 \h </w:instrText>
        </w:r>
        <w:r w:rsidR="0019184A">
          <w:rPr>
            <w:noProof/>
            <w:webHidden/>
          </w:rPr>
        </w:r>
        <w:r w:rsidR="0019184A">
          <w:rPr>
            <w:noProof/>
            <w:webHidden/>
          </w:rPr>
          <w:fldChar w:fldCharType="separate"/>
        </w:r>
        <w:r w:rsidR="000450CB">
          <w:rPr>
            <w:noProof/>
            <w:webHidden/>
          </w:rPr>
          <w:t>72</w:t>
        </w:r>
        <w:r w:rsidR="0019184A">
          <w:rPr>
            <w:noProof/>
            <w:webHidden/>
          </w:rPr>
          <w:fldChar w:fldCharType="end"/>
        </w:r>
      </w:hyperlink>
    </w:p>
    <w:p w:rsidR="001856BB" w:rsidRPr="00F53BDD" w:rsidRDefault="001856BB" w:rsidP="000F040C">
      <w:pPr>
        <w:pStyle w:val="Glossary"/>
      </w:pPr>
      <w:r w:rsidRPr="00F53BDD">
        <w:rPr>
          <w:color w:val="0092CF"/>
        </w:rPr>
        <w:fldChar w:fldCharType="end"/>
      </w:r>
      <w:r w:rsidRPr="00F53BDD">
        <w:br w:type="page"/>
      </w:r>
    </w:p>
    <w:p w:rsidR="001856BB" w:rsidRPr="00F53BDD" w:rsidRDefault="001856BB" w:rsidP="001856BB">
      <w:pPr>
        <w:pStyle w:val="Heading"/>
      </w:pPr>
      <w:bookmarkStart w:id="1" w:name="_Hlk74667048"/>
      <w:bookmarkEnd w:id="0"/>
      <w:r w:rsidRPr="00F53BDD">
        <w:t>Tables</w:t>
      </w:r>
    </w:p>
    <w:p w:rsidR="0019184A" w:rsidRDefault="001856BB">
      <w:pPr>
        <w:pStyle w:val="TableofFigures"/>
        <w:tabs>
          <w:tab w:val="right" w:pos="8495"/>
        </w:tabs>
        <w:rPr>
          <w:rFonts w:asciiTheme="minorHAnsi" w:hAnsiTheme="minorHAnsi"/>
          <w:noProof/>
        </w:rPr>
      </w:pPr>
      <w:r w:rsidRPr="00F53BDD">
        <w:fldChar w:fldCharType="begin"/>
      </w:r>
      <w:r w:rsidRPr="00F53BDD">
        <w:instrText xml:space="preserve"> TOC \h \z \t "Table heading" \c </w:instrText>
      </w:r>
      <w:r w:rsidRPr="00F53BDD">
        <w:fldChar w:fldCharType="separate"/>
      </w:r>
      <w:hyperlink w:anchor="_Toc75250104" w:history="1">
        <w:r w:rsidR="0019184A" w:rsidRPr="00B945E0">
          <w:rPr>
            <w:rStyle w:val="Hyperlink"/>
            <w:noProof/>
          </w:rPr>
          <w:t xml:space="preserve">Table 1: </w:t>
        </w:r>
        <w:r w:rsidR="0019184A">
          <w:rPr>
            <w:rFonts w:asciiTheme="minorHAnsi" w:hAnsiTheme="minorHAnsi"/>
            <w:noProof/>
          </w:rPr>
          <w:tab/>
        </w:r>
        <w:r w:rsidR="0019184A" w:rsidRPr="00B945E0">
          <w:rPr>
            <w:rStyle w:val="Hyperlink"/>
            <w:noProof/>
          </w:rPr>
          <w:t>Market governance options</w:t>
        </w:r>
        <w:r w:rsidR="0019184A">
          <w:rPr>
            <w:noProof/>
            <w:webHidden/>
          </w:rPr>
          <w:tab/>
        </w:r>
        <w:r w:rsidR="0019184A">
          <w:rPr>
            <w:noProof/>
            <w:webHidden/>
          </w:rPr>
          <w:fldChar w:fldCharType="begin"/>
        </w:r>
        <w:r w:rsidR="0019184A">
          <w:rPr>
            <w:noProof/>
            <w:webHidden/>
          </w:rPr>
          <w:instrText xml:space="preserve"> PAGEREF _Toc75250104 \h </w:instrText>
        </w:r>
        <w:r w:rsidR="0019184A">
          <w:rPr>
            <w:noProof/>
            <w:webHidden/>
          </w:rPr>
        </w:r>
        <w:r w:rsidR="0019184A">
          <w:rPr>
            <w:noProof/>
            <w:webHidden/>
          </w:rPr>
          <w:fldChar w:fldCharType="separate"/>
        </w:r>
        <w:r w:rsidR="000450CB">
          <w:rPr>
            <w:noProof/>
            <w:webHidden/>
          </w:rPr>
          <w:t>11</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05" w:history="1">
        <w:r w:rsidR="0019184A" w:rsidRPr="00B945E0">
          <w:rPr>
            <w:rStyle w:val="Hyperlink"/>
            <w:noProof/>
          </w:rPr>
          <w:t xml:space="preserve">Table 2: </w:t>
        </w:r>
        <w:r w:rsidR="0019184A">
          <w:rPr>
            <w:rFonts w:asciiTheme="minorHAnsi" w:hAnsiTheme="minorHAnsi"/>
            <w:noProof/>
          </w:rPr>
          <w:tab/>
        </w:r>
        <w:r w:rsidR="0019184A" w:rsidRPr="00B945E0">
          <w:rPr>
            <w:rStyle w:val="Hyperlink"/>
            <w:noProof/>
          </w:rPr>
          <w:t>Market governance risks and themes</w:t>
        </w:r>
        <w:r w:rsidR="0019184A">
          <w:rPr>
            <w:noProof/>
            <w:webHidden/>
          </w:rPr>
          <w:tab/>
        </w:r>
        <w:r w:rsidR="0019184A">
          <w:rPr>
            <w:noProof/>
            <w:webHidden/>
          </w:rPr>
          <w:fldChar w:fldCharType="begin"/>
        </w:r>
        <w:r w:rsidR="0019184A">
          <w:rPr>
            <w:noProof/>
            <w:webHidden/>
          </w:rPr>
          <w:instrText xml:space="preserve"> PAGEREF _Toc75250105 \h </w:instrText>
        </w:r>
        <w:r w:rsidR="0019184A">
          <w:rPr>
            <w:noProof/>
            <w:webHidden/>
          </w:rPr>
        </w:r>
        <w:r w:rsidR="0019184A">
          <w:rPr>
            <w:noProof/>
            <w:webHidden/>
          </w:rPr>
          <w:fldChar w:fldCharType="separate"/>
        </w:r>
        <w:r w:rsidR="000450CB">
          <w:rPr>
            <w:noProof/>
            <w:webHidden/>
          </w:rPr>
          <w:t>18</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06" w:history="1">
        <w:r w:rsidR="0019184A" w:rsidRPr="00B945E0">
          <w:rPr>
            <w:rStyle w:val="Hyperlink"/>
            <w:noProof/>
          </w:rPr>
          <w:t xml:space="preserve">Table 3: </w:t>
        </w:r>
        <w:r w:rsidR="0019184A">
          <w:rPr>
            <w:rFonts w:asciiTheme="minorHAnsi" w:hAnsiTheme="minorHAnsi"/>
            <w:noProof/>
          </w:rPr>
          <w:tab/>
        </w:r>
        <w:r w:rsidR="0019184A" w:rsidRPr="00B945E0">
          <w:rPr>
            <w:rStyle w:val="Hyperlink"/>
            <w:rFonts w:eastAsia="Times New Roman"/>
            <w:noProof/>
          </w:rPr>
          <w:t>Examples of international emissions trading schemes</w:t>
        </w:r>
        <w:r w:rsidR="0019184A">
          <w:rPr>
            <w:noProof/>
            <w:webHidden/>
          </w:rPr>
          <w:tab/>
        </w:r>
        <w:r w:rsidR="0019184A">
          <w:rPr>
            <w:noProof/>
            <w:webHidden/>
          </w:rPr>
          <w:fldChar w:fldCharType="begin"/>
        </w:r>
        <w:r w:rsidR="0019184A">
          <w:rPr>
            <w:noProof/>
            <w:webHidden/>
          </w:rPr>
          <w:instrText xml:space="preserve"> PAGEREF _Toc75250106 \h </w:instrText>
        </w:r>
        <w:r w:rsidR="0019184A">
          <w:rPr>
            <w:noProof/>
            <w:webHidden/>
          </w:rPr>
        </w:r>
        <w:r w:rsidR="0019184A">
          <w:rPr>
            <w:noProof/>
            <w:webHidden/>
          </w:rPr>
          <w:fldChar w:fldCharType="separate"/>
        </w:r>
        <w:r w:rsidR="000450CB">
          <w:rPr>
            <w:noProof/>
            <w:webHidden/>
          </w:rPr>
          <w:t>19</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07" w:history="1">
        <w:r w:rsidR="0019184A" w:rsidRPr="00B945E0">
          <w:rPr>
            <w:rStyle w:val="Hyperlink"/>
            <w:noProof/>
          </w:rPr>
          <w:t xml:space="preserve">Table 4: </w:t>
        </w:r>
        <w:r w:rsidR="0019184A">
          <w:rPr>
            <w:rFonts w:asciiTheme="minorHAnsi" w:hAnsiTheme="minorHAnsi"/>
            <w:noProof/>
          </w:rPr>
          <w:tab/>
        </w:r>
        <w:r w:rsidR="0019184A" w:rsidRPr="00B945E0">
          <w:rPr>
            <w:rStyle w:val="Hyperlink"/>
            <w:rFonts w:eastAsia="Times New Roman"/>
            <w:noProof/>
          </w:rPr>
          <w:t>Comparison of international and New Zealand market oversight</w:t>
        </w:r>
        <w:r w:rsidR="0019184A">
          <w:rPr>
            <w:noProof/>
            <w:webHidden/>
          </w:rPr>
          <w:tab/>
        </w:r>
        <w:r w:rsidR="0019184A">
          <w:rPr>
            <w:noProof/>
            <w:webHidden/>
          </w:rPr>
          <w:fldChar w:fldCharType="begin"/>
        </w:r>
        <w:r w:rsidR="0019184A">
          <w:rPr>
            <w:noProof/>
            <w:webHidden/>
          </w:rPr>
          <w:instrText xml:space="preserve"> PAGEREF _Toc75250107 \h </w:instrText>
        </w:r>
        <w:r w:rsidR="0019184A">
          <w:rPr>
            <w:noProof/>
            <w:webHidden/>
          </w:rPr>
        </w:r>
        <w:r w:rsidR="0019184A">
          <w:rPr>
            <w:noProof/>
            <w:webHidden/>
          </w:rPr>
          <w:fldChar w:fldCharType="separate"/>
        </w:r>
        <w:r w:rsidR="000450CB">
          <w:rPr>
            <w:noProof/>
            <w:webHidden/>
          </w:rPr>
          <w:t>20</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08" w:history="1">
        <w:r w:rsidR="0019184A" w:rsidRPr="00B945E0">
          <w:rPr>
            <w:rStyle w:val="Hyperlink"/>
            <w:noProof/>
          </w:rPr>
          <w:t xml:space="preserve">Table 5: </w:t>
        </w:r>
        <w:r w:rsidR="0019184A">
          <w:rPr>
            <w:rFonts w:asciiTheme="minorHAnsi" w:hAnsiTheme="minorHAnsi"/>
            <w:noProof/>
          </w:rPr>
          <w:tab/>
        </w:r>
        <w:r w:rsidR="0019184A" w:rsidRPr="00B945E0">
          <w:rPr>
            <w:rStyle w:val="Hyperlink"/>
            <w:noProof/>
          </w:rPr>
          <w:t>Examples of self-regulation tools for NZU advisers (adapted from Business NZ (2006))</w:t>
        </w:r>
        <w:r w:rsidR="0019184A">
          <w:rPr>
            <w:noProof/>
            <w:webHidden/>
          </w:rPr>
          <w:tab/>
        </w:r>
        <w:r w:rsidR="0019184A">
          <w:rPr>
            <w:noProof/>
            <w:webHidden/>
          </w:rPr>
          <w:fldChar w:fldCharType="begin"/>
        </w:r>
        <w:r w:rsidR="0019184A">
          <w:rPr>
            <w:noProof/>
            <w:webHidden/>
          </w:rPr>
          <w:instrText xml:space="preserve"> PAGEREF _Toc75250108 \h </w:instrText>
        </w:r>
        <w:r w:rsidR="0019184A">
          <w:rPr>
            <w:noProof/>
            <w:webHidden/>
          </w:rPr>
        </w:r>
        <w:r w:rsidR="0019184A">
          <w:rPr>
            <w:noProof/>
            <w:webHidden/>
          </w:rPr>
          <w:fldChar w:fldCharType="separate"/>
        </w:r>
        <w:r w:rsidR="000450CB">
          <w:rPr>
            <w:noProof/>
            <w:webHidden/>
          </w:rPr>
          <w:t>36</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09" w:history="1">
        <w:r w:rsidR="0019184A" w:rsidRPr="00B945E0">
          <w:rPr>
            <w:rStyle w:val="Hyperlink"/>
            <w:noProof/>
          </w:rPr>
          <w:t xml:space="preserve">Table 6: </w:t>
        </w:r>
        <w:r w:rsidR="0019184A">
          <w:rPr>
            <w:rFonts w:asciiTheme="minorHAnsi" w:hAnsiTheme="minorHAnsi"/>
            <w:noProof/>
          </w:rPr>
          <w:tab/>
        </w:r>
        <w:r w:rsidR="0019184A" w:rsidRPr="00B945E0">
          <w:rPr>
            <w:rStyle w:val="Hyperlink"/>
            <w:noProof/>
          </w:rPr>
          <w:t>Notation for risk coverage assessment</w:t>
        </w:r>
        <w:r w:rsidR="0019184A">
          <w:rPr>
            <w:noProof/>
            <w:webHidden/>
          </w:rPr>
          <w:tab/>
        </w:r>
        <w:r w:rsidR="0019184A">
          <w:rPr>
            <w:noProof/>
            <w:webHidden/>
          </w:rPr>
          <w:fldChar w:fldCharType="begin"/>
        </w:r>
        <w:r w:rsidR="0019184A">
          <w:rPr>
            <w:noProof/>
            <w:webHidden/>
          </w:rPr>
          <w:instrText xml:space="preserve"> PAGEREF _Toc75250109 \h </w:instrText>
        </w:r>
        <w:r w:rsidR="0019184A">
          <w:rPr>
            <w:noProof/>
            <w:webHidden/>
          </w:rPr>
        </w:r>
        <w:r w:rsidR="0019184A">
          <w:rPr>
            <w:noProof/>
            <w:webHidden/>
          </w:rPr>
          <w:fldChar w:fldCharType="separate"/>
        </w:r>
        <w:r w:rsidR="000450CB">
          <w:rPr>
            <w:noProof/>
            <w:webHidden/>
          </w:rPr>
          <w:t>43</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10" w:history="1">
        <w:r w:rsidR="0019184A" w:rsidRPr="00B945E0">
          <w:rPr>
            <w:rStyle w:val="Hyperlink"/>
            <w:noProof/>
          </w:rPr>
          <w:t xml:space="preserve">Table 7: </w:t>
        </w:r>
        <w:r w:rsidR="0019184A">
          <w:rPr>
            <w:rFonts w:asciiTheme="minorHAnsi" w:hAnsiTheme="minorHAnsi"/>
            <w:noProof/>
          </w:rPr>
          <w:tab/>
        </w:r>
        <w:r w:rsidR="0019184A" w:rsidRPr="00B945E0">
          <w:rPr>
            <w:rStyle w:val="Hyperlink"/>
            <w:noProof/>
          </w:rPr>
          <w:t>Notation for impact assessment</w:t>
        </w:r>
        <w:r w:rsidR="0019184A">
          <w:rPr>
            <w:noProof/>
            <w:webHidden/>
          </w:rPr>
          <w:tab/>
        </w:r>
        <w:r w:rsidR="0019184A">
          <w:rPr>
            <w:noProof/>
            <w:webHidden/>
          </w:rPr>
          <w:fldChar w:fldCharType="begin"/>
        </w:r>
        <w:r w:rsidR="0019184A">
          <w:rPr>
            <w:noProof/>
            <w:webHidden/>
          </w:rPr>
          <w:instrText xml:space="preserve"> PAGEREF _Toc75250110 \h </w:instrText>
        </w:r>
        <w:r w:rsidR="0019184A">
          <w:rPr>
            <w:noProof/>
            <w:webHidden/>
          </w:rPr>
        </w:r>
        <w:r w:rsidR="0019184A">
          <w:rPr>
            <w:noProof/>
            <w:webHidden/>
          </w:rPr>
          <w:fldChar w:fldCharType="separate"/>
        </w:r>
        <w:r w:rsidR="000450CB">
          <w:rPr>
            <w:noProof/>
            <w:webHidden/>
          </w:rPr>
          <w:t>45</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11" w:history="1">
        <w:r w:rsidR="0019184A" w:rsidRPr="00B945E0">
          <w:rPr>
            <w:rStyle w:val="Hyperlink"/>
            <w:noProof/>
          </w:rPr>
          <w:t xml:space="preserve">Table 8: </w:t>
        </w:r>
        <w:r w:rsidR="0019184A">
          <w:rPr>
            <w:rFonts w:asciiTheme="minorHAnsi" w:hAnsiTheme="minorHAnsi"/>
            <w:noProof/>
          </w:rPr>
          <w:tab/>
        </w:r>
        <w:r w:rsidR="0019184A" w:rsidRPr="00B945E0">
          <w:rPr>
            <w:rStyle w:val="Hyperlink"/>
            <w:noProof/>
          </w:rPr>
          <w:t>Option selection criteria</w:t>
        </w:r>
        <w:r w:rsidR="0019184A">
          <w:rPr>
            <w:noProof/>
            <w:webHidden/>
          </w:rPr>
          <w:tab/>
        </w:r>
        <w:r w:rsidR="0019184A">
          <w:rPr>
            <w:noProof/>
            <w:webHidden/>
          </w:rPr>
          <w:fldChar w:fldCharType="begin"/>
        </w:r>
        <w:r w:rsidR="0019184A">
          <w:rPr>
            <w:noProof/>
            <w:webHidden/>
          </w:rPr>
          <w:instrText xml:space="preserve"> PAGEREF _Toc75250111 \h </w:instrText>
        </w:r>
        <w:r w:rsidR="0019184A">
          <w:rPr>
            <w:noProof/>
            <w:webHidden/>
          </w:rPr>
        </w:r>
        <w:r w:rsidR="0019184A">
          <w:rPr>
            <w:noProof/>
            <w:webHidden/>
          </w:rPr>
          <w:fldChar w:fldCharType="separate"/>
        </w:r>
        <w:r w:rsidR="000450CB">
          <w:rPr>
            <w:noProof/>
            <w:webHidden/>
          </w:rPr>
          <w:t>46</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12" w:history="1">
        <w:r w:rsidR="0019184A" w:rsidRPr="00B945E0">
          <w:rPr>
            <w:rStyle w:val="Hyperlink"/>
            <w:noProof/>
          </w:rPr>
          <w:t xml:space="preserve">Table 9: </w:t>
        </w:r>
        <w:r w:rsidR="0019184A">
          <w:rPr>
            <w:rFonts w:asciiTheme="minorHAnsi" w:hAnsiTheme="minorHAnsi"/>
            <w:noProof/>
          </w:rPr>
          <w:tab/>
        </w:r>
        <w:r w:rsidR="0019184A" w:rsidRPr="00B945E0">
          <w:rPr>
            <w:rStyle w:val="Hyperlink"/>
            <w:noProof/>
          </w:rPr>
          <w:t>Governance of advice: Risk coverage analysis</w:t>
        </w:r>
        <w:r w:rsidR="0019184A">
          <w:rPr>
            <w:noProof/>
            <w:webHidden/>
          </w:rPr>
          <w:tab/>
        </w:r>
        <w:r w:rsidR="0019184A">
          <w:rPr>
            <w:noProof/>
            <w:webHidden/>
          </w:rPr>
          <w:fldChar w:fldCharType="begin"/>
        </w:r>
        <w:r w:rsidR="0019184A">
          <w:rPr>
            <w:noProof/>
            <w:webHidden/>
          </w:rPr>
          <w:instrText xml:space="preserve"> PAGEREF _Toc75250112 \h </w:instrText>
        </w:r>
        <w:r w:rsidR="0019184A">
          <w:rPr>
            <w:noProof/>
            <w:webHidden/>
          </w:rPr>
        </w:r>
        <w:r w:rsidR="0019184A">
          <w:rPr>
            <w:noProof/>
            <w:webHidden/>
          </w:rPr>
          <w:fldChar w:fldCharType="separate"/>
        </w:r>
        <w:r w:rsidR="000450CB">
          <w:rPr>
            <w:noProof/>
            <w:webHidden/>
          </w:rPr>
          <w:t>63</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13" w:history="1">
        <w:r w:rsidR="0019184A" w:rsidRPr="00B945E0">
          <w:rPr>
            <w:rStyle w:val="Hyperlink"/>
            <w:noProof/>
          </w:rPr>
          <w:t xml:space="preserve">Table 10: </w:t>
        </w:r>
        <w:r w:rsidR="0019184A">
          <w:rPr>
            <w:rFonts w:asciiTheme="minorHAnsi" w:hAnsiTheme="minorHAnsi"/>
            <w:noProof/>
          </w:rPr>
          <w:tab/>
        </w:r>
        <w:r w:rsidR="0019184A" w:rsidRPr="00B945E0">
          <w:rPr>
            <w:rStyle w:val="Hyperlink"/>
            <w:noProof/>
          </w:rPr>
          <w:t>Governance of trading: Risk coverage analysis</w:t>
        </w:r>
        <w:r w:rsidR="0019184A">
          <w:rPr>
            <w:noProof/>
            <w:webHidden/>
          </w:rPr>
          <w:tab/>
        </w:r>
        <w:r w:rsidR="0019184A">
          <w:rPr>
            <w:noProof/>
            <w:webHidden/>
          </w:rPr>
          <w:fldChar w:fldCharType="begin"/>
        </w:r>
        <w:r w:rsidR="0019184A">
          <w:rPr>
            <w:noProof/>
            <w:webHidden/>
          </w:rPr>
          <w:instrText xml:space="preserve"> PAGEREF _Toc75250113 \h </w:instrText>
        </w:r>
        <w:r w:rsidR="0019184A">
          <w:rPr>
            <w:noProof/>
            <w:webHidden/>
          </w:rPr>
        </w:r>
        <w:r w:rsidR="0019184A">
          <w:rPr>
            <w:noProof/>
            <w:webHidden/>
          </w:rPr>
          <w:fldChar w:fldCharType="separate"/>
        </w:r>
        <w:r w:rsidR="000450CB">
          <w:rPr>
            <w:noProof/>
            <w:webHidden/>
          </w:rPr>
          <w:t>64</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14" w:history="1">
        <w:r w:rsidR="0019184A" w:rsidRPr="00B945E0">
          <w:rPr>
            <w:rStyle w:val="Hyperlink"/>
            <w:noProof/>
          </w:rPr>
          <w:t xml:space="preserve">Table 119: </w:t>
        </w:r>
        <w:r w:rsidR="0019184A">
          <w:rPr>
            <w:rFonts w:asciiTheme="minorHAnsi" w:hAnsiTheme="minorHAnsi"/>
            <w:noProof/>
          </w:rPr>
          <w:tab/>
        </w:r>
        <w:r w:rsidR="0019184A" w:rsidRPr="00B945E0">
          <w:rPr>
            <w:rStyle w:val="Hyperlink"/>
            <w:noProof/>
          </w:rPr>
          <w:t>Governance of trading: Risk coverage analysis</w:t>
        </w:r>
        <w:r w:rsidR="0019184A">
          <w:rPr>
            <w:noProof/>
            <w:webHidden/>
          </w:rPr>
          <w:tab/>
        </w:r>
        <w:r w:rsidR="0019184A">
          <w:rPr>
            <w:noProof/>
            <w:webHidden/>
          </w:rPr>
          <w:fldChar w:fldCharType="begin"/>
        </w:r>
        <w:r w:rsidR="0019184A">
          <w:rPr>
            <w:noProof/>
            <w:webHidden/>
          </w:rPr>
          <w:instrText xml:space="preserve"> PAGEREF _Toc75250114 \h </w:instrText>
        </w:r>
        <w:r w:rsidR="0019184A">
          <w:rPr>
            <w:noProof/>
            <w:webHidden/>
          </w:rPr>
        </w:r>
        <w:r w:rsidR="0019184A">
          <w:rPr>
            <w:noProof/>
            <w:webHidden/>
          </w:rPr>
          <w:fldChar w:fldCharType="separate"/>
        </w:r>
        <w:r w:rsidR="000450CB">
          <w:rPr>
            <w:noProof/>
            <w:webHidden/>
          </w:rPr>
          <w:t>65</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15" w:history="1">
        <w:r w:rsidR="0019184A" w:rsidRPr="00B945E0">
          <w:rPr>
            <w:rStyle w:val="Hyperlink"/>
            <w:noProof/>
          </w:rPr>
          <w:t xml:space="preserve">Table 12 </w:t>
        </w:r>
        <w:r w:rsidR="0019184A">
          <w:rPr>
            <w:rFonts w:asciiTheme="minorHAnsi" w:hAnsiTheme="minorHAnsi"/>
            <w:noProof/>
          </w:rPr>
          <w:tab/>
        </w:r>
        <w:r w:rsidR="0019184A" w:rsidRPr="00B945E0">
          <w:rPr>
            <w:rStyle w:val="Hyperlink"/>
            <w:noProof/>
          </w:rPr>
          <w:t>Appointing a regulator: Risk coverage analysis</w:t>
        </w:r>
        <w:r w:rsidR="0019184A">
          <w:rPr>
            <w:noProof/>
            <w:webHidden/>
          </w:rPr>
          <w:tab/>
        </w:r>
        <w:r w:rsidR="0019184A">
          <w:rPr>
            <w:noProof/>
            <w:webHidden/>
          </w:rPr>
          <w:fldChar w:fldCharType="begin"/>
        </w:r>
        <w:r w:rsidR="0019184A">
          <w:rPr>
            <w:noProof/>
            <w:webHidden/>
          </w:rPr>
          <w:instrText xml:space="preserve"> PAGEREF _Toc75250115 \h </w:instrText>
        </w:r>
        <w:r w:rsidR="0019184A">
          <w:rPr>
            <w:noProof/>
            <w:webHidden/>
          </w:rPr>
        </w:r>
        <w:r w:rsidR="0019184A">
          <w:rPr>
            <w:noProof/>
            <w:webHidden/>
          </w:rPr>
          <w:fldChar w:fldCharType="separate"/>
        </w:r>
        <w:r w:rsidR="000450CB">
          <w:rPr>
            <w:noProof/>
            <w:webHidden/>
          </w:rPr>
          <w:t>66</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16" w:history="1">
        <w:r w:rsidR="0019184A" w:rsidRPr="00B945E0">
          <w:rPr>
            <w:rStyle w:val="Hyperlink"/>
            <w:noProof/>
          </w:rPr>
          <w:t xml:space="preserve">Table 10: </w:t>
        </w:r>
        <w:r w:rsidR="0019184A">
          <w:rPr>
            <w:rFonts w:asciiTheme="minorHAnsi" w:hAnsiTheme="minorHAnsi"/>
            <w:noProof/>
          </w:rPr>
          <w:tab/>
        </w:r>
        <w:r w:rsidR="0019184A" w:rsidRPr="00B945E0">
          <w:rPr>
            <w:rStyle w:val="Hyperlink"/>
            <w:noProof/>
          </w:rPr>
          <w:t>Governance of advice: Impact analysis</w:t>
        </w:r>
        <w:r w:rsidR="0019184A">
          <w:rPr>
            <w:noProof/>
            <w:webHidden/>
          </w:rPr>
          <w:tab/>
        </w:r>
        <w:r w:rsidR="0019184A">
          <w:rPr>
            <w:noProof/>
            <w:webHidden/>
          </w:rPr>
          <w:fldChar w:fldCharType="begin"/>
        </w:r>
        <w:r w:rsidR="0019184A">
          <w:rPr>
            <w:noProof/>
            <w:webHidden/>
          </w:rPr>
          <w:instrText xml:space="preserve"> PAGEREF _Toc75250116 \h </w:instrText>
        </w:r>
        <w:r w:rsidR="0019184A">
          <w:rPr>
            <w:noProof/>
            <w:webHidden/>
          </w:rPr>
        </w:r>
        <w:r w:rsidR="0019184A">
          <w:rPr>
            <w:noProof/>
            <w:webHidden/>
          </w:rPr>
          <w:fldChar w:fldCharType="separate"/>
        </w:r>
        <w:r w:rsidR="000450CB">
          <w:rPr>
            <w:noProof/>
            <w:webHidden/>
          </w:rPr>
          <w:t>68</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17" w:history="1">
        <w:r w:rsidR="0019184A" w:rsidRPr="00B945E0">
          <w:rPr>
            <w:rStyle w:val="Hyperlink"/>
            <w:noProof/>
          </w:rPr>
          <w:t xml:space="preserve">Table 14: </w:t>
        </w:r>
        <w:r w:rsidR="0019184A">
          <w:rPr>
            <w:rFonts w:asciiTheme="minorHAnsi" w:hAnsiTheme="minorHAnsi"/>
            <w:noProof/>
          </w:rPr>
          <w:tab/>
        </w:r>
        <w:r w:rsidR="0019184A" w:rsidRPr="00B945E0">
          <w:rPr>
            <w:rStyle w:val="Hyperlink"/>
            <w:noProof/>
          </w:rPr>
          <w:t>Governance of trading: Impact analysis</w:t>
        </w:r>
        <w:r w:rsidR="0019184A">
          <w:rPr>
            <w:noProof/>
            <w:webHidden/>
          </w:rPr>
          <w:tab/>
        </w:r>
        <w:r w:rsidR="0019184A">
          <w:rPr>
            <w:noProof/>
            <w:webHidden/>
          </w:rPr>
          <w:fldChar w:fldCharType="begin"/>
        </w:r>
        <w:r w:rsidR="0019184A">
          <w:rPr>
            <w:noProof/>
            <w:webHidden/>
          </w:rPr>
          <w:instrText xml:space="preserve"> PAGEREF _Toc75250117 \h </w:instrText>
        </w:r>
        <w:r w:rsidR="0019184A">
          <w:rPr>
            <w:noProof/>
            <w:webHidden/>
          </w:rPr>
        </w:r>
        <w:r w:rsidR="0019184A">
          <w:rPr>
            <w:noProof/>
            <w:webHidden/>
          </w:rPr>
          <w:fldChar w:fldCharType="separate"/>
        </w:r>
        <w:r w:rsidR="000450CB">
          <w:rPr>
            <w:noProof/>
            <w:webHidden/>
          </w:rPr>
          <w:t>69</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18" w:history="1">
        <w:r w:rsidR="0019184A" w:rsidRPr="00B945E0">
          <w:rPr>
            <w:rStyle w:val="Hyperlink"/>
            <w:noProof/>
          </w:rPr>
          <w:t xml:space="preserve">Table 15: </w:t>
        </w:r>
        <w:r w:rsidR="0019184A">
          <w:rPr>
            <w:rFonts w:asciiTheme="minorHAnsi" w:hAnsiTheme="minorHAnsi"/>
            <w:noProof/>
          </w:rPr>
          <w:tab/>
        </w:r>
        <w:r w:rsidR="0019184A" w:rsidRPr="00B945E0">
          <w:rPr>
            <w:rStyle w:val="Hyperlink"/>
            <w:noProof/>
          </w:rPr>
          <w:t>Governance of market conduct: Impact analysis</w:t>
        </w:r>
        <w:r w:rsidR="0019184A">
          <w:rPr>
            <w:noProof/>
            <w:webHidden/>
          </w:rPr>
          <w:tab/>
        </w:r>
        <w:r w:rsidR="0019184A">
          <w:rPr>
            <w:noProof/>
            <w:webHidden/>
          </w:rPr>
          <w:fldChar w:fldCharType="begin"/>
        </w:r>
        <w:r w:rsidR="0019184A">
          <w:rPr>
            <w:noProof/>
            <w:webHidden/>
          </w:rPr>
          <w:instrText xml:space="preserve"> PAGEREF _Toc75250118 \h </w:instrText>
        </w:r>
        <w:r w:rsidR="0019184A">
          <w:rPr>
            <w:noProof/>
            <w:webHidden/>
          </w:rPr>
        </w:r>
        <w:r w:rsidR="0019184A">
          <w:rPr>
            <w:noProof/>
            <w:webHidden/>
          </w:rPr>
          <w:fldChar w:fldCharType="separate"/>
        </w:r>
        <w:r w:rsidR="000450CB">
          <w:rPr>
            <w:noProof/>
            <w:webHidden/>
          </w:rPr>
          <w:t>70</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19" w:history="1">
        <w:r w:rsidR="0019184A" w:rsidRPr="00B945E0">
          <w:rPr>
            <w:rStyle w:val="Hyperlink"/>
            <w:noProof/>
          </w:rPr>
          <w:t xml:space="preserve">Table 16: </w:t>
        </w:r>
        <w:r w:rsidR="0019184A">
          <w:rPr>
            <w:rFonts w:asciiTheme="minorHAnsi" w:hAnsiTheme="minorHAnsi"/>
            <w:noProof/>
          </w:rPr>
          <w:tab/>
        </w:r>
        <w:r w:rsidR="0019184A" w:rsidRPr="00B945E0">
          <w:rPr>
            <w:rStyle w:val="Hyperlink"/>
            <w:noProof/>
          </w:rPr>
          <w:t>Appointing a regulator: Impact analysis</w:t>
        </w:r>
        <w:r w:rsidR="0019184A">
          <w:rPr>
            <w:noProof/>
            <w:webHidden/>
          </w:rPr>
          <w:tab/>
        </w:r>
        <w:r w:rsidR="0019184A">
          <w:rPr>
            <w:noProof/>
            <w:webHidden/>
          </w:rPr>
          <w:fldChar w:fldCharType="begin"/>
        </w:r>
        <w:r w:rsidR="0019184A">
          <w:rPr>
            <w:noProof/>
            <w:webHidden/>
          </w:rPr>
          <w:instrText xml:space="preserve"> PAGEREF _Toc75250119 \h </w:instrText>
        </w:r>
        <w:r w:rsidR="0019184A">
          <w:rPr>
            <w:noProof/>
            <w:webHidden/>
          </w:rPr>
        </w:r>
        <w:r w:rsidR="0019184A">
          <w:rPr>
            <w:noProof/>
            <w:webHidden/>
          </w:rPr>
          <w:fldChar w:fldCharType="separate"/>
        </w:r>
        <w:r w:rsidR="000450CB">
          <w:rPr>
            <w:noProof/>
            <w:webHidden/>
          </w:rPr>
          <w:t>71</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20" w:history="1">
        <w:r w:rsidR="0019184A" w:rsidRPr="00B945E0">
          <w:rPr>
            <w:rStyle w:val="Hyperlink"/>
            <w:noProof/>
          </w:rPr>
          <w:t xml:space="preserve">Table 17: </w:t>
        </w:r>
        <w:r w:rsidR="0019184A">
          <w:rPr>
            <w:rFonts w:asciiTheme="minorHAnsi" w:hAnsiTheme="minorHAnsi"/>
            <w:noProof/>
          </w:rPr>
          <w:tab/>
        </w:r>
        <w:r w:rsidR="0019184A" w:rsidRPr="00B945E0">
          <w:rPr>
            <w:rStyle w:val="Hyperlink"/>
            <w:noProof/>
          </w:rPr>
          <w:t>Risk coverage analysis of non-regulatory scenario</w:t>
        </w:r>
        <w:r w:rsidR="0019184A">
          <w:rPr>
            <w:noProof/>
            <w:webHidden/>
          </w:rPr>
          <w:tab/>
        </w:r>
        <w:r w:rsidR="0019184A">
          <w:rPr>
            <w:noProof/>
            <w:webHidden/>
          </w:rPr>
          <w:fldChar w:fldCharType="begin"/>
        </w:r>
        <w:r w:rsidR="0019184A">
          <w:rPr>
            <w:noProof/>
            <w:webHidden/>
          </w:rPr>
          <w:instrText xml:space="preserve"> PAGEREF _Toc75250120 \h </w:instrText>
        </w:r>
        <w:r w:rsidR="0019184A">
          <w:rPr>
            <w:noProof/>
            <w:webHidden/>
          </w:rPr>
        </w:r>
        <w:r w:rsidR="0019184A">
          <w:rPr>
            <w:noProof/>
            <w:webHidden/>
          </w:rPr>
          <w:fldChar w:fldCharType="separate"/>
        </w:r>
        <w:r w:rsidR="000450CB">
          <w:rPr>
            <w:noProof/>
            <w:webHidden/>
          </w:rPr>
          <w:t>72</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21" w:history="1">
        <w:r w:rsidR="0019184A" w:rsidRPr="00B945E0">
          <w:rPr>
            <w:rStyle w:val="Hyperlink"/>
            <w:noProof/>
          </w:rPr>
          <w:t>Table 18:</w:t>
        </w:r>
        <w:r w:rsidR="0019184A" w:rsidRPr="00B945E0">
          <w:rPr>
            <w:rStyle w:val="Hyperlink"/>
            <w:rFonts w:eastAsia="Times New Roman"/>
            <w:noProof/>
            <w:lang w:eastAsia="en-US"/>
          </w:rPr>
          <w:t xml:space="preserve"> </w:t>
        </w:r>
        <w:r w:rsidR="0019184A">
          <w:rPr>
            <w:rFonts w:asciiTheme="minorHAnsi" w:hAnsiTheme="minorHAnsi"/>
            <w:noProof/>
          </w:rPr>
          <w:tab/>
        </w:r>
        <w:r w:rsidR="0019184A" w:rsidRPr="00B945E0">
          <w:rPr>
            <w:rStyle w:val="Hyperlink"/>
            <w:rFonts w:eastAsia="Times New Roman"/>
            <w:noProof/>
            <w:lang w:eastAsia="en-US"/>
          </w:rPr>
          <w:t xml:space="preserve">Impact analysis of </w:t>
        </w:r>
        <w:r w:rsidR="0019184A" w:rsidRPr="00B945E0">
          <w:rPr>
            <w:rStyle w:val="Hyperlink"/>
            <w:rFonts w:eastAsia="Times New Roman"/>
            <w:noProof/>
          </w:rPr>
          <w:t xml:space="preserve">non-regulatory </w:t>
        </w:r>
        <w:r w:rsidR="0019184A" w:rsidRPr="00B945E0">
          <w:rPr>
            <w:rStyle w:val="Hyperlink"/>
            <w:rFonts w:eastAsia="Times New Roman"/>
            <w:noProof/>
            <w:lang w:eastAsia="en-US"/>
          </w:rPr>
          <w:t>scenario</w:t>
        </w:r>
        <w:r w:rsidR="0019184A">
          <w:rPr>
            <w:noProof/>
            <w:webHidden/>
          </w:rPr>
          <w:tab/>
        </w:r>
        <w:r w:rsidR="0019184A">
          <w:rPr>
            <w:noProof/>
            <w:webHidden/>
          </w:rPr>
          <w:fldChar w:fldCharType="begin"/>
        </w:r>
        <w:r w:rsidR="0019184A">
          <w:rPr>
            <w:noProof/>
            <w:webHidden/>
          </w:rPr>
          <w:instrText xml:space="preserve"> PAGEREF _Toc75250121 \h </w:instrText>
        </w:r>
        <w:r w:rsidR="0019184A">
          <w:rPr>
            <w:noProof/>
            <w:webHidden/>
          </w:rPr>
        </w:r>
        <w:r w:rsidR="0019184A">
          <w:rPr>
            <w:noProof/>
            <w:webHidden/>
          </w:rPr>
          <w:fldChar w:fldCharType="separate"/>
        </w:r>
        <w:r w:rsidR="000450CB">
          <w:rPr>
            <w:noProof/>
            <w:webHidden/>
          </w:rPr>
          <w:t>74</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22" w:history="1">
        <w:r w:rsidR="0019184A" w:rsidRPr="00B945E0">
          <w:rPr>
            <w:rStyle w:val="Hyperlink"/>
            <w:noProof/>
          </w:rPr>
          <w:t xml:space="preserve">Table 19: </w:t>
        </w:r>
        <w:r w:rsidR="0019184A">
          <w:rPr>
            <w:rFonts w:asciiTheme="minorHAnsi" w:hAnsiTheme="minorHAnsi"/>
            <w:noProof/>
          </w:rPr>
          <w:tab/>
        </w:r>
        <w:r w:rsidR="0019184A" w:rsidRPr="00B945E0">
          <w:rPr>
            <w:rStyle w:val="Hyperlink"/>
            <w:noProof/>
          </w:rPr>
          <w:t>Risk coverage analysis of balanced scenario</w:t>
        </w:r>
        <w:r w:rsidR="0019184A">
          <w:rPr>
            <w:noProof/>
            <w:webHidden/>
          </w:rPr>
          <w:tab/>
        </w:r>
        <w:r w:rsidR="0019184A">
          <w:rPr>
            <w:noProof/>
            <w:webHidden/>
          </w:rPr>
          <w:fldChar w:fldCharType="begin"/>
        </w:r>
        <w:r w:rsidR="0019184A">
          <w:rPr>
            <w:noProof/>
            <w:webHidden/>
          </w:rPr>
          <w:instrText xml:space="preserve"> PAGEREF _Toc75250122 \h </w:instrText>
        </w:r>
        <w:r w:rsidR="0019184A">
          <w:rPr>
            <w:noProof/>
            <w:webHidden/>
          </w:rPr>
        </w:r>
        <w:r w:rsidR="0019184A">
          <w:rPr>
            <w:noProof/>
            <w:webHidden/>
          </w:rPr>
          <w:fldChar w:fldCharType="separate"/>
        </w:r>
        <w:r w:rsidR="000450CB">
          <w:rPr>
            <w:noProof/>
            <w:webHidden/>
          </w:rPr>
          <w:t>75</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23" w:history="1">
        <w:r w:rsidR="0019184A" w:rsidRPr="00B945E0">
          <w:rPr>
            <w:rStyle w:val="Hyperlink"/>
            <w:noProof/>
          </w:rPr>
          <w:t xml:space="preserve">Table 20: </w:t>
        </w:r>
        <w:r w:rsidR="0019184A">
          <w:rPr>
            <w:rFonts w:asciiTheme="minorHAnsi" w:hAnsiTheme="minorHAnsi"/>
            <w:noProof/>
          </w:rPr>
          <w:tab/>
        </w:r>
        <w:r w:rsidR="0019184A" w:rsidRPr="00B945E0">
          <w:rPr>
            <w:rStyle w:val="Hyperlink"/>
            <w:noProof/>
          </w:rPr>
          <w:t>Impact analysis of balanced scenario</w:t>
        </w:r>
        <w:r w:rsidR="0019184A">
          <w:rPr>
            <w:noProof/>
            <w:webHidden/>
          </w:rPr>
          <w:tab/>
        </w:r>
        <w:r w:rsidR="0019184A">
          <w:rPr>
            <w:noProof/>
            <w:webHidden/>
          </w:rPr>
          <w:fldChar w:fldCharType="begin"/>
        </w:r>
        <w:r w:rsidR="0019184A">
          <w:rPr>
            <w:noProof/>
            <w:webHidden/>
          </w:rPr>
          <w:instrText xml:space="preserve"> PAGEREF _Toc75250123 \h </w:instrText>
        </w:r>
        <w:r w:rsidR="0019184A">
          <w:rPr>
            <w:noProof/>
            <w:webHidden/>
          </w:rPr>
        </w:r>
        <w:r w:rsidR="0019184A">
          <w:rPr>
            <w:noProof/>
            <w:webHidden/>
          </w:rPr>
          <w:fldChar w:fldCharType="separate"/>
        </w:r>
        <w:r w:rsidR="000450CB">
          <w:rPr>
            <w:noProof/>
            <w:webHidden/>
          </w:rPr>
          <w:t>76</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24" w:history="1">
        <w:r w:rsidR="0019184A" w:rsidRPr="00B945E0">
          <w:rPr>
            <w:rStyle w:val="Hyperlink"/>
            <w:noProof/>
          </w:rPr>
          <w:t xml:space="preserve">Table 21: </w:t>
        </w:r>
        <w:r w:rsidR="0019184A">
          <w:rPr>
            <w:rFonts w:asciiTheme="minorHAnsi" w:hAnsiTheme="minorHAnsi"/>
            <w:noProof/>
          </w:rPr>
          <w:tab/>
        </w:r>
        <w:r w:rsidR="0019184A" w:rsidRPr="00B945E0">
          <w:rPr>
            <w:rStyle w:val="Hyperlink"/>
            <w:noProof/>
          </w:rPr>
          <w:t>Risk coverage analysis of risk mitigation scenario</w:t>
        </w:r>
        <w:r w:rsidR="0019184A">
          <w:rPr>
            <w:noProof/>
            <w:webHidden/>
          </w:rPr>
          <w:tab/>
        </w:r>
        <w:r w:rsidR="0019184A">
          <w:rPr>
            <w:noProof/>
            <w:webHidden/>
          </w:rPr>
          <w:fldChar w:fldCharType="begin"/>
        </w:r>
        <w:r w:rsidR="0019184A">
          <w:rPr>
            <w:noProof/>
            <w:webHidden/>
          </w:rPr>
          <w:instrText xml:space="preserve"> PAGEREF _Toc75250124 \h </w:instrText>
        </w:r>
        <w:r w:rsidR="0019184A">
          <w:rPr>
            <w:noProof/>
            <w:webHidden/>
          </w:rPr>
        </w:r>
        <w:r w:rsidR="0019184A">
          <w:rPr>
            <w:noProof/>
            <w:webHidden/>
          </w:rPr>
          <w:fldChar w:fldCharType="separate"/>
        </w:r>
        <w:r w:rsidR="000450CB">
          <w:rPr>
            <w:noProof/>
            <w:webHidden/>
          </w:rPr>
          <w:t>77</w:t>
        </w:r>
        <w:r w:rsidR="0019184A">
          <w:rPr>
            <w:noProof/>
            <w:webHidden/>
          </w:rPr>
          <w:fldChar w:fldCharType="end"/>
        </w:r>
      </w:hyperlink>
    </w:p>
    <w:p w:rsidR="0019184A" w:rsidRDefault="0004528A">
      <w:pPr>
        <w:pStyle w:val="TableofFigures"/>
        <w:tabs>
          <w:tab w:val="right" w:pos="8495"/>
        </w:tabs>
        <w:rPr>
          <w:rFonts w:asciiTheme="minorHAnsi" w:hAnsiTheme="minorHAnsi"/>
          <w:noProof/>
        </w:rPr>
      </w:pPr>
      <w:hyperlink w:anchor="_Toc75250125" w:history="1">
        <w:r w:rsidR="0019184A" w:rsidRPr="00B945E0">
          <w:rPr>
            <w:rStyle w:val="Hyperlink"/>
            <w:noProof/>
          </w:rPr>
          <w:t xml:space="preserve">Table 112: </w:t>
        </w:r>
        <w:r w:rsidR="0019184A">
          <w:rPr>
            <w:rFonts w:asciiTheme="minorHAnsi" w:hAnsiTheme="minorHAnsi"/>
            <w:noProof/>
          </w:rPr>
          <w:tab/>
        </w:r>
        <w:r w:rsidR="0019184A" w:rsidRPr="00B945E0">
          <w:rPr>
            <w:rStyle w:val="Hyperlink"/>
            <w:noProof/>
          </w:rPr>
          <w:t>Impact analysis of risk mitigation scenario</w:t>
        </w:r>
        <w:r w:rsidR="0019184A">
          <w:rPr>
            <w:noProof/>
            <w:webHidden/>
          </w:rPr>
          <w:tab/>
        </w:r>
        <w:r w:rsidR="0019184A">
          <w:rPr>
            <w:noProof/>
            <w:webHidden/>
          </w:rPr>
          <w:fldChar w:fldCharType="begin"/>
        </w:r>
        <w:r w:rsidR="0019184A">
          <w:rPr>
            <w:noProof/>
            <w:webHidden/>
          </w:rPr>
          <w:instrText xml:space="preserve"> PAGEREF _Toc75250125 \h </w:instrText>
        </w:r>
        <w:r w:rsidR="0019184A">
          <w:rPr>
            <w:noProof/>
            <w:webHidden/>
          </w:rPr>
        </w:r>
        <w:r w:rsidR="0019184A">
          <w:rPr>
            <w:noProof/>
            <w:webHidden/>
          </w:rPr>
          <w:fldChar w:fldCharType="separate"/>
        </w:r>
        <w:r w:rsidR="000450CB">
          <w:rPr>
            <w:noProof/>
            <w:webHidden/>
          </w:rPr>
          <w:t>78</w:t>
        </w:r>
        <w:r w:rsidR="0019184A">
          <w:rPr>
            <w:noProof/>
            <w:webHidden/>
          </w:rPr>
          <w:fldChar w:fldCharType="end"/>
        </w:r>
      </w:hyperlink>
    </w:p>
    <w:p w:rsidR="001856BB" w:rsidRPr="00F53BDD" w:rsidRDefault="001856BB" w:rsidP="001856BB">
      <w:pPr>
        <w:pStyle w:val="BodyText"/>
      </w:pPr>
      <w:r w:rsidRPr="00F53BDD">
        <w:fldChar w:fldCharType="end"/>
      </w:r>
      <w:bookmarkEnd w:id="1"/>
    </w:p>
    <w:p w:rsidR="001856BB" w:rsidRPr="00F53BDD" w:rsidRDefault="001856BB" w:rsidP="001856BB"/>
    <w:p w:rsidR="001856BB" w:rsidRPr="00F53BDD" w:rsidRDefault="001856BB" w:rsidP="001856BB">
      <w:pPr>
        <w:pStyle w:val="Heading"/>
      </w:pPr>
      <w:r w:rsidRPr="00F53BDD">
        <w:t>Figures</w:t>
      </w:r>
    </w:p>
    <w:p w:rsidR="0019184A" w:rsidRDefault="00DD04D1">
      <w:pPr>
        <w:pStyle w:val="TableofFigures"/>
        <w:tabs>
          <w:tab w:val="right" w:pos="8495"/>
        </w:tabs>
        <w:rPr>
          <w:rFonts w:asciiTheme="minorHAnsi" w:hAnsiTheme="minorHAnsi"/>
          <w:noProof/>
        </w:rPr>
      </w:pPr>
      <w:r w:rsidRPr="00F53BDD">
        <w:fldChar w:fldCharType="begin"/>
      </w:r>
      <w:r w:rsidRPr="00F53BDD">
        <w:instrText xml:space="preserve"> TOC \h \z \t "Figure heading" \c </w:instrText>
      </w:r>
      <w:r w:rsidRPr="00F53BDD">
        <w:fldChar w:fldCharType="separate"/>
      </w:r>
      <w:hyperlink w:anchor="_Toc75250126" w:history="1">
        <w:r w:rsidR="0019184A" w:rsidRPr="00FF11CF">
          <w:rPr>
            <w:rStyle w:val="Hyperlink"/>
            <w:noProof/>
          </w:rPr>
          <w:t xml:space="preserve">Figure 1: </w:t>
        </w:r>
        <w:r w:rsidR="0019184A">
          <w:rPr>
            <w:rFonts w:asciiTheme="minorHAnsi" w:hAnsiTheme="minorHAnsi"/>
            <w:noProof/>
          </w:rPr>
          <w:tab/>
        </w:r>
        <w:r w:rsidR="0019184A" w:rsidRPr="00FF11CF">
          <w:rPr>
            <w:rStyle w:val="Hyperlink"/>
            <w:noProof/>
          </w:rPr>
          <w:t>The primary and secondary markets in the ETS</w:t>
        </w:r>
        <w:r w:rsidR="0019184A">
          <w:rPr>
            <w:noProof/>
            <w:webHidden/>
          </w:rPr>
          <w:tab/>
        </w:r>
        <w:r w:rsidR="0019184A">
          <w:rPr>
            <w:noProof/>
            <w:webHidden/>
          </w:rPr>
          <w:fldChar w:fldCharType="begin"/>
        </w:r>
        <w:r w:rsidR="0019184A">
          <w:rPr>
            <w:noProof/>
            <w:webHidden/>
          </w:rPr>
          <w:instrText xml:space="preserve"> PAGEREF _Toc75250126 \h </w:instrText>
        </w:r>
        <w:r w:rsidR="0019184A">
          <w:rPr>
            <w:noProof/>
            <w:webHidden/>
          </w:rPr>
        </w:r>
        <w:r w:rsidR="0019184A">
          <w:rPr>
            <w:noProof/>
            <w:webHidden/>
          </w:rPr>
          <w:fldChar w:fldCharType="separate"/>
        </w:r>
        <w:r w:rsidR="000450CB">
          <w:rPr>
            <w:noProof/>
            <w:webHidden/>
          </w:rPr>
          <w:t>14</w:t>
        </w:r>
        <w:r w:rsidR="0019184A">
          <w:rPr>
            <w:noProof/>
            <w:webHidden/>
          </w:rPr>
          <w:fldChar w:fldCharType="end"/>
        </w:r>
      </w:hyperlink>
    </w:p>
    <w:p w:rsidR="001856BB" w:rsidRPr="00F53BDD" w:rsidRDefault="00DD04D1" w:rsidP="001856BB">
      <w:pPr>
        <w:pStyle w:val="BodyText"/>
      </w:pPr>
      <w:r w:rsidRPr="00F53BDD">
        <w:fldChar w:fldCharType="end"/>
      </w:r>
    </w:p>
    <w:p w:rsidR="001856BB" w:rsidRPr="00F53BDD" w:rsidRDefault="001856BB" w:rsidP="001856BB">
      <w:r w:rsidRPr="00F53BDD">
        <w:br w:type="page"/>
      </w:r>
    </w:p>
    <w:p w:rsidR="001856BB" w:rsidRPr="00F53BDD" w:rsidRDefault="001856BB" w:rsidP="005540AE">
      <w:pPr>
        <w:pStyle w:val="Heading1"/>
        <w:rPr>
          <w:rStyle w:val="Heading1Char"/>
          <w:b/>
          <w:bCs/>
        </w:rPr>
      </w:pPr>
      <w:bookmarkStart w:id="2" w:name="_Toc75250042"/>
      <w:r w:rsidRPr="00F53BDD">
        <w:rPr>
          <w:rStyle w:val="Heading1Char"/>
          <w:b/>
          <w:bCs/>
        </w:rPr>
        <w:t>Message from the Minister</w:t>
      </w:r>
      <w:bookmarkEnd w:id="2"/>
    </w:p>
    <w:p w:rsidR="005540AE" w:rsidRPr="00F53BDD" w:rsidRDefault="00172B29" w:rsidP="006B23C1">
      <w:pPr>
        <w:pStyle w:val="BodyText"/>
      </w:pPr>
      <w:r w:rsidRPr="00230D73">
        <w:rPr>
          <w:noProof/>
        </w:rPr>
        <w:drawing>
          <wp:anchor distT="0" distB="0" distL="114300" distR="114300" simplePos="0" relativeHeight="251660288" behindDoc="1" locked="0" layoutInCell="1" allowOverlap="1" wp14:anchorId="4D4FC324" wp14:editId="01F2E395">
            <wp:simplePos x="0" y="0"/>
            <wp:positionH relativeFrom="column">
              <wp:posOffset>3568065</wp:posOffset>
            </wp:positionH>
            <wp:positionV relativeFrom="paragraph">
              <wp:posOffset>136525</wp:posOffset>
            </wp:positionV>
            <wp:extent cx="1826895" cy="1894205"/>
            <wp:effectExtent l="0" t="0" r="1905" b="0"/>
            <wp:wrapTight wrapText="bothSides">
              <wp:wrapPolygon edited="0">
                <wp:start x="0" y="0"/>
                <wp:lineTo x="0" y="21289"/>
                <wp:lineTo x="21397" y="21289"/>
                <wp:lineTo x="2139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6895"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0AE" w:rsidRPr="00F53BDD">
        <w:t xml:space="preserve">Over the past four years, New Zealand has made progress towards the institutional and governance framework </w:t>
      </w:r>
      <w:r w:rsidR="00F0506D" w:rsidRPr="00F53BDD">
        <w:t xml:space="preserve">we need </w:t>
      </w:r>
      <w:r w:rsidR="005540AE" w:rsidRPr="00F53BDD">
        <w:t>to reduce greenhouse gas emissions and adapt to the impacts</w:t>
      </w:r>
      <w:r w:rsidR="00E77484" w:rsidRPr="00F53BDD">
        <w:t> </w:t>
      </w:r>
      <w:r w:rsidR="005540AE" w:rsidRPr="00F53BDD">
        <w:t>of climate change.</w:t>
      </w:r>
      <w:r w:rsidRPr="00172B29">
        <w:rPr>
          <w:noProof/>
        </w:rPr>
        <w:t xml:space="preserve"> </w:t>
      </w:r>
    </w:p>
    <w:p w:rsidR="005540AE" w:rsidRPr="00F53BDD" w:rsidRDefault="005540AE" w:rsidP="006B23C1">
      <w:pPr>
        <w:pStyle w:val="BodyText"/>
      </w:pPr>
      <w:r w:rsidRPr="00F53BDD">
        <w:t>The New Zealand Emissions Trading Scheme (</w:t>
      </w:r>
      <w:r w:rsidR="00A942C3" w:rsidRPr="00F53BDD">
        <w:t xml:space="preserve">referred to as </w:t>
      </w:r>
      <w:r w:rsidR="007A6C39" w:rsidRPr="00F53BDD">
        <w:t xml:space="preserve">the </w:t>
      </w:r>
      <w:r w:rsidRPr="00F53BDD">
        <w:t>NZ ETS</w:t>
      </w:r>
      <w:r w:rsidR="007A6C39" w:rsidRPr="00F53BDD">
        <w:t>, the ETS</w:t>
      </w:r>
      <w:r w:rsidR="00A942C3" w:rsidRPr="00F53BDD">
        <w:t>, or the scheme</w:t>
      </w:r>
      <w:r w:rsidRPr="00F53BDD">
        <w:t>) is an important part of this framework</w:t>
      </w:r>
      <w:r w:rsidR="00F0506D" w:rsidRPr="00F53BDD">
        <w:t>.</w:t>
      </w:r>
      <w:r w:rsidRPr="00F53BDD">
        <w:t xml:space="preserve"> </w:t>
      </w:r>
      <w:r w:rsidR="00F0506D" w:rsidRPr="00F53BDD">
        <w:t>T</w:t>
      </w:r>
      <w:r w:rsidRPr="00F53BDD">
        <w:t>he recent legislat</w:t>
      </w:r>
      <w:r w:rsidR="00E1256A" w:rsidRPr="00F53BDD">
        <w:t>ive</w:t>
      </w:r>
      <w:r w:rsidRPr="00F53BDD">
        <w:t xml:space="preserve"> reforms will support </w:t>
      </w:r>
      <w:r w:rsidR="00F0506D" w:rsidRPr="00F53BDD">
        <w:t xml:space="preserve">reductions in </w:t>
      </w:r>
      <w:r w:rsidRPr="00F53BDD">
        <w:t xml:space="preserve">emissions and the transition to a low-emissions economy. The next step </w:t>
      </w:r>
      <w:r w:rsidR="00CA2FC6" w:rsidRPr="00F53BDD">
        <w:t>in</w:t>
      </w:r>
      <w:r w:rsidRPr="00F53BDD">
        <w:t xml:space="preserve"> these</w:t>
      </w:r>
      <w:r w:rsidR="00F53BDD" w:rsidRPr="00F53BDD">
        <w:t xml:space="preserve"> </w:t>
      </w:r>
      <w:r w:rsidRPr="00F53BDD">
        <w:t xml:space="preserve">reforms is to improve </w:t>
      </w:r>
      <w:r w:rsidR="00F0506D" w:rsidRPr="00F53BDD">
        <w:t>how we govern</w:t>
      </w:r>
      <w:r w:rsidR="00CA2FC6" w:rsidRPr="00F53BDD">
        <w:t xml:space="preserve"> the ETS market</w:t>
      </w:r>
      <w:r w:rsidRPr="00F53BDD">
        <w:t xml:space="preserve">. </w:t>
      </w:r>
    </w:p>
    <w:p w:rsidR="00CA2FC6" w:rsidRPr="00F53BDD" w:rsidRDefault="00CE43F4" w:rsidP="005540AE">
      <w:pPr>
        <w:pStyle w:val="BodyText"/>
      </w:pPr>
      <w:bookmarkStart w:id="3" w:name="_Hlk72422690"/>
      <w:r w:rsidRPr="00F53BDD">
        <w:t xml:space="preserve">Good governance will help ensure the integrity and efficiency of the scheme, promote confidence in market trading, and reduce </w:t>
      </w:r>
      <w:r w:rsidR="00F0506D" w:rsidRPr="00F53BDD">
        <w:t xml:space="preserve">the </w:t>
      </w:r>
      <w:r w:rsidRPr="00F53BDD">
        <w:t xml:space="preserve">risk of misconduct distorting the price of </w:t>
      </w:r>
      <w:bookmarkEnd w:id="3"/>
      <w:r w:rsidRPr="00F53BDD">
        <w:t>New</w:t>
      </w:r>
      <w:r w:rsidR="00615BCA" w:rsidRPr="00F53BDD">
        <w:t> </w:t>
      </w:r>
      <w:r w:rsidRPr="00F53BDD">
        <w:t xml:space="preserve">Zealand </w:t>
      </w:r>
      <w:r w:rsidR="00172B29">
        <w:t>U</w:t>
      </w:r>
      <w:r w:rsidRPr="00F53BDD">
        <w:t>nits. Creating a</w:t>
      </w:r>
      <w:r w:rsidR="00F0506D" w:rsidRPr="00F53BDD">
        <w:t xml:space="preserve"> </w:t>
      </w:r>
      <w:r w:rsidR="00E123E3" w:rsidRPr="00F53BDD">
        <w:t xml:space="preserve">solid </w:t>
      </w:r>
      <w:r w:rsidR="00F0506D" w:rsidRPr="00F53BDD">
        <w:t xml:space="preserve">framework to govern the market </w:t>
      </w:r>
      <w:r w:rsidRPr="00F53BDD">
        <w:t>will strengthen the scheme</w:t>
      </w:r>
      <w:r w:rsidR="00F0506D" w:rsidRPr="00F53BDD">
        <w:t>,</w:t>
      </w:r>
      <w:r w:rsidRPr="00F53BDD">
        <w:t xml:space="preserve"> in line with international best practice.</w:t>
      </w:r>
    </w:p>
    <w:p w:rsidR="00E94308" w:rsidRPr="00F53BDD" w:rsidRDefault="005540AE" w:rsidP="005540AE">
      <w:pPr>
        <w:pStyle w:val="BodyText"/>
      </w:pPr>
      <w:r w:rsidRPr="00F53BDD">
        <w:t xml:space="preserve">This </w:t>
      </w:r>
      <w:r w:rsidR="00CE43F4" w:rsidRPr="00F53BDD">
        <w:t>consultation</w:t>
      </w:r>
      <w:r w:rsidRPr="00F53BDD">
        <w:t xml:space="preserve"> </w:t>
      </w:r>
      <w:r w:rsidR="00F0506D" w:rsidRPr="00F53BDD">
        <w:t xml:space="preserve">is </w:t>
      </w:r>
      <w:r w:rsidRPr="00F53BDD">
        <w:t xml:space="preserve">an opportunity for </w:t>
      </w:r>
      <w:r w:rsidR="00F0506D" w:rsidRPr="00F53BDD">
        <w:t>the G</w:t>
      </w:r>
      <w:r w:rsidRPr="00F53BDD">
        <w:t xml:space="preserve">overnment, industry and the public to consider </w:t>
      </w:r>
      <w:r w:rsidR="00CE43F4" w:rsidRPr="00F53BDD">
        <w:t>how best to address risks to the ETS market</w:t>
      </w:r>
      <w:r w:rsidR="00E94308" w:rsidRPr="00F53BDD">
        <w:t>.</w:t>
      </w:r>
      <w:r w:rsidR="00CE43F4" w:rsidRPr="00F53BDD">
        <w:t xml:space="preserve"> </w:t>
      </w:r>
      <w:r w:rsidR="00E94308" w:rsidRPr="00F53BDD">
        <w:t>T</w:t>
      </w:r>
      <w:r w:rsidR="00CE43F4" w:rsidRPr="00F53BDD">
        <w:t xml:space="preserve">he Government has previously identified </w:t>
      </w:r>
      <w:r w:rsidR="00E94308" w:rsidRPr="00F53BDD">
        <w:t xml:space="preserve">these risks </w:t>
      </w:r>
      <w:r w:rsidR="00CE43F4" w:rsidRPr="00F53BDD">
        <w:t>during the reform process</w:t>
      </w:r>
      <w:r w:rsidRPr="00F53BDD">
        <w:t xml:space="preserve">. </w:t>
      </w:r>
    </w:p>
    <w:p w:rsidR="00CE43F4" w:rsidRPr="00F53BDD" w:rsidRDefault="00E94308" w:rsidP="005540AE">
      <w:pPr>
        <w:pStyle w:val="BodyText"/>
      </w:pPr>
      <w:r w:rsidRPr="00F53BDD">
        <w:t>T</w:t>
      </w:r>
      <w:r w:rsidR="00CC4BBE" w:rsidRPr="00F53BDD">
        <w:t xml:space="preserve">he scheme has </w:t>
      </w:r>
      <w:r w:rsidRPr="00F53BDD">
        <w:t xml:space="preserve">worked </w:t>
      </w:r>
      <w:r w:rsidR="00CC4BBE" w:rsidRPr="00F53BDD">
        <w:t xml:space="preserve">successfully for the past </w:t>
      </w:r>
      <w:r w:rsidRPr="00F53BDD">
        <w:t>10</w:t>
      </w:r>
      <w:r w:rsidR="00CC4BBE" w:rsidRPr="00F53BDD">
        <w:t xml:space="preserve"> years</w:t>
      </w:r>
      <w:r w:rsidRPr="00F53BDD">
        <w:t>,</w:t>
      </w:r>
      <w:r w:rsidR="00CC4BBE" w:rsidRPr="00F53BDD">
        <w:t xml:space="preserve"> with little evidence of these risks in</w:t>
      </w:r>
      <w:r w:rsidR="00615BCA" w:rsidRPr="00F53BDD">
        <w:t> </w:t>
      </w:r>
      <w:r w:rsidR="00CC4BBE" w:rsidRPr="00F53BDD">
        <w:t>practice</w:t>
      </w:r>
      <w:r w:rsidRPr="00F53BDD">
        <w:t>. However</w:t>
      </w:r>
      <w:r w:rsidR="00CC4BBE" w:rsidRPr="00F53BDD">
        <w:t xml:space="preserve">, now is the time to </w:t>
      </w:r>
      <w:r w:rsidRPr="00F53BDD">
        <w:t>put</w:t>
      </w:r>
      <w:r w:rsidR="00CC4BBE" w:rsidRPr="00F53BDD">
        <w:t xml:space="preserve"> the right framework in place</w:t>
      </w:r>
      <w:r w:rsidRPr="00F53BDD">
        <w:t>,</w:t>
      </w:r>
      <w:r w:rsidR="00CC4BBE" w:rsidRPr="00F53BDD">
        <w:t xml:space="preserve"> </w:t>
      </w:r>
      <w:r w:rsidR="00385648" w:rsidRPr="00F53BDD">
        <w:t xml:space="preserve">so </w:t>
      </w:r>
      <w:r w:rsidR="00CC4BBE" w:rsidRPr="00F53BDD">
        <w:t xml:space="preserve">the </w:t>
      </w:r>
      <w:r w:rsidR="00E123E3" w:rsidRPr="00F53BDD">
        <w:t>scheme</w:t>
      </w:r>
      <w:r w:rsidR="00CC4BBE" w:rsidRPr="00F53BDD">
        <w:t xml:space="preserve"> </w:t>
      </w:r>
      <w:r w:rsidRPr="00F53BDD">
        <w:t xml:space="preserve">stays </w:t>
      </w:r>
      <w:r w:rsidR="00CC4BBE" w:rsidRPr="00F53BDD">
        <w:t>robust and effective well into the future.</w:t>
      </w:r>
    </w:p>
    <w:p w:rsidR="006D53EA" w:rsidRPr="00F53BDD" w:rsidRDefault="00CC4BBE" w:rsidP="006D53EA">
      <w:pPr>
        <w:pStyle w:val="BodyText"/>
      </w:pPr>
      <w:r w:rsidRPr="00F53BDD">
        <w:t>The Government has a range of regulatory and non-regulatory tools</w:t>
      </w:r>
      <w:r w:rsidR="00E94308" w:rsidRPr="00F53BDD">
        <w:t>,</w:t>
      </w:r>
      <w:r w:rsidRPr="00F53BDD">
        <w:t xml:space="preserve"> and the final framework is likely to </w:t>
      </w:r>
      <w:r w:rsidR="00E94308" w:rsidRPr="00F53BDD">
        <w:t xml:space="preserve">be </w:t>
      </w:r>
      <w:r w:rsidRPr="00F53BDD">
        <w:t xml:space="preserve">a combination of the options presented here. </w:t>
      </w:r>
      <w:r w:rsidR="00E94308" w:rsidRPr="00F53BDD">
        <w:t xml:space="preserve">We need </w:t>
      </w:r>
      <w:r w:rsidRPr="00F53BDD">
        <w:t>a balance</w:t>
      </w:r>
      <w:r w:rsidR="00E94308" w:rsidRPr="00F53BDD">
        <w:t>,</w:t>
      </w:r>
      <w:r w:rsidRPr="00F53BDD">
        <w:t xml:space="preserve"> </w:t>
      </w:r>
      <w:r w:rsidR="00E94308" w:rsidRPr="00F53BDD">
        <w:t>so that we</w:t>
      </w:r>
      <w:r w:rsidR="006D53EA" w:rsidRPr="00F53BDD">
        <w:t xml:space="preserve"> </w:t>
      </w:r>
      <w:r w:rsidR="00E94308" w:rsidRPr="00F53BDD">
        <w:t xml:space="preserve">regulate </w:t>
      </w:r>
      <w:r w:rsidR="006D53EA" w:rsidRPr="00F53BDD">
        <w:t>the market efficiently and appropriately</w:t>
      </w:r>
      <w:r w:rsidR="00E94308" w:rsidRPr="00F53BDD">
        <w:t>,</w:t>
      </w:r>
      <w:r w:rsidR="006D53EA" w:rsidRPr="00F53BDD">
        <w:t xml:space="preserve"> to address the level of risk.</w:t>
      </w:r>
      <w:r w:rsidR="00EF04DA" w:rsidRPr="00F53BDD">
        <w:t xml:space="preserve"> </w:t>
      </w:r>
      <w:r w:rsidR="006D53EA" w:rsidRPr="00F53BDD">
        <w:t xml:space="preserve">A key </w:t>
      </w:r>
      <w:r w:rsidR="00E94308" w:rsidRPr="00F53BDD">
        <w:t xml:space="preserve">factor </w:t>
      </w:r>
      <w:r w:rsidR="006D53EA" w:rsidRPr="00F53BDD">
        <w:t xml:space="preserve">will be </w:t>
      </w:r>
      <w:r w:rsidR="00E94308" w:rsidRPr="00F53BDD">
        <w:t>to appoint</w:t>
      </w:r>
      <w:r w:rsidR="006D53EA" w:rsidRPr="00F53BDD">
        <w:t xml:space="preserve"> a market regulator with a clearly defined role.</w:t>
      </w:r>
      <w:r w:rsidR="00EF04DA" w:rsidRPr="00F53BDD">
        <w:t xml:space="preserve"> </w:t>
      </w:r>
    </w:p>
    <w:p w:rsidR="005540AE" w:rsidRDefault="005540AE" w:rsidP="005540AE">
      <w:pPr>
        <w:pStyle w:val="BodyText"/>
      </w:pPr>
      <w:r w:rsidRPr="00F53BDD">
        <w:t xml:space="preserve">Your feedback on the </w:t>
      </w:r>
      <w:r w:rsidR="00CC4BBE" w:rsidRPr="00F53BDD">
        <w:t xml:space="preserve">options </w:t>
      </w:r>
      <w:r w:rsidRPr="00F53BDD">
        <w:t xml:space="preserve">in this document will shape </w:t>
      </w:r>
      <w:r w:rsidR="00EB0A67" w:rsidRPr="00F53BDD">
        <w:t>the</w:t>
      </w:r>
      <w:r w:rsidRPr="00F53BDD">
        <w:t xml:space="preserve"> legislative changes </w:t>
      </w:r>
      <w:r w:rsidR="00E94308" w:rsidRPr="00F53BDD">
        <w:t>for a better</w:t>
      </w:r>
      <w:r w:rsidRPr="00F53BDD">
        <w:t xml:space="preserve"> framework</w:t>
      </w:r>
      <w:r w:rsidR="00877E61" w:rsidRPr="00F53BDD">
        <w:t xml:space="preserve"> for market governance in the NZ ETS</w:t>
      </w:r>
      <w:r w:rsidRPr="00F53BDD">
        <w:t xml:space="preserve">. </w:t>
      </w:r>
    </w:p>
    <w:p w:rsidR="003C49C8" w:rsidRDefault="00B23069" w:rsidP="00172B29">
      <w:pPr>
        <w:pStyle w:val="BodyText"/>
      </w:pPr>
      <w:r w:rsidRPr="00B23069">
        <w:rPr>
          <w:noProof/>
        </w:rPr>
        <w:drawing>
          <wp:inline distT="0" distB="0" distL="0" distR="0" wp14:anchorId="41D700D5" wp14:editId="08202A5B">
            <wp:extent cx="1971544" cy="790041"/>
            <wp:effectExtent l="0" t="0" r="0" b="0"/>
            <wp:docPr id="1" name="Picture 1" descr="\\PSVMFS06\MyDocs$\NESBITL\Desktop\Useful + Templates\E-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VMFS06\MyDocs$\NESBITL\Desktop\Useful + Templates\E-Signatur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6076" cy="799872"/>
                    </a:xfrm>
                    <a:prstGeom prst="rect">
                      <a:avLst/>
                    </a:prstGeom>
                    <a:noFill/>
                    <a:ln>
                      <a:noFill/>
                    </a:ln>
                  </pic:spPr>
                </pic:pic>
              </a:graphicData>
            </a:graphic>
          </wp:inline>
        </w:drawing>
      </w:r>
    </w:p>
    <w:p w:rsidR="00172B29" w:rsidRPr="00230D73" w:rsidRDefault="00172B29" w:rsidP="00172B29">
      <w:pPr>
        <w:pStyle w:val="BodyText"/>
      </w:pPr>
      <w:r w:rsidRPr="00230D73">
        <w:t>Hon James Shaw</w:t>
      </w:r>
      <w:r>
        <w:br/>
      </w:r>
      <w:r w:rsidRPr="00230D73">
        <w:t xml:space="preserve">Minister of Climate Change </w:t>
      </w:r>
    </w:p>
    <w:p w:rsidR="00172B29" w:rsidRPr="00F53BDD" w:rsidRDefault="00172B29" w:rsidP="005540AE">
      <w:pPr>
        <w:pStyle w:val="BodyText"/>
      </w:pPr>
    </w:p>
    <w:p w:rsidR="001856BB" w:rsidRPr="00F53BDD" w:rsidRDefault="001856BB" w:rsidP="006B23C1">
      <w:pPr>
        <w:pStyle w:val="BodyText"/>
        <w:rPr>
          <w:rStyle w:val="Heading1Char"/>
          <w:rFonts w:eastAsiaTheme="minorEastAsia" w:cstheme="minorBidi"/>
          <w:b w:val="0"/>
          <w:bCs w:val="0"/>
          <w:color w:val="auto"/>
          <w:sz w:val="22"/>
          <w:szCs w:val="22"/>
        </w:rPr>
      </w:pPr>
      <w:r w:rsidRPr="00F53BDD">
        <w:rPr>
          <w:rStyle w:val="Heading1Char"/>
          <w:rFonts w:eastAsiaTheme="minorEastAsia" w:cstheme="minorBidi"/>
          <w:b w:val="0"/>
          <w:bCs w:val="0"/>
          <w:color w:val="auto"/>
          <w:sz w:val="22"/>
          <w:szCs w:val="22"/>
        </w:rPr>
        <w:br w:type="page"/>
      </w:r>
    </w:p>
    <w:p w:rsidR="001856BB" w:rsidRPr="00F53BDD" w:rsidRDefault="0062053A" w:rsidP="003028E6">
      <w:pPr>
        <w:pStyle w:val="Heading1"/>
        <w:rPr>
          <w:rStyle w:val="Heading1Char"/>
          <w:b/>
          <w:bCs/>
        </w:rPr>
      </w:pPr>
      <w:bookmarkStart w:id="4" w:name="_Toc75250043"/>
      <w:r w:rsidRPr="00F53BDD">
        <w:rPr>
          <w:rStyle w:val="Heading1Char"/>
          <w:b/>
          <w:bCs/>
        </w:rPr>
        <w:t xml:space="preserve">About </w:t>
      </w:r>
      <w:r w:rsidR="001856BB" w:rsidRPr="00F53BDD">
        <w:rPr>
          <w:rStyle w:val="Heading1Char"/>
          <w:b/>
          <w:bCs/>
        </w:rPr>
        <w:t xml:space="preserve">this </w:t>
      </w:r>
      <w:r w:rsidR="00470228">
        <w:rPr>
          <w:rStyle w:val="Heading1Char"/>
          <w:b/>
          <w:bCs/>
        </w:rPr>
        <w:t>consultation</w:t>
      </w:r>
      <w:r w:rsidR="00470228" w:rsidRPr="00F53BDD">
        <w:rPr>
          <w:rStyle w:val="Heading1Char"/>
          <w:b/>
          <w:bCs/>
        </w:rPr>
        <w:t xml:space="preserve"> </w:t>
      </w:r>
      <w:r w:rsidR="005A6E4F" w:rsidRPr="00F53BDD">
        <w:rPr>
          <w:rStyle w:val="Heading1Char"/>
          <w:b/>
          <w:bCs/>
        </w:rPr>
        <w:t>document</w:t>
      </w:r>
      <w:bookmarkEnd w:id="4"/>
    </w:p>
    <w:p w:rsidR="001856BB" w:rsidRPr="00F53BDD" w:rsidRDefault="00E94308" w:rsidP="004D2FA9">
      <w:pPr>
        <w:pStyle w:val="Heading2"/>
        <w:spacing w:before="120"/>
      </w:pPr>
      <w:bookmarkStart w:id="5" w:name="_Toc75250044"/>
      <w:r w:rsidRPr="00F53BDD">
        <w:t>We are seeking</w:t>
      </w:r>
      <w:r w:rsidR="001856BB" w:rsidRPr="00F53BDD">
        <w:t xml:space="preserve"> your feedback on options </w:t>
      </w:r>
      <w:r w:rsidR="0062053A" w:rsidRPr="00F53BDD">
        <w:t>to improve</w:t>
      </w:r>
      <w:r w:rsidR="005070A3">
        <w:t> </w:t>
      </w:r>
      <w:r w:rsidR="008F03F4" w:rsidRPr="00F53BDD">
        <w:t xml:space="preserve">governance </w:t>
      </w:r>
      <w:r w:rsidR="00E123E3" w:rsidRPr="00F53BDD">
        <w:t>of</w:t>
      </w:r>
      <w:r w:rsidR="004D2FA9">
        <w:t xml:space="preserve"> </w:t>
      </w:r>
      <w:r w:rsidR="008F03F4" w:rsidRPr="00F53BDD">
        <w:t>the</w:t>
      </w:r>
      <w:r w:rsidR="004D2FA9">
        <w:t xml:space="preserve"> </w:t>
      </w:r>
      <w:r w:rsidR="00AD3693" w:rsidRPr="00F53BDD">
        <w:t>New Zealand Emissions</w:t>
      </w:r>
      <w:r w:rsidR="005070A3">
        <w:t> </w:t>
      </w:r>
      <w:r w:rsidR="00AD3693" w:rsidRPr="00F53BDD">
        <w:t>Trading Scheme</w:t>
      </w:r>
      <w:bookmarkEnd w:id="5"/>
    </w:p>
    <w:p w:rsidR="00F23A6B" w:rsidRPr="00F53BDD" w:rsidRDefault="0062053A" w:rsidP="006B23C1">
      <w:pPr>
        <w:pStyle w:val="BodyText"/>
      </w:pPr>
      <w:r w:rsidRPr="00F53BDD">
        <w:t xml:space="preserve">The Government is considering changes to the market governance </w:t>
      </w:r>
      <w:r w:rsidR="005A6E4F" w:rsidRPr="00F53BDD">
        <w:t>framework</w:t>
      </w:r>
      <w:r w:rsidRPr="00F53BDD">
        <w:t xml:space="preserve"> for the </w:t>
      </w:r>
      <w:r w:rsidR="008F03F4" w:rsidRPr="00F53BDD">
        <w:t>New</w:t>
      </w:r>
      <w:r w:rsidR="00615BCA" w:rsidRPr="00F53BDD">
        <w:t> </w:t>
      </w:r>
      <w:r w:rsidR="008F03F4" w:rsidRPr="00F53BDD">
        <w:t>Zealand Emissions Trading Scheme (</w:t>
      </w:r>
      <w:r w:rsidR="000E2AC6" w:rsidRPr="00F53BDD">
        <w:t>referred to as the NZ ETS, the ETS</w:t>
      </w:r>
      <w:r w:rsidR="00470228">
        <w:t>,</w:t>
      </w:r>
      <w:r w:rsidR="000E2AC6" w:rsidRPr="00F53BDD">
        <w:t xml:space="preserve"> or the scheme).</w:t>
      </w:r>
      <w:r w:rsidRPr="00F53BDD">
        <w:t xml:space="preserve"> </w:t>
      </w:r>
      <w:r w:rsidR="00170650" w:rsidRPr="00F53BDD">
        <w:t xml:space="preserve">Your feedback is a key part of </w:t>
      </w:r>
      <w:r w:rsidR="00E123E3" w:rsidRPr="00F53BDD">
        <w:t>improving the</w:t>
      </w:r>
      <w:r w:rsidR="00170650" w:rsidRPr="00F53BDD">
        <w:t xml:space="preserve"> framework. We are keen to hear your views on</w:t>
      </w:r>
      <w:r w:rsidR="00295C02" w:rsidRPr="00F53BDD">
        <w:t> </w:t>
      </w:r>
      <w:r w:rsidR="00170650" w:rsidRPr="00F53BDD">
        <w:t>how these options may affect you and the market.</w:t>
      </w:r>
    </w:p>
    <w:p w:rsidR="00E76486" w:rsidRPr="00F53BDD" w:rsidRDefault="00E76486" w:rsidP="00470228">
      <w:pPr>
        <w:pStyle w:val="Heading2"/>
      </w:pPr>
      <w:bookmarkStart w:id="6" w:name="_Toc75250045"/>
      <w:r w:rsidRPr="00F53BDD">
        <w:t>What this document covers</w:t>
      </w:r>
      <w:bookmarkEnd w:id="6"/>
    </w:p>
    <w:p w:rsidR="00E76486" w:rsidRPr="00F53BDD" w:rsidRDefault="00C279F3" w:rsidP="004D2FA9">
      <w:pPr>
        <w:pStyle w:val="Bullet"/>
        <w:spacing w:before="120" w:after="100"/>
      </w:pPr>
      <w:r w:rsidRPr="00F53BDD">
        <w:rPr>
          <w:b/>
          <w:bCs/>
        </w:rPr>
        <w:t>Section 1</w:t>
      </w:r>
      <w:r w:rsidR="00E94308" w:rsidRPr="00F53BDD">
        <w:rPr>
          <w:b/>
          <w:bCs/>
        </w:rPr>
        <w:t>:</w:t>
      </w:r>
      <w:r w:rsidRPr="00F53BDD">
        <w:t xml:space="preserve"> </w:t>
      </w:r>
      <w:r w:rsidR="00E94308" w:rsidRPr="00F53BDD">
        <w:t>B</w:t>
      </w:r>
      <w:r w:rsidRPr="00F53BDD">
        <w:t>ackground information</w:t>
      </w:r>
      <w:r w:rsidR="00396406" w:rsidRPr="00F53BDD">
        <w:t xml:space="preserve"> on</w:t>
      </w:r>
      <w:r w:rsidR="007D52FE" w:rsidRPr="00F53BDD">
        <w:t xml:space="preserve"> the ETS as a tool to respond</w:t>
      </w:r>
      <w:r w:rsidRPr="00F53BDD">
        <w:t xml:space="preserve"> to climate change</w:t>
      </w:r>
      <w:r w:rsidR="00396406" w:rsidRPr="00F53BDD">
        <w:t>,</w:t>
      </w:r>
      <w:r w:rsidRPr="00F53BDD">
        <w:t xml:space="preserve"> and</w:t>
      </w:r>
      <w:r w:rsidR="00615BCA" w:rsidRPr="00F53BDD">
        <w:t> </w:t>
      </w:r>
      <w:r w:rsidRPr="00F53BDD">
        <w:t xml:space="preserve">an overview of trading in the </w:t>
      </w:r>
      <w:r w:rsidR="00505C5B" w:rsidRPr="00F53BDD">
        <w:t>scheme</w:t>
      </w:r>
      <w:r w:rsidRPr="00F53BDD">
        <w:t>.</w:t>
      </w:r>
    </w:p>
    <w:p w:rsidR="00C279F3" w:rsidRPr="00F53BDD" w:rsidRDefault="00C279F3" w:rsidP="00517AA4">
      <w:pPr>
        <w:pStyle w:val="Bullet"/>
        <w:spacing w:after="100"/>
      </w:pPr>
      <w:r w:rsidRPr="00F53BDD">
        <w:rPr>
          <w:b/>
          <w:bCs/>
        </w:rPr>
        <w:t>Section 2</w:t>
      </w:r>
      <w:r w:rsidR="00E94308" w:rsidRPr="00F53BDD">
        <w:rPr>
          <w:b/>
          <w:bCs/>
        </w:rPr>
        <w:t>:</w:t>
      </w:r>
      <w:r w:rsidRPr="00F53BDD">
        <w:t xml:space="preserve"> </w:t>
      </w:r>
      <w:r w:rsidR="00E94308" w:rsidRPr="00F53BDD">
        <w:t>A</w:t>
      </w:r>
      <w:r w:rsidRPr="00F53BDD">
        <w:t xml:space="preserve">n overview of governance </w:t>
      </w:r>
      <w:r w:rsidR="00483CD8" w:rsidRPr="00F53BDD">
        <w:t>in the ETS</w:t>
      </w:r>
      <w:r w:rsidRPr="00F53BDD">
        <w:t xml:space="preserve">, </w:t>
      </w:r>
      <w:r w:rsidR="00483CD8" w:rsidRPr="00F53BDD">
        <w:t xml:space="preserve">the </w:t>
      </w:r>
      <w:r w:rsidRPr="00F53BDD">
        <w:t>problem definition</w:t>
      </w:r>
      <w:r w:rsidR="00483CD8" w:rsidRPr="00F53BDD">
        <w:t xml:space="preserve">, and how international </w:t>
      </w:r>
      <w:r w:rsidR="00396406" w:rsidRPr="00F53BDD">
        <w:t xml:space="preserve">schemes </w:t>
      </w:r>
      <w:r w:rsidR="00483CD8" w:rsidRPr="00F53BDD">
        <w:t>address governance risks.</w:t>
      </w:r>
    </w:p>
    <w:p w:rsidR="00483CD8" w:rsidRPr="00F53BDD" w:rsidRDefault="00483CD8" w:rsidP="00517AA4">
      <w:pPr>
        <w:pStyle w:val="Bullet"/>
        <w:spacing w:after="100"/>
      </w:pPr>
      <w:r w:rsidRPr="00F53BDD">
        <w:rPr>
          <w:b/>
          <w:bCs/>
        </w:rPr>
        <w:t>Section 3</w:t>
      </w:r>
      <w:r w:rsidR="00E94308" w:rsidRPr="00F53BDD">
        <w:rPr>
          <w:b/>
          <w:bCs/>
        </w:rPr>
        <w:t>:</w:t>
      </w:r>
      <w:r w:rsidR="00505C5B" w:rsidRPr="00F53BDD">
        <w:rPr>
          <w:b/>
          <w:bCs/>
        </w:rPr>
        <w:t xml:space="preserve"> </w:t>
      </w:r>
      <w:r w:rsidR="00E94308" w:rsidRPr="00F53BDD">
        <w:t xml:space="preserve">Governance of </w:t>
      </w:r>
      <w:r w:rsidR="00505C5B" w:rsidRPr="00F53BDD">
        <w:t>a</w:t>
      </w:r>
      <w:r w:rsidR="00E94308" w:rsidRPr="00F53BDD">
        <w:t xml:space="preserve">dvice – </w:t>
      </w:r>
      <w:r w:rsidRPr="00F53BDD">
        <w:t xml:space="preserve">risks </w:t>
      </w:r>
      <w:r w:rsidR="00C642BE" w:rsidRPr="00F53BDD">
        <w:t>and options</w:t>
      </w:r>
      <w:r w:rsidR="00396406" w:rsidRPr="00F53BDD">
        <w:t xml:space="preserve">. </w:t>
      </w:r>
      <w:r w:rsidR="007B59FB" w:rsidRPr="00F53BDD">
        <w:t>R</w:t>
      </w:r>
      <w:r w:rsidR="00396406" w:rsidRPr="00F53BDD">
        <w:t>isks</w:t>
      </w:r>
      <w:r w:rsidRPr="00F53BDD">
        <w:t xml:space="preserve"> includ</w:t>
      </w:r>
      <w:r w:rsidR="00396406" w:rsidRPr="00F53BDD">
        <w:t>e</w:t>
      </w:r>
      <w:r w:rsidRPr="00F53BDD">
        <w:t xml:space="preserve"> poor advice and conflicts of interest when </w:t>
      </w:r>
      <w:r w:rsidR="007B59FB" w:rsidRPr="00F53BDD">
        <w:t>advising.</w:t>
      </w:r>
      <w:r w:rsidRPr="00F53BDD">
        <w:t xml:space="preserve"> </w:t>
      </w:r>
    </w:p>
    <w:p w:rsidR="00483CD8" w:rsidRPr="00F53BDD" w:rsidRDefault="00483CD8" w:rsidP="00517AA4">
      <w:pPr>
        <w:pStyle w:val="Bullet"/>
        <w:spacing w:after="100"/>
      </w:pPr>
      <w:r w:rsidRPr="00F53BDD">
        <w:rPr>
          <w:b/>
          <w:bCs/>
        </w:rPr>
        <w:t>Section 4</w:t>
      </w:r>
      <w:r w:rsidR="00E94308" w:rsidRPr="00F53BDD">
        <w:rPr>
          <w:b/>
          <w:bCs/>
        </w:rPr>
        <w:t>:</w:t>
      </w:r>
      <w:r w:rsidR="00505C5B" w:rsidRPr="00F53BDD">
        <w:rPr>
          <w:b/>
          <w:bCs/>
        </w:rPr>
        <w:t xml:space="preserve"> </w:t>
      </w:r>
      <w:r w:rsidR="00E94308" w:rsidRPr="00F53BDD">
        <w:t xml:space="preserve">Governance of </w:t>
      </w:r>
      <w:r w:rsidR="00505C5B" w:rsidRPr="00F53BDD">
        <w:t>t</w:t>
      </w:r>
      <w:r w:rsidR="00E94308" w:rsidRPr="00F53BDD">
        <w:t xml:space="preserve">rading – </w:t>
      </w:r>
      <w:r w:rsidRPr="00F53BDD">
        <w:t xml:space="preserve">risks </w:t>
      </w:r>
      <w:r w:rsidR="00C642BE" w:rsidRPr="00F53BDD">
        <w:t>and options</w:t>
      </w:r>
      <w:r w:rsidR="00396406" w:rsidRPr="00F53BDD">
        <w:t xml:space="preserve">. </w:t>
      </w:r>
      <w:r w:rsidR="007B59FB" w:rsidRPr="00F53BDD">
        <w:t>R</w:t>
      </w:r>
      <w:r w:rsidR="00396406" w:rsidRPr="00F53BDD">
        <w:t xml:space="preserve">isks </w:t>
      </w:r>
      <w:r w:rsidRPr="00F53BDD">
        <w:t>includ</w:t>
      </w:r>
      <w:r w:rsidR="00396406" w:rsidRPr="00F53BDD">
        <w:t>e</w:t>
      </w:r>
      <w:r w:rsidRPr="00F53BDD">
        <w:t xml:space="preserve"> poor market transparency, oversight and monitoring </w:t>
      </w:r>
      <w:r w:rsidR="00595DBD" w:rsidRPr="00F53BDD">
        <w:t>trades</w:t>
      </w:r>
      <w:r w:rsidR="007D52FE" w:rsidRPr="00F53BDD">
        <w:t>;</w:t>
      </w:r>
      <w:r w:rsidR="00595DBD" w:rsidRPr="00F53BDD">
        <w:t xml:space="preserve"> </w:t>
      </w:r>
      <w:r w:rsidRPr="00F53BDD">
        <w:t xml:space="preserve">credit and </w:t>
      </w:r>
      <w:r w:rsidR="001E0B58" w:rsidRPr="00F53BDD">
        <w:t>counter-party</w:t>
      </w:r>
      <w:r w:rsidRPr="00F53BDD">
        <w:t xml:space="preserve"> risks.</w:t>
      </w:r>
    </w:p>
    <w:p w:rsidR="00483CD8" w:rsidRPr="00F53BDD" w:rsidRDefault="00483CD8" w:rsidP="00517AA4">
      <w:pPr>
        <w:pStyle w:val="Bullet"/>
        <w:spacing w:after="100"/>
      </w:pPr>
      <w:r w:rsidRPr="00F53BDD">
        <w:rPr>
          <w:b/>
          <w:bCs/>
        </w:rPr>
        <w:t>Section 5</w:t>
      </w:r>
      <w:r w:rsidR="00E94308" w:rsidRPr="00F53BDD">
        <w:rPr>
          <w:b/>
          <w:bCs/>
        </w:rPr>
        <w:t>:</w:t>
      </w:r>
      <w:r w:rsidR="00505C5B" w:rsidRPr="00F53BDD">
        <w:rPr>
          <w:b/>
          <w:bCs/>
        </w:rPr>
        <w:t xml:space="preserve"> </w:t>
      </w:r>
      <w:r w:rsidR="00E94308" w:rsidRPr="00F53BDD">
        <w:t xml:space="preserve">Governance of </w:t>
      </w:r>
      <w:r w:rsidR="00505C5B" w:rsidRPr="00F53BDD">
        <w:t>m</w:t>
      </w:r>
      <w:r w:rsidR="00E94308" w:rsidRPr="00F53BDD">
        <w:t xml:space="preserve">arket </w:t>
      </w:r>
      <w:r w:rsidR="00505C5B" w:rsidRPr="00F53BDD">
        <w:t>c</w:t>
      </w:r>
      <w:r w:rsidR="00E94308" w:rsidRPr="00F53BDD">
        <w:t xml:space="preserve">onduct – </w:t>
      </w:r>
      <w:r w:rsidRPr="00F53BDD">
        <w:t xml:space="preserve">risks </w:t>
      </w:r>
      <w:r w:rsidR="00C642BE" w:rsidRPr="00F53BDD">
        <w:t>and options</w:t>
      </w:r>
      <w:r w:rsidR="00396406" w:rsidRPr="00F53BDD">
        <w:t xml:space="preserve">. </w:t>
      </w:r>
      <w:r w:rsidR="007B59FB" w:rsidRPr="00F53BDD">
        <w:t>R</w:t>
      </w:r>
      <w:r w:rsidR="00396406" w:rsidRPr="00F53BDD">
        <w:t>isks</w:t>
      </w:r>
      <w:r w:rsidRPr="00F53BDD">
        <w:t xml:space="preserve"> includ</w:t>
      </w:r>
      <w:r w:rsidR="00396406" w:rsidRPr="00F53BDD">
        <w:t>e</w:t>
      </w:r>
      <w:r w:rsidRPr="00F53BDD">
        <w:t xml:space="preserve"> price manipulation, insider trading, money laundering</w:t>
      </w:r>
      <w:r w:rsidR="00470228">
        <w:t>,</w:t>
      </w:r>
      <w:r w:rsidRPr="00F53BDD">
        <w:t xml:space="preserve"> and financing terrorism. </w:t>
      </w:r>
    </w:p>
    <w:p w:rsidR="00483CD8" w:rsidRPr="00F53BDD" w:rsidRDefault="00483CD8" w:rsidP="00517AA4">
      <w:pPr>
        <w:pStyle w:val="Bullet"/>
        <w:spacing w:after="100"/>
      </w:pPr>
      <w:r w:rsidRPr="00F53BDD">
        <w:rPr>
          <w:b/>
          <w:bCs/>
        </w:rPr>
        <w:t>Section 6</w:t>
      </w:r>
      <w:r w:rsidR="00E94308" w:rsidRPr="00F53BDD">
        <w:rPr>
          <w:b/>
          <w:bCs/>
        </w:rPr>
        <w:t>:</w:t>
      </w:r>
      <w:r w:rsidRPr="00F53BDD">
        <w:t xml:space="preserve"> </w:t>
      </w:r>
      <w:r w:rsidR="00E94308" w:rsidRPr="00F53BDD">
        <w:t>O</w:t>
      </w:r>
      <w:r w:rsidRPr="00F53BDD">
        <w:t xml:space="preserve">ptions to appoint </w:t>
      </w:r>
      <w:r w:rsidR="00595DBD" w:rsidRPr="00F53BDD">
        <w:t xml:space="preserve">a </w:t>
      </w:r>
      <w:r w:rsidRPr="00F53BDD">
        <w:t>market regulator to oversee the NZ ETS.</w:t>
      </w:r>
    </w:p>
    <w:p w:rsidR="00483CD8" w:rsidRPr="00F53BDD" w:rsidRDefault="00483CD8" w:rsidP="00517AA4">
      <w:pPr>
        <w:pStyle w:val="Bullet"/>
        <w:spacing w:after="100"/>
      </w:pPr>
      <w:r w:rsidRPr="00F53BDD">
        <w:rPr>
          <w:b/>
          <w:bCs/>
        </w:rPr>
        <w:t>Section 7</w:t>
      </w:r>
      <w:r w:rsidR="00E94308" w:rsidRPr="00F53BDD">
        <w:rPr>
          <w:b/>
          <w:bCs/>
        </w:rPr>
        <w:t>:</w:t>
      </w:r>
      <w:r w:rsidRPr="00F53BDD">
        <w:t xml:space="preserve"> </w:t>
      </w:r>
      <w:r w:rsidR="00E94308" w:rsidRPr="00F53BDD">
        <w:t>A</w:t>
      </w:r>
      <w:r w:rsidRPr="00F53BDD">
        <w:t>n analysis o</w:t>
      </w:r>
      <w:r w:rsidR="00E94308" w:rsidRPr="00F53BDD">
        <w:t>f</w:t>
      </w:r>
      <w:r w:rsidR="003028E6" w:rsidRPr="00F53BDD">
        <w:t xml:space="preserve"> how well each option</w:t>
      </w:r>
      <w:r w:rsidR="00160FEF" w:rsidRPr="00F53BDD">
        <w:t xml:space="preserve"> </w:t>
      </w:r>
      <w:r w:rsidRPr="00F53BDD">
        <w:t>addresses the seven market governance risks</w:t>
      </w:r>
      <w:r w:rsidR="007B59FB" w:rsidRPr="00F53BDD">
        <w:t>,</w:t>
      </w:r>
      <w:r w:rsidR="003028E6" w:rsidRPr="00F53BDD">
        <w:t xml:space="preserve"> </w:t>
      </w:r>
      <w:r w:rsidR="00160FEF" w:rsidRPr="00F53BDD">
        <w:t xml:space="preserve">and </w:t>
      </w:r>
      <w:r w:rsidR="003028E6" w:rsidRPr="00F53BDD">
        <w:t xml:space="preserve">meets our five </w:t>
      </w:r>
      <w:r w:rsidR="007B59FB" w:rsidRPr="00F53BDD">
        <w:t>operating</w:t>
      </w:r>
      <w:r w:rsidR="00877B7E" w:rsidRPr="00F53BDD">
        <w:t xml:space="preserve"> </w:t>
      </w:r>
      <w:r w:rsidR="003028E6" w:rsidRPr="00F53BDD">
        <w:t>criteria.</w:t>
      </w:r>
    </w:p>
    <w:p w:rsidR="003028E6" w:rsidRPr="00F53BDD" w:rsidRDefault="003028E6" w:rsidP="00517AA4">
      <w:pPr>
        <w:pStyle w:val="Bullet"/>
        <w:spacing w:after="100"/>
      </w:pPr>
      <w:r w:rsidRPr="00F53BDD">
        <w:rPr>
          <w:b/>
          <w:bCs/>
        </w:rPr>
        <w:t>Section 8</w:t>
      </w:r>
      <w:r w:rsidR="00E94308" w:rsidRPr="00F53BDD">
        <w:rPr>
          <w:b/>
          <w:bCs/>
        </w:rPr>
        <w:t>:</w:t>
      </w:r>
      <w:r w:rsidRPr="00F53BDD">
        <w:t xml:space="preserve"> </w:t>
      </w:r>
      <w:r w:rsidR="00E94308" w:rsidRPr="00F53BDD">
        <w:t>P</w:t>
      </w:r>
      <w:r w:rsidRPr="00F53BDD">
        <w:t>ossible governance scenarios</w:t>
      </w:r>
      <w:r w:rsidR="00211C56" w:rsidRPr="00F53BDD">
        <w:t>,</w:t>
      </w:r>
      <w:r w:rsidRPr="00F53BDD">
        <w:t xml:space="preserve"> if one or more of the options </w:t>
      </w:r>
      <w:r w:rsidR="00595DBD" w:rsidRPr="00F53BDD">
        <w:t>are progressed</w:t>
      </w:r>
      <w:r w:rsidRPr="00F53BDD">
        <w:t>.</w:t>
      </w:r>
    </w:p>
    <w:p w:rsidR="003028E6" w:rsidRPr="00F53BDD" w:rsidRDefault="003028E6" w:rsidP="00517AA4">
      <w:pPr>
        <w:pStyle w:val="Bullet"/>
        <w:spacing w:after="100"/>
      </w:pPr>
      <w:r w:rsidRPr="00F53BDD">
        <w:rPr>
          <w:b/>
          <w:bCs/>
        </w:rPr>
        <w:t>Section 9</w:t>
      </w:r>
      <w:r w:rsidR="00E94308" w:rsidRPr="00F53BDD">
        <w:rPr>
          <w:b/>
          <w:bCs/>
        </w:rPr>
        <w:t>:</w:t>
      </w:r>
      <w:r w:rsidR="00396406" w:rsidRPr="00F53BDD">
        <w:t xml:space="preserve"> </w:t>
      </w:r>
      <w:r w:rsidR="00211C56" w:rsidRPr="00F53BDD">
        <w:t>Consultation process: h</w:t>
      </w:r>
      <w:r w:rsidR="00396406" w:rsidRPr="00F53BDD">
        <w:t>ow</w:t>
      </w:r>
      <w:r w:rsidR="007B59FB" w:rsidRPr="00F53BDD">
        <w:t xml:space="preserve"> to </w:t>
      </w:r>
      <w:r w:rsidRPr="00F53BDD">
        <w:t>have your say.</w:t>
      </w:r>
    </w:p>
    <w:p w:rsidR="00877B7E" w:rsidRPr="00F53BDD" w:rsidRDefault="00877B7E" w:rsidP="00517AA4">
      <w:pPr>
        <w:pStyle w:val="Bullet"/>
        <w:spacing w:after="100"/>
      </w:pPr>
      <w:r w:rsidRPr="00F53BDD">
        <w:rPr>
          <w:b/>
          <w:bCs/>
        </w:rPr>
        <w:t>Section 10:</w:t>
      </w:r>
      <w:r w:rsidRPr="00F53BDD">
        <w:t xml:space="preserve"> The full list of questions </w:t>
      </w:r>
      <w:r w:rsidR="005C3EFF" w:rsidRPr="00F53BDD">
        <w:t>in this</w:t>
      </w:r>
      <w:r w:rsidRPr="00F53BDD">
        <w:t xml:space="preserve"> document.</w:t>
      </w:r>
    </w:p>
    <w:p w:rsidR="003028E6" w:rsidRPr="00F53BDD" w:rsidRDefault="003028E6" w:rsidP="003028E6">
      <w:pPr>
        <w:pStyle w:val="Bullet"/>
      </w:pPr>
      <w:r w:rsidRPr="00F53BDD">
        <w:rPr>
          <w:b/>
          <w:bCs/>
        </w:rPr>
        <w:t>Appendices</w:t>
      </w:r>
      <w:r w:rsidR="00205569" w:rsidRPr="00F53BDD">
        <w:rPr>
          <w:b/>
          <w:bCs/>
        </w:rPr>
        <w:t>:</w:t>
      </w:r>
      <w:r w:rsidRPr="00F53BDD">
        <w:rPr>
          <w:b/>
          <w:bCs/>
        </w:rPr>
        <w:t xml:space="preserve"> </w:t>
      </w:r>
      <w:r w:rsidR="00044DA2" w:rsidRPr="00F53BDD">
        <w:t>Case studies; d</w:t>
      </w:r>
      <w:r w:rsidRPr="00F53BDD">
        <w:t xml:space="preserve">etailed </w:t>
      </w:r>
      <w:r w:rsidR="00595DBD" w:rsidRPr="00F53BDD">
        <w:t xml:space="preserve">analyses </w:t>
      </w:r>
      <w:r w:rsidR="00E94308" w:rsidRPr="00F53BDD">
        <w:t xml:space="preserve">of </w:t>
      </w:r>
      <w:r w:rsidRPr="00F53BDD">
        <w:t xml:space="preserve">risk coverage, impact and </w:t>
      </w:r>
      <w:r w:rsidR="00C642BE" w:rsidRPr="00F53BDD">
        <w:t xml:space="preserve">governance </w:t>
      </w:r>
      <w:r w:rsidRPr="00F53BDD">
        <w:t>scenario</w:t>
      </w:r>
      <w:r w:rsidR="00E31596" w:rsidRPr="00F53BDD">
        <w:t>s</w:t>
      </w:r>
      <w:r w:rsidRPr="00F53BDD">
        <w:t>.</w:t>
      </w:r>
    </w:p>
    <w:p w:rsidR="001856BB" w:rsidRPr="00F53BDD" w:rsidRDefault="001856BB" w:rsidP="00470228">
      <w:pPr>
        <w:pStyle w:val="Heading2"/>
      </w:pPr>
      <w:bookmarkStart w:id="7" w:name="_Toc75250046"/>
      <w:r w:rsidRPr="00F53BDD">
        <w:t>Next steps</w:t>
      </w:r>
      <w:bookmarkEnd w:id="7"/>
    </w:p>
    <w:p w:rsidR="001856BB" w:rsidRPr="00F53BDD" w:rsidRDefault="001856BB" w:rsidP="001856BB">
      <w:pPr>
        <w:pStyle w:val="BodyText"/>
      </w:pPr>
      <w:r w:rsidRPr="00F53BDD">
        <w:t>This consultation will run</w:t>
      </w:r>
      <w:r w:rsidR="00470228">
        <w:t xml:space="preserve"> from </w:t>
      </w:r>
      <w:r w:rsidR="00A209D1">
        <w:rPr>
          <w:b/>
        </w:rPr>
        <w:t>Thursday 8 July</w:t>
      </w:r>
      <w:r w:rsidR="00D8465B" w:rsidRPr="00D8465B">
        <w:rPr>
          <w:b/>
        </w:rPr>
        <w:t xml:space="preserve"> 2021</w:t>
      </w:r>
      <w:r w:rsidR="00D8465B">
        <w:t xml:space="preserve"> </w:t>
      </w:r>
      <w:r w:rsidRPr="00F53BDD">
        <w:t xml:space="preserve">until </w:t>
      </w:r>
      <w:r w:rsidRPr="00F53BDD">
        <w:rPr>
          <w:b/>
          <w:bCs/>
        </w:rPr>
        <w:t xml:space="preserve">Friday </w:t>
      </w:r>
      <w:r w:rsidR="00CF36B7" w:rsidRPr="00F53BDD">
        <w:rPr>
          <w:b/>
          <w:bCs/>
        </w:rPr>
        <w:t>17 September 2021</w:t>
      </w:r>
      <w:r w:rsidRPr="00F53BDD">
        <w:t>. To find out how to participate and make a submission</w:t>
      </w:r>
      <w:r w:rsidR="007B59FB" w:rsidRPr="00F53BDD">
        <w:t>,</w:t>
      </w:r>
      <w:r w:rsidRPr="00F53BDD">
        <w:t xml:space="preserve"> see </w:t>
      </w:r>
      <w:hyperlink w:anchor="_Section_9:_Consultation" w:history="1">
        <w:r w:rsidR="007B59FB" w:rsidRPr="00F53BDD">
          <w:rPr>
            <w:rStyle w:val="Hyperlink"/>
          </w:rPr>
          <w:t>s</w:t>
        </w:r>
        <w:r w:rsidR="00CF36B7" w:rsidRPr="00F53BDD">
          <w:rPr>
            <w:rStyle w:val="Hyperlink"/>
          </w:rPr>
          <w:t xml:space="preserve">ection </w:t>
        </w:r>
        <w:r w:rsidR="00E31596" w:rsidRPr="00F53BDD">
          <w:rPr>
            <w:rStyle w:val="Hyperlink"/>
          </w:rPr>
          <w:t>9</w:t>
        </w:r>
      </w:hyperlink>
      <w:r w:rsidRPr="00F53BDD">
        <w:t>.</w:t>
      </w:r>
    </w:p>
    <w:p w:rsidR="001856BB" w:rsidRPr="00F53BDD" w:rsidRDefault="001856BB" w:rsidP="001856BB">
      <w:pPr>
        <w:pStyle w:val="BodyText"/>
      </w:pPr>
      <w:r w:rsidRPr="00F53BDD">
        <w:t xml:space="preserve">We will include your </w:t>
      </w:r>
      <w:r w:rsidR="007B59FB" w:rsidRPr="00F53BDD">
        <w:t xml:space="preserve">feedback </w:t>
      </w:r>
      <w:r w:rsidRPr="00F53BDD">
        <w:t xml:space="preserve">in a summary of submissions that will be published in </w:t>
      </w:r>
      <w:r w:rsidR="00A93974" w:rsidRPr="00F53BDD">
        <w:t>late</w:t>
      </w:r>
      <w:r w:rsidR="007B59FB" w:rsidRPr="00F53BDD">
        <w:t xml:space="preserve"> </w:t>
      </w:r>
      <w:r w:rsidR="00A93974" w:rsidRPr="00F53BDD">
        <w:t>2021</w:t>
      </w:r>
      <w:r w:rsidRPr="00F53BDD">
        <w:t xml:space="preserve">. The results from this consultation, alongside further policy analysis, will inform advice to Ministers </w:t>
      </w:r>
      <w:r w:rsidR="00211C56" w:rsidRPr="00F53BDD">
        <w:t xml:space="preserve">on </w:t>
      </w:r>
      <w:r w:rsidR="00A93974" w:rsidRPr="00F53BDD">
        <w:t xml:space="preserve">designing a governance framework for the </w:t>
      </w:r>
      <w:r w:rsidR="000F040C" w:rsidRPr="00F53BDD">
        <w:t>ETS</w:t>
      </w:r>
      <w:r w:rsidR="00A93974" w:rsidRPr="00F53BDD">
        <w:t>.</w:t>
      </w:r>
    </w:p>
    <w:p w:rsidR="004D2FA9" w:rsidRPr="004D2FA9" w:rsidRDefault="004D2FA9" w:rsidP="004D2FA9">
      <w:pPr>
        <w:pStyle w:val="BodyText"/>
      </w:pPr>
      <w:bookmarkStart w:id="8" w:name="_Toc75250047"/>
      <w:r w:rsidRPr="004D2FA9">
        <w:br w:type="page"/>
      </w:r>
    </w:p>
    <w:p w:rsidR="001856BB" w:rsidRPr="00F53BDD" w:rsidRDefault="007B59FB" w:rsidP="00470228">
      <w:pPr>
        <w:pStyle w:val="Heading2"/>
      </w:pPr>
      <w:r w:rsidRPr="00F53BDD">
        <w:t>M</w:t>
      </w:r>
      <w:r w:rsidR="001856BB" w:rsidRPr="00F53BDD">
        <w:t>ore information</w:t>
      </w:r>
      <w:bookmarkEnd w:id="8"/>
    </w:p>
    <w:p w:rsidR="001856BB" w:rsidRDefault="001856BB" w:rsidP="004D2FA9">
      <w:pPr>
        <w:pStyle w:val="Bullet"/>
        <w:spacing w:before="120" w:after="100"/>
      </w:pPr>
      <w:r w:rsidRPr="00F53BDD">
        <w:t xml:space="preserve">Visit the website at </w:t>
      </w:r>
      <w:hyperlink r:id="rId22" w:history="1">
        <w:r w:rsidR="00F83CD4" w:rsidRPr="00BF6240">
          <w:rPr>
            <w:rStyle w:val="Hyperlink"/>
          </w:rPr>
          <w:t>https://consult.environment.govt.nz/climate/designing-a-governance-framework-for-the-nz-ets</w:t>
        </w:r>
      </w:hyperlink>
    </w:p>
    <w:p w:rsidR="001856BB" w:rsidRPr="00F53BDD" w:rsidRDefault="00211C56" w:rsidP="00E77484">
      <w:pPr>
        <w:pStyle w:val="Bullet"/>
        <w:spacing w:after="100"/>
      </w:pPr>
      <w:r w:rsidRPr="00F53BDD">
        <w:t>Contact</w:t>
      </w:r>
      <w:r w:rsidR="001856BB" w:rsidRPr="00F53BDD">
        <w:t xml:space="preserve"> the ETS team</w:t>
      </w:r>
      <w:r w:rsidRPr="00F53BDD">
        <w:t>:</w:t>
      </w:r>
      <w:r w:rsidR="001856BB" w:rsidRPr="00F53BDD">
        <w:t xml:space="preserve"> </w:t>
      </w:r>
      <w:hyperlink r:id="rId23" w:history="1">
        <w:r w:rsidR="00C642BE" w:rsidRPr="00F53BDD">
          <w:rPr>
            <w:rStyle w:val="Hyperlink"/>
          </w:rPr>
          <w:t>etsconsultation@mfe.govt.nz</w:t>
        </w:r>
      </w:hyperlink>
    </w:p>
    <w:p w:rsidR="001856BB" w:rsidRPr="00F53BDD" w:rsidRDefault="001856BB" w:rsidP="006B23C1">
      <w:pPr>
        <w:pStyle w:val="Bullet"/>
        <w:rPr>
          <w:rFonts w:eastAsiaTheme="majorEastAsia"/>
        </w:rPr>
      </w:pPr>
      <w:r w:rsidRPr="00F53BDD">
        <w:t xml:space="preserve">Attend one of the </w:t>
      </w:r>
      <w:r w:rsidR="007B59FB" w:rsidRPr="00F53BDD">
        <w:t xml:space="preserve">online </w:t>
      </w:r>
      <w:r w:rsidRPr="00F53BDD">
        <w:t>events and hui.</w:t>
      </w:r>
      <w:r w:rsidR="00A209D1">
        <w:t xml:space="preserve"> Details will be added to website linked above.</w:t>
      </w:r>
      <w:r w:rsidRPr="00F53BDD">
        <w:rPr>
          <w:rFonts w:eastAsiaTheme="majorEastAsia"/>
        </w:rPr>
        <w:br w:type="page"/>
      </w:r>
    </w:p>
    <w:p w:rsidR="00A93974" w:rsidRPr="00F53BDD" w:rsidRDefault="00A93974" w:rsidP="00A93974">
      <w:pPr>
        <w:pStyle w:val="Heading1"/>
      </w:pPr>
      <w:bookmarkStart w:id="9" w:name="_Toc75250048"/>
      <w:r w:rsidRPr="00F53BDD">
        <w:t>Glossary</w:t>
      </w:r>
      <w:bookmarkEnd w:id="9"/>
    </w:p>
    <w:tbl>
      <w:tblPr>
        <w:tblStyle w:val="TableGrid"/>
        <w:tblW w:w="8562" w:type="dxa"/>
        <w:tblBorders>
          <w:top w:val="none" w:sz="0" w:space="0" w:color="auto"/>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CellMar>
          <w:left w:w="85" w:type="dxa"/>
          <w:right w:w="0" w:type="dxa"/>
        </w:tblCellMar>
        <w:tblLook w:val="04A0" w:firstRow="1" w:lastRow="0" w:firstColumn="1" w:lastColumn="0" w:noHBand="0" w:noVBand="1"/>
      </w:tblPr>
      <w:tblGrid>
        <w:gridCol w:w="2976"/>
        <w:gridCol w:w="5586"/>
      </w:tblGrid>
      <w:tr w:rsidR="00C36004" w:rsidRPr="00F53BDD" w:rsidTr="00911E8A">
        <w:tc>
          <w:tcPr>
            <w:tcW w:w="1738" w:type="pct"/>
            <w:shd w:val="clear" w:color="auto" w:fill="1C556C" w:themeFill="accent1"/>
          </w:tcPr>
          <w:p w:rsidR="00C36004" w:rsidRPr="00F53BDD" w:rsidRDefault="00C36004" w:rsidP="00526B0D">
            <w:pPr>
              <w:pStyle w:val="TableText"/>
              <w:rPr>
                <w:b/>
                <w:bCs/>
                <w:color w:val="FFFFFF" w:themeColor="background1"/>
                <w:szCs w:val="18"/>
              </w:rPr>
            </w:pPr>
            <w:r w:rsidRPr="00F53BDD">
              <w:rPr>
                <w:b/>
                <w:bCs/>
                <w:color w:val="FFFFFF" w:themeColor="background1"/>
                <w:szCs w:val="18"/>
              </w:rPr>
              <w:t>Term</w:t>
            </w:r>
          </w:p>
        </w:tc>
        <w:tc>
          <w:tcPr>
            <w:tcW w:w="3262" w:type="pct"/>
            <w:shd w:val="clear" w:color="auto" w:fill="1C556C" w:themeFill="accent1"/>
          </w:tcPr>
          <w:p w:rsidR="00C36004" w:rsidRPr="00F53BDD" w:rsidRDefault="00C36004" w:rsidP="00526B0D">
            <w:pPr>
              <w:pStyle w:val="TableText"/>
              <w:rPr>
                <w:b/>
                <w:bCs/>
                <w:color w:val="FFFFFF" w:themeColor="background1"/>
                <w:szCs w:val="18"/>
              </w:rPr>
            </w:pPr>
            <w:r w:rsidRPr="00F53BDD">
              <w:rPr>
                <w:b/>
                <w:bCs/>
                <w:color w:val="FFFFFF" w:themeColor="background1"/>
                <w:szCs w:val="18"/>
              </w:rPr>
              <w:t>Meaning</w:t>
            </w:r>
          </w:p>
        </w:tc>
      </w:tr>
      <w:tr w:rsidR="00C36004" w:rsidRPr="00F53BDD" w:rsidTr="00911E8A">
        <w:tc>
          <w:tcPr>
            <w:tcW w:w="1738" w:type="pct"/>
          </w:tcPr>
          <w:p w:rsidR="00C36004" w:rsidRPr="00F53BDD" w:rsidRDefault="00C36004" w:rsidP="00EC6896">
            <w:pPr>
              <w:pStyle w:val="TableText"/>
            </w:pPr>
            <w:r w:rsidRPr="00F53BDD">
              <w:t xml:space="preserve">Climate Change Response Act </w:t>
            </w:r>
            <w:r w:rsidR="00470228">
              <w:t xml:space="preserve">2002 </w:t>
            </w:r>
            <w:r w:rsidRPr="00F53BDD">
              <w:t>(CCRA)</w:t>
            </w:r>
          </w:p>
        </w:tc>
        <w:tc>
          <w:tcPr>
            <w:tcW w:w="3262" w:type="pct"/>
          </w:tcPr>
          <w:p w:rsidR="00C36004" w:rsidRPr="00F53BDD" w:rsidRDefault="00C36004" w:rsidP="00EC6896">
            <w:pPr>
              <w:pStyle w:val="TableText"/>
            </w:pPr>
            <w:r w:rsidRPr="00F53BDD">
              <w:t xml:space="preserve">This Act puts in place a legal framework </w:t>
            </w:r>
            <w:r w:rsidR="007B59FB" w:rsidRPr="00F53BDD">
              <w:t>for</w:t>
            </w:r>
            <w:r w:rsidRPr="00F53BDD">
              <w:t xml:space="preserve"> New Zealand to meet its international obligations under the </w:t>
            </w:r>
            <w:r w:rsidR="007B59FB" w:rsidRPr="00F53BDD">
              <w:t>UN</w:t>
            </w:r>
            <w:r w:rsidRPr="00F53BDD">
              <w:t xml:space="preserve"> Framework Convention on Climate Change, the Kyoto Protocol</w:t>
            </w:r>
            <w:r w:rsidR="00470228">
              <w:t>,</w:t>
            </w:r>
            <w:r w:rsidRPr="00F53BDD">
              <w:t xml:space="preserve"> and the Paris Agreement.</w:t>
            </w:r>
          </w:p>
        </w:tc>
      </w:tr>
      <w:tr w:rsidR="00C36004" w:rsidRPr="00F53BDD" w:rsidTr="00911E8A">
        <w:tc>
          <w:tcPr>
            <w:tcW w:w="1738" w:type="pct"/>
          </w:tcPr>
          <w:p w:rsidR="00C36004" w:rsidRPr="00F53BDD" w:rsidRDefault="00C36004" w:rsidP="00EC6896">
            <w:pPr>
              <w:pStyle w:val="TableText"/>
            </w:pPr>
            <w:r w:rsidRPr="00F53BDD">
              <w:t>Derivative</w:t>
            </w:r>
          </w:p>
        </w:tc>
        <w:tc>
          <w:tcPr>
            <w:tcW w:w="3262" w:type="pct"/>
          </w:tcPr>
          <w:p w:rsidR="00C36004" w:rsidRPr="00F53BDD" w:rsidRDefault="00C36004" w:rsidP="00EC6896">
            <w:pPr>
              <w:pStyle w:val="TableText"/>
            </w:pPr>
            <w:r w:rsidRPr="00F53BDD">
              <w:t>A type of contract that</w:t>
            </w:r>
            <w:r w:rsidRPr="00F53BDD" w:rsidDel="00D355C2">
              <w:t xml:space="preserve"> </w:t>
            </w:r>
            <w:r w:rsidRPr="00F53BDD">
              <w:t xml:space="preserve">derives its value from the </w:t>
            </w:r>
            <w:r w:rsidR="000F040C" w:rsidRPr="00F53BDD">
              <w:t>performance of underlying assets</w:t>
            </w:r>
            <w:r w:rsidRPr="00F53BDD">
              <w:t>.</w:t>
            </w:r>
          </w:p>
        </w:tc>
      </w:tr>
      <w:tr w:rsidR="00C36004" w:rsidRPr="00F53BDD" w:rsidTr="00911E8A">
        <w:tc>
          <w:tcPr>
            <w:tcW w:w="1738" w:type="pct"/>
          </w:tcPr>
          <w:p w:rsidR="00C36004" w:rsidRPr="00F53BDD" w:rsidRDefault="00C36004" w:rsidP="00EC6896">
            <w:pPr>
              <w:pStyle w:val="TableText"/>
            </w:pPr>
            <w:r w:rsidRPr="00F53BDD">
              <w:t>Insider trading</w:t>
            </w:r>
          </w:p>
        </w:tc>
        <w:tc>
          <w:tcPr>
            <w:tcW w:w="3262" w:type="pct"/>
          </w:tcPr>
          <w:p w:rsidR="00C36004" w:rsidRPr="00F53BDD" w:rsidRDefault="00C36004" w:rsidP="00EC6896">
            <w:pPr>
              <w:pStyle w:val="TableText"/>
            </w:pPr>
            <w:r w:rsidRPr="00F53BDD">
              <w:t xml:space="preserve">The </w:t>
            </w:r>
            <w:r w:rsidR="000F040C" w:rsidRPr="00F53BDD">
              <w:t xml:space="preserve">practice of </w:t>
            </w:r>
            <w:r w:rsidR="00333DF9" w:rsidRPr="00F53BDD">
              <w:t xml:space="preserve">buying </w:t>
            </w:r>
            <w:r w:rsidR="000F040C" w:rsidRPr="00F53BDD">
              <w:t>or selling financial products while in possession of</w:t>
            </w:r>
            <w:r w:rsidR="00911E8A" w:rsidRPr="00F53BDD">
              <w:t> </w:t>
            </w:r>
            <w:r w:rsidR="000F040C" w:rsidRPr="00F53BDD">
              <w:t>material information that is not generally available to the market</w:t>
            </w:r>
            <w:r w:rsidR="009A200D" w:rsidRPr="00F53BDD">
              <w:t>;</w:t>
            </w:r>
            <w:r w:rsidR="000F040C" w:rsidRPr="00F53BDD">
              <w:t xml:space="preserve"> passing on and sharing material information that is not generally available to the market.</w:t>
            </w:r>
          </w:p>
        </w:tc>
      </w:tr>
      <w:tr w:rsidR="00531E03" w:rsidRPr="00F53BDD" w:rsidTr="00911E8A">
        <w:tc>
          <w:tcPr>
            <w:tcW w:w="1738" w:type="pct"/>
          </w:tcPr>
          <w:p w:rsidR="00531E03" w:rsidRPr="00F53BDD" w:rsidRDefault="00531E03" w:rsidP="00EC6896">
            <w:pPr>
              <w:pStyle w:val="TableText"/>
            </w:pPr>
            <w:r w:rsidRPr="00F53BDD">
              <w:t>Market governance</w:t>
            </w:r>
          </w:p>
        </w:tc>
        <w:tc>
          <w:tcPr>
            <w:tcW w:w="3262" w:type="pct"/>
          </w:tcPr>
          <w:p w:rsidR="00531E03" w:rsidRPr="00F53BDD" w:rsidDel="007B59FB" w:rsidRDefault="00531E03" w:rsidP="00EC6896">
            <w:pPr>
              <w:pStyle w:val="TableText"/>
            </w:pPr>
            <w:r w:rsidRPr="00F53BDD">
              <w:t>The processes, policies and rules for managing risks of misconduct in the</w:t>
            </w:r>
            <w:r w:rsidR="00911E8A" w:rsidRPr="00F53BDD">
              <w:t> </w:t>
            </w:r>
            <w:r w:rsidR="003A4C59" w:rsidRPr="00F53BDD">
              <w:t xml:space="preserve">NZ </w:t>
            </w:r>
            <w:r w:rsidRPr="00F53BDD">
              <w:t xml:space="preserve">ETS and protecting users from financial harm. </w:t>
            </w:r>
          </w:p>
        </w:tc>
      </w:tr>
      <w:tr w:rsidR="00C36004" w:rsidRPr="00F53BDD" w:rsidTr="00911E8A">
        <w:tc>
          <w:tcPr>
            <w:tcW w:w="1738" w:type="pct"/>
          </w:tcPr>
          <w:p w:rsidR="00C36004" w:rsidRPr="00F53BDD" w:rsidRDefault="00C36004" w:rsidP="00EC6896">
            <w:pPr>
              <w:pStyle w:val="TableText"/>
            </w:pPr>
            <w:r w:rsidRPr="00F53BDD">
              <w:t xml:space="preserve">Market </w:t>
            </w:r>
            <w:r w:rsidR="007B59FB" w:rsidRPr="00F53BDD">
              <w:t>m</w:t>
            </w:r>
            <w:r w:rsidRPr="00F53BDD">
              <w:t>anipulation</w:t>
            </w:r>
          </w:p>
        </w:tc>
        <w:tc>
          <w:tcPr>
            <w:tcW w:w="3262" w:type="pct"/>
          </w:tcPr>
          <w:p w:rsidR="00C36004" w:rsidRPr="00F53BDD" w:rsidRDefault="007B59FB" w:rsidP="00EC6896">
            <w:pPr>
              <w:pStyle w:val="TableText"/>
            </w:pPr>
            <w:r w:rsidRPr="00F53BDD">
              <w:t>I</w:t>
            </w:r>
            <w:r w:rsidR="00C36004" w:rsidRPr="00F53BDD">
              <w:t>ncludes spreading false market information</w:t>
            </w:r>
            <w:r w:rsidR="009A200D" w:rsidRPr="00F53BDD">
              <w:t>;</w:t>
            </w:r>
            <w:r w:rsidR="00C36004" w:rsidRPr="00F53BDD">
              <w:t xml:space="preserve"> cornering or squeezing the market</w:t>
            </w:r>
            <w:r w:rsidR="009A200D" w:rsidRPr="00F53BDD">
              <w:t>;</w:t>
            </w:r>
            <w:r w:rsidR="00C36004" w:rsidRPr="00F53BDD">
              <w:t xml:space="preserve"> giving false impressions of market conditions</w:t>
            </w:r>
            <w:r w:rsidRPr="00F53BDD">
              <w:t xml:space="preserve"> –</w:t>
            </w:r>
            <w:r w:rsidR="00C36004" w:rsidRPr="00F53BDD">
              <w:t xml:space="preserve"> typically with the aim </w:t>
            </w:r>
            <w:r w:rsidRPr="00F53BDD">
              <w:t xml:space="preserve">of </w:t>
            </w:r>
            <w:r w:rsidR="00C36004" w:rsidRPr="00F53BDD">
              <w:t>influenc</w:t>
            </w:r>
            <w:r w:rsidRPr="00F53BDD">
              <w:t>ing</w:t>
            </w:r>
            <w:r w:rsidR="00C36004" w:rsidRPr="00F53BDD">
              <w:t xml:space="preserve"> the market price for profit.</w:t>
            </w:r>
          </w:p>
        </w:tc>
      </w:tr>
      <w:tr w:rsidR="00C36004" w:rsidRPr="00F53BDD" w:rsidTr="00911E8A">
        <w:tc>
          <w:tcPr>
            <w:tcW w:w="1738" w:type="pct"/>
          </w:tcPr>
          <w:p w:rsidR="00C36004" w:rsidRPr="00F53BDD" w:rsidRDefault="00C36004" w:rsidP="00EC6896">
            <w:pPr>
              <w:pStyle w:val="TableText"/>
            </w:pPr>
            <w:r w:rsidRPr="00F53BDD">
              <w:t xml:space="preserve">Nationally </w:t>
            </w:r>
            <w:r w:rsidR="007B59FB" w:rsidRPr="00F53BDD">
              <w:t>d</w:t>
            </w:r>
            <w:r w:rsidRPr="00F53BDD">
              <w:t xml:space="preserve">etermined </w:t>
            </w:r>
            <w:r w:rsidR="007B59FB" w:rsidRPr="00F53BDD">
              <w:t>c</w:t>
            </w:r>
            <w:r w:rsidRPr="00F53BDD">
              <w:t>ontribution (NDC)</w:t>
            </w:r>
          </w:p>
        </w:tc>
        <w:tc>
          <w:tcPr>
            <w:tcW w:w="3262" w:type="pct"/>
          </w:tcPr>
          <w:p w:rsidR="00C36004" w:rsidRPr="00F53BDD" w:rsidRDefault="00C36004" w:rsidP="00EC6896">
            <w:pPr>
              <w:pStyle w:val="TableText"/>
            </w:pPr>
            <w:r w:rsidRPr="00F53BDD">
              <w:t>NDCs represent efforts by each country to reduce national emissions and adapt to the impacts of climate change</w:t>
            </w:r>
            <w:r w:rsidR="007B59FB" w:rsidRPr="00F53BDD">
              <w:t>,</w:t>
            </w:r>
            <w:r w:rsidRPr="00F53BDD">
              <w:t xml:space="preserve"> as part of their obligations under the Paris Agreement.</w:t>
            </w:r>
          </w:p>
        </w:tc>
      </w:tr>
      <w:tr w:rsidR="00C36004" w:rsidRPr="00F53BDD" w:rsidTr="00911E8A">
        <w:tc>
          <w:tcPr>
            <w:tcW w:w="1738" w:type="pct"/>
          </w:tcPr>
          <w:p w:rsidR="00C36004" w:rsidRPr="00F53BDD" w:rsidRDefault="00C36004" w:rsidP="00EC6896">
            <w:pPr>
              <w:pStyle w:val="TableText"/>
            </w:pPr>
            <w:r w:rsidRPr="00F53BDD">
              <w:t>New Zealand Emissions Trading Register (</w:t>
            </w:r>
            <w:r w:rsidR="007B59FB" w:rsidRPr="00F53BDD">
              <w:t>t</w:t>
            </w:r>
            <w:r w:rsidRPr="00F53BDD">
              <w:t>he Register</w:t>
            </w:r>
            <w:r w:rsidR="00200AE3" w:rsidRPr="00F53BDD">
              <w:t>, NZ ETR</w:t>
            </w:r>
            <w:r w:rsidRPr="00F53BDD">
              <w:t>)</w:t>
            </w:r>
          </w:p>
        </w:tc>
        <w:tc>
          <w:tcPr>
            <w:tcW w:w="3262" w:type="pct"/>
          </w:tcPr>
          <w:p w:rsidR="00C36004" w:rsidRPr="00F53BDD" w:rsidRDefault="00C36004" w:rsidP="00EC6896">
            <w:pPr>
              <w:pStyle w:val="TableText"/>
            </w:pPr>
            <w:r w:rsidRPr="00F53BDD">
              <w:t>New Zealand’s national registry for emission units, including those owned by the Crown. Anyone wanting to own or trade NZUs in New</w:t>
            </w:r>
            <w:r w:rsidR="00911E8A" w:rsidRPr="00F53BDD">
              <w:t> </w:t>
            </w:r>
            <w:r w:rsidRPr="00F53BDD">
              <w:t>Zealand must have an account in the Register.</w:t>
            </w:r>
          </w:p>
        </w:tc>
      </w:tr>
      <w:tr w:rsidR="00C36004" w:rsidRPr="00F53BDD" w:rsidTr="00911E8A">
        <w:tc>
          <w:tcPr>
            <w:tcW w:w="1738" w:type="pct"/>
          </w:tcPr>
          <w:p w:rsidR="00C36004" w:rsidRPr="00F53BDD" w:rsidRDefault="00C36004" w:rsidP="00EC6896">
            <w:pPr>
              <w:pStyle w:val="TableText"/>
            </w:pPr>
            <w:r w:rsidRPr="00F53BDD">
              <w:t>New Zealand Emissions Trading Scheme (NZ ETS)</w:t>
            </w:r>
          </w:p>
        </w:tc>
        <w:tc>
          <w:tcPr>
            <w:tcW w:w="3262" w:type="pct"/>
          </w:tcPr>
          <w:p w:rsidR="00C36004" w:rsidRPr="00F53BDD" w:rsidRDefault="00C36004" w:rsidP="00EC6896">
            <w:pPr>
              <w:pStyle w:val="TableText"/>
            </w:pPr>
            <w:r w:rsidRPr="00F53BDD">
              <w:t xml:space="preserve">A market-based approach </w:t>
            </w:r>
            <w:r w:rsidR="007B59FB" w:rsidRPr="00F53BDD">
              <w:t xml:space="preserve">to </w:t>
            </w:r>
            <w:r w:rsidRPr="00F53BDD">
              <w:t>reducing emissions of greenhouse gases. The NZ ETS puts a price on emissions, charging certain sectors of the economy for the greenhouse gases they emit.</w:t>
            </w:r>
          </w:p>
        </w:tc>
      </w:tr>
      <w:tr w:rsidR="00C36004" w:rsidRPr="00F53BDD" w:rsidTr="00911E8A">
        <w:tc>
          <w:tcPr>
            <w:tcW w:w="1738" w:type="pct"/>
          </w:tcPr>
          <w:p w:rsidR="00C36004" w:rsidRPr="00F53BDD" w:rsidRDefault="00C36004" w:rsidP="00EC6896">
            <w:pPr>
              <w:pStyle w:val="TableText"/>
            </w:pPr>
            <w:r w:rsidRPr="00F53BDD">
              <w:t xml:space="preserve">New Zealand </w:t>
            </w:r>
            <w:r w:rsidRPr="00F53BDD" w:rsidDel="00396406">
              <w:t>U</w:t>
            </w:r>
            <w:r w:rsidRPr="00F53BDD">
              <w:t>nits (NZUs)</w:t>
            </w:r>
          </w:p>
        </w:tc>
        <w:tc>
          <w:tcPr>
            <w:tcW w:w="3262" w:type="pct"/>
          </w:tcPr>
          <w:p w:rsidR="00C36004" w:rsidRPr="00F53BDD" w:rsidRDefault="00C36004" w:rsidP="00EC6896">
            <w:pPr>
              <w:pStyle w:val="TableText"/>
            </w:pPr>
            <w:r w:rsidRPr="00F53BDD">
              <w:t xml:space="preserve">One ‘emissions unit’ </w:t>
            </w:r>
            <w:r w:rsidR="007B59FB" w:rsidRPr="00F53BDD">
              <w:t xml:space="preserve">is </w:t>
            </w:r>
            <w:r w:rsidRPr="00F53BDD">
              <w:t>equal to one tonne of carbon dioxide equivalent. NZUs can be traded among people and businesses participating in the NZ</w:t>
            </w:r>
            <w:r w:rsidR="006B23C1" w:rsidRPr="00F53BDD">
              <w:t> </w:t>
            </w:r>
            <w:r w:rsidRPr="00F53BDD">
              <w:t>ETS.</w:t>
            </w:r>
          </w:p>
        </w:tc>
      </w:tr>
      <w:tr w:rsidR="00C36004" w:rsidRPr="00F53BDD" w:rsidTr="00911E8A">
        <w:tc>
          <w:tcPr>
            <w:tcW w:w="1738" w:type="pct"/>
          </w:tcPr>
          <w:p w:rsidR="00C36004" w:rsidRPr="00F53BDD" w:rsidRDefault="00C36004" w:rsidP="00EC6896">
            <w:pPr>
              <w:pStyle w:val="TableText"/>
            </w:pPr>
            <w:r w:rsidRPr="00F53BDD">
              <w:t xml:space="preserve">NZ ETS </w:t>
            </w:r>
            <w:r w:rsidR="007B59FB" w:rsidRPr="00F53BDD">
              <w:t>p</w:t>
            </w:r>
            <w:r w:rsidRPr="00F53BDD">
              <w:t>articipant</w:t>
            </w:r>
          </w:p>
        </w:tc>
        <w:tc>
          <w:tcPr>
            <w:tcW w:w="3262" w:type="pct"/>
          </w:tcPr>
          <w:p w:rsidR="00C36004" w:rsidRPr="00F53BDD" w:rsidRDefault="00C36004" w:rsidP="00EC6896">
            <w:pPr>
              <w:pStyle w:val="TableText"/>
            </w:pPr>
            <w:r w:rsidRPr="00F53BDD">
              <w:t xml:space="preserve">A registered person or entity that carries out an activity listed in the CCRA. </w:t>
            </w:r>
          </w:p>
        </w:tc>
      </w:tr>
      <w:tr w:rsidR="00C36004" w:rsidRPr="00F53BDD" w:rsidTr="00911E8A">
        <w:tc>
          <w:tcPr>
            <w:tcW w:w="1738" w:type="pct"/>
          </w:tcPr>
          <w:p w:rsidR="00C36004" w:rsidRPr="00F53BDD" w:rsidRDefault="00C36004" w:rsidP="00EC6896">
            <w:pPr>
              <w:pStyle w:val="TableText"/>
            </w:pPr>
            <w:r w:rsidRPr="00F53BDD">
              <w:t xml:space="preserve">NZ ETS </w:t>
            </w:r>
            <w:r w:rsidR="00D53694" w:rsidRPr="00F53BDD">
              <w:t>u</w:t>
            </w:r>
            <w:r w:rsidRPr="00F53BDD">
              <w:t>ser</w:t>
            </w:r>
          </w:p>
        </w:tc>
        <w:tc>
          <w:tcPr>
            <w:tcW w:w="3262" w:type="pct"/>
          </w:tcPr>
          <w:p w:rsidR="00C36004" w:rsidRPr="00F53BDD" w:rsidRDefault="007B59FB" w:rsidP="00EC6896">
            <w:pPr>
              <w:pStyle w:val="TableText"/>
            </w:pPr>
            <w:r w:rsidRPr="00F53BDD">
              <w:t>A</w:t>
            </w:r>
            <w:r w:rsidR="00C36004" w:rsidRPr="00F53BDD">
              <w:t>ny registered person or entity in the NZ ETS.</w:t>
            </w:r>
          </w:p>
        </w:tc>
      </w:tr>
      <w:tr w:rsidR="00C36004" w:rsidRPr="00F53BDD" w:rsidTr="00911E8A">
        <w:tc>
          <w:tcPr>
            <w:tcW w:w="1738" w:type="pct"/>
          </w:tcPr>
          <w:p w:rsidR="00C36004" w:rsidRPr="00F53BDD" w:rsidRDefault="00C36004" w:rsidP="00EC6896">
            <w:pPr>
              <w:pStyle w:val="TableText"/>
            </w:pPr>
            <w:r w:rsidRPr="00F53BDD">
              <w:t xml:space="preserve">NZU </w:t>
            </w:r>
            <w:r w:rsidR="00D53694" w:rsidRPr="00F53BDD">
              <w:t>a</w:t>
            </w:r>
            <w:r w:rsidRPr="00F53BDD">
              <w:t>dviser</w:t>
            </w:r>
          </w:p>
        </w:tc>
        <w:tc>
          <w:tcPr>
            <w:tcW w:w="3262" w:type="pct"/>
          </w:tcPr>
          <w:p w:rsidR="00C36004" w:rsidRPr="00F53BDD" w:rsidRDefault="00C36004" w:rsidP="00EC6896">
            <w:pPr>
              <w:pStyle w:val="TableText"/>
            </w:pPr>
            <w:r w:rsidRPr="00F53BDD">
              <w:t xml:space="preserve">A person or entity that </w:t>
            </w:r>
            <w:r w:rsidR="007B59FB" w:rsidRPr="00F53BDD">
              <w:t xml:space="preserve">gives </w:t>
            </w:r>
            <w:r w:rsidRPr="00F53BDD">
              <w:t xml:space="preserve">financial advice or guidance </w:t>
            </w:r>
            <w:r w:rsidR="009A200D" w:rsidRPr="00F53BDD">
              <w:t xml:space="preserve">on NZUs </w:t>
            </w:r>
            <w:r w:rsidRPr="00F53BDD">
              <w:t>in their ordinary course of business.</w:t>
            </w:r>
          </w:p>
        </w:tc>
      </w:tr>
      <w:tr w:rsidR="00C36004" w:rsidRPr="00F53BDD" w:rsidTr="00911E8A">
        <w:tc>
          <w:tcPr>
            <w:tcW w:w="1738" w:type="pct"/>
          </w:tcPr>
          <w:p w:rsidR="00C36004" w:rsidRPr="00F53BDD" w:rsidRDefault="00C36004" w:rsidP="00EC6896">
            <w:pPr>
              <w:pStyle w:val="TableText"/>
            </w:pPr>
            <w:r w:rsidRPr="00F53BDD">
              <w:t xml:space="preserve">NZU </w:t>
            </w:r>
            <w:r w:rsidR="00D53694" w:rsidRPr="00F53BDD">
              <w:t>t</w:t>
            </w:r>
            <w:r w:rsidRPr="00F53BDD">
              <w:t>rader</w:t>
            </w:r>
          </w:p>
        </w:tc>
        <w:tc>
          <w:tcPr>
            <w:tcW w:w="3262" w:type="pct"/>
          </w:tcPr>
          <w:p w:rsidR="00C36004" w:rsidRPr="00F53BDD" w:rsidRDefault="00C36004" w:rsidP="00EC6896">
            <w:pPr>
              <w:pStyle w:val="TableText"/>
            </w:pPr>
            <w:r w:rsidRPr="00F53BDD">
              <w:t xml:space="preserve">A registered person or entity that </w:t>
            </w:r>
            <w:r w:rsidR="00652FA2" w:rsidRPr="00F53BDD">
              <w:t>buys and sells</w:t>
            </w:r>
            <w:r w:rsidRPr="00F53BDD">
              <w:t xml:space="preserve"> NZUs in the NZ ETS. </w:t>
            </w:r>
          </w:p>
        </w:tc>
      </w:tr>
      <w:tr w:rsidR="00C36004" w:rsidRPr="00F53BDD" w:rsidTr="00911E8A">
        <w:tc>
          <w:tcPr>
            <w:tcW w:w="1738" w:type="pct"/>
          </w:tcPr>
          <w:p w:rsidR="00C36004" w:rsidRPr="00F53BDD" w:rsidRDefault="00C36004" w:rsidP="00EC6896">
            <w:pPr>
              <w:pStyle w:val="TableText"/>
            </w:pPr>
            <w:r w:rsidRPr="00F53BDD">
              <w:t>Over the counter (OTC)</w:t>
            </w:r>
          </w:p>
        </w:tc>
        <w:tc>
          <w:tcPr>
            <w:tcW w:w="3262" w:type="pct"/>
          </w:tcPr>
          <w:p w:rsidR="00C36004" w:rsidRPr="00F53BDD" w:rsidRDefault="00C36004" w:rsidP="00EC6896">
            <w:pPr>
              <w:pStyle w:val="TableText"/>
            </w:pPr>
            <w:r w:rsidRPr="00F53BDD">
              <w:t>Direct, bilateral trades between two NZ ETS users, without supervision or using an exchange.</w:t>
            </w:r>
          </w:p>
        </w:tc>
      </w:tr>
      <w:tr w:rsidR="009A200D" w:rsidRPr="00F53BDD" w:rsidTr="00911E8A">
        <w:tc>
          <w:tcPr>
            <w:tcW w:w="1738" w:type="pct"/>
          </w:tcPr>
          <w:p w:rsidR="009A200D" w:rsidRPr="00F53BDD" w:rsidRDefault="009A200D" w:rsidP="00EC6896">
            <w:pPr>
              <w:pStyle w:val="TableText"/>
            </w:pPr>
            <w:r w:rsidRPr="00F53BDD">
              <w:t>Paris Agreement</w:t>
            </w:r>
          </w:p>
        </w:tc>
        <w:tc>
          <w:tcPr>
            <w:tcW w:w="3262" w:type="pct"/>
          </w:tcPr>
          <w:p w:rsidR="009A200D" w:rsidRPr="00F53BDD" w:rsidDel="00652FA2" w:rsidRDefault="009A200D" w:rsidP="00EC6896">
            <w:pPr>
              <w:pStyle w:val="TableText"/>
            </w:pPr>
            <w:r w:rsidRPr="00F53BDD">
              <w:t>The Paris Agreement is a legally binding international treaty on climate change, to which New Zealand is a party. It came into force on 4</w:t>
            </w:r>
            <w:r w:rsidR="007363EF" w:rsidRPr="00F53BDD">
              <w:t> </w:t>
            </w:r>
            <w:r w:rsidRPr="00F53BDD">
              <w:t>November 2016. Its goal is to limit global warming to well below 2, preferably to 1.5</w:t>
            </w:r>
            <w:r w:rsidR="006B23C1" w:rsidRPr="00F53BDD">
              <w:t> </w:t>
            </w:r>
            <w:r w:rsidRPr="00F53BDD">
              <w:t>degrees Celsius, compared to pre-industrial levels.</w:t>
            </w:r>
          </w:p>
        </w:tc>
      </w:tr>
      <w:tr w:rsidR="00C36004" w:rsidRPr="00F53BDD" w:rsidTr="00911E8A">
        <w:tc>
          <w:tcPr>
            <w:tcW w:w="1738" w:type="pct"/>
          </w:tcPr>
          <w:p w:rsidR="00C36004" w:rsidRPr="00F53BDD" w:rsidRDefault="00C36004" w:rsidP="00EC6896">
            <w:pPr>
              <w:pStyle w:val="TableText"/>
            </w:pPr>
            <w:r w:rsidRPr="00F53BDD">
              <w:t>Primary market</w:t>
            </w:r>
          </w:p>
        </w:tc>
        <w:tc>
          <w:tcPr>
            <w:tcW w:w="3262" w:type="pct"/>
          </w:tcPr>
          <w:p w:rsidR="00C36004" w:rsidRPr="00F53BDD" w:rsidRDefault="00652FA2" w:rsidP="00EC6896">
            <w:pPr>
              <w:pStyle w:val="TableText"/>
            </w:pPr>
            <w:r w:rsidRPr="00F53BDD">
              <w:t>I</w:t>
            </w:r>
            <w:r w:rsidR="00C36004" w:rsidRPr="00F53BDD">
              <w:t xml:space="preserve">ncludes the distribution of NZUs from the </w:t>
            </w:r>
            <w:r w:rsidRPr="00F53BDD">
              <w:t>G</w:t>
            </w:r>
            <w:r w:rsidR="00C36004" w:rsidRPr="00F53BDD">
              <w:t>overnment to NZ ETS users</w:t>
            </w:r>
            <w:r w:rsidRPr="00F53BDD">
              <w:t>,</w:t>
            </w:r>
            <w:r w:rsidR="00C36004" w:rsidRPr="00F53BDD">
              <w:t xml:space="preserve"> through auction</w:t>
            </w:r>
            <w:r w:rsidRPr="00F53BDD">
              <w:t>s</w:t>
            </w:r>
            <w:r w:rsidR="00C36004" w:rsidRPr="00F53BDD">
              <w:t xml:space="preserve"> and industrial allocation.</w:t>
            </w:r>
          </w:p>
        </w:tc>
      </w:tr>
      <w:tr w:rsidR="00C36004" w:rsidRPr="00F53BDD" w:rsidTr="00911E8A">
        <w:tc>
          <w:tcPr>
            <w:tcW w:w="1738" w:type="pct"/>
          </w:tcPr>
          <w:p w:rsidR="00C36004" w:rsidRPr="00F53BDD" w:rsidRDefault="00C36004" w:rsidP="00EC6896">
            <w:pPr>
              <w:pStyle w:val="TableText"/>
            </w:pPr>
            <w:r w:rsidRPr="00F53BDD">
              <w:t>Secondary market</w:t>
            </w:r>
          </w:p>
        </w:tc>
        <w:tc>
          <w:tcPr>
            <w:tcW w:w="3262" w:type="pct"/>
          </w:tcPr>
          <w:p w:rsidR="00C36004" w:rsidRPr="00F53BDD" w:rsidRDefault="00C36004" w:rsidP="00EC6896">
            <w:pPr>
              <w:pStyle w:val="TableText"/>
            </w:pPr>
            <w:r w:rsidRPr="00F53BDD">
              <w:t>The market in which previously issued NZUs are bought and sold.</w:t>
            </w:r>
          </w:p>
        </w:tc>
      </w:tr>
      <w:tr w:rsidR="00C36004" w:rsidRPr="00F53BDD" w:rsidTr="00911E8A">
        <w:tc>
          <w:tcPr>
            <w:tcW w:w="1738" w:type="pct"/>
          </w:tcPr>
          <w:p w:rsidR="00C36004" w:rsidRPr="00F53BDD" w:rsidRDefault="00C36004" w:rsidP="00EC6896">
            <w:pPr>
              <w:pStyle w:val="TableText"/>
            </w:pPr>
            <w:r w:rsidRPr="00F53BDD">
              <w:t>Western Climate Initiative (WCI)</w:t>
            </w:r>
          </w:p>
        </w:tc>
        <w:tc>
          <w:tcPr>
            <w:tcW w:w="3262" w:type="pct"/>
          </w:tcPr>
          <w:p w:rsidR="00C36004" w:rsidRPr="00F53BDD" w:rsidRDefault="00652FA2" w:rsidP="00EC6896">
            <w:pPr>
              <w:pStyle w:val="TableText"/>
            </w:pPr>
            <w:r w:rsidRPr="00F53BDD">
              <w:t>A</w:t>
            </w:r>
            <w:r w:rsidR="00C36004" w:rsidRPr="00F53BDD">
              <w:t>n initiative of US states and Canadian provinces to jointly develop climate change policies.</w:t>
            </w:r>
          </w:p>
        </w:tc>
      </w:tr>
    </w:tbl>
    <w:p w:rsidR="001856BB" w:rsidRPr="00F53BDD" w:rsidRDefault="001856BB" w:rsidP="00EE401C">
      <w:pPr>
        <w:pStyle w:val="Heading1"/>
        <w:spacing w:after="280"/>
        <w:rPr>
          <w:rStyle w:val="Heading1Char"/>
          <w:b/>
          <w:bCs/>
        </w:rPr>
      </w:pPr>
      <w:bookmarkStart w:id="10" w:name="_Toc75250049"/>
      <w:r w:rsidRPr="00F53BDD">
        <w:rPr>
          <w:rStyle w:val="Heading1Char"/>
          <w:b/>
          <w:bCs/>
        </w:rPr>
        <w:t xml:space="preserve">Executive </w:t>
      </w:r>
      <w:r w:rsidR="007441E5" w:rsidRPr="00F53BDD">
        <w:rPr>
          <w:rStyle w:val="Heading1Char"/>
          <w:b/>
          <w:bCs/>
        </w:rPr>
        <w:t>s</w:t>
      </w:r>
      <w:r w:rsidRPr="00F53BDD">
        <w:rPr>
          <w:rStyle w:val="Heading1Char"/>
          <w:b/>
          <w:bCs/>
        </w:rPr>
        <w:t>ummary</w:t>
      </w:r>
      <w:bookmarkEnd w:id="10"/>
    </w:p>
    <w:p w:rsidR="000B694C" w:rsidRPr="00F53BDD" w:rsidRDefault="008B6C7A" w:rsidP="00EE401C">
      <w:pPr>
        <w:pStyle w:val="BodyText"/>
        <w:spacing w:before="100" w:after="100"/>
      </w:pPr>
      <w:r w:rsidRPr="00F53BDD">
        <w:t xml:space="preserve">This Government is committed to </w:t>
      </w:r>
      <w:r w:rsidR="007441E5" w:rsidRPr="00F53BDD">
        <w:t>cutting</w:t>
      </w:r>
      <w:r w:rsidRPr="00F53BDD">
        <w:t xml:space="preserve"> New Zealand’s emissions and respond</w:t>
      </w:r>
      <w:r w:rsidR="007441E5" w:rsidRPr="00F53BDD">
        <w:t>ing</w:t>
      </w:r>
      <w:r w:rsidRPr="00F53BDD">
        <w:t xml:space="preserve"> to climate change</w:t>
      </w:r>
      <w:r w:rsidR="007441E5" w:rsidRPr="00F53BDD">
        <w:t>,</w:t>
      </w:r>
      <w:r w:rsidRPr="00F53BDD">
        <w:t xml:space="preserve"> by </w:t>
      </w:r>
      <w:r w:rsidR="007441E5" w:rsidRPr="00F53BDD">
        <w:t xml:space="preserve">moving </w:t>
      </w:r>
      <w:r w:rsidRPr="00F53BDD">
        <w:t>to a low-emissions, climate</w:t>
      </w:r>
      <w:r w:rsidR="007441E5" w:rsidRPr="00F53BDD">
        <w:t>-</w:t>
      </w:r>
      <w:r w:rsidRPr="00F53BDD">
        <w:t>resilient economy in a manner that is fair for all</w:t>
      </w:r>
      <w:r w:rsidR="00100199" w:rsidRPr="00F53BDD">
        <w:t> </w:t>
      </w:r>
      <w:r w:rsidRPr="00F53BDD">
        <w:t xml:space="preserve">New Zealanders. </w:t>
      </w:r>
    </w:p>
    <w:p w:rsidR="000B694C" w:rsidRPr="00F53BDD" w:rsidRDefault="008B6C7A" w:rsidP="00EE401C">
      <w:pPr>
        <w:pStyle w:val="BodyText"/>
        <w:spacing w:before="100" w:after="100"/>
      </w:pPr>
      <w:r w:rsidRPr="00F53BDD">
        <w:t xml:space="preserve">The NZ ETS </w:t>
      </w:r>
      <w:r w:rsidR="00D355C2" w:rsidRPr="00F53BDD">
        <w:t>is</w:t>
      </w:r>
      <w:r w:rsidRPr="00F53BDD">
        <w:t xml:space="preserve"> an important tool in this </w:t>
      </w:r>
      <w:r w:rsidR="007441E5" w:rsidRPr="00F53BDD">
        <w:t>shift</w:t>
      </w:r>
      <w:r w:rsidRPr="00F53BDD">
        <w:t xml:space="preserve">, alongside other policies, to </w:t>
      </w:r>
      <w:r w:rsidR="007441E5" w:rsidRPr="00F53BDD">
        <w:t>help us meet our</w:t>
      </w:r>
      <w:r w:rsidRPr="00F53BDD">
        <w:t xml:space="preserve"> domestic and international climate change targets.</w:t>
      </w:r>
      <w:r w:rsidR="000B694C" w:rsidRPr="00F53BDD">
        <w:t xml:space="preserve"> The proposals </w:t>
      </w:r>
      <w:r w:rsidR="007441E5" w:rsidRPr="00F53BDD">
        <w:t>here</w:t>
      </w:r>
      <w:r w:rsidR="000B694C" w:rsidRPr="00F53BDD">
        <w:t xml:space="preserve"> </w:t>
      </w:r>
      <w:r w:rsidR="007441E5" w:rsidRPr="00F53BDD">
        <w:t>aim</w:t>
      </w:r>
      <w:r w:rsidR="000B694C" w:rsidRPr="00F53BDD">
        <w:t xml:space="preserve"> to </w:t>
      </w:r>
      <w:r w:rsidR="007B469E" w:rsidRPr="00F53BDD">
        <w:t>improve the</w:t>
      </w:r>
      <w:r w:rsidR="000B694C" w:rsidRPr="00F53BDD">
        <w:t xml:space="preserve"> governance framework </w:t>
      </w:r>
      <w:r w:rsidR="003B72A3" w:rsidRPr="00F53BDD">
        <w:t>for</w:t>
      </w:r>
      <w:r w:rsidR="000B694C" w:rsidRPr="00F53BDD">
        <w:t xml:space="preserve"> the </w:t>
      </w:r>
      <w:r w:rsidR="009A200D" w:rsidRPr="00F53BDD">
        <w:t>scheme</w:t>
      </w:r>
      <w:r w:rsidR="007441E5" w:rsidRPr="00F53BDD">
        <w:t>,</w:t>
      </w:r>
      <w:r w:rsidR="000B694C" w:rsidRPr="00F53BDD">
        <w:t xml:space="preserve"> so it effectively supports the transition.</w:t>
      </w:r>
    </w:p>
    <w:p w:rsidR="008E3ACA" w:rsidRPr="00F53BDD" w:rsidRDefault="008E3ACA" w:rsidP="00470228">
      <w:pPr>
        <w:pStyle w:val="Heading2"/>
      </w:pPr>
      <w:bookmarkStart w:id="11" w:name="_Toc75250050"/>
      <w:r w:rsidRPr="00F53BDD">
        <w:t xml:space="preserve">New Zealand lacks a </w:t>
      </w:r>
      <w:r w:rsidR="00411003" w:rsidRPr="00F53BDD">
        <w:t xml:space="preserve">robust </w:t>
      </w:r>
      <w:r w:rsidRPr="00F53BDD">
        <w:t>ETS governance framework</w:t>
      </w:r>
      <w:bookmarkEnd w:id="11"/>
    </w:p>
    <w:p w:rsidR="000B694C" w:rsidRPr="00F53BDD" w:rsidRDefault="00411003" w:rsidP="00EE401C">
      <w:pPr>
        <w:pStyle w:val="BodyText"/>
        <w:spacing w:before="100" w:after="100"/>
      </w:pPr>
      <w:r w:rsidRPr="00F53BDD">
        <w:t>We need to improve t</w:t>
      </w:r>
      <w:r w:rsidR="000B694C" w:rsidRPr="00F53BDD">
        <w:t xml:space="preserve">he </w:t>
      </w:r>
      <w:r w:rsidRPr="00F53BDD">
        <w:t xml:space="preserve">current framework for the </w:t>
      </w:r>
      <w:r w:rsidR="000B694C" w:rsidRPr="00F53BDD">
        <w:t>ETS</w:t>
      </w:r>
      <w:r w:rsidRPr="00F53BDD">
        <w:t>. It</w:t>
      </w:r>
      <w:r w:rsidR="000B694C" w:rsidRPr="00F53BDD">
        <w:t xml:space="preserve"> </w:t>
      </w:r>
      <w:r w:rsidRPr="00F53BDD">
        <w:t>is patchy and there is no</w:t>
      </w:r>
      <w:r w:rsidR="0006531E" w:rsidRPr="00F53BDD">
        <w:t xml:space="preserve"> </w:t>
      </w:r>
      <w:r w:rsidR="000B694C" w:rsidRPr="00F53BDD">
        <w:t>regulator</w:t>
      </w:r>
      <w:r w:rsidR="003C5D2D" w:rsidRPr="00F53BDD">
        <w:t xml:space="preserve"> overseeing the </w:t>
      </w:r>
      <w:r w:rsidR="000B694C" w:rsidRPr="00F53BDD">
        <w:t>market.</w:t>
      </w:r>
    </w:p>
    <w:p w:rsidR="007441E5" w:rsidRPr="00F53BDD" w:rsidRDefault="007441E5" w:rsidP="00EE401C">
      <w:pPr>
        <w:pStyle w:val="BodyText"/>
        <w:spacing w:before="100" w:after="100"/>
      </w:pPr>
      <w:r w:rsidRPr="00F53BDD">
        <w:t xml:space="preserve">Setting </w:t>
      </w:r>
      <w:r w:rsidR="003B72A3" w:rsidRPr="00F53BDD">
        <w:t xml:space="preserve">up </w:t>
      </w:r>
      <w:r w:rsidR="000B694C" w:rsidRPr="00F53BDD">
        <w:t xml:space="preserve">a comprehensive framework and appointing a regulator is important </w:t>
      </w:r>
      <w:r w:rsidRPr="00F53BDD">
        <w:t>for:</w:t>
      </w:r>
    </w:p>
    <w:p w:rsidR="007441E5" w:rsidRPr="00F53BDD" w:rsidRDefault="000B694C" w:rsidP="00EE401C">
      <w:pPr>
        <w:pStyle w:val="Bullet"/>
        <w:spacing w:after="100"/>
      </w:pPr>
      <w:r w:rsidRPr="00F53BDD">
        <w:t>the integrity and efficiency of the scheme</w:t>
      </w:r>
    </w:p>
    <w:p w:rsidR="007441E5" w:rsidRPr="00F53BDD" w:rsidRDefault="000B694C" w:rsidP="00EE401C">
      <w:pPr>
        <w:pStyle w:val="Bullet"/>
        <w:spacing w:after="100"/>
      </w:pPr>
      <w:r w:rsidRPr="00F53BDD">
        <w:t>promot</w:t>
      </w:r>
      <w:r w:rsidR="00431FE0" w:rsidRPr="00F53BDD">
        <w:t>ing</w:t>
      </w:r>
      <w:r w:rsidRPr="00F53BDD">
        <w:t xml:space="preserve"> confidence in market trading</w:t>
      </w:r>
    </w:p>
    <w:p w:rsidR="007441E5" w:rsidRPr="00F53BDD" w:rsidRDefault="000B694C" w:rsidP="00EC6896">
      <w:pPr>
        <w:pStyle w:val="Bullet"/>
      </w:pPr>
      <w:r w:rsidRPr="00F53BDD">
        <w:t>reduc</w:t>
      </w:r>
      <w:r w:rsidR="00431FE0" w:rsidRPr="00F53BDD">
        <w:t>ing</w:t>
      </w:r>
      <w:r w:rsidRPr="00F53BDD">
        <w:t xml:space="preserve"> risks of misconduct </w:t>
      </w:r>
      <w:r w:rsidR="003C5D2D" w:rsidRPr="00F53BDD">
        <w:t xml:space="preserve">that </w:t>
      </w:r>
      <w:r w:rsidRPr="00F53BDD">
        <w:t>distort</w:t>
      </w:r>
      <w:r w:rsidR="007441E5" w:rsidRPr="00F53BDD">
        <w:t>s</w:t>
      </w:r>
      <w:r w:rsidRPr="00F53BDD">
        <w:t xml:space="preserve"> the price of New Zealand </w:t>
      </w:r>
      <w:r w:rsidR="00E35508" w:rsidRPr="00F53BDD">
        <w:t>u</w:t>
      </w:r>
      <w:r w:rsidRPr="00F53BDD">
        <w:t xml:space="preserve">nits (NZUs). </w:t>
      </w:r>
    </w:p>
    <w:p w:rsidR="008B6C7A" w:rsidRPr="00F53BDD" w:rsidRDefault="008B6C7A" w:rsidP="00EE401C">
      <w:pPr>
        <w:pStyle w:val="BodyText"/>
        <w:spacing w:before="100"/>
      </w:pPr>
      <w:r w:rsidRPr="00F53BDD">
        <w:t xml:space="preserve">A </w:t>
      </w:r>
      <w:r w:rsidR="00411003" w:rsidRPr="00F53BDD">
        <w:t>sound</w:t>
      </w:r>
      <w:r w:rsidR="007441E5" w:rsidRPr="00F53BDD">
        <w:t xml:space="preserve"> </w:t>
      </w:r>
      <w:r w:rsidRPr="00F53BDD">
        <w:t xml:space="preserve">framework will </w:t>
      </w:r>
      <w:r w:rsidR="000B694C" w:rsidRPr="00F53BDD">
        <w:t xml:space="preserve">also </w:t>
      </w:r>
      <w:r w:rsidR="00E328DE" w:rsidRPr="00F53BDD">
        <w:t>keep</w:t>
      </w:r>
      <w:r w:rsidRPr="00F53BDD">
        <w:t xml:space="preserve"> the market </w:t>
      </w:r>
      <w:r w:rsidR="00E328DE" w:rsidRPr="00F53BDD">
        <w:t>working</w:t>
      </w:r>
      <w:r w:rsidRPr="00F53BDD">
        <w:t xml:space="preserve"> </w:t>
      </w:r>
      <w:r w:rsidR="00E31596" w:rsidRPr="00F53BDD">
        <w:t>as intended</w:t>
      </w:r>
      <w:r w:rsidR="00E328DE" w:rsidRPr="00F53BDD">
        <w:t>,</w:t>
      </w:r>
      <w:r w:rsidRPr="00F53BDD">
        <w:t xml:space="preserve"> and </w:t>
      </w:r>
      <w:r w:rsidR="00E328DE" w:rsidRPr="00F53BDD">
        <w:t>put in place enough</w:t>
      </w:r>
      <w:r w:rsidR="00EF04DA" w:rsidRPr="00F53BDD">
        <w:t xml:space="preserve"> </w:t>
      </w:r>
      <w:r w:rsidRPr="00F53BDD">
        <w:t xml:space="preserve">rules and regulations to </w:t>
      </w:r>
      <w:r w:rsidR="000B694C" w:rsidRPr="00F53BDD">
        <w:t xml:space="preserve">protect </w:t>
      </w:r>
      <w:r w:rsidR="007575CF" w:rsidRPr="00F53BDD">
        <w:t xml:space="preserve">NZ </w:t>
      </w:r>
      <w:r w:rsidR="000B694C" w:rsidRPr="00F53BDD">
        <w:t>ETS</w:t>
      </w:r>
      <w:r w:rsidR="007575CF" w:rsidRPr="00F53BDD">
        <w:t xml:space="preserve"> users.</w:t>
      </w:r>
    </w:p>
    <w:p w:rsidR="008E3ACA" w:rsidRPr="00F53BDD" w:rsidRDefault="00E123E3" w:rsidP="00470228">
      <w:pPr>
        <w:pStyle w:val="Heading2"/>
      </w:pPr>
      <w:bookmarkStart w:id="12" w:name="_Toc75250051"/>
      <w:r w:rsidRPr="00F53BDD">
        <w:t>Key r</w:t>
      </w:r>
      <w:r w:rsidR="00F571EE" w:rsidRPr="00F53BDD">
        <w:t>isks</w:t>
      </w:r>
      <w:r w:rsidRPr="00F53BDD">
        <w:t xml:space="preserve"> and themes</w:t>
      </w:r>
      <w:bookmarkEnd w:id="12"/>
      <w:r w:rsidR="00F571EE" w:rsidRPr="00F53BDD">
        <w:t xml:space="preserve"> </w:t>
      </w:r>
    </w:p>
    <w:p w:rsidR="004E0BA1" w:rsidRPr="00F53BDD" w:rsidRDefault="004E0BA1" w:rsidP="00470228">
      <w:pPr>
        <w:pStyle w:val="Heading3"/>
      </w:pPr>
      <w:r w:rsidRPr="00F53BDD">
        <w:t>Risks</w:t>
      </w:r>
    </w:p>
    <w:p w:rsidR="004E0BA1" w:rsidRPr="00F53BDD" w:rsidRDefault="00F571EE" w:rsidP="00EE401C">
      <w:pPr>
        <w:pStyle w:val="BodyText"/>
        <w:spacing w:before="100" w:after="100"/>
      </w:pPr>
      <w:r w:rsidRPr="00F53BDD">
        <w:t>T</w:t>
      </w:r>
      <w:r w:rsidR="008B6C7A" w:rsidRPr="00F53BDD">
        <w:t xml:space="preserve">he Government </w:t>
      </w:r>
      <w:r w:rsidRPr="00F53BDD">
        <w:t xml:space="preserve">has </w:t>
      </w:r>
      <w:r w:rsidR="008B6C7A" w:rsidRPr="00F53BDD">
        <w:t xml:space="preserve">identified seven risks </w:t>
      </w:r>
      <w:r w:rsidR="00E328DE" w:rsidRPr="00F53BDD">
        <w:t>for</w:t>
      </w:r>
      <w:r w:rsidR="008B6C7A" w:rsidRPr="00F53BDD">
        <w:t xml:space="preserve"> market governance</w:t>
      </w:r>
      <w:r w:rsidR="004E0BA1" w:rsidRPr="00F53BDD">
        <w:t xml:space="preserve">, set out in </w:t>
      </w:r>
      <w:hyperlink w:anchor="table2" w:history="1">
        <w:r w:rsidR="004E0BA1" w:rsidRPr="00F53BDD">
          <w:rPr>
            <w:rStyle w:val="Hyperlink"/>
          </w:rPr>
          <w:t>table 2</w:t>
        </w:r>
      </w:hyperlink>
      <w:r w:rsidR="004E0BA1" w:rsidRPr="00F53BDD">
        <w:t>.</w:t>
      </w:r>
    </w:p>
    <w:p w:rsidR="004E0BA1" w:rsidRPr="00F53BDD" w:rsidRDefault="004E0BA1" w:rsidP="00470228">
      <w:pPr>
        <w:pStyle w:val="Heading3"/>
      </w:pPr>
      <w:r w:rsidRPr="00F53BDD">
        <w:t>Themes</w:t>
      </w:r>
    </w:p>
    <w:p w:rsidR="00047442" w:rsidRPr="00F53BDD" w:rsidRDefault="004E0BA1" w:rsidP="00EE401C">
      <w:pPr>
        <w:pStyle w:val="BodyText"/>
        <w:spacing w:before="100"/>
      </w:pPr>
      <w:r w:rsidRPr="00F53BDD">
        <w:t xml:space="preserve">We have combined the seven risks into </w:t>
      </w:r>
      <w:r w:rsidR="00047442" w:rsidRPr="00F53BDD">
        <w:t>three themes</w:t>
      </w:r>
      <w:r w:rsidR="00CD0883" w:rsidRPr="00F53BDD">
        <w:t xml:space="preserve"> for discussion</w:t>
      </w:r>
      <w:r w:rsidR="00E328DE" w:rsidRPr="00F53BDD">
        <w:t>:</w:t>
      </w:r>
      <w:r w:rsidR="00CD0883" w:rsidRPr="00F53BDD">
        <w:t xml:space="preserve"> </w:t>
      </w:r>
    </w:p>
    <w:p w:rsidR="00E328DE" w:rsidRPr="00F53BDD" w:rsidRDefault="00CD0883" w:rsidP="00E42590">
      <w:pPr>
        <w:pStyle w:val="Numberedparagraph"/>
        <w:spacing w:after="80"/>
      </w:pPr>
      <w:r w:rsidRPr="00F53BDD">
        <w:rPr>
          <w:b/>
          <w:bCs/>
        </w:rPr>
        <w:t xml:space="preserve">Governance of </w:t>
      </w:r>
      <w:r w:rsidR="004E0BA1" w:rsidRPr="00F53BDD">
        <w:rPr>
          <w:b/>
          <w:bCs/>
        </w:rPr>
        <w:t>a</w:t>
      </w:r>
      <w:r w:rsidRPr="00F53BDD">
        <w:rPr>
          <w:b/>
          <w:bCs/>
        </w:rPr>
        <w:t>dvice</w:t>
      </w:r>
      <w:r w:rsidRPr="00F53BDD">
        <w:t xml:space="preserve"> address</w:t>
      </w:r>
      <w:r w:rsidR="00E328DE" w:rsidRPr="00F53BDD">
        <w:t>es</w:t>
      </w:r>
      <w:r w:rsidR="00E96781" w:rsidRPr="00F53BDD">
        <w:t>:</w:t>
      </w:r>
      <w:r w:rsidR="00EF04DA" w:rsidRPr="00F53BDD">
        <w:t xml:space="preserve"> </w:t>
      </w:r>
    </w:p>
    <w:p w:rsidR="00E328DE" w:rsidRPr="00F53BDD" w:rsidRDefault="00CD0883" w:rsidP="00E42590">
      <w:pPr>
        <w:pStyle w:val="Sub-list"/>
        <w:spacing w:after="80"/>
      </w:pPr>
      <w:r w:rsidRPr="00F53BDD">
        <w:t xml:space="preserve">poor, </w:t>
      </w:r>
      <w:r w:rsidR="00470228">
        <w:t xml:space="preserve">false or </w:t>
      </w:r>
      <w:r w:rsidRPr="00F53BDD">
        <w:t xml:space="preserve">misleading advice </w:t>
      </w:r>
    </w:p>
    <w:p w:rsidR="00E328DE" w:rsidRPr="00F53BDD" w:rsidRDefault="00CD0883" w:rsidP="00EC6896">
      <w:pPr>
        <w:pStyle w:val="Sub-list"/>
      </w:pPr>
      <w:r w:rsidRPr="00F53BDD">
        <w:t xml:space="preserve">conflicts of interest when trading NZUs. </w:t>
      </w:r>
    </w:p>
    <w:p w:rsidR="00CD0883" w:rsidRPr="00F53BDD" w:rsidRDefault="00F02E37" w:rsidP="006565CA">
      <w:pPr>
        <w:pStyle w:val="BodyText"/>
        <w:spacing w:before="0" w:after="100"/>
        <w:ind w:left="397"/>
      </w:pPr>
      <w:r w:rsidRPr="00F53BDD">
        <w:t xml:space="preserve">These </w:t>
      </w:r>
      <w:r w:rsidR="00CD0883" w:rsidRPr="00F53BDD">
        <w:t>can lead to financial harm for NZ ETS users who trade based on poor advice, lowering confidence in the NZ ETS.</w:t>
      </w:r>
    </w:p>
    <w:p w:rsidR="00E96781" w:rsidRPr="00F53BDD" w:rsidRDefault="00CD0883" w:rsidP="00E42590">
      <w:pPr>
        <w:pStyle w:val="Numberedparagraph"/>
        <w:spacing w:after="80"/>
      </w:pPr>
      <w:r w:rsidRPr="00F53BDD">
        <w:rPr>
          <w:b/>
          <w:bCs/>
        </w:rPr>
        <w:t xml:space="preserve">Governance of </w:t>
      </w:r>
      <w:r w:rsidR="004E0BA1" w:rsidRPr="00F53BDD">
        <w:rPr>
          <w:b/>
          <w:bCs/>
        </w:rPr>
        <w:t>t</w:t>
      </w:r>
      <w:r w:rsidRPr="00F53BDD">
        <w:rPr>
          <w:b/>
          <w:bCs/>
        </w:rPr>
        <w:t>rading</w:t>
      </w:r>
      <w:r w:rsidR="003B72A3" w:rsidRPr="00F53BDD">
        <w:t xml:space="preserve"> a</w:t>
      </w:r>
      <w:r w:rsidRPr="00F53BDD">
        <w:t>ddresses</w:t>
      </w:r>
      <w:r w:rsidR="00E96781" w:rsidRPr="00F53BDD">
        <w:t>:</w:t>
      </w:r>
      <w:r w:rsidRPr="00F53BDD">
        <w:t xml:space="preserve"> </w:t>
      </w:r>
    </w:p>
    <w:p w:rsidR="00E96781" w:rsidRPr="00F53BDD" w:rsidRDefault="00CD0883" w:rsidP="00E42590">
      <w:pPr>
        <w:pStyle w:val="Sub-list"/>
        <w:spacing w:after="80"/>
      </w:pPr>
      <w:r w:rsidRPr="00F53BDD">
        <w:t xml:space="preserve">poor transparency of market information </w:t>
      </w:r>
    </w:p>
    <w:p w:rsidR="00E96781" w:rsidRPr="00F53BDD" w:rsidRDefault="001E0B58" w:rsidP="00EC6896">
      <w:pPr>
        <w:pStyle w:val="Sub-list"/>
      </w:pPr>
      <w:r w:rsidRPr="00F53BDD">
        <w:t>counter-party</w:t>
      </w:r>
      <w:r w:rsidR="00CD0883" w:rsidRPr="00F53BDD">
        <w:t xml:space="preserve"> risk when trading. </w:t>
      </w:r>
    </w:p>
    <w:p w:rsidR="00CD0883" w:rsidRPr="00F53BDD" w:rsidRDefault="00CD0883" w:rsidP="006565CA">
      <w:pPr>
        <w:pStyle w:val="BodyText"/>
        <w:spacing w:before="0" w:after="100"/>
        <w:ind w:left="397"/>
      </w:pPr>
      <w:r w:rsidRPr="00F53BDD">
        <w:t xml:space="preserve">These </w:t>
      </w:r>
      <w:r w:rsidR="00C05AD2" w:rsidRPr="00F53BDD">
        <w:t xml:space="preserve">lead to inefficient </w:t>
      </w:r>
      <w:r w:rsidRPr="00F53BDD">
        <w:t xml:space="preserve">price discovery </w:t>
      </w:r>
      <w:r w:rsidR="00C05AD2" w:rsidRPr="00F53BDD">
        <w:t xml:space="preserve">in the NZ ETS </w:t>
      </w:r>
      <w:r w:rsidRPr="00F53BDD">
        <w:t>and present undue risks to trading</w:t>
      </w:r>
      <w:r w:rsidR="00392CCD" w:rsidRPr="00F53BDD">
        <w:t> </w:t>
      </w:r>
      <w:r w:rsidRPr="00F53BDD">
        <w:t>NZUs.</w:t>
      </w:r>
    </w:p>
    <w:p w:rsidR="004D2FA9" w:rsidRDefault="004D2FA9">
      <w:pPr>
        <w:spacing w:before="0" w:after="200" w:line="276" w:lineRule="auto"/>
        <w:jc w:val="left"/>
        <w:rPr>
          <w:b/>
          <w:bCs/>
        </w:rPr>
      </w:pPr>
      <w:r>
        <w:rPr>
          <w:b/>
          <w:bCs/>
        </w:rPr>
        <w:br w:type="page"/>
      </w:r>
    </w:p>
    <w:p w:rsidR="00E96781" w:rsidRPr="00F53BDD" w:rsidRDefault="00CD0883" w:rsidP="00E42590">
      <w:pPr>
        <w:pStyle w:val="Numberedparagraph"/>
        <w:spacing w:after="80"/>
      </w:pPr>
      <w:r w:rsidRPr="00F53BDD">
        <w:rPr>
          <w:b/>
          <w:bCs/>
        </w:rPr>
        <w:t xml:space="preserve">Governance of </w:t>
      </w:r>
      <w:r w:rsidR="004E0BA1" w:rsidRPr="00F53BDD">
        <w:rPr>
          <w:b/>
          <w:bCs/>
        </w:rPr>
        <w:t>m</w:t>
      </w:r>
      <w:r w:rsidRPr="00F53BDD">
        <w:rPr>
          <w:b/>
          <w:bCs/>
        </w:rPr>
        <w:t>arket</w:t>
      </w:r>
      <w:r w:rsidRPr="00F53BDD">
        <w:t xml:space="preserve"> </w:t>
      </w:r>
      <w:r w:rsidR="004E0BA1" w:rsidRPr="00F53BDD">
        <w:t>c</w:t>
      </w:r>
      <w:r w:rsidRPr="00F53BDD">
        <w:t>onduct address</w:t>
      </w:r>
      <w:r w:rsidR="00E96781" w:rsidRPr="00F53BDD">
        <w:t>es:</w:t>
      </w:r>
      <w:r w:rsidRPr="00F53BDD">
        <w:t xml:space="preserve"> </w:t>
      </w:r>
    </w:p>
    <w:p w:rsidR="00E96781" w:rsidRPr="00F53BDD" w:rsidRDefault="00CD0883" w:rsidP="00E42590">
      <w:pPr>
        <w:pStyle w:val="Sub-list"/>
        <w:spacing w:after="80"/>
      </w:pPr>
      <w:r w:rsidRPr="00F53BDD">
        <w:t>insider trading</w:t>
      </w:r>
    </w:p>
    <w:p w:rsidR="00E96781" w:rsidRPr="00F53BDD" w:rsidRDefault="00CD0883" w:rsidP="00E42590">
      <w:pPr>
        <w:pStyle w:val="Sub-list"/>
        <w:spacing w:after="80"/>
      </w:pPr>
      <w:r w:rsidRPr="00F53BDD">
        <w:t xml:space="preserve">manipulation of the NZU price </w:t>
      </w:r>
    </w:p>
    <w:p w:rsidR="00E96781" w:rsidRPr="00F53BDD" w:rsidRDefault="00CD0883" w:rsidP="006565CA">
      <w:pPr>
        <w:pStyle w:val="Sub-list"/>
      </w:pPr>
      <w:r w:rsidRPr="00F53BDD">
        <w:t>money laundering</w:t>
      </w:r>
      <w:r w:rsidR="00470228">
        <w:t xml:space="preserve"> </w:t>
      </w:r>
      <w:r w:rsidRPr="00F53BDD">
        <w:t>/</w:t>
      </w:r>
      <w:r w:rsidR="00470228">
        <w:t xml:space="preserve"> </w:t>
      </w:r>
      <w:r w:rsidRPr="00F53BDD">
        <w:t xml:space="preserve">financing of terrorism in the ETS. </w:t>
      </w:r>
    </w:p>
    <w:p w:rsidR="00CD0883" w:rsidRPr="00F53BDD" w:rsidRDefault="00CD0883" w:rsidP="008C64F5">
      <w:pPr>
        <w:pStyle w:val="BodyText"/>
        <w:spacing w:before="0"/>
        <w:ind w:left="397"/>
      </w:pPr>
      <w:r w:rsidRPr="00F53BDD">
        <w:t xml:space="preserve">Market misconduct </w:t>
      </w:r>
      <w:r w:rsidR="00C36004" w:rsidRPr="00F53BDD">
        <w:t xml:space="preserve">reduces confidence and </w:t>
      </w:r>
      <w:r w:rsidRPr="00F53BDD">
        <w:t>integrity of the ETS.</w:t>
      </w:r>
    </w:p>
    <w:p w:rsidR="00E96781" w:rsidRPr="00F53BDD" w:rsidRDefault="00E96781" w:rsidP="00470228">
      <w:pPr>
        <w:pStyle w:val="Heading2"/>
      </w:pPr>
      <w:bookmarkStart w:id="13" w:name="_Toc75250052"/>
      <w:r w:rsidRPr="00F53BDD">
        <w:t>Your views</w:t>
      </w:r>
      <w:bookmarkEnd w:id="13"/>
    </w:p>
    <w:p w:rsidR="00E96781" w:rsidRPr="00F53BDD" w:rsidRDefault="00E96781" w:rsidP="001710E8">
      <w:pPr>
        <w:pStyle w:val="BodyText"/>
      </w:pPr>
      <w:r w:rsidRPr="00F53BDD">
        <w:t xml:space="preserve">We are interested in your input on two </w:t>
      </w:r>
      <w:r w:rsidR="007E768F" w:rsidRPr="00F53BDD">
        <w:t>issues</w:t>
      </w:r>
      <w:r w:rsidRPr="00F53BDD">
        <w:t>:</w:t>
      </w:r>
    </w:p>
    <w:p w:rsidR="008B6C7A" w:rsidRPr="00F53BDD" w:rsidRDefault="00F02E37" w:rsidP="00D8465B">
      <w:pPr>
        <w:pStyle w:val="Bullet"/>
        <w:numPr>
          <w:ilvl w:val="0"/>
          <w:numId w:val="24"/>
        </w:numPr>
      </w:pPr>
      <w:r w:rsidRPr="00F53BDD">
        <w:t>The Government</w:t>
      </w:r>
      <w:r w:rsidR="008B6C7A" w:rsidRPr="00F53BDD">
        <w:t xml:space="preserve"> </w:t>
      </w:r>
      <w:r w:rsidR="00987D23" w:rsidRPr="00F53BDD">
        <w:t xml:space="preserve">is </w:t>
      </w:r>
      <w:r w:rsidR="008B6C7A" w:rsidRPr="00F53BDD">
        <w:t xml:space="preserve">consulting on a range of </w:t>
      </w:r>
      <w:r w:rsidR="00812A66">
        <w:rPr>
          <w:b/>
          <w:bCs/>
        </w:rPr>
        <w:t>low</w:t>
      </w:r>
      <w:r w:rsidR="008B6C7A" w:rsidRPr="00F53BDD">
        <w:rPr>
          <w:b/>
          <w:bCs/>
        </w:rPr>
        <w:t>-regulatory and regulatory options</w:t>
      </w:r>
      <w:r w:rsidR="00EF04DA" w:rsidRPr="00F53BDD">
        <w:t xml:space="preserve"> </w:t>
      </w:r>
      <w:r w:rsidR="00E12A2B" w:rsidRPr="00F53BDD">
        <w:t>(</w:t>
      </w:r>
      <w:r w:rsidR="00987D23" w:rsidRPr="00F53BDD">
        <w:fldChar w:fldCharType="begin"/>
      </w:r>
      <w:r w:rsidR="00987D23" w:rsidRPr="00F53BDD">
        <w:instrText xml:space="preserve"> REF _Ref72576695 \h </w:instrText>
      </w:r>
      <w:r w:rsidR="00047C9F" w:rsidRPr="00F53BDD">
        <w:instrText xml:space="preserve"> \* MERGEFORMAT </w:instrText>
      </w:r>
      <w:r w:rsidR="00987D23" w:rsidRPr="00F53BDD">
        <w:fldChar w:fldCharType="separate"/>
      </w:r>
      <w:r w:rsidR="00F84B55" w:rsidRPr="00F53BDD">
        <w:t xml:space="preserve">Table </w:t>
      </w:r>
      <w:r w:rsidR="00F84B55">
        <w:rPr>
          <w:noProof/>
        </w:rPr>
        <w:t>1</w:t>
      </w:r>
      <w:r w:rsidR="00987D23" w:rsidRPr="00F53BDD">
        <w:fldChar w:fldCharType="end"/>
      </w:r>
      <w:r w:rsidR="00E96781" w:rsidRPr="00F53BDD">
        <w:t>)</w:t>
      </w:r>
      <w:r w:rsidR="008B6C7A" w:rsidRPr="00F53BDD">
        <w:t xml:space="preserve">. </w:t>
      </w:r>
      <w:r w:rsidR="00987D23" w:rsidRPr="00F53BDD">
        <w:t xml:space="preserve">These are not mutually </w:t>
      </w:r>
      <w:r w:rsidR="00E35508" w:rsidRPr="00F53BDD">
        <w:t>exclusive</w:t>
      </w:r>
      <w:r w:rsidR="00987D23" w:rsidRPr="00F53BDD">
        <w:t xml:space="preserve"> and </w:t>
      </w:r>
      <w:r w:rsidR="00E96781" w:rsidRPr="00F53BDD">
        <w:t xml:space="preserve">include </w:t>
      </w:r>
      <w:r w:rsidR="00987D23" w:rsidRPr="00F53BDD">
        <w:t xml:space="preserve">a range of scenarios. </w:t>
      </w:r>
      <w:r w:rsidR="00E96781" w:rsidRPr="00F53BDD">
        <w:t>We are</w:t>
      </w:r>
      <w:r w:rsidR="008B6C7A" w:rsidRPr="00F53BDD">
        <w:t xml:space="preserve"> seeking feedback on </w:t>
      </w:r>
      <w:r w:rsidR="00047442" w:rsidRPr="00F53BDD">
        <w:t xml:space="preserve">the </w:t>
      </w:r>
      <w:r w:rsidR="00E96781" w:rsidRPr="00F53BDD">
        <w:t xml:space="preserve">impact of these </w:t>
      </w:r>
      <w:r w:rsidR="00047442" w:rsidRPr="00F53BDD">
        <w:t>options</w:t>
      </w:r>
      <w:r w:rsidR="008B6C7A" w:rsidRPr="00F53BDD">
        <w:t>.</w:t>
      </w:r>
    </w:p>
    <w:p w:rsidR="005C3EFF" w:rsidRPr="00F53BDD" w:rsidRDefault="00E96781" w:rsidP="00812A66">
      <w:pPr>
        <w:pStyle w:val="Bullet"/>
        <w:numPr>
          <w:ilvl w:val="0"/>
          <w:numId w:val="24"/>
        </w:numPr>
      </w:pPr>
      <w:r w:rsidRPr="00F53BDD">
        <w:t xml:space="preserve">Setting </w:t>
      </w:r>
      <w:r w:rsidR="008B6C7A" w:rsidRPr="00F53BDD">
        <w:t xml:space="preserve">rules and regulations </w:t>
      </w:r>
      <w:r w:rsidRPr="00F53BDD">
        <w:t>for</w:t>
      </w:r>
      <w:r w:rsidR="008B6C7A" w:rsidRPr="00F53BDD">
        <w:t xml:space="preserve"> conduct in the ETS market </w:t>
      </w:r>
      <w:r w:rsidR="00856F5E" w:rsidRPr="00F53BDD">
        <w:t>also</w:t>
      </w:r>
      <w:r w:rsidR="008B6C7A" w:rsidRPr="00F53BDD">
        <w:t xml:space="preserve"> requires the Government to consider who </w:t>
      </w:r>
      <w:r w:rsidR="00E123E3" w:rsidRPr="00F53BDD">
        <w:t>oversees and enforces</w:t>
      </w:r>
      <w:r w:rsidR="009F2702" w:rsidRPr="00F53BDD">
        <w:t xml:space="preserve"> </w:t>
      </w:r>
      <w:r w:rsidR="008B6C7A" w:rsidRPr="00F53BDD">
        <w:t xml:space="preserve">those rules and regulations. </w:t>
      </w:r>
      <w:r w:rsidRPr="00F53BDD">
        <w:t>We are seeking</w:t>
      </w:r>
      <w:r w:rsidR="008B6C7A" w:rsidRPr="00F53BDD">
        <w:t xml:space="preserve"> feedback on </w:t>
      </w:r>
      <w:r w:rsidR="008B6C7A" w:rsidRPr="00F53BDD">
        <w:rPr>
          <w:b/>
          <w:bCs/>
        </w:rPr>
        <w:t>the role and functions of a market regulator</w:t>
      </w:r>
      <w:r w:rsidR="008B6C7A" w:rsidRPr="00F53BDD">
        <w:t xml:space="preserve">. Proposals to define </w:t>
      </w:r>
      <w:r w:rsidR="00E123E3" w:rsidRPr="00F53BDD">
        <w:t>these</w:t>
      </w:r>
      <w:r w:rsidR="008B6C7A" w:rsidRPr="00F53BDD">
        <w:t xml:space="preserve"> may have a significant impact on existing market operators and </w:t>
      </w:r>
      <w:r w:rsidR="00F571EE" w:rsidRPr="00F53BDD">
        <w:t>participants.</w:t>
      </w:r>
    </w:p>
    <w:p w:rsidR="00E123E3" w:rsidRPr="00F53BDD" w:rsidRDefault="00FA3594" w:rsidP="00470228">
      <w:pPr>
        <w:pStyle w:val="Heading3"/>
      </w:pPr>
      <w:r w:rsidRPr="00F53BDD">
        <w:t>Market g</w:t>
      </w:r>
      <w:r w:rsidR="00E123E3" w:rsidRPr="00F53BDD">
        <w:t>overnance options</w:t>
      </w:r>
    </w:p>
    <w:p w:rsidR="00987D23" w:rsidRPr="00F53BDD" w:rsidRDefault="00987D23" w:rsidP="001710E8">
      <w:pPr>
        <w:pStyle w:val="Tableheading"/>
      </w:pPr>
      <w:bookmarkStart w:id="14" w:name="_Ref72576695"/>
      <w:bookmarkStart w:id="15" w:name="table1"/>
      <w:bookmarkStart w:id="16" w:name="_Toc75250104"/>
      <w:r w:rsidRPr="00F53BDD">
        <w:t xml:space="preserve">Table </w:t>
      </w:r>
      <w:r w:rsidR="003C49C8">
        <w:rPr>
          <w:noProof/>
        </w:rPr>
        <w:fldChar w:fldCharType="begin"/>
      </w:r>
      <w:r w:rsidR="003C49C8">
        <w:rPr>
          <w:noProof/>
        </w:rPr>
        <w:instrText xml:space="preserve"> SEQ Table \* ARABIC </w:instrText>
      </w:r>
      <w:r w:rsidR="003C49C8">
        <w:rPr>
          <w:noProof/>
        </w:rPr>
        <w:fldChar w:fldCharType="separate"/>
      </w:r>
      <w:r w:rsidR="00F84B55">
        <w:rPr>
          <w:noProof/>
        </w:rPr>
        <w:t>1</w:t>
      </w:r>
      <w:r w:rsidR="003C49C8">
        <w:rPr>
          <w:noProof/>
        </w:rPr>
        <w:fldChar w:fldCharType="end"/>
      </w:r>
      <w:bookmarkEnd w:id="14"/>
      <w:bookmarkEnd w:id="15"/>
      <w:r w:rsidRPr="00F53BDD">
        <w:t xml:space="preserve">: </w:t>
      </w:r>
      <w:r w:rsidR="001710E8" w:rsidRPr="00F53BDD">
        <w:tab/>
      </w:r>
      <w:r w:rsidR="0012174E" w:rsidRPr="00F53BDD">
        <w:t>M</w:t>
      </w:r>
      <w:r w:rsidRPr="00F53BDD">
        <w:t>arket governance option</w:t>
      </w:r>
      <w:r w:rsidR="0098419A" w:rsidRPr="00F53BDD">
        <w:t>s</w:t>
      </w:r>
      <w:bookmarkEnd w:id="16"/>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8F9" w:themeFill="accent3" w:themeFillTint="33"/>
        <w:tblLook w:val="04A0" w:firstRow="1" w:lastRow="0" w:firstColumn="1" w:lastColumn="0" w:noHBand="0" w:noVBand="1"/>
      </w:tblPr>
      <w:tblGrid>
        <w:gridCol w:w="8500"/>
      </w:tblGrid>
      <w:tr w:rsidR="00A37B38" w:rsidRPr="00F53BDD" w:rsidTr="00340B47">
        <w:trPr>
          <w:trHeight w:val="113"/>
        </w:trPr>
        <w:tc>
          <w:tcPr>
            <w:tcW w:w="5000" w:type="pct"/>
            <w:tcBorders>
              <w:top w:val="single" w:sz="4" w:space="0" w:color="0F7B7D"/>
              <w:left w:val="single" w:sz="4" w:space="0" w:color="0F7B7D"/>
              <w:bottom w:val="nil"/>
              <w:right w:val="single" w:sz="4" w:space="0" w:color="0F7B7D"/>
            </w:tcBorders>
            <w:shd w:val="clear" w:color="auto" w:fill="0F7B7D"/>
            <w:vAlign w:val="center"/>
          </w:tcPr>
          <w:p w:rsidR="00A37B38" w:rsidRPr="00F53BDD" w:rsidDel="00D5390D" w:rsidRDefault="0012174E" w:rsidP="001710E8">
            <w:pPr>
              <w:pStyle w:val="Casestudyheading"/>
              <w:rPr>
                <w:color w:val="0F7B7D" w:themeColor="accent2"/>
              </w:rPr>
            </w:pPr>
            <w:r w:rsidRPr="00F53BDD">
              <w:t>G</w:t>
            </w:r>
            <w:r w:rsidR="00A37B38" w:rsidRPr="00F53BDD">
              <w:t xml:space="preserve">overnance of advice </w:t>
            </w:r>
          </w:p>
        </w:tc>
      </w:tr>
      <w:tr w:rsidR="00A37B38" w:rsidRPr="00F53BDD" w:rsidTr="00340B47">
        <w:trPr>
          <w:trHeight w:val="113"/>
        </w:trPr>
        <w:tc>
          <w:tcPr>
            <w:tcW w:w="5000" w:type="pct"/>
            <w:tcBorders>
              <w:top w:val="nil"/>
              <w:left w:val="single" w:sz="4" w:space="0" w:color="CFE5E5"/>
              <w:bottom w:val="single" w:sz="4" w:space="0" w:color="CFE5E5"/>
              <w:right w:val="single" w:sz="4" w:space="0" w:color="CFE5E5"/>
            </w:tcBorders>
            <w:shd w:val="clear" w:color="auto" w:fill="CFE5E5"/>
          </w:tcPr>
          <w:p w:rsidR="00A37B38" w:rsidRPr="00F53BDD" w:rsidRDefault="00BB1A07" w:rsidP="001710E8">
            <w:pPr>
              <w:pStyle w:val="Greenbullet-casestudytables"/>
              <w:spacing w:before="120"/>
            </w:pPr>
            <w:r w:rsidRPr="00F53BDD">
              <w:rPr>
                <w:b/>
                <w:bCs/>
              </w:rPr>
              <w:t>Education campaign</w:t>
            </w:r>
            <w:r w:rsidR="00704915" w:rsidRPr="00F53BDD">
              <w:rPr>
                <w:b/>
                <w:bCs/>
              </w:rPr>
              <w:t xml:space="preserve"> and information pack.</w:t>
            </w:r>
            <w:r w:rsidR="00704915" w:rsidRPr="00470228">
              <w:t xml:space="preserve"> </w:t>
            </w:r>
            <w:r w:rsidR="00A37B38" w:rsidRPr="00F53BDD">
              <w:t xml:space="preserve">Develop an </w:t>
            </w:r>
            <w:r w:rsidRPr="00F53BDD">
              <w:t>education campaign</w:t>
            </w:r>
            <w:r w:rsidR="00A37B38" w:rsidRPr="00F53BDD">
              <w:t xml:space="preserve"> and information pack to improve knowledge and understanding of the ETS. For foresters and landowners there will be a section </w:t>
            </w:r>
            <w:r w:rsidR="00002EB3" w:rsidRPr="00F53BDD">
              <w:t xml:space="preserve">on </w:t>
            </w:r>
            <w:r w:rsidR="00A37B38" w:rsidRPr="00F53BDD">
              <w:t>forestry.</w:t>
            </w:r>
          </w:p>
          <w:p w:rsidR="00A37B38" w:rsidRPr="00F53BDD" w:rsidRDefault="00704915" w:rsidP="001710E8">
            <w:pPr>
              <w:pStyle w:val="Greenbullet-casestudytables"/>
            </w:pPr>
            <w:r w:rsidRPr="00F53BDD">
              <w:rPr>
                <w:b/>
                <w:bCs/>
              </w:rPr>
              <w:t xml:space="preserve">Sector guidelines for NZU </w:t>
            </w:r>
            <w:r w:rsidR="00E35508" w:rsidRPr="00F53BDD">
              <w:rPr>
                <w:b/>
                <w:bCs/>
              </w:rPr>
              <w:t>a</w:t>
            </w:r>
            <w:r w:rsidRPr="00F53BDD">
              <w:rPr>
                <w:b/>
                <w:bCs/>
              </w:rPr>
              <w:t>dvisers.</w:t>
            </w:r>
            <w:r w:rsidRPr="00470228">
              <w:t xml:space="preserve"> </w:t>
            </w:r>
            <w:r w:rsidR="00002EB3" w:rsidRPr="00F53BDD">
              <w:t xml:space="preserve">Set </w:t>
            </w:r>
            <w:r w:rsidR="00A37B38" w:rsidRPr="00F53BDD">
              <w:t xml:space="preserve">guidelines to benchmark the </w:t>
            </w:r>
            <w:r w:rsidR="00987D23" w:rsidRPr="00F53BDD">
              <w:t xml:space="preserve">expected </w:t>
            </w:r>
            <w:r w:rsidR="00A37B38" w:rsidRPr="00F53BDD">
              <w:t>level of service from advisers</w:t>
            </w:r>
            <w:r w:rsidR="00002EB3" w:rsidRPr="00F53BDD">
              <w:t>,</w:t>
            </w:r>
            <w:r w:rsidR="00A37B38" w:rsidRPr="00F53BDD">
              <w:t xml:space="preserve"> and to </w:t>
            </w:r>
            <w:r w:rsidR="00002EB3" w:rsidRPr="00F53BDD">
              <w:t xml:space="preserve">promote </w:t>
            </w:r>
            <w:r w:rsidR="00A37B38" w:rsidRPr="00F53BDD">
              <w:t>quality advice.</w:t>
            </w:r>
          </w:p>
          <w:p w:rsidR="00A37B38" w:rsidRPr="00F53BDD" w:rsidRDefault="00704915" w:rsidP="001710E8">
            <w:pPr>
              <w:pStyle w:val="Greenbullet-casestudytables"/>
            </w:pPr>
            <w:r w:rsidRPr="00F53BDD">
              <w:rPr>
                <w:b/>
                <w:bCs/>
              </w:rPr>
              <w:t xml:space="preserve">Code of </w:t>
            </w:r>
            <w:r w:rsidR="00C95AF3" w:rsidRPr="00F53BDD">
              <w:rPr>
                <w:b/>
                <w:bCs/>
              </w:rPr>
              <w:t>c</w:t>
            </w:r>
            <w:r w:rsidRPr="00F53BDD">
              <w:rPr>
                <w:b/>
                <w:bCs/>
              </w:rPr>
              <w:t xml:space="preserve">onduct, </w:t>
            </w:r>
            <w:r w:rsidR="00E35508" w:rsidRPr="00F53BDD">
              <w:rPr>
                <w:b/>
                <w:bCs/>
              </w:rPr>
              <w:t>l</w:t>
            </w:r>
            <w:r w:rsidRPr="00F53BDD">
              <w:rPr>
                <w:b/>
                <w:bCs/>
              </w:rPr>
              <w:t xml:space="preserve">icensing and </w:t>
            </w:r>
            <w:r w:rsidR="00E35508" w:rsidRPr="00F53BDD">
              <w:rPr>
                <w:b/>
                <w:bCs/>
              </w:rPr>
              <w:t>r</w:t>
            </w:r>
            <w:r w:rsidRPr="00F53BDD">
              <w:rPr>
                <w:b/>
                <w:bCs/>
              </w:rPr>
              <w:t>egistration of advisers.</w:t>
            </w:r>
            <w:r w:rsidRPr="00470228">
              <w:t xml:space="preserve"> </w:t>
            </w:r>
            <w:r w:rsidR="00A37B38" w:rsidRPr="00F53BDD">
              <w:t xml:space="preserve">Introduce a </w:t>
            </w:r>
            <w:r w:rsidR="00002EB3" w:rsidRPr="00F53BDD">
              <w:t xml:space="preserve">package for </w:t>
            </w:r>
            <w:r w:rsidR="00A37B38" w:rsidRPr="00F53BDD">
              <w:t xml:space="preserve">mandatory licensing, public registration and </w:t>
            </w:r>
            <w:r w:rsidR="00C95AF3" w:rsidRPr="00F53BDD">
              <w:t>c</w:t>
            </w:r>
            <w:r w:rsidR="00A37B38" w:rsidRPr="00F53BDD">
              <w:t xml:space="preserve">ode of </w:t>
            </w:r>
            <w:r w:rsidR="00C95AF3" w:rsidRPr="00F53BDD">
              <w:t>c</w:t>
            </w:r>
            <w:r w:rsidR="00A37B38" w:rsidRPr="00F53BDD">
              <w:t>onduct</w:t>
            </w:r>
            <w:r w:rsidR="00002EB3" w:rsidRPr="00F53BDD">
              <w:t>,</w:t>
            </w:r>
            <w:r w:rsidR="00A37B38" w:rsidRPr="00F53BDD">
              <w:t xml:space="preserve"> to raise the standards of advice</w:t>
            </w:r>
            <w:r w:rsidR="00E123E3" w:rsidRPr="00F53BDD">
              <w:t>,</w:t>
            </w:r>
            <w:r w:rsidR="00A37B38" w:rsidRPr="00F53BDD">
              <w:t xml:space="preserve"> and </w:t>
            </w:r>
            <w:r w:rsidR="00002EB3" w:rsidRPr="00F53BDD">
              <w:t xml:space="preserve">better protect </w:t>
            </w:r>
            <w:r w:rsidR="00987D23" w:rsidRPr="00F53BDD">
              <w:t>user</w:t>
            </w:r>
            <w:r w:rsidR="00002EB3" w:rsidRPr="00F53BDD">
              <w:t>s</w:t>
            </w:r>
            <w:r w:rsidR="00A37B38" w:rsidRPr="00F53BDD">
              <w:t>.</w:t>
            </w:r>
          </w:p>
        </w:tc>
      </w:tr>
      <w:tr w:rsidR="00A37B38" w:rsidRPr="00F53BDD" w:rsidTr="00340B47">
        <w:trPr>
          <w:trHeight w:val="113"/>
        </w:trPr>
        <w:tc>
          <w:tcPr>
            <w:tcW w:w="5000" w:type="pct"/>
            <w:tcBorders>
              <w:top w:val="single" w:sz="4" w:space="0" w:color="0F7B7D"/>
              <w:left w:val="single" w:sz="4" w:space="0" w:color="0F7B7D"/>
              <w:bottom w:val="nil"/>
              <w:right w:val="single" w:sz="4" w:space="0" w:color="0F7B7D"/>
            </w:tcBorders>
            <w:shd w:val="clear" w:color="auto" w:fill="0F7B7D"/>
            <w:vAlign w:val="center"/>
          </w:tcPr>
          <w:p w:rsidR="00A37B38" w:rsidRPr="00F53BDD" w:rsidDel="00D5390D" w:rsidRDefault="0012174E" w:rsidP="001710E8">
            <w:pPr>
              <w:pStyle w:val="Casestudyheading"/>
              <w:rPr>
                <w:color w:val="0F7B7D" w:themeColor="accent2"/>
              </w:rPr>
            </w:pPr>
            <w:r w:rsidRPr="00F53BDD">
              <w:t>G</w:t>
            </w:r>
            <w:r w:rsidR="00A37B38" w:rsidRPr="00F53BDD">
              <w:t xml:space="preserve">overnance of trading </w:t>
            </w:r>
          </w:p>
        </w:tc>
      </w:tr>
      <w:tr w:rsidR="00A37B38" w:rsidRPr="00F53BDD" w:rsidTr="00340B47">
        <w:trPr>
          <w:trHeight w:val="113"/>
        </w:trPr>
        <w:tc>
          <w:tcPr>
            <w:tcW w:w="5000" w:type="pct"/>
            <w:tcBorders>
              <w:top w:val="nil"/>
              <w:left w:val="single" w:sz="4" w:space="0" w:color="CFE5E5"/>
              <w:bottom w:val="single" w:sz="4" w:space="0" w:color="CFE5E5"/>
              <w:right w:val="single" w:sz="4" w:space="0" w:color="CFE5E5"/>
            </w:tcBorders>
            <w:shd w:val="clear" w:color="auto" w:fill="CFE5E5"/>
          </w:tcPr>
          <w:p w:rsidR="00A37B38" w:rsidRPr="00F53BDD" w:rsidRDefault="00704915" w:rsidP="00100199">
            <w:pPr>
              <w:pStyle w:val="Greenbullet-casestudytables"/>
              <w:spacing w:before="120"/>
            </w:pPr>
            <w:r w:rsidRPr="00F53BDD">
              <w:rPr>
                <w:b/>
                <w:bCs/>
              </w:rPr>
              <w:t>Voluntary reporting of trades.</w:t>
            </w:r>
            <w:r w:rsidR="00987D23" w:rsidRPr="00470228">
              <w:t xml:space="preserve"> </w:t>
            </w:r>
            <w:r w:rsidR="00987D23" w:rsidRPr="00F53BDD">
              <w:t xml:space="preserve">Introduce </w:t>
            </w:r>
            <w:r w:rsidR="00A37B38" w:rsidRPr="00F53BDD">
              <w:t>a mechanism for users to voluntarily report market transactions</w:t>
            </w:r>
            <w:r w:rsidR="00002EB3" w:rsidRPr="00F53BDD">
              <w:t>,</w:t>
            </w:r>
            <w:r w:rsidR="00987D23" w:rsidRPr="00F53BDD">
              <w:t xml:space="preserve"> </w:t>
            </w:r>
            <w:r w:rsidR="00002EB3" w:rsidRPr="00F53BDD">
              <w:t>for greater</w:t>
            </w:r>
            <w:r w:rsidR="00987D23" w:rsidRPr="00F53BDD">
              <w:t xml:space="preserve"> post-trade transparency</w:t>
            </w:r>
            <w:r w:rsidR="00A37B38" w:rsidRPr="00F53BDD">
              <w:t xml:space="preserve">. </w:t>
            </w:r>
            <w:r w:rsidR="00002EB3" w:rsidRPr="00F53BDD">
              <w:t xml:space="preserve">A </w:t>
            </w:r>
            <w:r w:rsidR="00A37B38" w:rsidRPr="00F53BDD">
              <w:t xml:space="preserve">regulator </w:t>
            </w:r>
            <w:r w:rsidR="00002EB3" w:rsidRPr="00F53BDD">
              <w:t>would</w:t>
            </w:r>
            <w:r w:rsidR="00A37B38" w:rsidRPr="00F53BDD">
              <w:t xml:space="preserve"> monitor </w:t>
            </w:r>
            <w:r w:rsidR="00987D23" w:rsidRPr="00F53BDD">
              <w:t xml:space="preserve">market </w:t>
            </w:r>
            <w:r w:rsidR="00A37B38" w:rsidRPr="00F53BDD">
              <w:t>developments and investigate suspected market abuse.</w:t>
            </w:r>
          </w:p>
          <w:p w:rsidR="00A37B38" w:rsidRPr="00F53BDD" w:rsidRDefault="00704915" w:rsidP="001710E8">
            <w:pPr>
              <w:pStyle w:val="Greenbullet-casestudytables"/>
            </w:pPr>
            <w:r w:rsidRPr="00F53BDD">
              <w:rPr>
                <w:b/>
                <w:bCs/>
              </w:rPr>
              <w:t xml:space="preserve">Participant </w:t>
            </w:r>
            <w:r w:rsidR="00536767" w:rsidRPr="00F53BDD">
              <w:rPr>
                <w:b/>
                <w:bCs/>
              </w:rPr>
              <w:t>p</w:t>
            </w:r>
            <w:r w:rsidRPr="00F53BDD">
              <w:rPr>
                <w:b/>
                <w:bCs/>
              </w:rPr>
              <w:t xml:space="preserve">osition </w:t>
            </w:r>
            <w:r w:rsidR="00536767" w:rsidRPr="00F53BDD">
              <w:rPr>
                <w:b/>
                <w:bCs/>
              </w:rPr>
              <w:t>r</w:t>
            </w:r>
            <w:r w:rsidRPr="00F53BDD">
              <w:rPr>
                <w:b/>
                <w:bCs/>
              </w:rPr>
              <w:t>eporting.</w:t>
            </w:r>
            <w:r w:rsidRPr="00F53BDD">
              <w:t xml:space="preserve"> </w:t>
            </w:r>
            <w:r w:rsidR="00A37B38" w:rsidRPr="00F53BDD">
              <w:t xml:space="preserve">Require users </w:t>
            </w:r>
            <w:r w:rsidR="00002EB3" w:rsidRPr="00F53BDD">
              <w:t xml:space="preserve">to </w:t>
            </w:r>
            <w:r w:rsidR="00A37B38" w:rsidRPr="00F53BDD">
              <w:t xml:space="preserve">disclose the </w:t>
            </w:r>
            <w:r w:rsidR="00050DAC" w:rsidRPr="00F53BDD">
              <w:t xml:space="preserve">number </w:t>
            </w:r>
            <w:r w:rsidR="00A37B38" w:rsidRPr="00F53BDD">
              <w:t xml:space="preserve">of NZUs they are holding or borrowing. </w:t>
            </w:r>
            <w:r w:rsidR="00002EB3" w:rsidRPr="00F53BDD">
              <w:t>This</w:t>
            </w:r>
            <w:r w:rsidR="00A37B38" w:rsidRPr="00F53BDD">
              <w:t xml:space="preserve"> increases transparency o</w:t>
            </w:r>
            <w:r w:rsidR="00050DAC" w:rsidRPr="00F53BDD">
              <w:t>f</w:t>
            </w:r>
            <w:r w:rsidR="00A37B38" w:rsidRPr="00F53BDD">
              <w:t xml:space="preserve"> the distribution of market power, </w:t>
            </w:r>
            <w:r w:rsidR="001E0B58" w:rsidRPr="00F53BDD">
              <w:t>counter-party</w:t>
            </w:r>
            <w:r w:rsidR="00A37B38" w:rsidRPr="00F53BDD">
              <w:t xml:space="preserve"> risk</w:t>
            </w:r>
            <w:r w:rsidR="00DB5F83">
              <w:t>,</w:t>
            </w:r>
            <w:r w:rsidR="00A37B38" w:rsidRPr="00F53BDD">
              <w:t xml:space="preserve"> and market conditions.</w:t>
            </w:r>
          </w:p>
          <w:p w:rsidR="00A37B38" w:rsidRPr="00F53BDD" w:rsidRDefault="00002EB3" w:rsidP="001710E8">
            <w:pPr>
              <w:pStyle w:val="Greenbullet-casestudytables"/>
            </w:pPr>
            <w:r w:rsidRPr="00F53BDD">
              <w:rPr>
                <w:b/>
                <w:bCs/>
              </w:rPr>
              <w:t>E</w:t>
            </w:r>
            <w:r w:rsidR="00704915" w:rsidRPr="00F53BDD">
              <w:rPr>
                <w:b/>
                <w:bCs/>
              </w:rPr>
              <w:t>xchange-based trading.</w:t>
            </w:r>
            <w:r w:rsidR="00704915" w:rsidRPr="00F53BDD">
              <w:t xml:space="preserve"> </w:t>
            </w:r>
            <w:r w:rsidRPr="00F53BDD">
              <w:t>A</w:t>
            </w:r>
            <w:r w:rsidR="00A37B38" w:rsidRPr="00F53BDD">
              <w:t xml:space="preserve"> regulated </w:t>
            </w:r>
            <w:r w:rsidR="00ED0118" w:rsidRPr="00F53BDD">
              <w:t xml:space="preserve">and licensed </w:t>
            </w:r>
            <w:r w:rsidR="00A37B38" w:rsidRPr="00F53BDD">
              <w:t>exchange</w:t>
            </w:r>
            <w:r w:rsidR="00ED0118" w:rsidRPr="00F53BDD">
              <w:t>,</w:t>
            </w:r>
            <w:r w:rsidR="00A37B38" w:rsidRPr="00F53BDD">
              <w:t xml:space="preserve"> </w:t>
            </w:r>
            <w:r w:rsidRPr="00F53BDD">
              <w:t xml:space="preserve">requiring </w:t>
            </w:r>
            <w:r w:rsidR="00A37B38" w:rsidRPr="00F53BDD">
              <w:t xml:space="preserve">users to </w:t>
            </w:r>
            <w:r w:rsidRPr="00F53BDD">
              <w:t xml:space="preserve">register and </w:t>
            </w:r>
            <w:r w:rsidR="003D72C4" w:rsidRPr="00F53BDD">
              <w:t>meet</w:t>
            </w:r>
            <w:r w:rsidR="00A37B38" w:rsidRPr="00F53BDD">
              <w:t xml:space="preserve"> conduct obligations</w:t>
            </w:r>
            <w:r w:rsidRPr="00F53BDD">
              <w:t>. This would</w:t>
            </w:r>
            <w:r w:rsidR="00A37B38" w:rsidRPr="00F53BDD">
              <w:t xml:space="preserve"> increase oversight of trades, reduce </w:t>
            </w:r>
            <w:r w:rsidR="001E0B58" w:rsidRPr="00F53BDD">
              <w:t>counter-party</w:t>
            </w:r>
            <w:r w:rsidR="00A37B38" w:rsidRPr="00F53BDD">
              <w:t xml:space="preserve"> risk</w:t>
            </w:r>
            <w:r w:rsidR="00470228">
              <w:t>,</w:t>
            </w:r>
            <w:r w:rsidR="00A37B38" w:rsidRPr="00F53BDD">
              <w:t xml:space="preserve"> and help detect market misconduct.</w:t>
            </w:r>
          </w:p>
        </w:tc>
      </w:tr>
      <w:tr w:rsidR="00A37B38" w:rsidRPr="00F53BDD" w:rsidTr="00340B47">
        <w:trPr>
          <w:trHeight w:val="113"/>
        </w:trPr>
        <w:tc>
          <w:tcPr>
            <w:tcW w:w="5000" w:type="pct"/>
            <w:tcBorders>
              <w:top w:val="single" w:sz="4" w:space="0" w:color="0F7B7D"/>
              <w:left w:val="single" w:sz="4" w:space="0" w:color="0F7B7D"/>
              <w:bottom w:val="nil"/>
              <w:right w:val="single" w:sz="4" w:space="0" w:color="0F7B7D"/>
            </w:tcBorders>
            <w:shd w:val="clear" w:color="auto" w:fill="0F7B7D"/>
            <w:vAlign w:val="center"/>
          </w:tcPr>
          <w:p w:rsidR="00A37B38" w:rsidRPr="00F53BDD" w:rsidDel="00D5390D" w:rsidRDefault="0012174E" w:rsidP="00457940">
            <w:pPr>
              <w:pStyle w:val="Casestudyheading"/>
              <w:rPr>
                <w:color w:val="0F7B7D" w:themeColor="accent2"/>
              </w:rPr>
            </w:pPr>
            <w:r w:rsidRPr="00F53BDD">
              <w:t>G</w:t>
            </w:r>
            <w:r w:rsidR="00A37B38" w:rsidRPr="00F53BDD">
              <w:t xml:space="preserve">overnance of market conduct </w:t>
            </w:r>
          </w:p>
        </w:tc>
      </w:tr>
      <w:tr w:rsidR="00A37B38" w:rsidRPr="00F53BDD" w:rsidTr="00340B47">
        <w:trPr>
          <w:trHeight w:val="113"/>
        </w:trPr>
        <w:tc>
          <w:tcPr>
            <w:tcW w:w="5000" w:type="pct"/>
            <w:tcBorders>
              <w:top w:val="nil"/>
              <w:left w:val="single" w:sz="4" w:space="0" w:color="CFE5E5"/>
              <w:bottom w:val="single" w:sz="4" w:space="0" w:color="CFE5E5"/>
              <w:right w:val="single" w:sz="4" w:space="0" w:color="CFE5E5"/>
            </w:tcBorders>
            <w:shd w:val="clear" w:color="auto" w:fill="CFE5E5"/>
          </w:tcPr>
          <w:p w:rsidR="00A37B38" w:rsidRPr="00F53BDD" w:rsidRDefault="00704915" w:rsidP="00100199">
            <w:pPr>
              <w:pStyle w:val="Greenbullet-casestudytables"/>
              <w:spacing w:before="120"/>
            </w:pPr>
            <w:r w:rsidRPr="00F53BDD">
              <w:rPr>
                <w:rFonts w:asciiTheme="minorHAnsi" w:hAnsiTheme="minorHAnsi" w:cstheme="minorHAnsi"/>
                <w:b/>
                <w:bCs/>
                <w:szCs w:val="18"/>
              </w:rPr>
              <w:t xml:space="preserve">Position and purchase </w:t>
            </w:r>
            <w:r w:rsidR="0098419A" w:rsidRPr="00F53BDD">
              <w:rPr>
                <w:rFonts w:asciiTheme="minorHAnsi" w:hAnsiTheme="minorHAnsi" w:cstheme="minorHAnsi"/>
                <w:b/>
                <w:bCs/>
                <w:szCs w:val="18"/>
              </w:rPr>
              <w:t>l</w:t>
            </w:r>
            <w:r w:rsidRPr="00F53BDD">
              <w:rPr>
                <w:rFonts w:asciiTheme="minorHAnsi" w:hAnsiTheme="minorHAnsi" w:cstheme="minorHAnsi"/>
                <w:b/>
                <w:bCs/>
                <w:szCs w:val="18"/>
              </w:rPr>
              <w:t>imits</w:t>
            </w:r>
            <w:r w:rsidRPr="00F53BDD">
              <w:rPr>
                <w:b/>
                <w:bCs/>
              </w:rPr>
              <w:t>.</w:t>
            </w:r>
            <w:r w:rsidRPr="00F53BDD">
              <w:t xml:space="preserve"> </w:t>
            </w:r>
            <w:r w:rsidR="00987D23" w:rsidRPr="00F53BDD">
              <w:t xml:space="preserve">Position limits restrict the number of NZUs a </w:t>
            </w:r>
            <w:r w:rsidR="00050DAC" w:rsidRPr="00F53BDD">
              <w:t>u</w:t>
            </w:r>
            <w:r w:rsidR="00987D23" w:rsidRPr="00F53BDD">
              <w:t xml:space="preserve">ser can hold at any one time, limiting their ability to exercise market power. </w:t>
            </w:r>
            <w:r w:rsidR="003D72C4" w:rsidRPr="00F53BDD">
              <w:t>P</w:t>
            </w:r>
            <w:r w:rsidR="00987D23" w:rsidRPr="00F53BDD">
              <w:t xml:space="preserve">urchase limits restrict the maximum number of </w:t>
            </w:r>
            <w:r w:rsidR="00207E1E" w:rsidRPr="00F53BDD">
              <w:t xml:space="preserve">NZUs </w:t>
            </w:r>
            <w:r w:rsidR="00987D23" w:rsidRPr="00F53BDD">
              <w:t xml:space="preserve">a </w:t>
            </w:r>
            <w:r w:rsidR="00207E1E" w:rsidRPr="00F53BDD">
              <w:t xml:space="preserve">user </w:t>
            </w:r>
            <w:r w:rsidR="00987D23" w:rsidRPr="00F53BDD">
              <w:t xml:space="preserve">can </w:t>
            </w:r>
            <w:r w:rsidR="00E123E3" w:rsidRPr="00F53BDD">
              <w:t xml:space="preserve">buy </w:t>
            </w:r>
            <w:r w:rsidR="00207E1E" w:rsidRPr="00F53BDD">
              <w:t>at primary NZU auctions</w:t>
            </w:r>
            <w:r w:rsidR="00987D23" w:rsidRPr="00F53BDD">
              <w:t>.</w:t>
            </w:r>
            <w:r w:rsidR="00A37B38" w:rsidRPr="00F53BDD">
              <w:t xml:space="preserve"> Typically</w:t>
            </w:r>
            <w:r w:rsidR="00987D23" w:rsidRPr="00F53BDD">
              <w:t xml:space="preserve">, </w:t>
            </w:r>
            <w:r w:rsidR="00A37B38" w:rsidRPr="00F53BDD">
              <w:t xml:space="preserve">ETS participants with surrender obligations </w:t>
            </w:r>
            <w:r w:rsidR="00207E1E" w:rsidRPr="00F53BDD">
              <w:t>can</w:t>
            </w:r>
            <w:r w:rsidR="00A37B38" w:rsidRPr="00F53BDD">
              <w:t xml:space="preserve"> </w:t>
            </w:r>
            <w:r w:rsidR="00E123E3" w:rsidRPr="00F53BDD">
              <w:t xml:space="preserve">buy </w:t>
            </w:r>
            <w:r w:rsidR="00A37B38" w:rsidRPr="00F53BDD">
              <w:t>more units than speculative traders.</w:t>
            </w:r>
          </w:p>
          <w:p w:rsidR="00A37B38" w:rsidRPr="00F53BDD" w:rsidRDefault="00F04383" w:rsidP="005070A3">
            <w:pPr>
              <w:pStyle w:val="Greenbullet-casestudytables"/>
              <w:spacing w:before="120"/>
            </w:pPr>
            <w:r w:rsidRPr="00F53BDD">
              <w:rPr>
                <w:rFonts w:asciiTheme="minorHAnsi" w:hAnsiTheme="minorHAnsi" w:cstheme="minorHAnsi"/>
                <w:b/>
                <w:bCs/>
                <w:szCs w:val="18"/>
              </w:rPr>
              <w:t>Price reporting</w:t>
            </w:r>
            <w:r w:rsidR="00704915" w:rsidRPr="00F53BDD">
              <w:rPr>
                <w:rFonts w:asciiTheme="minorHAnsi" w:hAnsiTheme="minorHAnsi" w:cstheme="minorHAnsi"/>
                <w:b/>
                <w:bCs/>
                <w:szCs w:val="18"/>
              </w:rPr>
              <w:t>.</w:t>
            </w:r>
            <w:r w:rsidR="00704915" w:rsidRPr="00F53BDD">
              <w:t xml:space="preserve"> </w:t>
            </w:r>
            <w:r w:rsidR="00A37B38" w:rsidRPr="00F53BDD">
              <w:t xml:space="preserve">Require </w:t>
            </w:r>
            <w:r w:rsidR="003D72C4" w:rsidRPr="00F53BDD">
              <w:t xml:space="preserve">all NZU trades to disclose </w:t>
            </w:r>
            <w:r w:rsidR="00A37B38" w:rsidRPr="00F53BDD">
              <w:t>price</w:t>
            </w:r>
            <w:r w:rsidR="00E123E3" w:rsidRPr="00F53BDD">
              <w:t>s</w:t>
            </w:r>
            <w:r w:rsidR="00A37B38" w:rsidRPr="00F53BDD">
              <w:t xml:space="preserve"> to the regulator</w:t>
            </w:r>
            <w:r w:rsidR="003D72C4" w:rsidRPr="00F53BDD">
              <w:t>,</w:t>
            </w:r>
            <w:r w:rsidR="00A37B38" w:rsidRPr="00F53BDD">
              <w:t xml:space="preserve"> to increase transparency and protect against fraudulent activity and price manipulation.</w:t>
            </w:r>
          </w:p>
          <w:p w:rsidR="00A37B38" w:rsidRPr="00F53BDD" w:rsidRDefault="00704915" w:rsidP="005070A3">
            <w:pPr>
              <w:pStyle w:val="Greenbullet-casestudytables"/>
            </w:pPr>
            <w:r w:rsidRPr="00F53BDD">
              <w:rPr>
                <w:rFonts w:asciiTheme="minorHAnsi" w:hAnsiTheme="minorHAnsi" w:cstheme="minorHAnsi"/>
                <w:b/>
                <w:bCs/>
                <w:szCs w:val="18"/>
              </w:rPr>
              <w:t>Full transaction detail reporting.</w:t>
            </w:r>
            <w:r w:rsidRPr="00F53BDD">
              <w:t xml:space="preserve"> </w:t>
            </w:r>
            <w:r w:rsidR="00A37B38" w:rsidRPr="00F53BDD">
              <w:t xml:space="preserve">Require full transaction disclosure </w:t>
            </w:r>
            <w:r w:rsidR="00340B47" w:rsidRPr="00F53BDD">
              <w:t xml:space="preserve">and reporting </w:t>
            </w:r>
            <w:r w:rsidR="00A37B38" w:rsidRPr="00F53BDD">
              <w:t>to the regulator</w:t>
            </w:r>
            <w:r w:rsidR="003D72C4" w:rsidRPr="00F53BDD">
              <w:t>. This would</w:t>
            </w:r>
            <w:r w:rsidR="00A37B38" w:rsidRPr="00F53BDD">
              <w:t xml:space="preserve"> increase transparency</w:t>
            </w:r>
            <w:r w:rsidR="003D72C4" w:rsidRPr="00F53BDD">
              <w:t>,</w:t>
            </w:r>
            <w:r w:rsidR="00A37B38" w:rsidRPr="00F53BDD">
              <w:t xml:space="preserve"> and protect against fraudulent activity, price manipulation, money laundering and financing of terrorism.</w:t>
            </w:r>
          </w:p>
        </w:tc>
      </w:tr>
      <w:tr w:rsidR="00A37B38" w:rsidRPr="00F53BDD" w:rsidTr="00340B47">
        <w:trPr>
          <w:trHeight w:val="113"/>
        </w:trPr>
        <w:tc>
          <w:tcPr>
            <w:tcW w:w="5000" w:type="pct"/>
            <w:tcBorders>
              <w:top w:val="single" w:sz="4" w:space="0" w:color="0F7B7D"/>
              <w:left w:val="single" w:sz="4" w:space="0" w:color="0F7B7D"/>
              <w:bottom w:val="nil"/>
              <w:right w:val="single" w:sz="4" w:space="0" w:color="0F7B7D"/>
            </w:tcBorders>
            <w:shd w:val="clear" w:color="auto" w:fill="0F7B7D"/>
            <w:vAlign w:val="center"/>
          </w:tcPr>
          <w:p w:rsidR="00A37B38" w:rsidRPr="00F53BDD" w:rsidDel="00D5390D" w:rsidRDefault="003D72C4" w:rsidP="00100199">
            <w:pPr>
              <w:pStyle w:val="Casestudyheading"/>
              <w:rPr>
                <w:color w:val="0F7B7D" w:themeColor="accent2"/>
              </w:rPr>
            </w:pPr>
            <w:r w:rsidRPr="00F53BDD">
              <w:t>A</w:t>
            </w:r>
            <w:r w:rsidR="00207E1E" w:rsidRPr="00F53BDD">
              <w:t>ppoint</w:t>
            </w:r>
            <w:r w:rsidRPr="00F53BDD">
              <w:t>ing</w:t>
            </w:r>
            <w:r w:rsidR="00207E1E" w:rsidRPr="00F53BDD">
              <w:t xml:space="preserve"> a regulator</w:t>
            </w:r>
          </w:p>
        </w:tc>
      </w:tr>
      <w:tr w:rsidR="00A37B38" w:rsidRPr="00F53BDD" w:rsidTr="00340B47">
        <w:trPr>
          <w:trHeight w:val="113"/>
        </w:trPr>
        <w:tc>
          <w:tcPr>
            <w:tcW w:w="5000" w:type="pct"/>
            <w:tcBorders>
              <w:top w:val="nil"/>
              <w:left w:val="single" w:sz="4" w:space="0" w:color="CFE5E5"/>
              <w:bottom w:val="single" w:sz="4" w:space="0" w:color="CFE5E5"/>
              <w:right w:val="single" w:sz="4" w:space="0" w:color="CFE5E5"/>
            </w:tcBorders>
            <w:shd w:val="clear" w:color="auto" w:fill="CFE5E5"/>
          </w:tcPr>
          <w:p w:rsidR="00A37B38" w:rsidRPr="00F53BDD" w:rsidRDefault="00704915" w:rsidP="00100199">
            <w:pPr>
              <w:pStyle w:val="Greenbullet-casestudytables"/>
              <w:spacing w:before="120"/>
            </w:pPr>
            <w:r w:rsidRPr="00F53BDD">
              <w:rPr>
                <w:b/>
                <w:bCs/>
              </w:rPr>
              <w:t>Self-</w:t>
            </w:r>
            <w:r w:rsidR="00050DAC" w:rsidRPr="00F53BDD">
              <w:rPr>
                <w:b/>
                <w:bCs/>
              </w:rPr>
              <w:t>r</w:t>
            </w:r>
            <w:r w:rsidRPr="00F53BDD">
              <w:rPr>
                <w:b/>
                <w:bCs/>
              </w:rPr>
              <w:t>egulating body.</w:t>
            </w:r>
            <w:r w:rsidRPr="00F53BDD">
              <w:t xml:space="preserve"> </w:t>
            </w:r>
            <w:r w:rsidR="00E123E3" w:rsidRPr="00F53BDD">
              <w:t xml:space="preserve">Set up </w:t>
            </w:r>
            <w:r w:rsidR="00A37B38" w:rsidRPr="00F53BDD">
              <w:t>a voluntary framework led by a self-regulating body to oversee market governance.</w:t>
            </w:r>
          </w:p>
          <w:p w:rsidR="00A37B38" w:rsidRPr="00F53BDD" w:rsidRDefault="00704915" w:rsidP="001710E8">
            <w:pPr>
              <w:pStyle w:val="Greenbullet-casestudytables"/>
            </w:pPr>
            <w:r w:rsidRPr="00F53BDD">
              <w:rPr>
                <w:b/>
                <w:bCs/>
              </w:rPr>
              <w:t>Advisory regulator.</w:t>
            </w:r>
            <w:r w:rsidRPr="00F53BDD">
              <w:t xml:space="preserve"> </w:t>
            </w:r>
            <w:r w:rsidR="00A37B38" w:rsidRPr="00F53BDD">
              <w:t xml:space="preserve">Establish an advisory regulator to </w:t>
            </w:r>
            <w:r w:rsidR="003D72C4" w:rsidRPr="00F53BDD">
              <w:t xml:space="preserve">give </w:t>
            </w:r>
            <w:r w:rsidR="00A37B38" w:rsidRPr="00F53BDD">
              <w:t xml:space="preserve">independent advice to </w:t>
            </w:r>
            <w:r w:rsidR="003D72C4" w:rsidRPr="00F53BDD">
              <w:t>the G</w:t>
            </w:r>
            <w:r w:rsidR="00A37B38" w:rsidRPr="00F53BDD">
              <w:t xml:space="preserve">overnment, without investigative or enforcement powers. </w:t>
            </w:r>
          </w:p>
          <w:p w:rsidR="00A37B38" w:rsidRPr="00F53BDD" w:rsidRDefault="00704915" w:rsidP="001710E8">
            <w:pPr>
              <w:pStyle w:val="Greenbullet-casestudytables"/>
            </w:pPr>
            <w:r w:rsidRPr="00F53BDD">
              <w:rPr>
                <w:b/>
                <w:bCs/>
              </w:rPr>
              <w:t xml:space="preserve">Market </w:t>
            </w:r>
            <w:r w:rsidR="00050DAC" w:rsidRPr="00F53BDD">
              <w:rPr>
                <w:b/>
                <w:bCs/>
              </w:rPr>
              <w:t>m</w:t>
            </w:r>
            <w:r w:rsidRPr="00F53BDD">
              <w:rPr>
                <w:b/>
                <w:bCs/>
              </w:rPr>
              <w:t>onitoring regulator.</w:t>
            </w:r>
            <w:r w:rsidRPr="00F53BDD">
              <w:t xml:space="preserve"> </w:t>
            </w:r>
            <w:r w:rsidR="00A37B38" w:rsidRPr="00F53BDD">
              <w:t xml:space="preserve">Establish a market monitoring regulator with investigatory powers to collect information from users and monitor compliance with existing Acts and regulations. The regulator </w:t>
            </w:r>
            <w:r w:rsidR="003D72C4" w:rsidRPr="00F53BDD">
              <w:t xml:space="preserve">would </w:t>
            </w:r>
            <w:r w:rsidR="00A37B38" w:rsidRPr="00F53BDD">
              <w:t xml:space="preserve">not have enforcement powers and </w:t>
            </w:r>
            <w:r w:rsidR="003D72C4" w:rsidRPr="00F53BDD">
              <w:t xml:space="preserve">would </w:t>
            </w:r>
            <w:r w:rsidR="00A37B38" w:rsidRPr="00F53BDD">
              <w:t xml:space="preserve">report its findings to </w:t>
            </w:r>
            <w:r w:rsidR="003D72C4" w:rsidRPr="00F53BDD">
              <w:t xml:space="preserve">the </w:t>
            </w:r>
            <w:r w:rsidR="00A37B38" w:rsidRPr="00F53BDD">
              <w:t>Government.</w:t>
            </w:r>
          </w:p>
          <w:p w:rsidR="00A37B38" w:rsidRPr="00F53BDD" w:rsidRDefault="00704915" w:rsidP="001710E8">
            <w:pPr>
              <w:pStyle w:val="Greenbullet-casestudytables"/>
            </w:pPr>
            <w:r w:rsidRPr="00F53BDD">
              <w:rPr>
                <w:b/>
                <w:bCs/>
              </w:rPr>
              <w:t xml:space="preserve">Market </w:t>
            </w:r>
            <w:r w:rsidR="00050DAC" w:rsidRPr="00F53BDD">
              <w:rPr>
                <w:b/>
                <w:bCs/>
              </w:rPr>
              <w:t>c</w:t>
            </w:r>
            <w:r w:rsidRPr="00F53BDD">
              <w:rPr>
                <w:b/>
                <w:bCs/>
              </w:rPr>
              <w:t>ompliance regulator.</w:t>
            </w:r>
            <w:r w:rsidRPr="00F53BDD">
              <w:t xml:space="preserve"> </w:t>
            </w:r>
            <w:r w:rsidR="00A37B38" w:rsidRPr="00F53BDD">
              <w:t xml:space="preserve">Establish a market compliance regulator with investigatory powers to collect information from users, monitor compliance with existing Acts and regulations, and enforce compliance. </w:t>
            </w:r>
          </w:p>
          <w:p w:rsidR="00A37B38" w:rsidRPr="00F53BDD" w:rsidRDefault="00704915" w:rsidP="007363EF">
            <w:pPr>
              <w:pStyle w:val="Greenbullet-casestudytables"/>
              <w:spacing w:after="240"/>
            </w:pPr>
            <w:r w:rsidRPr="00F53BDD">
              <w:rPr>
                <w:b/>
                <w:bCs/>
              </w:rPr>
              <w:t xml:space="preserve">Market </w:t>
            </w:r>
            <w:r w:rsidR="00050DAC" w:rsidRPr="00F53BDD">
              <w:rPr>
                <w:b/>
                <w:bCs/>
              </w:rPr>
              <w:t>d</w:t>
            </w:r>
            <w:r w:rsidRPr="00F53BDD">
              <w:rPr>
                <w:b/>
                <w:bCs/>
              </w:rPr>
              <w:t>esign regulator.</w:t>
            </w:r>
            <w:r w:rsidRPr="00F53BDD">
              <w:t xml:space="preserve"> </w:t>
            </w:r>
            <w:r w:rsidR="00A37B38" w:rsidRPr="00F53BDD">
              <w:t xml:space="preserve">Establish a market design regulator with the power to design and administer an industry participation </w:t>
            </w:r>
            <w:r w:rsidR="00050DAC" w:rsidRPr="00F53BDD">
              <w:t>c</w:t>
            </w:r>
            <w:r w:rsidR="00A37B38" w:rsidRPr="00F53BDD">
              <w:t xml:space="preserve">ode </w:t>
            </w:r>
            <w:r w:rsidR="00E123E3" w:rsidRPr="00F53BDD">
              <w:t xml:space="preserve">that </w:t>
            </w:r>
            <w:r w:rsidR="00A37B38" w:rsidRPr="00F53BDD">
              <w:t xml:space="preserve">defines the obligations of industry participants. The regulator </w:t>
            </w:r>
            <w:r w:rsidR="003D72C4" w:rsidRPr="00F53BDD">
              <w:t xml:space="preserve">could </w:t>
            </w:r>
            <w:r w:rsidR="00A37B38" w:rsidRPr="00F53BDD">
              <w:t xml:space="preserve">also amend and update the </w:t>
            </w:r>
            <w:r w:rsidR="00050DAC" w:rsidRPr="00F53BDD">
              <w:t>c</w:t>
            </w:r>
            <w:r w:rsidR="00A37B38" w:rsidRPr="00F53BDD">
              <w:t xml:space="preserve">ode to ensure the </w:t>
            </w:r>
            <w:r w:rsidR="005A6E4F" w:rsidRPr="00F53BDD">
              <w:t>framework</w:t>
            </w:r>
            <w:r w:rsidR="00A37B38" w:rsidRPr="00F53BDD">
              <w:t xml:space="preserve"> </w:t>
            </w:r>
            <w:r w:rsidR="003D72C4" w:rsidRPr="00F53BDD">
              <w:t xml:space="preserve">stays </w:t>
            </w:r>
            <w:r w:rsidR="00A37B38" w:rsidRPr="00F53BDD">
              <w:t>fit for purpose</w:t>
            </w:r>
            <w:r w:rsidR="00207E1E" w:rsidRPr="00F53BDD">
              <w:t>.</w:t>
            </w:r>
          </w:p>
        </w:tc>
      </w:tr>
    </w:tbl>
    <w:p w:rsidR="00E123E3" w:rsidRPr="00F53BDD" w:rsidRDefault="00E123E3" w:rsidP="00100199">
      <w:pPr>
        <w:pStyle w:val="BodyText"/>
        <w:rPr>
          <w:rStyle w:val="Heading1Char"/>
          <w:rFonts w:eastAsiaTheme="minorEastAsia" w:cstheme="minorBidi"/>
          <w:b w:val="0"/>
          <w:bCs w:val="0"/>
          <w:color w:val="auto"/>
          <w:sz w:val="22"/>
          <w:szCs w:val="22"/>
        </w:rPr>
      </w:pPr>
    </w:p>
    <w:p w:rsidR="009B6B17" w:rsidRPr="00F53BDD" w:rsidRDefault="009B6B17" w:rsidP="00100199">
      <w:pPr>
        <w:pStyle w:val="BodyText"/>
        <w:rPr>
          <w:rStyle w:val="Heading1Char"/>
          <w:rFonts w:eastAsiaTheme="minorEastAsia" w:cstheme="minorBidi"/>
          <w:b w:val="0"/>
          <w:bCs w:val="0"/>
          <w:color w:val="auto"/>
          <w:sz w:val="22"/>
          <w:szCs w:val="22"/>
        </w:rPr>
      </w:pPr>
      <w:r w:rsidRPr="00F53BDD">
        <w:rPr>
          <w:rStyle w:val="Heading1Char"/>
          <w:rFonts w:eastAsiaTheme="minorEastAsia" w:cstheme="minorBidi"/>
          <w:b w:val="0"/>
          <w:bCs w:val="0"/>
          <w:color w:val="auto"/>
          <w:sz w:val="22"/>
          <w:szCs w:val="22"/>
        </w:rPr>
        <w:br w:type="page"/>
      </w:r>
    </w:p>
    <w:p w:rsidR="001856BB" w:rsidRPr="00F53BDD" w:rsidRDefault="001856BB" w:rsidP="001856BB">
      <w:pPr>
        <w:pStyle w:val="Heading1"/>
        <w:rPr>
          <w:rStyle w:val="Heading1Char"/>
          <w:b/>
        </w:rPr>
      </w:pPr>
      <w:bookmarkStart w:id="17" w:name="_Toc75250053"/>
      <w:r w:rsidRPr="00F53BDD">
        <w:rPr>
          <w:rStyle w:val="Heading1Char"/>
          <w:b/>
        </w:rPr>
        <w:t xml:space="preserve">Section 1: </w:t>
      </w:r>
      <w:r w:rsidR="00690A7F" w:rsidRPr="00F53BDD">
        <w:rPr>
          <w:rStyle w:val="Heading1Char"/>
          <w:b/>
        </w:rPr>
        <w:t>C</w:t>
      </w:r>
      <w:r w:rsidRPr="00F53BDD">
        <w:rPr>
          <w:rStyle w:val="Heading1Char"/>
          <w:b/>
        </w:rPr>
        <w:t>ontext</w:t>
      </w:r>
      <w:bookmarkEnd w:id="17"/>
    </w:p>
    <w:p w:rsidR="001856BB" w:rsidRPr="00F53BDD" w:rsidRDefault="00A44123" w:rsidP="00100199">
      <w:pPr>
        <w:pStyle w:val="Heading2"/>
        <w:spacing w:before="240"/>
        <w:rPr>
          <w:rFonts w:asciiTheme="majorHAnsi" w:hAnsiTheme="majorHAnsi"/>
        </w:rPr>
      </w:pPr>
      <w:bookmarkStart w:id="18" w:name="_Toc75250054"/>
      <w:r w:rsidRPr="00F53BDD">
        <w:t>NZ ETS:</w:t>
      </w:r>
      <w:r w:rsidR="001856BB" w:rsidRPr="00F53BDD">
        <w:t xml:space="preserve"> </w:t>
      </w:r>
      <w:r w:rsidRPr="00F53BDD">
        <w:t>a</w:t>
      </w:r>
      <w:r w:rsidR="001856BB" w:rsidRPr="00F53BDD">
        <w:t xml:space="preserve"> </w:t>
      </w:r>
      <w:r w:rsidRPr="00F53BDD">
        <w:t xml:space="preserve">key </w:t>
      </w:r>
      <w:r w:rsidR="001856BB" w:rsidRPr="00F53BDD">
        <w:t>tool for addressing climate change</w:t>
      </w:r>
      <w:bookmarkEnd w:id="18"/>
    </w:p>
    <w:p w:rsidR="00A44123" w:rsidRPr="00F53BDD" w:rsidRDefault="00340B47" w:rsidP="00100199">
      <w:pPr>
        <w:pStyle w:val="BodyText"/>
      </w:pPr>
      <w:r w:rsidRPr="00F53BDD">
        <w:t>The</w:t>
      </w:r>
      <w:r w:rsidR="00883A7F" w:rsidRPr="00F53BDD">
        <w:t xml:space="preserve"> Government is committed to cut</w:t>
      </w:r>
      <w:r w:rsidR="00A44123" w:rsidRPr="00F53BDD">
        <w:t>ting</w:t>
      </w:r>
      <w:r w:rsidR="00883A7F" w:rsidRPr="00F53BDD">
        <w:t xml:space="preserve"> New Zealand’s emissions and respond</w:t>
      </w:r>
      <w:r w:rsidR="00A44123" w:rsidRPr="00F53BDD">
        <w:t>ing</w:t>
      </w:r>
      <w:r w:rsidR="00883A7F" w:rsidRPr="00F53BDD">
        <w:t xml:space="preserve"> to climate change by transitioning to a low-emissions, climate</w:t>
      </w:r>
      <w:r w:rsidR="00A44123" w:rsidRPr="00F53BDD">
        <w:t>-</w:t>
      </w:r>
      <w:r w:rsidR="00883A7F" w:rsidRPr="00F53BDD">
        <w:t xml:space="preserve">resilient economy in a manner that is fair for all New Zealanders. </w:t>
      </w:r>
    </w:p>
    <w:p w:rsidR="00E123E3" w:rsidRPr="00F53BDD" w:rsidRDefault="00883A7F" w:rsidP="00883A7F">
      <w:pPr>
        <w:pStyle w:val="Bullet"/>
        <w:numPr>
          <w:ilvl w:val="0"/>
          <w:numId w:val="0"/>
        </w:numPr>
      </w:pPr>
      <w:r w:rsidRPr="00F53BDD">
        <w:t>The ETS, alongside other climate change policies, is an important tool in this transition</w:t>
      </w:r>
    </w:p>
    <w:p w:rsidR="00F857E2" w:rsidRPr="00F53BDD" w:rsidRDefault="00F857E2" w:rsidP="00100199">
      <w:pPr>
        <w:pStyle w:val="Heading3"/>
      </w:pPr>
      <w:r w:rsidRPr="00F53BDD">
        <w:t xml:space="preserve">How the </w:t>
      </w:r>
      <w:r w:rsidR="00E123E3" w:rsidRPr="00F53BDD">
        <w:t>scheme</w:t>
      </w:r>
      <w:r w:rsidRPr="00F53BDD">
        <w:t xml:space="preserve"> works</w:t>
      </w:r>
    </w:p>
    <w:p w:rsidR="00883A7F" w:rsidRPr="00F53BDD" w:rsidRDefault="00883A7F" w:rsidP="00100199">
      <w:pPr>
        <w:pStyle w:val="BodyText"/>
      </w:pPr>
      <w:r w:rsidRPr="00F53BDD">
        <w:t xml:space="preserve">The Climate Change Response Act </w:t>
      </w:r>
      <w:r w:rsidR="005B776F" w:rsidRPr="00F53BDD">
        <w:t xml:space="preserve">2002 </w:t>
      </w:r>
      <w:r w:rsidRPr="00F53BDD">
        <w:t>(CCRA) established the NZ ETS in 2008 as a</w:t>
      </w:r>
      <w:r w:rsidR="006D1CAF" w:rsidRPr="00F53BDD">
        <w:t>n important</w:t>
      </w:r>
      <w:r w:rsidRPr="00F53BDD">
        <w:t xml:space="preserve"> tool </w:t>
      </w:r>
      <w:r w:rsidR="00F857E2" w:rsidRPr="00F53BDD">
        <w:t>for</w:t>
      </w:r>
      <w:r w:rsidRPr="00F53BDD">
        <w:t xml:space="preserve"> meeting</w:t>
      </w:r>
      <w:r w:rsidR="00F857E2" w:rsidRPr="00F53BDD">
        <w:t xml:space="preserve"> our</w:t>
      </w:r>
      <w:r w:rsidRPr="00F53BDD">
        <w:t xml:space="preserve"> international and domestic emissions targets. The ETS puts a price on greenhouse gas emissions by requiring </w:t>
      </w:r>
      <w:r w:rsidR="007806DA" w:rsidRPr="00F53BDD">
        <w:t>people and businesses</w:t>
      </w:r>
      <w:r w:rsidRPr="00F53BDD">
        <w:t xml:space="preserve"> covered by the scheme to purchase and surrender units to the Government for their emissions. </w:t>
      </w:r>
    </w:p>
    <w:p w:rsidR="00F857E2" w:rsidRPr="00F53BDD" w:rsidRDefault="00F857E2" w:rsidP="00F61D46">
      <w:pPr>
        <w:pStyle w:val="Heading3"/>
      </w:pPr>
      <w:r w:rsidRPr="00F53BDD">
        <w:t>Why change the ETS governance framework?</w:t>
      </w:r>
    </w:p>
    <w:p w:rsidR="00F857E2" w:rsidRPr="00F53BDD" w:rsidRDefault="007849F5" w:rsidP="00F61D46">
      <w:pPr>
        <w:pStyle w:val="BodyText"/>
      </w:pPr>
      <w:r w:rsidRPr="00F53BDD">
        <w:t>A review of the ETS in 2015/</w:t>
      </w:r>
      <w:r w:rsidR="00883A7F" w:rsidRPr="00F53BDD">
        <w:t>16</w:t>
      </w:r>
      <w:r w:rsidRPr="00F53BDD">
        <w:t xml:space="preserve"> </w:t>
      </w:r>
      <w:r w:rsidR="006D1CAF" w:rsidRPr="00F53BDD">
        <w:t xml:space="preserve">found </w:t>
      </w:r>
      <w:r w:rsidR="0077096C" w:rsidRPr="00F53BDD">
        <w:t>that</w:t>
      </w:r>
      <w:r w:rsidR="00883A7F" w:rsidRPr="00F53BDD">
        <w:t xml:space="preserve"> </w:t>
      </w:r>
      <w:r w:rsidR="003B71EE" w:rsidRPr="00F53BDD">
        <w:t>the</w:t>
      </w:r>
      <w:r w:rsidR="00883A7F" w:rsidRPr="00F53BDD">
        <w:t xml:space="preserve"> framework </w:t>
      </w:r>
      <w:r w:rsidR="003B71EE" w:rsidRPr="00F53BDD">
        <w:t>is incomplete and could be improved</w:t>
      </w:r>
      <w:r w:rsidRPr="00F53BDD">
        <w:t>.</w:t>
      </w:r>
      <w:r w:rsidR="00883A7F" w:rsidRPr="00F53BDD">
        <w:t xml:space="preserve"> </w:t>
      </w:r>
      <w:r w:rsidR="00F857E2" w:rsidRPr="00F53BDD">
        <w:t>The proposals set out here aim to improve the framework so it effectively supports the transition.</w:t>
      </w:r>
    </w:p>
    <w:p w:rsidR="00937A15" w:rsidRPr="00F53BDD" w:rsidRDefault="00F857E2" w:rsidP="00937A15">
      <w:pPr>
        <w:pStyle w:val="Heading3"/>
      </w:pPr>
      <w:r w:rsidRPr="00F53BDD">
        <w:t>Options to address</w:t>
      </w:r>
      <w:r w:rsidR="0053183D" w:rsidRPr="00F53BDD">
        <w:t xml:space="preserve"> market governance risks </w:t>
      </w:r>
    </w:p>
    <w:p w:rsidR="00883A7F" w:rsidRPr="00F53BDD" w:rsidRDefault="00935001" w:rsidP="00F61D46">
      <w:pPr>
        <w:pStyle w:val="BodyText"/>
      </w:pPr>
      <w:r w:rsidRPr="00F53BDD">
        <w:t xml:space="preserve">Market governance refers to the rules and oversight of different types of conduct in the ETS market (including the primary, secondary and derivatives markets). </w:t>
      </w:r>
      <w:r w:rsidR="00883A7F" w:rsidRPr="00F53BDD">
        <w:t>The Ministry for the Environment</w:t>
      </w:r>
      <w:r w:rsidR="00F61D46" w:rsidRPr="00F53BDD">
        <w:t>,</w:t>
      </w:r>
      <w:r w:rsidR="00E02EC0" w:rsidRPr="00F53BDD">
        <w:rPr>
          <w:rStyle w:val="FootnoteReference"/>
        </w:rPr>
        <w:footnoteReference w:id="1"/>
      </w:r>
      <w:r w:rsidR="00883A7F" w:rsidRPr="00F53BDD">
        <w:t xml:space="preserve"> Climate Change Commission</w:t>
      </w:r>
      <w:r w:rsidR="00F61D46" w:rsidRPr="00F53BDD">
        <w:t>,</w:t>
      </w:r>
      <w:r w:rsidR="00E02EC0" w:rsidRPr="00F53BDD">
        <w:rPr>
          <w:rStyle w:val="FootnoteReference"/>
        </w:rPr>
        <w:footnoteReference w:id="2"/>
      </w:r>
      <w:r w:rsidR="005B776F" w:rsidRPr="00F53BDD">
        <w:t xml:space="preserve"> Productivity Commission</w:t>
      </w:r>
      <w:r w:rsidR="005B776F" w:rsidRPr="00F53BDD">
        <w:rPr>
          <w:rStyle w:val="FootnoteReference"/>
        </w:rPr>
        <w:footnoteReference w:id="3"/>
      </w:r>
      <w:r w:rsidR="00883A7F" w:rsidRPr="00F53BDD">
        <w:t xml:space="preserve"> </w:t>
      </w:r>
      <w:r w:rsidR="005B776F" w:rsidRPr="00F53BDD">
        <w:t>and the Government’s response</w:t>
      </w:r>
      <w:r w:rsidR="005B776F" w:rsidRPr="00F53BDD">
        <w:rPr>
          <w:rStyle w:val="FootnoteReference"/>
        </w:rPr>
        <w:footnoteReference w:id="4"/>
      </w:r>
      <w:r w:rsidR="005B776F" w:rsidRPr="00F53BDD">
        <w:t xml:space="preserve"> </w:t>
      </w:r>
      <w:r w:rsidR="00883A7F" w:rsidRPr="00F53BDD">
        <w:t>note t</w:t>
      </w:r>
      <w:r w:rsidR="0077096C" w:rsidRPr="00F53BDD">
        <w:t xml:space="preserve">hat </w:t>
      </w:r>
      <w:r w:rsidR="00F857E2" w:rsidRPr="00F53BDD">
        <w:t xml:space="preserve">there are </w:t>
      </w:r>
      <w:r w:rsidR="0077096C" w:rsidRPr="00F53BDD">
        <w:t xml:space="preserve">risks </w:t>
      </w:r>
      <w:r w:rsidR="00883A7F" w:rsidRPr="00F53BDD">
        <w:t xml:space="preserve">in the </w:t>
      </w:r>
      <w:r w:rsidR="00C53953" w:rsidRPr="00F53BDD">
        <w:t>scheme</w:t>
      </w:r>
      <w:r w:rsidRPr="00F53BDD">
        <w:t xml:space="preserve"> due to </w:t>
      </w:r>
      <w:r w:rsidR="0077096C" w:rsidRPr="00F53BDD">
        <w:t>a lack of</w:t>
      </w:r>
      <w:r w:rsidRPr="00F53BDD">
        <w:t xml:space="preserve"> governance.</w:t>
      </w:r>
    </w:p>
    <w:p w:rsidR="00935001" w:rsidRPr="00F53BDD" w:rsidRDefault="00C53953" w:rsidP="00F61D46">
      <w:pPr>
        <w:pStyle w:val="BodyText"/>
      </w:pPr>
      <w:r w:rsidRPr="00F53BDD">
        <w:t>A</w:t>
      </w:r>
      <w:r w:rsidR="00935001" w:rsidRPr="00F53BDD">
        <w:t xml:space="preserve"> comprehensive </w:t>
      </w:r>
      <w:r w:rsidR="005A6E4F" w:rsidRPr="00F53BDD">
        <w:t>framework</w:t>
      </w:r>
      <w:r w:rsidR="00935001" w:rsidRPr="00F53BDD">
        <w:t xml:space="preserve"> facilitates a well-functioning market and protects the integrity of</w:t>
      </w:r>
      <w:r w:rsidR="0014004A" w:rsidRPr="00F53BDD">
        <w:t> </w:t>
      </w:r>
      <w:r w:rsidR="00935001" w:rsidRPr="00F53BDD">
        <w:t xml:space="preserve">the </w:t>
      </w:r>
      <w:r w:rsidRPr="00F53BDD">
        <w:t>scheme</w:t>
      </w:r>
      <w:r w:rsidR="00935001" w:rsidRPr="00F53BDD">
        <w:t xml:space="preserve">. At present, there </w:t>
      </w:r>
      <w:r w:rsidR="006D1CAF" w:rsidRPr="00F53BDD">
        <w:t xml:space="preserve">is </w:t>
      </w:r>
      <w:r w:rsidR="00935001" w:rsidRPr="00F53BDD">
        <w:t>no</w:t>
      </w:r>
      <w:r w:rsidR="00D8461C" w:rsidRPr="00F53BDD">
        <w:t xml:space="preserve"> complete </w:t>
      </w:r>
      <w:r w:rsidR="00935001" w:rsidRPr="00F53BDD">
        <w:t>framework, but some misconduct could be covered under existing legislation.</w:t>
      </w:r>
      <w:r w:rsidR="00EF04DA" w:rsidRPr="00F53BDD">
        <w:t xml:space="preserve"> </w:t>
      </w:r>
    </w:p>
    <w:p w:rsidR="00883A7F" w:rsidRPr="00F53BDD" w:rsidRDefault="00883A7F" w:rsidP="0014004A">
      <w:pPr>
        <w:pStyle w:val="BodyText"/>
      </w:pPr>
      <w:r w:rsidRPr="00F53BDD">
        <w:t xml:space="preserve">A robust framework could also facilitate </w:t>
      </w:r>
      <w:r w:rsidR="006D1CAF" w:rsidRPr="00F53BDD">
        <w:t>links</w:t>
      </w:r>
      <w:r w:rsidRPr="00F53BDD">
        <w:t xml:space="preserve"> with international emissions trading schemes. Improving the NZ ETS can </w:t>
      </w:r>
      <w:r w:rsidR="006D1CAF" w:rsidRPr="00F53BDD">
        <w:t xml:space="preserve">help </w:t>
      </w:r>
      <w:r w:rsidRPr="00F53BDD">
        <w:t xml:space="preserve">New Zealand </w:t>
      </w:r>
      <w:r w:rsidR="006D1CAF" w:rsidRPr="00F53BDD">
        <w:t xml:space="preserve">reach </w:t>
      </w:r>
      <w:r w:rsidRPr="00F53BDD">
        <w:t>its international and domestic emissions targets</w:t>
      </w:r>
      <w:r w:rsidR="006D1CAF" w:rsidRPr="00F53BDD">
        <w:t>,</w:t>
      </w:r>
      <w:r w:rsidRPr="00F53BDD">
        <w:t xml:space="preserve"> and </w:t>
      </w:r>
      <w:r w:rsidR="006D1CAF" w:rsidRPr="00F53BDD">
        <w:t>make</w:t>
      </w:r>
      <w:r w:rsidRPr="00F53BDD">
        <w:t xml:space="preserve"> a just and inclusive transition to a low-emission economy.</w:t>
      </w:r>
    </w:p>
    <w:p w:rsidR="004D2FA9" w:rsidRPr="004D2FA9" w:rsidRDefault="004D2FA9" w:rsidP="004D2FA9">
      <w:pPr>
        <w:pStyle w:val="BodyText"/>
      </w:pPr>
      <w:r w:rsidRPr="004D2FA9">
        <w:br w:type="page"/>
      </w:r>
    </w:p>
    <w:p w:rsidR="00FC2D7E" w:rsidRPr="00F53BDD" w:rsidRDefault="00FC2D7E" w:rsidP="004D2FA9">
      <w:pPr>
        <w:pStyle w:val="Heading2"/>
      </w:pPr>
      <w:r w:rsidRPr="00F53BDD">
        <w:t>Your views</w:t>
      </w:r>
    </w:p>
    <w:p w:rsidR="00662E76" w:rsidRPr="00F53BDD" w:rsidRDefault="00FC2D7E" w:rsidP="0053183D">
      <w:pPr>
        <w:pStyle w:val="BodyText"/>
      </w:pPr>
      <w:r w:rsidRPr="00F53BDD">
        <w:t xml:space="preserve">We invite </w:t>
      </w:r>
      <w:r w:rsidR="0053183D" w:rsidRPr="00F53BDD">
        <w:t>feedback from NZ ETS users on</w:t>
      </w:r>
      <w:r w:rsidR="00C422C5" w:rsidRPr="00F53BDD">
        <w:t xml:space="preserve"> the issues set out in this document</w:t>
      </w:r>
      <w:r w:rsidR="00662E76" w:rsidRPr="00F53BDD">
        <w:t>:</w:t>
      </w:r>
    </w:p>
    <w:p w:rsidR="00662E76" w:rsidRPr="00F53BDD" w:rsidRDefault="00DB5F83" w:rsidP="0014004A">
      <w:pPr>
        <w:pStyle w:val="Bullet"/>
      </w:pPr>
      <w:r>
        <w:t>t</w:t>
      </w:r>
      <w:r w:rsidR="00662E76" w:rsidRPr="00F53BDD">
        <w:t xml:space="preserve">he seven potential market risks in the </w:t>
      </w:r>
      <w:r w:rsidR="00FC2D7E" w:rsidRPr="00F53BDD">
        <w:t>scheme</w:t>
      </w:r>
      <w:r w:rsidR="00C422C5" w:rsidRPr="00F53BDD">
        <w:t xml:space="preserve"> (</w:t>
      </w:r>
      <w:hyperlink w:anchor="table2" w:history="1">
        <w:r w:rsidR="00C422C5" w:rsidRPr="00F53BDD">
          <w:rPr>
            <w:rStyle w:val="Hyperlink"/>
          </w:rPr>
          <w:t>table 2</w:t>
        </w:r>
      </w:hyperlink>
      <w:r w:rsidR="00C422C5" w:rsidRPr="00F53BDD">
        <w:t>)</w:t>
      </w:r>
      <w:r w:rsidR="00524F2D" w:rsidRPr="00F53BDD">
        <w:t>.</w:t>
      </w:r>
      <w:r w:rsidR="00662E76" w:rsidRPr="00F53BDD">
        <w:t xml:space="preserve"> </w:t>
      </w:r>
    </w:p>
    <w:p w:rsidR="00EE61BD" w:rsidRPr="00F53BDD" w:rsidRDefault="00DB5F83" w:rsidP="0014004A">
      <w:pPr>
        <w:pStyle w:val="Bullet"/>
      </w:pPr>
      <w:r>
        <w:t>r</w:t>
      </w:r>
      <w:r w:rsidR="00662E76" w:rsidRPr="00F53BDD">
        <w:t>egulatory and non-regulatory options to address these risks</w:t>
      </w:r>
      <w:r w:rsidR="00C422C5" w:rsidRPr="00F53BDD">
        <w:t xml:space="preserve"> (</w:t>
      </w:r>
      <w:hyperlink w:anchor="table1" w:history="1">
        <w:r w:rsidR="005563DF" w:rsidRPr="00F53BDD">
          <w:rPr>
            <w:rStyle w:val="Hyperlink"/>
          </w:rPr>
          <w:t>table 1</w:t>
        </w:r>
      </w:hyperlink>
      <w:r w:rsidR="005563DF" w:rsidRPr="00F53BDD">
        <w:t xml:space="preserve"> and sections 3</w:t>
      </w:r>
      <w:r w:rsidR="00392CCD" w:rsidRPr="00F53BDD">
        <w:t>–</w:t>
      </w:r>
      <w:r w:rsidR="005563DF" w:rsidRPr="00F53BDD">
        <w:t>5</w:t>
      </w:r>
      <w:r w:rsidR="00C422C5" w:rsidRPr="00F53BDD">
        <w:t>)</w:t>
      </w:r>
    </w:p>
    <w:p w:rsidR="0053183D" w:rsidRPr="00F53BDD" w:rsidRDefault="00DB5F83" w:rsidP="0014004A">
      <w:pPr>
        <w:pStyle w:val="Bullet"/>
      </w:pPr>
      <w:r>
        <w:t>o</w:t>
      </w:r>
      <w:r w:rsidR="00EE61BD" w:rsidRPr="00F53BDD">
        <w:t>ptions for</w:t>
      </w:r>
      <w:r w:rsidR="00CB5995" w:rsidRPr="00F53BDD">
        <w:t xml:space="preserve"> appointing</w:t>
      </w:r>
      <w:r w:rsidR="00EE61BD" w:rsidRPr="00F53BDD">
        <w:t xml:space="preserve"> a market regulator</w:t>
      </w:r>
      <w:r w:rsidR="008D1F58" w:rsidRPr="00F53BDD">
        <w:t xml:space="preserve"> to oversee the NZ ETS</w:t>
      </w:r>
      <w:r w:rsidR="00C422C5" w:rsidRPr="00F53BDD">
        <w:t xml:space="preserve"> (</w:t>
      </w:r>
      <w:hyperlink w:anchor="_Section_6:_Appointing" w:history="1">
        <w:r w:rsidR="00C422C5" w:rsidRPr="00F53BDD">
          <w:rPr>
            <w:rStyle w:val="Hyperlink"/>
          </w:rPr>
          <w:t>section 6</w:t>
        </w:r>
      </w:hyperlink>
      <w:r w:rsidR="00C422C5" w:rsidRPr="00F53BDD">
        <w:t>)</w:t>
      </w:r>
      <w:r w:rsidR="00662E76" w:rsidRPr="00F53BDD">
        <w:t>.</w:t>
      </w:r>
    </w:p>
    <w:p w:rsidR="009E5EB5" w:rsidRPr="00F53BDD" w:rsidRDefault="009E5EB5" w:rsidP="0014004A">
      <w:pPr>
        <w:pStyle w:val="BodyText"/>
      </w:pPr>
      <w:r w:rsidRPr="00F53BDD">
        <w:t>The options are not mutually exclusive and could be applied in various combinations.</w:t>
      </w:r>
    </w:p>
    <w:p w:rsidR="001856BB" w:rsidRPr="00F53BDD" w:rsidRDefault="006D1CAF" w:rsidP="0014004A">
      <w:pPr>
        <w:pStyle w:val="Heading2"/>
      </w:pPr>
      <w:bookmarkStart w:id="19" w:name="_Toc75250055"/>
      <w:r w:rsidRPr="00F53BDD">
        <w:t>O</w:t>
      </w:r>
      <w:r w:rsidR="00AE7F00" w:rsidRPr="00F53BDD">
        <w:t xml:space="preserve">verview of </w:t>
      </w:r>
      <w:r w:rsidR="00592B9C" w:rsidRPr="00F53BDD">
        <w:t xml:space="preserve">trading in the </w:t>
      </w:r>
      <w:r w:rsidR="001856BB" w:rsidRPr="00F53BDD">
        <w:t>NZ ETS</w:t>
      </w:r>
      <w:bookmarkEnd w:id="19"/>
    </w:p>
    <w:p w:rsidR="00520357" w:rsidRPr="00F53BDD" w:rsidRDefault="007E768F" w:rsidP="0014004A">
      <w:pPr>
        <w:pStyle w:val="Heading3"/>
        <w:spacing w:before="240"/>
      </w:pPr>
      <w:r w:rsidRPr="00F53BDD">
        <w:t>A</w:t>
      </w:r>
      <w:r w:rsidR="00BC18D0" w:rsidRPr="00F53BDD">
        <w:t xml:space="preserve"> trading market for </w:t>
      </w:r>
      <w:r w:rsidR="001D4B35" w:rsidRPr="00F53BDD">
        <w:t>NZUs</w:t>
      </w:r>
    </w:p>
    <w:p w:rsidR="00A53129" w:rsidRPr="00F53BDD" w:rsidRDefault="00A53129">
      <w:pPr>
        <w:pStyle w:val="BodyText"/>
      </w:pPr>
      <w:r w:rsidRPr="00F53BDD">
        <w:t xml:space="preserve">The </w:t>
      </w:r>
      <w:r w:rsidR="00FC6EB6" w:rsidRPr="00F53BDD">
        <w:t>ETS</w:t>
      </w:r>
      <w:r w:rsidRPr="00F53BDD">
        <w:t xml:space="preserve"> helps reduce emissions by:</w:t>
      </w:r>
    </w:p>
    <w:p w:rsidR="00A53129" w:rsidRPr="00F53BDD" w:rsidRDefault="00A53129" w:rsidP="00DE4EB3">
      <w:pPr>
        <w:pStyle w:val="Bullet"/>
      </w:pPr>
      <w:r w:rsidRPr="00F53BDD">
        <w:t xml:space="preserve">requiring </w:t>
      </w:r>
      <w:r w:rsidR="007806DA" w:rsidRPr="00F53BDD">
        <w:t>people and businesses</w:t>
      </w:r>
      <w:r w:rsidRPr="00F53BDD">
        <w:t xml:space="preserve"> to measure and report on their greenhouse gas emissions</w:t>
      </w:r>
    </w:p>
    <w:p w:rsidR="00A53129" w:rsidRPr="00F53BDD" w:rsidRDefault="00A53129" w:rsidP="00DE4EB3">
      <w:pPr>
        <w:pStyle w:val="Bullet"/>
      </w:pPr>
      <w:r w:rsidRPr="00F53BDD">
        <w:t xml:space="preserve">requiring </w:t>
      </w:r>
      <w:r w:rsidR="007806DA" w:rsidRPr="00F53BDD">
        <w:t>people and businesses</w:t>
      </w:r>
      <w:r w:rsidRPr="00F53BDD">
        <w:t xml:space="preserve"> to surrender one ‘emissions unit’ (known as an NZU) to the Government for each tonne of </w:t>
      </w:r>
      <w:r w:rsidR="00C5641E" w:rsidRPr="00F53BDD">
        <w:t>CO</w:t>
      </w:r>
      <w:r w:rsidR="00C5641E" w:rsidRPr="00F53BDD">
        <w:rPr>
          <w:vertAlign w:val="subscript"/>
        </w:rPr>
        <w:t>2</w:t>
      </w:r>
      <w:r w:rsidR="00C5641E" w:rsidRPr="00F53BDD">
        <w:t xml:space="preserve"> equivalent</w:t>
      </w:r>
      <w:r w:rsidR="0077096C" w:rsidRPr="00F53BDD">
        <w:t xml:space="preserve"> emitted</w:t>
      </w:r>
    </w:p>
    <w:p w:rsidR="00883A7F" w:rsidRPr="00F53BDD" w:rsidRDefault="00A53129" w:rsidP="00DE4EB3">
      <w:pPr>
        <w:pStyle w:val="Bullet"/>
      </w:pPr>
      <w:r w:rsidRPr="00F53BDD">
        <w:t>limiting the number of NZUs available to emitters (</w:t>
      </w:r>
      <w:r w:rsidR="00DB7EC8" w:rsidRPr="00F53BDD">
        <w:t>ie,</w:t>
      </w:r>
      <w:r w:rsidRPr="00F53BDD">
        <w:t xml:space="preserve"> supplied into the scheme).</w:t>
      </w:r>
    </w:p>
    <w:p w:rsidR="00883A7F" w:rsidRPr="00F53BDD" w:rsidRDefault="00883A7F" w:rsidP="0014004A">
      <w:pPr>
        <w:pStyle w:val="BodyText"/>
      </w:pPr>
      <w:r w:rsidRPr="00F53BDD">
        <w:t xml:space="preserve">NZUs can be traded among </w:t>
      </w:r>
      <w:r w:rsidR="007806DA" w:rsidRPr="00F53BDD">
        <w:t>people and businesses</w:t>
      </w:r>
      <w:r w:rsidRPr="00F53BDD">
        <w:t xml:space="preserve"> participating in the </w:t>
      </w:r>
      <w:r w:rsidR="00C422C5" w:rsidRPr="00F53BDD">
        <w:t>scheme</w:t>
      </w:r>
      <w:r w:rsidR="00FC6EB6" w:rsidRPr="00F53BDD">
        <w:t xml:space="preserve"> (figure 1).</w:t>
      </w:r>
      <w:r w:rsidRPr="00F53BDD">
        <w:t xml:space="preserve"> The</w:t>
      </w:r>
      <w:r w:rsidR="00977BAE" w:rsidRPr="00F53BDD">
        <w:t> </w:t>
      </w:r>
      <w:r w:rsidRPr="00F53BDD">
        <w:t>price of NZUs reflect</w:t>
      </w:r>
      <w:r w:rsidR="0077096C" w:rsidRPr="00F53BDD">
        <w:t>s</w:t>
      </w:r>
      <w:r w:rsidRPr="00F53BDD">
        <w:t xml:space="preserve"> supply and demand in the scheme. </w:t>
      </w:r>
    </w:p>
    <w:p w:rsidR="00883A7F" w:rsidRPr="00F53BDD" w:rsidRDefault="00883A7F" w:rsidP="0014004A">
      <w:pPr>
        <w:pStyle w:val="BodyText"/>
      </w:pPr>
      <w:r w:rsidRPr="00F53BDD">
        <w:t xml:space="preserve">The Government </w:t>
      </w:r>
      <w:r w:rsidR="00FC6EB6" w:rsidRPr="00F53BDD">
        <w:t>sets</w:t>
      </w:r>
      <w:r w:rsidRPr="00F53BDD">
        <w:t xml:space="preserve"> the number of units supplied into the </w:t>
      </w:r>
      <w:r w:rsidR="00C422C5" w:rsidRPr="00F53BDD">
        <w:t>scheme</w:t>
      </w:r>
      <w:r w:rsidRPr="00F53BDD">
        <w:t>. This number reduces over</w:t>
      </w:r>
      <w:r w:rsidR="00977BAE" w:rsidRPr="00F53BDD">
        <w:t> </w:t>
      </w:r>
      <w:r w:rsidRPr="00F53BDD">
        <w:t xml:space="preserve">time, limiting the </w:t>
      </w:r>
      <w:r w:rsidR="00C5641E" w:rsidRPr="00F53BDD">
        <w:t xml:space="preserve">total </w:t>
      </w:r>
      <w:r w:rsidRPr="00F53BDD">
        <w:t xml:space="preserve">amount </w:t>
      </w:r>
      <w:r w:rsidR="00FC6EB6" w:rsidRPr="00F53BDD">
        <w:t xml:space="preserve">that </w:t>
      </w:r>
      <w:r w:rsidR="007806DA" w:rsidRPr="00F53BDD">
        <w:t>people and businesses</w:t>
      </w:r>
      <w:r w:rsidRPr="00F53BDD">
        <w:t xml:space="preserve"> can emit, in line with New</w:t>
      </w:r>
      <w:r w:rsidR="00977BAE" w:rsidRPr="00F53BDD">
        <w:t> </w:t>
      </w:r>
      <w:r w:rsidRPr="00F53BDD">
        <w:t>Zealand’s targets.</w:t>
      </w:r>
    </w:p>
    <w:p w:rsidR="00592B9C" w:rsidRPr="00F53BDD" w:rsidRDefault="00592B9C" w:rsidP="00592B9C">
      <w:pPr>
        <w:pStyle w:val="Figureheading"/>
      </w:pPr>
      <w:bookmarkStart w:id="20" w:name="_Ref71977093"/>
      <w:bookmarkStart w:id="21" w:name="_Toc75250126"/>
      <w:r w:rsidRPr="00F53BDD">
        <w:t xml:space="preserve">Figure </w:t>
      </w:r>
      <w:r w:rsidR="003C49C8">
        <w:rPr>
          <w:noProof/>
        </w:rPr>
        <w:fldChar w:fldCharType="begin"/>
      </w:r>
      <w:r w:rsidR="003C49C8">
        <w:rPr>
          <w:noProof/>
        </w:rPr>
        <w:instrText xml:space="preserve"> SEQ Figure \* ARABIC </w:instrText>
      </w:r>
      <w:r w:rsidR="003C49C8">
        <w:rPr>
          <w:noProof/>
        </w:rPr>
        <w:fldChar w:fldCharType="separate"/>
      </w:r>
      <w:r w:rsidR="00F84B55">
        <w:rPr>
          <w:noProof/>
        </w:rPr>
        <w:t>1</w:t>
      </w:r>
      <w:r w:rsidR="003C49C8">
        <w:rPr>
          <w:noProof/>
        </w:rPr>
        <w:fldChar w:fldCharType="end"/>
      </w:r>
      <w:bookmarkEnd w:id="20"/>
      <w:r w:rsidRPr="00F53BDD">
        <w:t xml:space="preserve">: </w:t>
      </w:r>
      <w:r w:rsidR="0014004A" w:rsidRPr="00F53BDD">
        <w:tab/>
      </w:r>
      <w:r w:rsidR="00FC6EB6" w:rsidRPr="00F53BDD">
        <w:t>T</w:t>
      </w:r>
      <w:r w:rsidRPr="00F53BDD">
        <w:t>he primary and secondary markets in the ETS</w:t>
      </w:r>
      <w:bookmarkEnd w:id="21"/>
      <w:r w:rsidR="00C422C5" w:rsidRPr="00F53BDD">
        <w:t xml:space="preserve"> </w:t>
      </w:r>
    </w:p>
    <w:p w:rsidR="009B6B17" w:rsidRPr="00F53BDD" w:rsidRDefault="009B6B17" w:rsidP="009B6B17">
      <w:pPr>
        <w:pStyle w:val="BodyText"/>
      </w:pPr>
      <w:r w:rsidRPr="00F53BDD">
        <w:rPr>
          <w:noProof/>
        </w:rPr>
        <w:drawing>
          <wp:inline distT="0" distB="0" distL="0" distR="0" wp14:anchorId="2596CC77" wp14:editId="186A8A38">
            <wp:extent cx="5400040" cy="2881746"/>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rotWithShape="1">
                    <a:blip r:embed="rId24">
                      <a:extLst>
                        <a:ext uri="{28A0092B-C50C-407E-A947-70E740481C1C}">
                          <a14:useLocalDpi xmlns:a14="http://schemas.microsoft.com/office/drawing/2010/main" val="0"/>
                        </a:ext>
                      </a:extLst>
                    </a:blip>
                    <a:srcRect b="5138"/>
                    <a:stretch/>
                  </pic:blipFill>
                  <pic:spPr bwMode="auto">
                    <a:xfrm>
                      <a:off x="0" y="0"/>
                      <a:ext cx="5400040" cy="2881746"/>
                    </a:xfrm>
                    <a:prstGeom prst="rect">
                      <a:avLst/>
                    </a:prstGeom>
                    <a:ln>
                      <a:noFill/>
                    </a:ln>
                    <a:extLst>
                      <a:ext uri="{53640926-AAD7-44D8-BBD7-CCE9431645EC}">
                        <a14:shadowObscured xmlns:a14="http://schemas.microsoft.com/office/drawing/2010/main"/>
                      </a:ext>
                    </a:extLst>
                  </pic:spPr>
                </pic:pic>
              </a:graphicData>
            </a:graphic>
          </wp:inline>
        </w:drawing>
      </w:r>
    </w:p>
    <w:p w:rsidR="004D2FA9" w:rsidRDefault="004D2FA9">
      <w:pPr>
        <w:spacing w:before="0" w:after="200" w:line="276" w:lineRule="auto"/>
        <w:jc w:val="left"/>
        <w:rPr>
          <w:rFonts w:eastAsiaTheme="majorEastAsia" w:cstheme="majorBidi"/>
          <w:b/>
          <w:bCs/>
          <w:sz w:val="28"/>
        </w:rPr>
      </w:pPr>
      <w:r>
        <w:br w:type="page"/>
      </w:r>
    </w:p>
    <w:p w:rsidR="00883A7F" w:rsidRPr="00F53BDD" w:rsidRDefault="00883A7F" w:rsidP="00883A7F">
      <w:pPr>
        <w:pStyle w:val="Heading3"/>
      </w:pPr>
      <w:r w:rsidRPr="00F53BDD">
        <w:t>NZUs are created in the primary market</w:t>
      </w:r>
    </w:p>
    <w:p w:rsidR="00883A7F" w:rsidRPr="00F53BDD" w:rsidRDefault="00883A7F" w:rsidP="00883A7F">
      <w:pPr>
        <w:pStyle w:val="BodyText"/>
      </w:pPr>
      <w:r w:rsidRPr="00F53BDD">
        <w:t xml:space="preserve">In the NZ ETS, the primary market includes the </w:t>
      </w:r>
      <w:r w:rsidR="00333DF9" w:rsidRPr="00F53BDD">
        <w:t xml:space="preserve">supply </w:t>
      </w:r>
      <w:r w:rsidRPr="00F53BDD">
        <w:t xml:space="preserve">of NZUs from the </w:t>
      </w:r>
      <w:r w:rsidR="00E46886" w:rsidRPr="00F53BDD">
        <w:t>G</w:t>
      </w:r>
      <w:r w:rsidRPr="00F53BDD">
        <w:t>overnment to users</w:t>
      </w:r>
      <w:r w:rsidR="00333DF9" w:rsidRPr="00F53BDD">
        <w:t xml:space="preserve"> in the scheme</w:t>
      </w:r>
      <w:r w:rsidRPr="00F53BDD">
        <w:t xml:space="preserve">. The Government </w:t>
      </w:r>
      <w:r w:rsidR="00E46886" w:rsidRPr="00F53BDD">
        <w:t>does this</w:t>
      </w:r>
      <w:r w:rsidRPr="00F53BDD">
        <w:t xml:space="preserve"> in various ways:</w:t>
      </w:r>
    </w:p>
    <w:p w:rsidR="00883A7F" w:rsidRPr="00F53BDD" w:rsidRDefault="00883A7F" w:rsidP="00B939B9">
      <w:pPr>
        <w:pStyle w:val="Bullet"/>
      </w:pPr>
      <w:r w:rsidRPr="00F53BDD">
        <w:rPr>
          <w:b/>
          <w:bCs/>
        </w:rPr>
        <w:t>Industrial allocations</w:t>
      </w:r>
      <w:r w:rsidR="009274E3" w:rsidRPr="00F53BDD">
        <w:rPr>
          <w:b/>
          <w:bCs/>
        </w:rPr>
        <w:t>.</w:t>
      </w:r>
      <w:r w:rsidRPr="00F53BDD">
        <w:t xml:space="preserve"> The Government allocat</w:t>
      </w:r>
      <w:r w:rsidR="00BC71DE" w:rsidRPr="00F53BDD">
        <w:t xml:space="preserve">es </w:t>
      </w:r>
      <w:r w:rsidRPr="00F53BDD">
        <w:t xml:space="preserve">NZUs to </w:t>
      </w:r>
      <w:r w:rsidR="007806DA" w:rsidRPr="00F53BDD">
        <w:t xml:space="preserve">industries </w:t>
      </w:r>
      <w:r w:rsidR="00BC71DE" w:rsidRPr="00F53BDD">
        <w:t>that are</w:t>
      </w:r>
      <w:r w:rsidRPr="00F53BDD">
        <w:t xml:space="preserve"> emissions</w:t>
      </w:r>
      <w:r w:rsidR="009274E3" w:rsidRPr="00F53BDD">
        <w:t>-</w:t>
      </w:r>
      <w:r w:rsidRPr="00F53BDD">
        <w:t>inte</w:t>
      </w:r>
      <w:r w:rsidR="00BC71DE" w:rsidRPr="00F53BDD">
        <w:t>nsive and trade</w:t>
      </w:r>
      <w:r w:rsidR="009274E3" w:rsidRPr="00F53BDD">
        <w:t>-</w:t>
      </w:r>
      <w:r w:rsidR="00BC71DE" w:rsidRPr="00F53BDD">
        <w:t>exposed (EITE)</w:t>
      </w:r>
      <w:r w:rsidRPr="00F53BDD">
        <w:rPr>
          <w:rStyle w:val="FootnoteReference"/>
          <w:color w:val="auto"/>
        </w:rPr>
        <w:footnoteReference w:id="5"/>
      </w:r>
      <w:r w:rsidR="00BC71DE" w:rsidRPr="00F53BDD">
        <w:t xml:space="preserve"> to prevent emissions leakage</w:t>
      </w:r>
      <w:r w:rsidRPr="00F53BDD">
        <w:t xml:space="preserve">. </w:t>
      </w:r>
    </w:p>
    <w:p w:rsidR="00883A7F" w:rsidRPr="00F53BDD" w:rsidRDefault="00883A7F" w:rsidP="00DE4EB3">
      <w:pPr>
        <w:pStyle w:val="Bullet"/>
      </w:pPr>
      <w:r w:rsidRPr="00F53BDD">
        <w:rPr>
          <w:b/>
          <w:bCs/>
        </w:rPr>
        <w:t>Auctioning</w:t>
      </w:r>
      <w:r w:rsidRPr="00812A66">
        <w:rPr>
          <w:b/>
          <w:bCs/>
        </w:rPr>
        <w:t>.</w:t>
      </w:r>
      <w:r w:rsidRPr="00F53BDD">
        <w:t xml:space="preserve"> The Government</w:t>
      </w:r>
      <w:r w:rsidR="00BC71DE" w:rsidRPr="00F53BDD">
        <w:t xml:space="preserve"> auctions N</w:t>
      </w:r>
      <w:r w:rsidRPr="00F53BDD">
        <w:t>ZUs directly into the market</w:t>
      </w:r>
      <w:r w:rsidR="00BC71DE" w:rsidRPr="00F53BDD">
        <w:t xml:space="preserve">. </w:t>
      </w:r>
      <w:r w:rsidRPr="00F53BDD">
        <w:t xml:space="preserve">The </w:t>
      </w:r>
      <w:r w:rsidR="00BC71DE" w:rsidRPr="00F53BDD">
        <w:t>volume of</w:t>
      </w:r>
      <w:r w:rsidRPr="00F53BDD">
        <w:t xml:space="preserve"> units auctioned is capped annually to align with </w:t>
      </w:r>
      <w:r w:rsidR="00B51122" w:rsidRPr="00F53BDD">
        <w:t>emission</w:t>
      </w:r>
      <w:r w:rsidR="009E78F4" w:rsidRPr="00F53BDD">
        <w:t>s</w:t>
      </w:r>
      <w:r w:rsidR="00B51122" w:rsidRPr="00F53BDD">
        <w:t xml:space="preserve"> targets</w:t>
      </w:r>
      <w:r w:rsidRPr="00F53BDD">
        <w:t>.</w:t>
      </w:r>
    </w:p>
    <w:p w:rsidR="00883A7F" w:rsidRPr="00F53BDD" w:rsidRDefault="00883A7F" w:rsidP="00DE4EB3">
      <w:pPr>
        <w:pStyle w:val="Bullet"/>
      </w:pPr>
      <w:r w:rsidRPr="00F53BDD">
        <w:rPr>
          <w:b/>
          <w:bCs/>
        </w:rPr>
        <w:t>Removal activities</w:t>
      </w:r>
      <w:r w:rsidRPr="00812A66">
        <w:rPr>
          <w:b/>
          <w:bCs/>
        </w:rPr>
        <w:t>.</w:t>
      </w:r>
      <w:r w:rsidRPr="00F53BDD">
        <w:t xml:space="preserve"> </w:t>
      </w:r>
      <w:r w:rsidR="00D56095">
        <w:t xml:space="preserve">The </w:t>
      </w:r>
      <w:r w:rsidRPr="00F53BDD">
        <w:t xml:space="preserve">Government may reward some participants for activities that </w:t>
      </w:r>
      <w:r w:rsidR="00B51122" w:rsidRPr="00F53BDD">
        <w:t>reduce</w:t>
      </w:r>
      <w:r w:rsidRPr="00F53BDD">
        <w:t xml:space="preserve"> global warming gases in the atmosphere.</w:t>
      </w:r>
    </w:p>
    <w:p w:rsidR="00883A7F" w:rsidRPr="00F53BDD" w:rsidRDefault="00883A7F" w:rsidP="00DE4EB3">
      <w:pPr>
        <w:pStyle w:val="Bullet"/>
      </w:pPr>
      <w:r w:rsidRPr="00F53BDD">
        <w:rPr>
          <w:b/>
          <w:bCs/>
        </w:rPr>
        <w:t>Forestry</w:t>
      </w:r>
      <w:r w:rsidRPr="00812A66">
        <w:rPr>
          <w:b/>
          <w:bCs/>
        </w:rPr>
        <w:t>.</w:t>
      </w:r>
      <w:r w:rsidRPr="00F53BDD">
        <w:t xml:space="preserve"> </w:t>
      </w:r>
      <w:r w:rsidR="00BC71DE" w:rsidRPr="00F53BDD">
        <w:t>Forestry i</w:t>
      </w:r>
      <w:r w:rsidRPr="00F53BDD">
        <w:t xml:space="preserve">s a type of removal </w:t>
      </w:r>
      <w:r w:rsidR="00DB7EC8" w:rsidRPr="00F53BDD">
        <w:t>because</w:t>
      </w:r>
      <w:r w:rsidRPr="00F53BDD">
        <w:t xml:space="preserve"> </w:t>
      </w:r>
      <w:r w:rsidR="00FE35D5" w:rsidRPr="00F53BDD">
        <w:t>forests</w:t>
      </w:r>
      <w:r w:rsidR="00B51122" w:rsidRPr="00F53BDD">
        <w:t xml:space="preserve"> sequester </w:t>
      </w:r>
      <w:r w:rsidR="00E31E60" w:rsidRPr="00F53BDD">
        <w:t>(capture)</w:t>
      </w:r>
      <w:r w:rsidRPr="00F53BDD">
        <w:t xml:space="preserve"> carbon</w:t>
      </w:r>
      <w:r w:rsidR="00BC71DE" w:rsidRPr="00F53BDD">
        <w:t>.</w:t>
      </w:r>
      <w:r w:rsidRPr="00F53BDD">
        <w:t xml:space="preserve"> </w:t>
      </w:r>
      <w:r w:rsidR="00BC71DE" w:rsidRPr="00F53BDD">
        <w:t>F</w:t>
      </w:r>
      <w:r w:rsidRPr="00F53BDD">
        <w:t xml:space="preserve">oresters in the </w:t>
      </w:r>
      <w:r w:rsidR="009E78F4" w:rsidRPr="00F53BDD">
        <w:t>scheme</w:t>
      </w:r>
      <w:r w:rsidRPr="00F53BDD">
        <w:t xml:space="preserve"> </w:t>
      </w:r>
      <w:r w:rsidR="0077096C" w:rsidRPr="00F53BDD">
        <w:t>receive</w:t>
      </w:r>
      <w:r w:rsidRPr="00F53BDD">
        <w:t xml:space="preserve"> NZUs </w:t>
      </w:r>
      <w:r w:rsidR="0077096C" w:rsidRPr="00F53BDD">
        <w:t>from the Government for this</w:t>
      </w:r>
      <w:r w:rsidR="00BC71DE" w:rsidRPr="00F53BDD">
        <w:t>.</w:t>
      </w:r>
    </w:p>
    <w:p w:rsidR="00D90FF5" w:rsidRPr="00F53BDD" w:rsidRDefault="00E32A96" w:rsidP="00710062">
      <w:pPr>
        <w:pStyle w:val="Heading3"/>
      </w:pPr>
      <w:r w:rsidRPr="00F53BDD">
        <w:t>NZUs are traded in the s</w:t>
      </w:r>
      <w:r w:rsidR="00D90FF5" w:rsidRPr="00F53BDD">
        <w:t>econdary market</w:t>
      </w:r>
    </w:p>
    <w:p w:rsidR="008474EF" w:rsidRPr="00F53BDD" w:rsidRDefault="008474EF" w:rsidP="00B939B9">
      <w:pPr>
        <w:pStyle w:val="BodyText"/>
      </w:pPr>
      <w:r w:rsidRPr="00F53BDD">
        <w:t xml:space="preserve">The secondary market </w:t>
      </w:r>
      <w:r w:rsidR="00927411" w:rsidRPr="00F53BDD">
        <w:t xml:space="preserve">is the </w:t>
      </w:r>
      <w:r w:rsidR="00FE35D5" w:rsidRPr="00F53BDD">
        <w:t xml:space="preserve">platform where </w:t>
      </w:r>
      <w:r w:rsidR="00927411" w:rsidRPr="00F53BDD">
        <w:t xml:space="preserve">previously issued NZUs are bought and sold. </w:t>
      </w:r>
      <w:r w:rsidR="00FE35D5" w:rsidRPr="00F53BDD">
        <w:t>It</w:t>
      </w:r>
      <w:r w:rsidR="00927411" w:rsidRPr="00F53BDD">
        <w:t xml:space="preserve"> </w:t>
      </w:r>
      <w:r w:rsidRPr="00F53BDD">
        <w:t xml:space="preserve">includes users from various sectors </w:t>
      </w:r>
      <w:r w:rsidR="00927411" w:rsidRPr="00F53BDD">
        <w:t xml:space="preserve">that </w:t>
      </w:r>
      <w:r w:rsidRPr="00F53BDD">
        <w:t>trad</w:t>
      </w:r>
      <w:r w:rsidR="00927411" w:rsidRPr="00F53BDD">
        <w:t>e</w:t>
      </w:r>
      <w:r w:rsidRPr="00F53BDD">
        <w:t xml:space="preserve"> NZUs in several different ways. </w:t>
      </w:r>
      <w:r w:rsidR="00A60D74" w:rsidRPr="00F53BDD">
        <w:t xml:space="preserve">NZUs can be traded through direct bilateral agreements with </w:t>
      </w:r>
      <w:r w:rsidR="00431FE0" w:rsidRPr="00F53BDD">
        <w:t>other users directly,</w:t>
      </w:r>
      <w:r w:rsidR="00A60D74" w:rsidRPr="00F53BDD">
        <w:t xml:space="preserve"> through a broker or through a trading platform. </w:t>
      </w:r>
    </w:p>
    <w:p w:rsidR="008474EF" w:rsidRPr="00F53BDD" w:rsidRDefault="00A60D74" w:rsidP="00B939B9">
      <w:pPr>
        <w:pStyle w:val="BodyText"/>
      </w:pPr>
      <w:r w:rsidRPr="00F53BDD">
        <w:t xml:space="preserve">The Government is not responsible for trades on the secondary market, and secondary market </w:t>
      </w:r>
      <w:r w:rsidR="00431FE0" w:rsidRPr="00F53BDD">
        <w:t xml:space="preserve">trading </w:t>
      </w:r>
      <w:r w:rsidRPr="00F53BDD">
        <w:t>platforms are run independently.</w:t>
      </w:r>
      <w:r w:rsidR="008474EF" w:rsidRPr="00F53BDD">
        <w:t xml:space="preserve"> </w:t>
      </w:r>
    </w:p>
    <w:p w:rsidR="009E78F4" w:rsidRPr="00F53BDD" w:rsidRDefault="00883A7F" w:rsidP="00B939B9">
      <w:pPr>
        <w:pStyle w:val="BodyText"/>
      </w:pPr>
      <w:r w:rsidRPr="00F53BDD">
        <w:t>Trading on the secondary market can only occur between users with accounts in the New Zealand Emissions Trading Register (</w:t>
      </w:r>
      <w:r w:rsidR="009E78F4" w:rsidRPr="00F53BDD">
        <w:t>t</w:t>
      </w:r>
      <w:r w:rsidR="00053180" w:rsidRPr="00F53BDD">
        <w:t xml:space="preserve">he </w:t>
      </w:r>
      <w:r w:rsidRPr="00F53BDD">
        <w:t xml:space="preserve">Register), operated by the Environmental Protection Authority. The Register records </w:t>
      </w:r>
      <w:r w:rsidR="0077096C" w:rsidRPr="00F53BDD">
        <w:t>the</w:t>
      </w:r>
      <w:r w:rsidR="00053180" w:rsidRPr="00F53BDD">
        <w:t xml:space="preserve"> </w:t>
      </w:r>
      <w:r w:rsidRPr="00F53BDD">
        <w:t>total volume of units exchanged between users.</w:t>
      </w:r>
    </w:p>
    <w:p w:rsidR="00294D27" w:rsidRPr="00F53BDD" w:rsidRDefault="002F5113" w:rsidP="00B939B9">
      <w:pPr>
        <w:pStyle w:val="Heading3"/>
      </w:pPr>
      <w:r w:rsidRPr="00F53BDD">
        <w:t>NZ ETS users</w:t>
      </w:r>
    </w:p>
    <w:p w:rsidR="00F4662A" w:rsidRPr="00F53BDD" w:rsidRDefault="004459E2" w:rsidP="00B939B9">
      <w:pPr>
        <w:pStyle w:val="BodyText"/>
      </w:pPr>
      <w:r w:rsidRPr="00F53BDD">
        <w:t>There are many different types of people and businesses in the ETS.</w:t>
      </w:r>
      <w:r w:rsidR="00EF04DA" w:rsidRPr="00F53BDD">
        <w:t xml:space="preserve"> </w:t>
      </w:r>
      <w:r w:rsidRPr="00F53BDD">
        <w:t xml:space="preserve">Anyone that buys or sells NZUs is required to have an account in the NZ ETR. There are 8343 account holders, which we collectively refer to here as ‘NZ ETS users’, or ‘users’. </w:t>
      </w:r>
    </w:p>
    <w:p w:rsidR="00294D27" w:rsidRPr="00F53BDD" w:rsidRDefault="00294D27" w:rsidP="00B939B9">
      <w:pPr>
        <w:pStyle w:val="BodyText"/>
      </w:pPr>
      <w:r w:rsidRPr="00F53BDD">
        <w:t>Examples of these users include:</w:t>
      </w:r>
    </w:p>
    <w:p w:rsidR="00294D27" w:rsidRPr="00F53BDD" w:rsidRDefault="00294D27" w:rsidP="00B939B9">
      <w:pPr>
        <w:pStyle w:val="Bullet"/>
      </w:pPr>
      <w:r w:rsidRPr="00F53BDD">
        <w:rPr>
          <w:b/>
          <w:bCs/>
        </w:rPr>
        <w:t xml:space="preserve">NZ ETS </w:t>
      </w:r>
      <w:r w:rsidR="00E31E60" w:rsidRPr="00F53BDD">
        <w:rPr>
          <w:b/>
          <w:bCs/>
        </w:rPr>
        <w:t>p</w:t>
      </w:r>
      <w:r w:rsidRPr="00F53BDD">
        <w:rPr>
          <w:b/>
          <w:bCs/>
        </w:rPr>
        <w:t>articipant</w:t>
      </w:r>
      <w:r w:rsidR="005166BC" w:rsidRPr="00F53BDD">
        <w:rPr>
          <w:b/>
          <w:bCs/>
        </w:rPr>
        <w:t xml:space="preserve"> </w:t>
      </w:r>
      <w:r w:rsidRPr="00F53BDD">
        <w:t>– A</w:t>
      </w:r>
      <w:r w:rsidR="00710062" w:rsidRPr="00F53BDD">
        <w:t xml:space="preserve"> registered</w:t>
      </w:r>
      <w:r w:rsidRPr="00F53BDD">
        <w:t xml:space="preserve"> person </w:t>
      </w:r>
      <w:r w:rsidR="00710062" w:rsidRPr="00F53BDD">
        <w:t xml:space="preserve">or entity </w:t>
      </w:r>
      <w:r w:rsidRPr="00F53BDD">
        <w:t xml:space="preserve">that carries out an activity listed in </w:t>
      </w:r>
      <w:r w:rsidR="00710062" w:rsidRPr="00F53BDD">
        <w:t xml:space="preserve">the </w:t>
      </w:r>
      <w:r w:rsidR="005B776F" w:rsidRPr="00F53BDD">
        <w:t>CCRA</w:t>
      </w:r>
      <w:r w:rsidRPr="00F53BDD">
        <w:t>. They report on emissions (or on carbon captured)</w:t>
      </w:r>
      <w:r w:rsidR="00E31E60" w:rsidRPr="00F53BDD">
        <w:t>. They</w:t>
      </w:r>
      <w:r w:rsidRPr="00F53BDD">
        <w:t xml:space="preserve"> may need to surrender units to cover their emissions</w:t>
      </w:r>
      <w:r w:rsidR="00E31E60" w:rsidRPr="00F53BDD">
        <w:t>,</w:t>
      </w:r>
      <w:r w:rsidRPr="00F53BDD">
        <w:t xml:space="preserve"> or they may receive an entitlement of units for carbon capture.</w:t>
      </w:r>
      <w:r w:rsidR="004459E2" w:rsidRPr="00F53BDD">
        <w:t xml:space="preserve"> There are 2470 participants registered in the NZ ETR, of which 2204 are forestry participants and 266 are non-forestry.</w:t>
      </w:r>
    </w:p>
    <w:p w:rsidR="00294D27" w:rsidRPr="00F53BDD" w:rsidRDefault="00294D27" w:rsidP="00B939B9">
      <w:pPr>
        <w:pStyle w:val="Bullet"/>
      </w:pPr>
      <w:r w:rsidRPr="00F53BDD">
        <w:rPr>
          <w:b/>
          <w:bCs/>
        </w:rPr>
        <w:t xml:space="preserve">NZU </w:t>
      </w:r>
      <w:r w:rsidR="00E31E60" w:rsidRPr="00F53BDD">
        <w:rPr>
          <w:b/>
          <w:bCs/>
        </w:rPr>
        <w:t>t</w:t>
      </w:r>
      <w:r w:rsidRPr="00F53BDD">
        <w:rPr>
          <w:b/>
          <w:bCs/>
        </w:rPr>
        <w:t>rader</w:t>
      </w:r>
      <w:r w:rsidR="005166BC" w:rsidRPr="00F53BDD">
        <w:rPr>
          <w:b/>
          <w:bCs/>
        </w:rPr>
        <w:t xml:space="preserve"> </w:t>
      </w:r>
      <w:r w:rsidRPr="00F53BDD">
        <w:t>–</w:t>
      </w:r>
      <w:r w:rsidR="00710062" w:rsidRPr="00F53BDD">
        <w:t xml:space="preserve"> A registered person or entity that </w:t>
      </w:r>
      <w:r w:rsidR="00E31E60" w:rsidRPr="00F53BDD">
        <w:t xml:space="preserve">buys and sells </w:t>
      </w:r>
      <w:r w:rsidRPr="00F53BDD">
        <w:t xml:space="preserve">NZUs in the </w:t>
      </w:r>
      <w:r w:rsidR="005166BC" w:rsidRPr="00F53BDD">
        <w:t>scheme</w:t>
      </w:r>
      <w:r w:rsidRPr="00F53BDD">
        <w:t xml:space="preserve">. A trader may buy units </w:t>
      </w:r>
      <w:r w:rsidR="00E31E60" w:rsidRPr="00F53BDD">
        <w:t>for</w:t>
      </w:r>
      <w:r w:rsidRPr="00F53BDD">
        <w:t xml:space="preserve"> themselves, another </w:t>
      </w:r>
      <w:r w:rsidR="00F25D7A" w:rsidRPr="00F53BDD">
        <w:t>person</w:t>
      </w:r>
      <w:r w:rsidRPr="00F53BDD">
        <w:t xml:space="preserve"> or an institution. </w:t>
      </w:r>
      <w:r w:rsidR="00E31E60" w:rsidRPr="00F53BDD">
        <w:t>T</w:t>
      </w:r>
      <w:r w:rsidRPr="00F53BDD">
        <w:t xml:space="preserve">raders tend to hold NZUs </w:t>
      </w:r>
      <w:r w:rsidR="00E31E60" w:rsidRPr="00F53BDD">
        <w:t>to</w:t>
      </w:r>
      <w:r w:rsidRPr="00F53BDD">
        <w:t xml:space="preserve"> capitali</w:t>
      </w:r>
      <w:r w:rsidR="00E31E60" w:rsidRPr="00F53BDD">
        <w:t>se</w:t>
      </w:r>
      <w:r w:rsidRPr="00F53BDD">
        <w:t xml:space="preserve"> on price trends.</w:t>
      </w:r>
      <w:r w:rsidR="00330583" w:rsidRPr="00F53BDD">
        <w:t xml:space="preserve"> </w:t>
      </w:r>
    </w:p>
    <w:p w:rsidR="00FA471B" w:rsidRPr="00F53BDD" w:rsidRDefault="00FA471B" w:rsidP="00B939B9">
      <w:pPr>
        <w:pStyle w:val="Bullet"/>
      </w:pPr>
      <w:bookmarkStart w:id="22" w:name="_Hlk73356887"/>
      <w:r w:rsidRPr="00F53BDD">
        <w:t xml:space="preserve">Those undertaking </w:t>
      </w:r>
      <w:r w:rsidR="00E31E60" w:rsidRPr="00F53BDD">
        <w:rPr>
          <w:b/>
          <w:bCs/>
        </w:rPr>
        <w:t>f</w:t>
      </w:r>
      <w:r w:rsidRPr="00F53BDD">
        <w:rPr>
          <w:b/>
          <w:bCs/>
        </w:rPr>
        <w:t>orestry removal</w:t>
      </w:r>
      <w:r w:rsidRPr="00F53BDD">
        <w:rPr>
          <w:rStyle w:val="FootnoteReference"/>
        </w:rPr>
        <w:footnoteReference w:id="6"/>
      </w:r>
      <w:r w:rsidRPr="00F53BDD">
        <w:t xml:space="preserve"> (</w:t>
      </w:r>
      <w:r w:rsidR="00E31E60" w:rsidRPr="00F53BDD">
        <w:t>f</w:t>
      </w:r>
      <w:r w:rsidRPr="00F53BDD">
        <w:t xml:space="preserve">oresters) – A person </w:t>
      </w:r>
      <w:r w:rsidR="005166BC" w:rsidRPr="00F53BDD">
        <w:t>who owns</w:t>
      </w:r>
      <w:r w:rsidRPr="00F53BDD">
        <w:t xml:space="preserve"> or </w:t>
      </w:r>
      <w:r w:rsidR="005166BC" w:rsidRPr="00F53BDD">
        <w:t xml:space="preserve">has </w:t>
      </w:r>
      <w:r w:rsidRPr="00F53BDD">
        <w:t>a registered lease or right (relating to carbon) over post-1989 forest land</w:t>
      </w:r>
      <w:r w:rsidR="005166BC" w:rsidRPr="00F53BDD">
        <w:t>,</w:t>
      </w:r>
      <w:r w:rsidRPr="00F53BDD">
        <w:t xml:space="preserve"> and is the participant for that land. Foresters are participants whose actions can result in both unit entitlements and surrender obligations. These can arise several years (or decades) after the action, and</w:t>
      </w:r>
      <w:r w:rsidR="005166BC" w:rsidRPr="00F53BDD">
        <w:t xml:space="preserve"> </w:t>
      </w:r>
      <w:r w:rsidRPr="00F53BDD">
        <w:t>may be uncertain as it depends on the performance of biological systems. Foresters will require specific consideration due to these, and other factors.</w:t>
      </w:r>
      <w:r w:rsidR="004459E2" w:rsidRPr="00F53BDD">
        <w:t xml:space="preserve"> </w:t>
      </w:r>
    </w:p>
    <w:bookmarkEnd w:id="22"/>
    <w:p w:rsidR="00294D27" w:rsidRPr="00F53BDD" w:rsidRDefault="00D53694" w:rsidP="00B939B9">
      <w:pPr>
        <w:pStyle w:val="Bullet"/>
      </w:pPr>
      <w:r w:rsidRPr="00F53BDD">
        <w:rPr>
          <w:b/>
          <w:bCs/>
        </w:rPr>
        <w:t>NZU adviser</w:t>
      </w:r>
      <w:r w:rsidR="00294D27" w:rsidRPr="00F53BDD">
        <w:t xml:space="preserve"> </w:t>
      </w:r>
      <w:r w:rsidR="002218D9" w:rsidRPr="00F53BDD">
        <w:t xml:space="preserve">(not currently defined in legislation) – </w:t>
      </w:r>
      <w:r w:rsidR="00294D27" w:rsidRPr="00F53BDD">
        <w:t xml:space="preserve">A person or entity that </w:t>
      </w:r>
      <w:r w:rsidR="002218D9" w:rsidRPr="00F53BDD">
        <w:t>gives</w:t>
      </w:r>
      <w:r w:rsidR="00294D27" w:rsidRPr="00F53BDD">
        <w:t xml:space="preserve"> NZU financial advice services or guidance in their ordinary course of business. Services may</w:t>
      </w:r>
      <w:r w:rsidR="00977BAE" w:rsidRPr="00F53BDD">
        <w:t> </w:t>
      </w:r>
      <w:r w:rsidR="00294D27" w:rsidRPr="00F53BDD">
        <w:t>include:</w:t>
      </w:r>
    </w:p>
    <w:p w:rsidR="00294D27" w:rsidRPr="00F53BDD" w:rsidRDefault="00294D27" w:rsidP="00B939B9">
      <w:pPr>
        <w:pStyle w:val="Sub-list"/>
      </w:pPr>
      <w:r w:rsidRPr="00F53BDD">
        <w:t>NZU financial advice</w:t>
      </w:r>
    </w:p>
    <w:p w:rsidR="00294D27" w:rsidRPr="00F53BDD" w:rsidRDefault="00294D27" w:rsidP="00B939B9">
      <w:pPr>
        <w:pStyle w:val="Sub-list"/>
      </w:pPr>
      <w:r w:rsidRPr="00F53BDD">
        <w:t>investment planning relating to NZUs</w:t>
      </w:r>
    </w:p>
    <w:p w:rsidR="00294D27" w:rsidRPr="00F53BDD" w:rsidRDefault="00294D27" w:rsidP="00B939B9">
      <w:pPr>
        <w:pStyle w:val="Sub-list"/>
      </w:pPr>
      <w:r w:rsidRPr="00F53BDD">
        <w:t xml:space="preserve">discretionary investment management </w:t>
      </w:r>
      <w:r w:rsidR="002218D9" w:rsidRPr="00F53BDD">
        <w:t>of</w:t>
      </w:r>
      <w:r w:rsidRPr="00F53BDD">
        <w:t xml:space="preserve"> NZUs, including buying and selling on behalf of a client</w:t>
      </w:r>
      <w:r w:rsidR="002218D9" w:rsidRPr="00F53BDD">
        <w:t>,</w:t>
      </w:r>
      <w:r w:rsidRPr="00F53BDD">
        <w:t xml:space="preserve"> or man</w:t>
      </w:r>
      <w:r w:rsidR="00BC71DE" w:rsidRPr="00F53BDD">
        <w:t xml:space="preserve">aging some or </w:t>
      </w:r>
      <w:r w:rsidRPr="00F53BDD">
        <w:t>all of a client’s NZU</w:t>
      </w:r>
      <w:r w:rsidR="00BC71DE" w:rsidRPr="00F53BDD">
        <w:t>s</w:t>
      </w:r>
      <w:r w:rsidRPr="00F53BDD">
        <w:t xml:space="preserve">. </w:t>
      </w:r>
    </w:p>
    <w:p w:rsidR="00E5060A" w:rsidRPr="00F53BDD" w:rsidRDefault="002218D9" w:rsidP="00B939B9">
      <w:pPr>
        <w:pStyle w:val="BodyText"/>
      </w:pPr>
      <w:r w:rsidRPr="00F53BDD">
        <w:t>To clarify these terms</w:t>
      </w:r>
      <w:r w:rsidR="00E5060A" w:rsidRPr="00F53BDD">
        <w:t>:</w:t>
      </w:r>
    </w:p>
    <w:p w:rsidR="00FA471B" w:rsidRPr="00F53BDD" w:rsidRDefault="00FA471B" w:rsidP="00B939B9">
      <w:pPr>
        <w:pStyle w:val="Bullet"/>
      </w:pPr>
      <w:bookmarkStart w:id="23" w:name="_Hlk73356907"/>
      <w:bookmarkStart w:id="24" w:name="_Hlk73445111"/>
      <w:r w:rsidRPr="00F53BDD">
        <w:t xml:space="preserve">An adviser </w:t>
      </w:r>
      <w:r w:rsidR="002218D9" w:rsidRPr="00F53BDD">
        <w:rPr>
          <w:shd w:val="clear" w:color="auto" w:fill="FFFFFF"/>
        </w:rPr>
        <w:t>gives</w:t>
      </w:r>
      <w:r w:rsidRPr="00F53BDD">
        <w:rPr>
          <w:shd w:val="clear" w:color="auto" w:fill="FFFFFF"/>
        </w:rPr>
        <w:t xml:space="preserve"> technical and financial advice </w:t>
      </w:r>
      <w:r w:rsidR="002218D9" w:rsidRPr="00F53BDD">
        <w:rPr>
          <w:shd w:val="clear" w:color="auto" w:fill="FFFFFF"/>
        </w:rPr>
        <w:t xml:space="preserve">on </w:t>
      </w:r>
      <w:r w:rsidRPr="00F53BDD">
        <w:rPr>
          <w:shd w:val="clear" w:color="auto" w:fill="FFFFFF"/>
        </w:rPr>
        <w:t xml:space="preserve">NZUs. This applies to those whose business is </w:t>
      </w:r>
      <w:r w:rsidR="002218D9" w:rsidRPr="00F53BDD">
        <w:rPr>
          <w:shd w:val="clear" w:color="auto" w:fill="FFFFFF"/>
        </w:rPr>
        <w:t xml:space="preserve">to advise on </w:t>
      </w:r>
      <w:r w:rsidRPr="00F53BDD">
        <w:rPr>
          <w:shd w:val="clear" w:color="auto" w:fill="FFFFFF"/>
        </w:rPr>
        <w:t xml:space="preserve">technical forestry regarding plant species, type of </w:t>
      </w:r>
      <w:r w:rsidRPr="00F53BDD">
        <w:t>forests</w:t>
      </w:r>
      <w:r w:rsidRPr="00F53BDD">
        <w:rPr>
          <w:shd w:val="clear" w:color="auto" w:fill="FFFFFF"/>
        </w:rPr>
        <w:t xml:space="preserve"> and logging</w:t>
      </w:r>
      <w:r w:rsidR="00B939B9" w:rsidRPr="00F53BDD">
        <w:rPr>
          <w:shd w:val="clear" w:color="auto" w:fill="FFFFFF"/>
        </w:rPr>
        <w:t>,</w:t>
      </w:r>
      <w:r w:rsidR="00A313F5" w:rsidRPr="00F53BDD">
        <w:rPr>
          <w:rStyle w:val="FootnoteReference"/>
          <w:shd w:val="clear" w:color="auto" w:fill="FFFFFF"/>
        </w:rPr>
        <w:footnoteReference w:id="7"/>
      </w:r>
      <w:r w:rsidRPr="00F53BDD">
        <w:rPr>
          <w:shd w:val="clear" w:color="auto" w:fill="FFFFFF"/>
        </w:rPr>
        <w:t xml:space="preserve"> but who may also </w:t>
      </w:r>
      <w:r w:rsidR="002218D9" w:rsidRPr="00F53BDD">
        <w:rPr>
          <w:shd w:val="clear" w:color="auto" w:fill="FFFFFF"/>
        </w:rPr>
        <w:t>advise</w:t>
      </w:r>
      <w:r w:rsidRPr="00F53BDD">
        <w:rPr>
          <w:shd w:val="clear" w:color="auto" w:fill="FFFFFF"/>
        </w:rPr>
        <w:t xml:space="preserve"> on carbon value, options and obligations in the ETS.</w:t>
      </w:r>
      <w:bookmarkEnd w:id="23"/>
    </w:p>
    <w:bookmarkEnd w:id="24"/>
    <w:p w:rsidR="001856BB" w:rsidRPr="00F53BDD" w:rsidRDefault="00E5060A" w:rsidP="007D52FE">
      <w:pPr>
        <w:pStyle w:val="Bullet"/>
      </w:pPr>
      <w:r w:rsidRPr="00F53BDD">
        <w:t>A</w:t>
      </w:r>
      <w:r w:rsidR="00294D27" w:rsidRPr="00F53BDD">
        <w:t xml:space="preserve"> person or entity may be covered by multiple definitions</w:t>
      </w:r>
      <w:r w:rsidR="002218D9" w:rsidRPr="00F53BDD">
        <w:t>,</w:t>
      </w:r>
      <w:r w:rsidR="00294D27" w:rsidRPr="00F53BDD">
        <w:t xml:space="preserve"> depending on the</w:t>
      </w:r>
      <w:r w:rsidR="002218D9" w:rsidRPr="00F53BDD">
        <w:t xml:space="preserve">ir activities. </w:t>
      </w:r>
      <w:r w:rsidR="00294D27" w:rsidRPr="00F53BDD">
        <w:t xml:space="preserve">For example, a forester who generates units, buys and sells units for profit, and </w:t>
      </w:r>
      <w:r w:rsidR="00835526" w:rsidRPr="00F53BDD">
        <w:t xml:space="preserve">then has </w:t>
      </w:r>
      <w:r w:rsidR="00294D27" w:rsidRPr="00F53BDD">
        <w:t>surrender obligations at harvest</w:t>
      </w:r>
      <w:r w:rsidR="002218D9" w:rsidRPr="00F53BDD">
        <w:t>,</w:t>
      </w:r>
      <w:r w:rsidR="00294D27" w:rsidRPr="00F53BDD">
        <w:t xml:space="preserve"> would be </w:t>
      </w:r>
      <w:r w:rsidR="002218D9" w:rsidRPr="00F53BDD">
        <w:t xml:space="preserve">covered </w:t>
      </w:r>
      <w:r w:rsidR="00294D27" w:rsidRPr="00F53BDD">
        <w:t xml:space="preserve">by three definitions: </w:t>
      </w:r>
      <w:r w:rsidR="002218D9" w:rsidRPr="00F53BDD">
        <w:t>f</w:t>
      </w:r>
      <w:r w:rsidR="00294D27" w:rsidRPr="00F53BDD">
        <w:t>orestry removal, trader</w:t>
      </w:r>
      <w:r w:rsidR="00531E03" w:rsidRPr="00F53BDD">
        <w:t>,</w:t>
      </w:r>
      <w:r w:rsidR="00294D27" w:rsidRPr="00F53BDD">
        <w:t xml:space="preserve"> and participant, respectively.</w:t>
      </w:r>
    </w:p>
    <w:p w:rsidR="001856BB" w:rsidRPr="00F53BDD" w:rsidRDefault="001856BB" w:rsidP="001856BB">
      <w:pPr>
        <w:spacing w:before="0" w:after="200" w:line="276" w:lineRule="auto"/>
        <w:jc w:val="left"/>
      </w:pPr>
      <w:r w:rsidRPr="00F53BDD">
        <w:br w:type="page"/>
      </w:r>
    </w:p>
    <w:p w:rsidR="001856BB" w:rsidRPr="00F53BDD" w:rsidRDefault="001856BB" w:rsidP="001856BB">
      <w:pPr>
        <w:pStyle w:val="Heading1"/>
      </w:pPr>
      <w:bookmarkStart w:id="25" w:name="_Section_2:_Market"/>
      <w:bookmarkStart w:id="26" w:name="_Toc75250056"/>
      <w:bookmarkEnd w:id="25"/>
      <w:r w:rsidRPr="00F53BDD">
        <w:t xml:space="preserve">Section 2: </w:t>
      </w:r>
      <w:r w:rsidR="006D1C11" w:rsidRPr="00F53BDD">
        <w:t xml:space="preserve">Market </w:t>
      </w:r>
      <w:r w:rsidR="0048675B" w:rsidRPr="00F53BDD">
        <w:t>g</w:t>
      </w:r>
      <w:r w:rsidRPr="00F53BDD">
        <w:t xml:space="preserve">overnance </w:t>
      </w:r>
      <w:r w:rsidR="0048675B" w:rsidRPr="00F53BDD">
        <w:t>f</w:t>
      </w:r>
      <w:r w:rsidRPr="00F53BDD">
        <w:t>ramework</w:t>
      </w:r>
      <w:bookmarkEnd w:id="26"/>
    </w:p>
    <w:p w:rsidR="00690A7F" w:rsidRPr="00F53BDD" w:rsidRDefault="00690A7F" w:rsidP="00AD5C0A">
      <w:pPr>
        <w:pStyle w:val="Heading2"/>
        <w:spacing w:before="120"/>
      </w:pPr>
      <w:bookmarkStart w:id="27" w:name="_Toc75250057"/>
      <w:r w:rsidRPr="00F53BDD">
        <w:t>Objective</w:t>
      </w:r>
      <w:bookmarkEnd w:id="27"/>
    </w:p>
    <w:p w:rsidR="0048675B" w:rsidRPr="00F53BDD" w:rsidRDefault="008C2ADC" w:rsidP="000D1F83">
      <w:pPr>
        <w:pStyle w:val="BodyText"/>
      </w:pPr>
      <w:r w:rsidRPr="00F53BDD">
        <w:t xml:space="preserve">Market governance relates to the processes, policies and rules </w:t>
      </w:r>
      <w:r w:rsidR="0048675B" w:rsidRPr="00F53BDD">
        <w:t>for:</w:t>
      </w:r>
    </w:p>
    <w:p w:rsidR="0048675B" w:rsidRPr="00F53BDD" w:rsidRDefault="008C2ADC" w:rsidP="000D1F83">
      <w:pPr>
        <w:pStyle w:val="Bullet"/>
      </w:pPr>
      <w:r w:rsidRPr="00F53BDD">
        <w:t>manag</w:t>
      </w:r>
      <w:r w:rsidR="0048675B" w:rsidRPr="00F53BDD">
        <w:t>ing</w:t>
      </w:r>
      <w:r w:rsidRPr="00F53BDD">
        <w:t xml:space="preserve"> risks of misconduct in the NZ ETS</w:t>
      </w:r>
      <w:r w:rsidR="00935001" w:rsidRPr="00F53BDD">
        <w:t xml:space="preserve"> </w:t>
      </w:r>
    </w:p>
    <w:p w:rsidR="0048675B" w:rsidRPr="00F53BDD" w:rsidRDefault="00935001" w:rsidP="000D1F83">
      <w:pPr>
        <w:pStyle w:val="Bullet"/>
      </w:pPr>
      <w:r w:rsidRPr="00F53BDD">
        <w:t>protect</w:t>
      </w:r>
      <w:r w:rsidR="0048675B" w:rsidRPr="00F53BDD">
        <w:t>ing</w:t>
      </w:r>
      <w:r w:rsidRPr="00F53BDD">
        <w:t xml:space="preserve"> users from financial harm</w:t>
      </w:r>
      <w:r w:rsidR="008C2ADC" w:rsidRPr="00F53BDD">
        <w:t xml:space="preserve">. </w:t>
      </w:r>
    </w:p>
    <w:p w:rsidR="007660A8" w:rsidRPr="00F53BDD" w:rsidRDefault="00690A7F" w:rsidP="000D1F83">
      <w:pPr>
        <w:pStyle w:val="BodyText"/>
      </w:pPr>
      <w:r w:rsidRPr="00F53BDD">
        <w:t xml:space="preserve">The Government’s objective is to create a </w:t>
      </w:r>
      <w:r w:rsidR="0048675B" w:rsidRPr="00F53BDD">
        <w:t>sound</w:t>
      </w:r>
      <w:r w:rsidR="007660A8" w:rsidRPr="00F53BDD">
        <w:t xml:space="preserve"> </w:t>
      </w:r>
      <w:r w:rsidR="00CC214C" w:rsidRPr="00F53BDD">
        <w:t>framework</w:t>
      </w:r>
      <w:r w:rsidR="0048675B" w:rsidRPr="00F53BDD">
        <w:t>, so that</w:t>
      </w:r>
      <w:r w:rsidR="007660A8" w:rsidRPr="00F53BDD">
        <w:t>:</w:t>
      </w:r>
    </w:p>
    <w:p w:rsidR="00170650" w:rsidRPr="00F53BDD" w:rsidRDefault="00170650" w:rsidP="000D1F83">
      <w:pPr>
        <w:pStyle w:val="Bullet"/>
      </w:pPr>
      <w:r w:rsidRPr="00F53BDD">
        <w:t>the ETS market functions well and continues to be an effective tool to respond to climate</w:t>
      </w:r>
      <w:r w:rsidR="00392CCD" w:rsidRPr="00F53BDD">
        <w:t> </w:t>
      </w:r>
      <w:r w:rsidRPr="00F53BDD">
        <w:t>change</w:t>
      </w:r>
    </w:p>
    <w:p w:rsidR="00CC214C" w:rsidRPr="00F53BDD" w:rsidRDefault="007660A8" w:rsidP="000D1F83">
      <w:pPr>
        <w:pStyle w:val="Bullet"/>
      </w:pPr>
      <w:r w:rsidRPr="00F53BDD">
        <w:t xml:space="preserve">there are </w:t>
      </w:r>
      <w:r w:rsidR="0048675B" w:rsidRPr="00F53BDD">
        <w:t xml:space="preserve">enough </w:t>
      </w:r>
      <w:r w:rsidRPr="00F53BDD">
        <w:t xml:space="preserve">rules and regulations </w:t>
      </w:r>
      <w:r w:rsidR="00D34FA2" w:rsidRPr="00F53BDD">
        <w:t>to protect users</w:t>
      </w:r>
      <w:r w:rsidR="00690A7F" w:rsidRPr="00F53BDD">
        <w:t>.</w:t>
      </w:r>
    </w:p>
    <w:p w:rsidR="00690A7F" w:rsidRPr="00F53BDD" w:rsidRDefault="00B434D0" w:rsidP="000D1F83">
      <w:pPr>
        <w:pStyle w:val="Heading2"/>
      </w:pPr>
      <w:bookmarkStart w:id="28" w:name="_Toc75250058"/>
      <w:r w:rsidRPr="00F53BDD">
        <w:t>Defining the p</w:t>
      </w:r>
      <w:r w:rsidR="00690A7F" w:rsidRPr="00F53BDD">
        <w:t>roblem</w:t>
      </w:r>
      <w:bookmarkEnd w:id="28"/>
      <w:r w:rsidR="00690A7F" w:rsidRPr="00F53BDD">
        <w:t xml:space="preserve"> </w:t>
      </w:r>
    </w:p>
    <w:p w:rsidR="0048675B" w:rsidRPr="00F53BDD" w:rsidRDefault="00D575D7" w:rsidP="000D1F83">
      <w:pPr>
        <w:pStyle w:val="BodyText"/>
      </w:pPr>
      <w:r w:rsidRPr="00F53BDD">
        <w:t>The ETS is maturing</w:t>
      </w:r>
      <w:r w:rsidR="0048675B" w:rsidRPr="00F53BDD">
        <w:t>,</w:t>
      </w:r>
      <w:r w:rsidRPr="00F53BDD">
        <w:t xml:space="preserve"> and the risk of misconduct is likely to increase</w:t>
      </w:r>
      <w:r w:rsidR="003306F7" w:rsidRPr="00F53BDD">
        <w:t xml:space="preserve"> </w:t>
      </w:r>
      <w:r w:rsidRPr="00F53BDD">
        <w:t xml:space="preserve">due to </w:t>
      </w:r>
      <w:r w:rsidR="0017069C" w:rsidRPr="00F53BDD">
        <w:t xml:space="preserve">rising </w:t>
      </w:r>
      <w:r w:rsidR="003306F7" w:rsidRPr="00F53BDD">
        <w:t xml:space="preserve">NZU prices, </w:t>
      </w:r>
      <w:r w:rsidRPr="00F53BDD">
        <w:t>NZU auctioning, the possible inclusion of additional users</w:t>
      </w:r>
      <w:r w:rsidR="00E60B14" w:rsidRPr="00F53BDD">
        <w:t>,</w:t>
      </w:r>
      <w:r w:rsidRPr="00F53BDD">
        <w:t xml:space="preserve"> and </w:t>
      </w:r>
      <w:r w:rsidR="003306F7" w:rsidRPr="00F53BDD">
        <w:t>potential</w:t>
      </w:r>
      <w:r w:rsidR="0017069C" w:rsidRPr="00F53BDD">
        <w:t>ly</w:t>
      </w:r>
      <w:r w:rsidR="003306F7" w:rsidRPr="00F53BDD">
        <w:t xml:space="preserve"> </w:t>
      </w:r>
      <w:r w:rsidRPr="00F53BDD">
        <w:t xml:space="preserve">reopening the </w:t>
      </w:r>
      <w:r w:rsidR="0048675B" w:rsidRPr="00F53BDD">
        <w:t>scheme</w:t>
      </w:r>
      <w:r w:rsidRPr="00F53BDD">
        <w:t xml:space="preserve"> to international</w:t>
      </w:r>
      <w:r w:rsidR="0048106F" w:rsidRPr="00F53BDD">
        <w:t xml:space="preserve"> units</w:t>
      </w:r>
      <w:r w:rsidRPr="00F53BDD">
        <w:t xml:space="preserve">. </w:t>
      </w:r>
    </w:p>
    <w:p w:rsidR="0017612A" w:rsidRPr="00F53BDD" w:rsidRDefault="00D575D7" w:rsidP="000D1F83">
      <w:pPr>
        <w:pStyle w:val="BodyText"/>
      </w:pPr>
      <w:r w:rsidRPr="00F53BDD">
        <w:t>These factors could increase the incentives for misconduct</w:t>
      </w:r>
      <w:r w:rsidR="0017069C" w:rsidRPr="00F53BDD">
        <w:t>,</w:t>
      </w:r>
      <w:r w:rsidRPr="00F53BDD">
        <w:t xml:space="preserve"> and the range of actors who might be able to benefit from </w:t>
      </w:r>
      <w:r w:rsidR="0017069C" w:rsidRPr="00F53BDD">
        <w:t>this</w:t>
      </w:r>
      <w:r w:rsidRPr="00F53BDD">
        <w:t>.</w:t>
      </w:r>
    </w:p>
    <w:p w:rsidR="00143FC3" w:rsidRPr="00F53BDD" w:rsidRDefault="0017069C" w:rsidP="000D1F83">
      <w:pPr>
        <w:pStyle w:val="Heading3"/>
      </w:pPr>
      <w:r w:rsidRPr="00F53BDD">
        <w:t xml:space="preserve">No </w:t>
      </w:r>
      <w:r w:rsidR="00411003" w:rsidRPr="00F53BDD">
        <w:t xml:space="preserve">unified </w:t>
      </w:r>
      <w:r w:rsidRPr="00F53BDD">
        <w:t>framework or</w:t>
      </w:r>
      <w:r w:rsidR="00143FC3" w:rsidRPr="00F53BDD">
        <w:t xml:space="preserve"> regulator</w:t>
      </w:r>
    </w:p>
    <w:p w:rsidR="0017612A" w:rsidRPr="00F53BDD" w:rsidRDefault="0017612A" w:rsidP="000D1F83">
      <w:pPr>
        <w:pStyle w:val="BodyText"/>
      </w:pPr>
      <w:bookmarkStart w:id="29" w:name="_Hlk74641280"/>
      <w:r w:rsidRPr="00F53BDD">
        <w:t xml:space="preserve">Currently, there is no </w:t>
      </w:r>
      <w:r w:rsidR="00411003" w:rsidRPr="00F53BDD">
        <w:t xml:space="preserve">integrated </w:t>
      </w:r>
      <w:r w:rsidRPr="00F53BDD">
        <w:t xml:space="preserve">legislative framework for market governance in the </w:t>
      </w:r>
      <w:r w:rsidR="00630A4D" w:rsidRPr="00F53BDD">
        <w:t>NZ ETS</w:t>
      </w:r>
      <w:r w:rsidR="00B434D0" w:rsidRPr="00F53BDD">
        <w:t>,</w:t>
      </w:r>
      <w:r w:rsidRPr="00F53BDD">
        <w:t xml:space="preserve"> </w:t>
      </w:r>
      <w:bookmarkEnd w:id="29"/>
      <w:r w:rsidRPr="00F53BDD">
        <w:t>creating risks to market function</w:t>
      </w:r>
      <w:r w:rsidR="00630A4D" w:rsidRPr="00F53BDD">
        <w:t>, integrity</w:t>
      </w:r>
      <w:r w:rsidRPr="00F53BDD">
        <w:t xml:space="preserve"> and </w:t>
      </w:r>
      <w:r w:rsidR="00630A4D" w:rsidRPr="00F53BDD">
        <w:t>confidence</w:t>
      </w:r>
      <w:r w:rsidRPr="00F53BDD">
        <w:t>.</w:t>
      </w:r>
    </w:p>
    <w:p w:rsidR="00143FC3" w:rsidRPr="00F53BDD" w:rsidRDefault="00143FC3" w:rsidP="000D1F83">
      <w:pPr>
        <w:pStyle w:val="BodyText"/>
      </w:pPr>
      <w:r w:rsidRPr="00F53BDD">
        <w:t xml:space="preserve">The </w:t>
      </w:r>
      <w:r w:rsidR="00DB5F83">
        <w:t>Climate Change Response Act (</w:t>
      </w:r>
      <w:r w:rsidR="005B776F" w:rsidRPr="00F53BDD">
        <w:t>CCRA</w:t>
      </w:r>
      <w:r w:rsidR="00DB5F83">
        <w:t>)</w:t>
      </w:r>
      <w:r w:rsidRPr="00F53BDD">
        <w:t xml:space="preserve"> is the primary legislation that establishe</w:t>
      </w:r>
      <w:r w:rsidR="00630A4D" w:rsidRPr="00F53BDD">
        <w:t>d</w:t>
      </w:r>
      <w:r w:rsidRPr="00F53BDD">
        <w:t xml:space="preserve"> the ETS and the legal framework for its</w:t>
      </w:r>
      <w:r w:rsidR="00FA25DE" w:rsidRPr="00F53BDD">
        <w:t> </w:t>
      </w:r>
      <w:r w:rsidRPr="00F53BDD">
        <w:t xml:space="preserve">implementation, operation and administration. The CCRA does not have any market governance provisions </w:t>
      </w:r>
      <w:r w:rsidR="0017069C" w:rsidRPr="00F53BDD">
        <w:t>for</w:t>
      </w:r>
      <w:r w:rsidRPr="00F53BDD">
        <w:t xml:space="preserve"> </w:t>
      </w:r>
      <w:r w:rsidR="00630A4D" w:rsidRPr="00F53BDD">
        <w:t xml:space="preserve">the </w:t>
      </w:r>
      <w:r w:rsidR="0022035B" w:rsidRPr="00F53BDD">
        <w:t>scheme</w:t>
      </w:r>
      <w:r w:rsidRPr="00F53BDD">
        <w:t>.</w:t>
      </w:r>
    </w:p>
    <w:p w:rsidR="00143FC3" w:rsidRPr="00F53BDD" w:rsidRDefault="00143FC3" w:rsidP="000D1F83">
      <w:pPr>
        <w:pStyle w:val="BodyText"/>
      </w:pPr>
      <w:r w:rsidRPr="00F53BDD">
        <w:t xml:space="preserve">Many different legislations and regulatory systems cover a small aspect of ETS market governance, but none provide full coverage of </w:t>
      </w:r>
      <w:r w:rsidR="0017069C" w:rsidRPr="00F53BDD">
        <w:t xml:space="preserve">the </w:t>
      </w:r>
      <w:r w:rsidRPr="00F53BDD">
        <w:t xml:space="preserve">risks. </w:t>
      </w:r>
      <w:r w:rsidR="0017069C" w:rsidRPr="00F53BDD">
        <w:t>Examples of legislation</w:t>
      </w:r>
      <w:r w:rsidR="00230364" w:rsidRPr="00F53BDD">
        <w:t xml:space="preserve"> include</w:t>
      </w:r>
      <w:r w:rsidRPr="00F53BDD">
        <w:t>:</w:t>
      </w:r>
    </w:p>
    <w:p w:rsidR="00143FC3" w:rsidRPr="00F53BDD" w:rsidRDefault="00143FC3" w:rsidP="000D1F83">
      <w:pPr>
        <w:pStyle w:val="Bullet"/>
      </w:pPr>
      <w:r w:rsidRPr="00F53BDD">
        <w:rPr>
          <w:b/>
          <w:bCs/>
        </w:rPr>
        <w:t>Financial Markets Conduct Act 2013</w:t>
      </w:r>
      <w:r w:rsidRPr="00F53BDD">
        <w:t xml:space="preserve"> –</w:t>
      </w:r>
      <w:r w:rsidR="0022035B" w:rsidRPr="00F53BDD">
        <w:t xml:space="preserve"> G</w:t>
      </w:r>
      <w:r w:rsidR="0048106F" w:rsidRPr="00F53BDD">
        <w:t>eneral</w:t>
      </w:r>
      <w:r w:rsidR="0022035B" w:rsidRPr="00F53BDD">
        <w:t>ly regulates</w:t>
      </w:r>
      <w:r w:rsidRPr="00F53BDD">
        <w:t xml:space="preserve"> </w:t>
      </w:r>
      <w:r w:rsidR="0048106F" w:rsidRPr="00F53BDD">
        <w:t xml:space="preserve">listed </w:t>
      </w:r>
      <w:r w:rsidRPr="00F53BDD">
        <w:t>market derivatives.</w:t>
      </w:r>
      <w:r w:rsidR="00E50214" w:rsidRPr="00F53BDD">
        <w:t xml:space="preserve"> Prohibitions only cover quoted derivatives</w:t>
      </w:r>
      <w:r w:rsidR="0022035B" w:rsidRPr="00F53BDD">
        <w:t>,</w:t>
      </w:r>
      <w:r w:rsidR="00E50214" w:rsidRPr="00F53BDD">
        <w:t xml:space="preserve"> and currently no NZU derivatives are </w:t>
      </w:r>
      <w:r w:rsidR="00D10A1C" w:rsidRPr="00F53BDD">
        <w:t>listed</w:t>
      </w:r>
      <w:r w:rsidR="00E50214" w:rsidRPr="00F53BDD">
        <w:t xml:space="preserve"> on</w:t>
      </w:r>
      <w:r w:rsidR="000D1F83" w:rsidRPr="00F53BDD">
        <w:t> </w:t>
      </w:r>
      <w:r w:rsidR="00D10A1C" w:rsidRPr="00F53BDD">
        <w:t>a</w:t>
      </w:r>
      <w:r w:rsidR="000D1F83" w:rsidRPr="00F53BDD">
        <w:t> </w:t>
      </w:r>
      <w:r w:rsidR="00D10A1C" w:rsidRPr="00F53BDD">
        <w:t>licensed market</w:t>
      </w:r>
      <w:r w:rsidR="00E50214" w:rsidRPr="00F53BDD">
        <w:t>.</w:t>
      </w:r>
    </w:p>
    <w:p w:rsidR="00143FC3" w:rsidRPr="00F53BDD" w:rsidRDefault="00143FC3" w:rsidP="00143FC3">
      <w:pPr>
        <w:pStyle w:val="Bullet"/>
      </w:pPr>
      <w:r w:rsidRPr="00F53BDD">
        <w:rPr>
          <w:b/>
          <w:bCs/>
        </w:rPr>
        <w:t xml:space="preserve">Anti-Money </w:t>
      </w:r>
      <w:r w:rsidR="0017069C" w:rsidRPr="00F53BDD">
        <w:rPr>
          <w:b/>
          <w:bCs/>
        </w:rPr>
        <w:t>L</w:t>
      </w:r>
      <w:r w:rsidRPr="00F53BDD">
        <w:rPr>
          <w:b/>
          <w:bCs/>
        </w:rPr>
        <w:t xml:space="preserve">aundering and </w:t>
      </w:r>
      <w:r w:rsidR="0017069C" w:rsidRPr="00F53BDD">
        <w:rPr>
          <w:b/>
          <w:bCs/>
        </w:rPr>
        <w:t>C</w:t>
      </w:r>
      <w:r w:rsidRPr="00F53BDD">
        <w:rPr>
          <w:b/>
          <w:bCs/>
        </w:rPr>
        <w:t xml:space="preserve">ountering Financing of Terrorism Act 2009 </w:t>
      </w:r>
      <w:r w:rsidRPr="00F53BDD">
        <w:t>–</w:t>
      </w:r>
      <w:r w:rsidR="00A05725" w:rsidRPr="00F53BDD">
        <w:t xml:space="preserve"> Generally p</w:t>
      </w:r>
      <w:r w:rsidRPr="00F53BDD">
        <w:t>rohibits various types of fraudulent conduct.</w:t>
      </w:r>
    </w:p>
    <w:p w:rsidR="00143FC3" w:rsidRPr="00F53BDD" w:rsidRDefault="00143FC3" w:rsidP="00143FC3">
      <w:pPr>
        <w:pStyle w:val="Bullet"/>
      </w:pPr>
      <w:r w:rsidRPr="00F53BDD">
        <w:rPr>
          <w:b/>
          <w:bCs/>
        </w:rPr>
        <w:t xml:space="preserve">Forests (Regulation of Log Traders and Forestry Advisers) </w:t>
      </w:r>
      <w:r w:rsidR="00230364" w:rsidRPr="00F53BDD">
        <w:rPr>
          <w:b/>
          <w:bCs/>
        </w:rPr>
        <w:t>A</w:t>
      </w:r>
      <w:r w:rsidRPr="00F53BDD">
        <w:rPr>
          <w:b/>
          <w:bCs/>
        </w:rPr>
        <w:t xml:space="preserve">mendment Act 2020 </w:t>
      </w:r>
      <w:r w:rsidRPr="00F53BDD">
        <w:t>–</w:t>
      </w:r>
      <w:r w:rsidR="001C3E8F" w:rsidRPr="00F53BDD">
        <w:t> </w:t>
      </w:r>
      <w:r w:rsidR="00A05725" w:rsidRPr="00F53BDD">
        <w:t>E</w:t>
      </w:r>
      <w:r w:rsidRPr="00F53BDD">
        <w:t>stablishes a registration system for log traders and forestry advisers.</w:t>
      </w:r>
    </w:p>
    <w:p w:rsidR="00143FC3" w:rsidRPr="00F53BDD" w:rsidRDefault="00143FC3" w:rsidP="00143FC3">
      <w:pPr>
        <w:pStyle w:val="Bullet"/>
      </w:pPr>
      <w:r w:rsidRPr="00F53BDD">
        <w:rPr>
          <w:b/>
          <w:bCs/>
        </w:rPr>
        <w:t>Fair Trading Act 1986</w:t>
      </w:r>
      <w:r w:rsidRPr="00F53BDD">
        <w:t xml:space="preserve"> – </w:t>
      </w:r>
      <w:r w:rsidR="00A05725" w:rsidRPr="00F53BDD">
        <w:t>G</w:t>
      </w:r>
      <w:r w:rsidRPr="00F53BDD">
        <w:t>enerally prohibits false and misleading conduct by those in trade.</w:t>
      </w:r>
    </w:p>
    <w:p w:rsidR="00143FC3" w:rsidRPr="00F53BDD" w:rsidRDefault="00143FC3" w:rsidP="00143FC3">
      <w:pPr>
        <w:pStyle w:val="Bullet"/>
      </w:pPr>
      <w:r w:rsidRPr="00F53BDD">
        <w:rPr>
          <w:b/>
          <w:bCs/>
        </w:rPr>
        <w:t>Commerce Act 1986</w:t>
      </w:r>
      <w:r w:rsidRPr="00F53BDD">
        <w:t xml:space="preserve"> –</w:t>
      </w:r>
      <w:r w:rsidRPr="00F53BDD">
        <w:rPr>
          <w:rFonts w:ascii="Arial" w:hAnsi="Arial" w:cs="Arial"/>
          <w:sz w:val="20"/>
        </w:rPr>
        <w:t xml:space="preserve"> </w:t>
      </w:r>
      <w:r w:rsidR="00A05725" w:rsidRPr="00F53BDD">
        <w:t>G</w:t>
      </w:r>
      <w:r w:rsidRPr="00F53BDD">
        <w:t>enerally prohibits anti-competitive conduct.</w:t>
      </w:r>
    </w:p>
    <w:p w:rsidR="00630A4D" w:rsidRPr="00F53BDD" w:rsidRDefault="00630A4D" w:rsidP="00143FC3">
      <w:pPr>
        <w:pStyle w:val="Bullet"/>
      </w:pPr>
      <w:r w:rsidRPr="00F53BDD">
        <w:rPr>
          <w:b/>
          <w:bCs/>
        </w:rPr>
        <w:t>Climate Change (Auctions, Limits, and Price Controls for Units) Regulations 2020</w:t>
      </w:r>
      <w:r w:rsidRPr="00F53BDD">
        <w:t xml:space="preserve"> –</w:t>
      </w:r>
      <w:r w:rsidR="001C3E8F" w:rsidRPr="00F53BDD">
        <w:t> </w:t>
      </w:r>
      <w:r w:rsidR="00A05725" w:rsidRPr="00F53BDD">
        <w:t>P</w:t>
      </w:r>
      <w:r w:rsidRPr="00F53BDD">
        <w:t xml:space="preserve">rovides some regulation for primary markets, </w:t>
      </w:r>
      <w:r w:rsidR="0048106F" w:rsidRPr="00F53BDD">
        <w:t>for example</w:t>
      </w:r>
      <w:r w:rsidRPr="00F53BDD">
        <w:t xml:space="preserve"> auctioning regulations.</w:t>
      </w:r>
    </w:p>
    <w:p w:rsidR="006E21F2" w:rsidRDefault="006E21F2">
      <w:pPr>
        <w:spacing w:before="0" w:after="200" w:line="276" w:lineRule="auto"/>
        <w:jc w:val="left"/>
      </w:pPr>
      <w:r>
        <w:br w:type="page"/>
      </w:r>
    </w:p>
    <w:p w:rsidR="00630A4D" w:rsidRPr="00F53BDD" w:rsidRDefault="00143FC3" w:rsidP="000D1F83">
      <w:pPr>
        <w:pStyle w:val="BodyText"/>
      </w:pPr>
      <w:r w:rsidRPr="00F53BDD">
        <w:t xml:space="preserve">This patchwork of regulation means there is no single </w:t>
      </w:r>
      <w:r w:rsidR="00630A4D" w:rsidRPr="00F53BDD">
        <w:t xml:space="preserve">regulation or </w:t>
      </w:r>
      <w:r w:rsidRPr="00F53BDD">
        <w:t xml:space="preserve">regulator for the </w:t>
      </w:r>
      <w:r w:rsidR="00630A4D" w:rsidRPr="00F53BDD">
        <w:t>NZ ETS</w:t>
      </w:r>
      <w:r w:rsidRPr="00F53BDD">
        <w:t xml:space="preserve"> to</w:t>
      </w:r>
      <w:r w:rsidR="00630A4D" w:rsidRPr="00F53BDD">
        <w:t>:</w:t>
      </w:r>
    </w:p>
    <w:p w:rsidR="00143FC3" w:rsidRPr="00F53BDD" w:rsidRDefault="00143FC3" w:rsidP="001C3E8F">
      <w:pPr>
        <w:pStyle w:val="Bullet"/>
      </w:pPr>
      <w:r w:rsidRPr="00F53BDD">
        <w:t xml:space="preserve">oversee the quality of advice </w:t>
      </w:r>
      <w:r w:rsidR="0017069C" w:rsidRPr="00F53BDD">
        <w:t>for</w:t>
      </w:r>
      <w:r w:rsidR="0048106F" w:rsidRPr="00F53BDD">
        <w:t xml:space="preserve"> users</w:t>
      </w:r>
    </w:p>
    <w:p w:rsidR="00630A4D" w:rsidRPr="00F53BDD" w:rsidRDefault="00630A4D" w:rsidP="001C3E8F">
      <w:pPr>
        <w:pStyle w:val="Bullet"/>
      </w:pPr>
      <w:r w:rsidRPr="00F53BDD">
        <w:t>increase transparency of market trading information</w:t>
      </w:r>
    </w:p>
    <w:p w:rsidR="00630A4D" w:rsidRPr="00F53BDD" w:rsidRDefault="00630A4D" w:rsidP="001C3E8F">
      <w:pPr>
        <w:pStyle w:val="Bullet"/>
      </w:pPr>
      <w:r w:rsidRPr="00F53BDD">
        <w:t xml:space="preserve">monitor </w:t>
      </w:r>
      <w:r w:rsidR="0048106F" w:rsidRPr="00F53BDD">
        <w:t>mis</w:t>
      </w:r>
      <w:r w:rsidRPr="00F53BDD">
        <w:t>conduct.</w:t>
      </w:r>
    </w:p>
    <w:p w:rsidR="00143FC3" w:rsidRPr="00F53BDD" w:rsidRDefault="00FA3594" w:rsidP="008F03F4">
      <w:pPr>
        <w:pStyle w:val="BodyText"/>
      </w:pPr>
      <w:r w:rsidRPr="00F53BDD">
        <w:t>As a result,</w:t>
      </w:r>
      <w:r w:rsidR="00143FC3" w:rsidRPr="00F53BDD">
        <w:t xml:space="preserve"> some forms of misconduct, which are regulated in New Zealand</w:t>
      </w:r>
      <w:r w:rsidR="00E60B14" w:rsidRPr="00F53BDD">
        <w:t>’s</w:t>
      </w:r>
      <w:r w:rsidR="00143FC3" w:rsidRPr="00F53BDD">
        <w:t xml:space="preserve"> financial markets</w:t>
      </w:r>
      <w:r w:rsidR="0048106F" w:rsidRPr="00F53BDD">
        <w:t xml:space="preserve"> and in international ETSs</w:t>
      </w:r>
      <w:r w:rsidR="00143FC3" w:rsidRPr="00F53BDD">
        <w:t xml:space="preserve">, are not regulated in the NZ ETS. </w:t>
      </w:r>
    </w:p>
    <w:p w:rsidR="00223BEC" w:rsidRPr="00F53BDD" w:rsidRDefault="0017069C" w:rsidP="00D41E04">
      <w:pPr>
        <w:pStyle w:val="Heading3"/>
        <w:spacing w:before="280"/>
      </w:pPr>
      <w:r w:rsidRPr="00F53BDD">
        <w:t>S</w:t>
      </w:r>
      <w:r w:rsidR="00223BEC" w:rsidRPr="00F53BDD">
        <w:t>even market risks</w:t>
      </w:r>
    </w:p>
    <w:p w:rsidR="003306F7" w:rsidRPr="00F53BDD" w:rsidRDefault="00223BEC" w:rsidP="003306F7">
      <w:pPr>
        <w:pStyle w:val="BodyText"/>
      </w:pPr>
      <w:r w:rsidRPr="00F53BDD">
        <w:t>In 2018,</w:t>
      </w:r>
      <w:r w:rsidR="00022854" w:rsidRPr="00F53BDD">
        <w:t xml:space="preserve"> the</w:t>
      </w:r>
      <w:r w:rsidRPr="00F53BDD">
        <w:t xml:space="preserve"> </w:t>
      </w:r>
      <w:r w:rsidR="00D10A1C" w:rsidRPr="00F53BDD">
        <w:t>Government</w:t>
      </w:r>
      <w:r w:rsidRPr="00F53BDD">
        <w:t xml:space="preserve"> consult</w:t>
      </w:r>
      <w:r w:rsidR="00230364" w:rsidRPr="00F53BDD">
        <w:t>ed</w:t>
      </w:r>
      <w:r w:rsidRPr="00F53BDD">
        <w:t xml:space="preserve"> on </w:t>
      </w:r>
      <w:r w:rsidR="0017069C" w:rsidRPr="00F53BDD">
        <w:t>improving</w:t>
      </w:r>
      <w:r w:rsidRPr="00F53BDD">
        <w:t xml:space="preserve"> the NZ ETS</w:t>
      </w:r>
      <w:r w:rsidRPr="00F53BDD">
        <w:rPr>
          <w:rStyle w:val="FootnoteReference"/>
        </w:rPr>
        <w:footnoteReference w:id="8"/>
      </w:r>
      <w:r w:rsidR="003306F7" w:rsidRPr="00F53BDD">
        <w:t xml:space="preserve"> and </w:t>
      </w:r>
      <w:r w:rsidRPr="00F53BDD">
        <w:t xml:space="preserve">identified seven </w:t>
      </w:r>
      <w:r w:rsidR="0017069C" w:rsidRPr="00F53BDD">
        <w:t>risk</w:t>
      </w:r>
      <w:r w:rsidR="0063042D" w:rsidRPr="00F53BDD">
        <w:t>s</w:t>
      </w:r>
      <w:r w:rsidR="0017069C" w:rsidRPr="00F53BDD">
        <w:t xml:space="preserve"> for</w:t>
      </w:r>
      <w:r w:rsidRPr="00F53BDD">
        <w:t xml:space="preserve"> market governance. </w:t>
      </w:r>
      <w:r w:rsidR="0017069C" w:rsidRPr="00F53BDD">
        <w:t>W</w:t>
      </w:r>
      <w:r w:rsidR="003306F7" w:rsidRPr="00F53BDD">
        <w:t>e have combined these into three risk themes</w:t>
      </w:r>
      <w:r w:rsidR="0017069C" w:rsidRPr="00F53BDD">
        <w:t xml:space="preserve"> (table 2).</w:t>
      </w:r>
    </w:p>
    <w:p w:rsidR="003306F7" w:rsidRPr="00F53BDD" w:rsidRDefault="003306F7" w:rsidP="003306F7">
      <w:pPr>
        <w:pStyle w:val="Tableheading"/>
      </w:pPr>
      <w:bookmarkStart w:id="30" w:name="_Ref72055312"/>
      <w:bookmarkStart w:id="31" w:name="table2"/>
      <w:bookmarkStart w:id="32" w:name="_Toc75250105"/>
      <w:r w:rsidRPr="00F53BDD">
        <w:t xml:space="preserve">Table </w:t>
      </w:r>
      <w:r w:rsidR="003C49C8">
        <w:rPr>
          <w:noProof/>
        </w:rPr>
        <w:fldChar w:fldCharType="begin"/>
      </w:r>
      <w:r w:rsidR="003C49C8">
        <w:rPr>
          <w:noProof/>
        </w:rPr>
        <w:instrText xml:space="preserve"> SEQ Table \* ARABIC </w:instrText>
      </w:r>
      <w:r w:rsidR="003C49C8">
        <w:rPr>
          <w:noProof/>
        </w:rPr>
        <w:fldChar w:fldCharType="separate"/>
      </w:r>
      <w:r w:rsidR="00F84B55">
        <w:rPr>
          <w:noProof/>
        </w:rPr>
        <w:t>2</w:t>
      </w:r>
      <w:r w:rsidR="003C49C8">
        <w:rPr>
          <w:noProof/>
        </w:rPr>
        <w:fldChar w:fldCharType="end"/>
      </w:r>
      <w:bookmarkEnd w:id="30"/>
      <w:bookmarkEnd w:id="31"/>
      <w:r w:rsidRPr="00F53BDD">
        <w:t xml:space="preserve">: </w:t>
      </w:r>
      <w:r w:rsidR="001C3E8F" w:rsidRPr="00F53BDD">
        <w:tab/>
      </w:r>
      <w:r w:rsidR="0017069C" w:rsidRPr="00F53BDD">
        <w:t>M</w:t>
      </w:r>
      <w:r w:rsidRPr="00F53BDD">
        <w:t>arket governance risks and themes</w:t>
      </w:r>
      <w:bookmarkEnd w:id="32"/>
    </w:p>
    <w:tbl>
      <w:tblPr>
        <w:tblStyle w:val="TableGrid"/>
        <w:tblW w:w="8562" w:type="dxa"/>
        <w:tblBorders>
          <w:top w:val="none" w:sz="0" w:space="0" w:color="auto"/>
          <w:left w:val="none" w:sz="0" w:space="0" w:color="auto"/>
          <w:bottom w:val="single" w:sz="4" w:space="0" w:color="1C556C" w:themeColor="accent1"/>
          <w:right w:val="none" w:sz="0" w:space="0" w:color="auto"/>
          <w:insideH w:val="single" w:sz="4" w:space="0" w:color="1C556C" w:themeColor="accent1"/>
          <w:insideV w:val="none" w:sz="0" w:space="0" w:color="auto"/>
        </w:tblBorders>
        <w:tblLook w:val="04A0" w:firstRow="1" w:lastRow="0" w:firstColumn="1" w:lastColumn="0" w:noHBand="0" w:noVBand="1"/>
      </w:tblPr>
      <w:tblGrid>
        <w:gridCol w:w="2283"/>
        <w:gridCol w:w="6279"/>
      </w:tblGrid>
      <w:tr w:rsidR="007331FF" w:rsidRPr="00F53BDD" w:rsidTr="0030048D">
        <w:tc>
          <w:tcPr>
            <w:tcW w:w="1333" w:type="pct"/>
            <w:tcBorders>
              <w:bottom w:val="single" w:sz="4" w:space="0" w:color="1C556C" w:themeColor="accent1"/>
            </w:tcBorders>
            <w:shd w:val="clear" w:color="auto" w:fill="1C556C" w:themeFill="accent1"/>
          </w:tcPr>
          <w:p w:rsidR="003306F7" w:rsidRPr="00F53BDD" w:rsidRDefault="003306F7" w:rsidP="009C2539">
            <w:pPr>
              <w:pStyle w:val="TableText"/>
              <w:rPr>
                <w:b/>
                <w:bCs/>
                <w:color w:val="FFFFFF" w:themeColor="background1"/>
              </w:rPr>
            </w:pPr>
            <w:r w:rsidRPr="00F53BDD">
              <w:rPr>
                <w:b/>
                <w:bCs/>
                <w:color w:val="FFFFFF" w:themeColor="background1"/>
              </w:rPr>
              <w:t>THEME</w:t>
            </w:r>
          </w:p>
        </w:tc>
        <w:tc>
          <w:tcPr>
            <w:tcW w:w="3667" w:type="pct"/>
            <w:tcBorders>
              <w:bottom w:val="single" w:sz="4" w:space="0" w:color="1C556C" w:themeColor="accent1"/>
            </w:tcBorders>
            <w:shd w:val="clear" w:color="auto" w:fill="1C556C" w:themeFill="accent1"/>
          </w:tcPr>
          <w:p w:rsidR="003306F7" w:rsidRPr="00F53BDD" w:rsidRDefault="003306F7" w:rsidP="009C2539">
            <w:pPr>
              <w:pStyle w:val="TableText"/>
              <w:rPr>
                <w:b/>
                <w:bCs/>
                <w:color w:val="FFFFFF" w:themeColor="background1"/>
              </w:rPr>
            </w:pPr>
            <w:r w:rsidRPr="00F53BDD">
              <w:rPr>
                <w:b/>
                <w:bCs/>
                <w:color w:val="FFFFFF" w:themeColor="background1"/>
              </w:rPr>
              <w:t>RISK</w:t>
            </w:r>
          </w:p>
        </w:tc>
      </w:tr>
      <w:tr w:rsidR="003306F7" w:rsidRPr="00F53BDD" w:rsidTr="0030048D">
        <w:tc>
          <w:tcPr>
            <w:tcW w:w="1333" w:type="pct"/>
            <w:vMerge w:val="restart"/>
            <w:tcBorders>
              <w:top w:val="single" w:sz="4" w:space="0" w:color="1C556C" w:themeColor="accent1"/>
            </w:tcBorders>
            <w:shd w:val="clear" w:color="auto" w:fill="auto"/>
          </w:tcPr>
          <w:p w:rsidR="003306F7" w:rsidRPr="00DB5F83" w:rsidRDefault="003306F7" w:rsidP="0030048D">
            <w:pPr>
              <w:pStyle w:val="TableText"/>
              <w:spacing w:before="50" w:after="50"/>
              <w:rPr>
                <w:b/>
                <w:bCs/>
              </w:rPr>
            </w:pPr>
            <w:bookmarkStart w:id="33" w:name="_Hlk74654256"/>
            <w:r w:rsidRPr="00F53BDD">
              <w:rPr>
                <w:b/>
                <w:bCs/>
              </w:rPr>
              <w:t xml:space="preserve">Theme A </w:t>
            </w:r>
            <w:r w:rsidR="0030048D">
              <w:rPr>
                <w:b/>
                <w:bCs/>
              </w:rPr>
              <w:br/>
            </w:r>
            <w:r w:rsidRPr="00DB5F83">
              <w:rPr>
                <w:b/>
                <w:bCs/>
              </w:rPr>
              <w:t xml:space="preserve">Governance of </w:t>
            </w:r>
            <w:r w:rsidR="0063042D" w:rsidRPr="00DB5F83">
              <w:rPr>
                <w:b/>
                <w:bCs/>
              </w:rPr>
              <w:t>a</w:t>
            </w:r>
            <w:r w:rsidRPr="00DB5F83">
              <w:rPr>
                <w:b/>
                <w:bCs/>
              </w:rPr>
              <w:t>dvice</w:t>
            </w:r>
          </w:p>
        </w:tc>
        <w:tc>
          <w:tcPr>
            <w:tcW w:w="3667" w:type="pct"/>
            <w:tcBorders>
              <w:top w:val="single" w:sz="4" w:space="0" w:color="1C556C" w:themeColor="accent1"/>
            </w:tcBorders>
            <w:shd w:val="clear" w:color="auto" w:fill="auto"/>
          </w:tcPr>
          <w:p w:rsidR="003306F7" w:rsidRPr="00F53BDD" w:rsidRDefault="003306F7" w:rsidP="00D41E04">
            <w:pPr>
              <w:pStyle w:val="TableText"/>
              <w:spacing w:before="50" w:after="50"/>
            </w:pPr>
            <w:r w:rsidRPr="00F53BDD">
              <w:rPr>
                <w:b/>
                <w:bCs/>
              </w:rPr>
              <w:t>Risk 1:</w:t>
            </w:r>
            <w:r w:rsidRPr="00F53BDD">
              <w:t xml:space="preserve"> Inadequate, false or misleading advice to NZ ETS users</w:t>
            </w:r>
          </w:p>
        </w:tc>
      </w:tr>
      <w:tr w:rsidR="003306F7" w:rsidRPr="00F53BDD" w:rsidTr="0030048D">
        <w:tc>
          <w:tcPr>
            <w:tcW w:w="1333" w:type="pct"/>
            <w:vMerge/>
            <w:tcBorders>
              <w:top w:val="single" w:sz="4" w:space="0" w:color="1C556C" w:themeColor="accent1"/>
              <w:bottom w:val="single" w:sz="4" w:space="0" w:color="1C556C" w:themeColor="accent1"/>
            </w:tcBorders>
            <w:shd w:val="clear" w:color="auto" w:fill="auto"/>
          </w:tcPr>
          <w:p w:rsidR="003306F7" w:rsidRPr="00F53BDD" w:rsidRDefault="003306F7" w:rsidP="00D41E04">
            <w:pPr>
              <w:pStyle w:val="TableText"/>
              <w:spacing w:before="50" w:after="50"/>
            </w:pPr>
          </w:p>
        </w:tc>
        <w:tc>
          <w:tcPr>
            <w:tcW w:w="3667" w:type="pct"/>
            <w:tcBorders>
              <w:top w:val="single" w:sz="4" w:space="0" w:color="1C556C" w:themeColor="accent1"/>
              <w:bottom w:val="single" w:sz="4" w:space="0" w:color="1C556C" w:themeColor="accent1"/>
            </w:tcBorders>
            <w:shd w:val="clear" w:color="auto" w:fill="auto"/>
          </w:tcPr>
          <w:p w:rsidR="003306F7" w:rsidRPr="00F53BDD" w:rsidRDefault="003306F7" w:rsidP="00D41E04">
            <w:pPr>
              <w:pStyle w:val="TableText"/>
              <w:spacing w:before="50" w:after="50"/>
            </w:pPr>
            <w:r w:rsidRPr="00F53BDD">
              <w:rPr>
                <w:b/>
                <w:bCs/>
              </w:rPr>
              <w:t>Risk 2:</w:t>
            </w:r>
            <w:r w:rsidRPr="00F53BDD">
              <w:t xml:space="preserve"> Conflicts of interest involving the New Zealand Emissions Trading Register</w:t>
            </w:r>
          </w:p>
        </w:tc>
      </w:tr>
      <w:tr w:rsidR="003306F7" w:rsidRPr="00F53BDD" w:rsidTr="0030048D">
        <w:tc>
          <w:tcPr>
            <w:tcW w:w="1333" w:type="pct"/>
            <w:vMerge w:val="restart"/>
            <w:tcBorders>
              <w:top w:val="single" w:sz="4" w:space="0" w:color="1C556C" w:themeColor="accent1"/>
            </w:tcBorders>
            <w:shd w:val="clear" w:color="auto" w:fill="auto"/>
          </w:tcPr>
          <w:p w:rsidR="003306F7" w:rsidRPr="00DB5F83" w:rsidRDefault="003306F7" w:rsidP="0030048D">
            <w:pPr>
              <w:pStyle w:val="TableText"/>
              <w:spacing w:before="50" w:after="50"/>
              <w:rPr>
                <w:b/>
                <w:bCs/>
              </w:rPr>
            </w:pPr>
            <w:r w:rsidRPr="00F53BDD">
              <w:rPr>
                <w:b/>
                <w:bCs/>
              </w:rPr>
              <w:t xml:space="preserve">Theme B </w:t>
            </w:r>
            <w:r w:rsidR="0030048D">
              <w:rPr>
                <w:b/>
                <w:bCs/>
              </w:rPr>
              <w:br/>
            </w:r>
            <w:r w:rsidRPr="00DB5F83">
              <w:rPr>
                <w:b/>
                <w:bCs/>
              </w:rPr>
              <w:t xml:space="preserve">Governance of </w:t>
            </w:r>
            <w:r w:rsidR="0063042D" w:rsidRPr="00DB5F83">
              <w:rPr>
                <w:b/>
                <w:bCs/>
              </w:rPr>
              <w:t>t</w:t>
            </w:r>
            <w:r w:rsidRPr="00DB5F83">
              <w:rPr>
                <w:b/>
                <w:bCs/>
              </w:rPr>
              <w:t>rading</w:t>
            </w:r>
          </w:p>
        </w:tc>
        <w:tc>
          <w:tcPr>
            <w:tcW w:w="3667" w:type="pct"/>
            <w:tcBorders>
              <w:top w:val="single" w:sz="4" w:space="0" w:color="1C556C" w:themeColor="accent1"/>
            </w:tcBorders>
            <w:shd w:val="clear" w:color="auto" w:fill="auto"/>
          </w:tcPr>
          <w:p w:rsidR="003306F7" w:rsidRPr="00F53BDD" w:rsidRDefault="003306F7" w:rsidP="00D41E04">
            <w:pPr>
              <w:pStyle w:val="TableText"/>
              <w:spacing w:before="50" w:after="50"/>
            </w:pPr>
            <w:r w:rsidRPr="00F53BDD">
              <w:rPr>
                <w:b/>
                <w:bCs/>
              </w:rPr>
              <w:t>Risk 3:</w:t>
            </w:r>
            <w:r w:rsidRPr="00F53BDD">
              <w:t xml:space="preserve"> Potential lack of transparency, oversight and monitoring of trades in the secondary market</w:t>
            </w:r>
          </w:p>
        </w:tc>
      </w:tr>
      <w:tr w:rsidR="003306F7" w:rsidRPr="00F53BDD" w:rsidTr="0030048D">
        <w:tc>
          <w:tcPr>
            <w:tcW w:w="1333" w:type="pct"/>
            <w:vMerge/>
            <w:tcBorders>
              <w:top w:val="single" w:sz="4" w:space="0" w:color="1C556C" w:themeColor="accent1"/>
            </w:tcBorders>
            <w:shd w:val="clear" w:color="auto" w:fill="auto"/>
          </w:tcPr>
          <w:p w:rsidR="003306F7" w:rsidRPr="00F53BDD" w:rsidRDefault="003306F7" w:rsidP="00D41E04">
            <w:pPr>
              <w:pStyle w:val="TableText"/>
              <w:spacing w:before="50" w:after="50"/>
            </w:pPr>
          </w:p>
        </w:tc>
        <w:tc>
          <w:tcPr>
            <w:tcW w:w="3667" w:type="pct"/>
            <w:tcBorders>
              <w:top w:val="single" w:sz="4" w:space="0" w:color="1C556C" w:themeColor="accent1"/>
            </w:tcBorders>
            <w:shd w:val="clear" w:color="auto" w:fill="auto"/>
          </w:tcPr>
          <w:p w:rsidR="003306F7" w:rsidRPr="00F53BDD" w:rsidRDefault="003306F7" w:rsidP="00D41E04">
            <w:pPr>
              <w:pStyle w:val="TableText"/>
              <w:spacing w:before="50" w:after="50"/>
            </w:pPr>
            <w:r w:rsidRPr="00F53BDD">
              <w:rPr>
                <w:b/>
                <w:bCs/>
              </w:rPr>
              <w:t>Risk 4:</w:t>
            </w:r>
            <w:r w:rsidRPr="00F53BDD">
              <w:t xml:space="preserve"> Credit and </w:t>
            </w:r>
            <w:r w:rsidR="001E0B58" w:rsidRPr="00F53BDD">
              <w:t>counter-party</w:t>
            </w:r>
            <w:r w:rsidRPr="00F53BDD">
              <w:t xml:space="preserve"> risks</w:t>
            </w:r>
          </w:p>
        </w:tc>
      </w:tr>
      <w:tr w:rsidR="003306F7" w:rsidRPr="00F53BDD" w:rsidTr="0030048D">
        <w:tc>
          <w:tcPr>
            <w:tcW w:w="1333" w:type="pct"/>
            <w:vMerge w:val="restart"/>
            <w:tcBorders>
              <w:top w:val="single" w:sz="4" w:space="0" w:color="1C556C" w:themeColor="accent1"/>
            </w:tcBorders>
            <w:shd w:val="clear" w:color="auto" w:fill="auto"/>
          </w:tcPr>
          <w:p w:rsidR="003306F7" w:rsidRPr="00DB5F83" w:rsidRDefault="003306F7" w:rsidP="0030048D">
            <w:pPr>
              <w:pStyle w:val="TableText"/>
              <w:spacing w:before="50" w:after="50"/>
              <w:rPr>
                <w:b/>
                <w:bCs/>
              </w:rPr>
            </w:pPr>
            <w:r w:rsidRPr="00F53BDD">
              <w:rPr>
                <w:b/>
                <w:bCs/>
              </w:rPr>
              <w:t xml:space="preserve">Theme C </w:t>
            </w:r>
            <w:r w:rsidR="0030048D">
              <w:rPr>
                <w:b/>
                <w:bCs/>
              </w:rPr>
              <w:br/>
            </w:r>
            <w:r w:rsidRPr="00DB5F83">
              <w:rPr>
                <w:b/>
                <w:bCs/>
              </w:rPr>
              <w:t xml:space="preserve">Governance of </w:t>
            </w:r>
            <w:r w:rsidR="0063042D" w:rsidRPr="00DB5F83">
              <w:rPr>
                <w:b/>
                <w:bCs/>
              </w:rPr>
              <w:t>m</w:t>
            </w:r>
            <w:r w:rsidRPr="00DB5F83">
              <w:rPr>
                <w:b/>
                <w:bCs/>
              </w:rPr>
              <w:t xml:space="preserve">arket </w:t>
            </w:r>
            <w:r w:rsidR="0063042D" w:rsidRPr="00DB5F83">
              <w:rPr>
                <w:b/>
                <w:bCs/>
              </w:rPr>
              <w:t>c</w:t>
            </w:r>
            <w:r w:rsidRPr="00DB5F83">
              <w:rPr>
                <w:b/>
                <w:bCs/>
              </w:rPr>
              <w:t>onduct</w:t>
            </w:r>
          </w:p>
        </w:tc>
        <w:tc>
          <w:tcPr>
            <w:tcW w:w="3667" w:type="pct"/>
            <w:tcBorders>
              <w:top w:val="single" w:sz="4" w:space="0" w:color="1C556C" w:themeColor="accent1"/>
            </w:tcBorders>
            <w:shd w:val="clear" w:color="auto" w:fill="auto"/>
          </w:tcPr>
          <w:p w:rsidR="003306F7" w:rsidRPr="00F53BDD" w:rsidRDefault="003306F7" w:rsidP="00D41E04">
            <w:pPr>
              <w:pStyle w:val="TableText"/>
              <w:spacing w:before="50" w:after="50"/>
            </w:pPr>
            <w:r w:rsidRPr="00F53BDD">
              <w:rPr>
                <w:b/>
                <w:bCs/>
              </w:rPr>
              <w:t>Risk 5:</w:t>
            </w:r>
            <w:r w:rsidRPr="00F53BDD">
              <w:t xml:space="preserve"> Insider trading and information asymmetry</w:t>
            </w:r>
          </w:p>
        </w:tc>
      </w:tr>
      <w:tr w:rsidR="003306F7" w:rsidRPr="00F53BDD" w:rsidTr="0030048D">
        <w:tc>
          <w:tcPr>
            <w:tcW w:w="1333" w:type="pct"/>
            <w:vMerge/>
            <w:tcBorders>
              <w:top w:val="single" w:sz="4" w:space="0" w:color="1C556C" w:themeColor="accent1"/>
            </w:tcBorders>
            <w:shd w:val="clear" w:color="auto" w:fill="auto"/>
          </w:tcPr>
          <w:p w:rsidR="003306F7" w:rsidRPr="00F53BDD" w:rsidRDefault="003306F7" w:rsidP="00D41E04">
            <w:pPr>
              <w:pStyle w:val="TableText"/>
              <w:spacing w:before="50" w:after="50"/>
            </w:pPr>
          </w:p>
        </w:tc>
        <w:tc>
          <w:tcPr>
            <w:tcW w:w="3667" w:type="pct"/>
            <w:tcBorders>
              <w:top w:val="single" w:sz="4" w:space="0" w:color="1C556C" w:themeColor="accent1"/>
            </w:tcBorders>
            <w:shd w:val="clear" w:color="auto" w:fill="auto"/>
          </w:tcPr>
          <w:p w:rsidR="003306F7" w:rsidRPr="00F53BDD" w:rsidRDefault="003306F7" w:rsidP="00D41E04">
            <w:pPr>
              <w:pStyle w:val="TableText"/>
              <w:spacing w:before="50" w:after="50"/>
            </w:pPr>
            <w:r w:rsidRPr="00F53BDD">
              <w:rPr>
                <w:b/>
                <w:bCs/>
              </w:rPr>
              <w:t>Risk 6:</w:t>
            </w:r>
            <w:r w:rsidRPr="00F53BDD">
              <w:t xml:space="preserve"> Manipulation of NZU prices</w:t>
            </w:r>
          </w:p>
        </w:tc>
      </w:tr>
      <w:tr w:rsidR="003306F7" w:rsidRPr="00F53BDD" w:rsidTr="0030048D">
        <w:tc>
          <w:tcPr>
            <w:tcW w:w="1333" w:type="pct"/>
            <w:vMerge/>
            <w:tcBorders>
              <w:top w:val="single" w:sz="4" w:space="0" w:color="1C556C" w:themeColor="accent1"/>
            </w:tcBorders>
            <w:shd w:val="clear" w:color="auto" w:fill="auto"/>
          </w:tcPr>
          <w:p w:rsidR="003306F7" w:rsidRPr="00F53BDD" w:rsidRDefault="003306F7" w:rsidP="00D41E04">
            <w:pPr>
              <w:pStyle w:val="TableText"/>
              <w:spacing w:before="50" w:after="50"/>
            </w:pPr>
          </w:p>
        </w:tc>
        <w:tc>
          <w:tcPr>
            <w:tcW w:w="3667" w:type="pct"/>
            <w:tcBorders>
              <w:top w:val="single" w:sz="4" w:space="0" w:color="1C556C" w:themeColor="accent1"/>
            </w:tcBorders>
            <w:shd w:val="clear" w:color="auto" w:fill="auto"/>
          </w:tcPr>
          <w:p w:rsidR="003306F7" w:rsidRPr="00F53BDD" w:rsidRDefault="003306F7" w:rsidP="00D41E04">
            <w:pPr>
              <w:pStyle w:val="TableText"/>
              <w:spacing w:before="50" w:after="50"/>
            </w:pPr>
            <w:r w:rsidRPr="00F53BDD">
              <w:rPr>
                <w:b/>
                <w:bCs/>
              </w:rPr>
              <w:t>Risk 7:</w:t>
            </w:r>
            <w:r w:rsidRPr="00F53BDD">
              <w:t xml:space="preserve"> Money laundering and financing of terrorism </w:t>
            </w:r>
          </w:p>
        </w:tc>
      </w:tr>
    </w:tbl>
    <w:bookmarkEnd w:id="33"/>
    <w:p w:rsidR="00D10A1C" w:rsidRPr="00F53BDD" w:rsidRDefault="00D10A1C" w:rsidP="00D41E04">
      <w:pPr>
        <w:pStyle w:val="BodyText"/>
        <w:spacing w:before="240"/>
      </w:pPr>
      <w:r w:rsidRPr="00F53BDD">
        <w:t xml:space="preserve">These risks are complex and intertwined. </w:t>
      </w:r>
      <w:r w:rsidR="0063042D" w:rsidRPr="00F53BDD">
        <w:t>To address them together requires a</w:t>
      </w:r>
      <w:r w:rsidRPr="00F53BDD">
        <w:t xml:space="preserve"> </w:t>
      </w:r>
      <w:r w:rsidR="004E089E" w:rsidRPr="00F53BDD">
        <w:t xml:space="preserve">more </w:t>
      </w:r>
      <w:r w:rsidRPr="00F53BDD">
        <w:t>comprehensive governance framework</w:t>
      </w:r>
      <w:r w:rsidR="0017069C" w:rsidRPr="00F53BDD">
        <w:t>.</w:t>
      </w:r>
    </w:p>
    <w:p w:rsidR="00630A4D" w:rsidRPr="00F53BDD" w:rsidRDefault="00630A4D" w:rsidP="00D41E04">
      <w:pPr>
        <w:pStyle w:val="BodyText"/>
        <w:spacing w:before="100" w:after="100"/>
      </w:pPr>
      <w:r w:rsidRPr="00F53BDD">
        <w:t xml:space="preserve">At present, there is limited evidence of </w:t>
      </w:r>
      <w:r w:rsidR="00D10A1C" w:rsidRPr="00F53BDD">
        <w:t xml:space="preserve">some of </w:t>
      </w:r>
      <w:r w:rsidRPr="00F53BDD">
        <w:t xml:space="preserve">these </w:t>
      </w:r>
      <w:r w:rsidR="00D10A1C" w:rsidRPr="00F53BDD">
        <w:t xml:space="preserve">risks </w:t>
      </w:r>
      <w:r w:rsidR="0017069C" w:rsidRPr="00F53BDD">
        <w:t xml:space="preserve">becoming a reality, </w:t>
      </w:r>
      <w:r w:rsidRPr="00F53BDD">
        <w:t xml:space="preserve">because </w:t>
      </w:r>
      <w:r w:rsidR="009104ED" w:rsidRPr="00F53BDD">
        <w:t>there is</w:t>
      </w:r>
      <w:r w:rsidR="005762BB" w:rsidRPr="00F53BDD">
        <w:t> </w:t>
      </w:r>
      <w:r w:rsidR="009104ED" w:rsidRPr="00F53BDD">
        <w:t>no</w:t>
      </w:r>
      <w:r w:rsidRPr="00F53BDD">
        <w:t xml:space="preserve"> regulator overseeing all aspects of the ETS</w:t>
      </w:r>
      <w:r w:rsidR="009104ED" w:rsidRPr="00F53BDD">
        <w:t>.</w:t>
      </w:r>
      <w:r w:rsidRPr="00F53BDD">
        <w:t xml:space="preserve"> </w:t>
      </w:r>
      <w:r w:rsidR="009104ED" w:rsidRPr="00F53BDD">
        <w:t>B</w:t>
      </w:r>
      <w:r w:rsidRPr="00F53BDD">
        <w:t>y their nature, many of these forms of misconduct are designed to remain undetected. However, we have seen some of th</w:t>
      </w:r>
      <w:r w:rsidR="00C95AF3" w:rsidRPr="00F53BDD">
        <w:t>is</w:t>
      </w:r>
      <w:r w:rsidRPr="00F53BDD">
        <w:t xml:space="preserve"> behaviour in international ETSs</w:t>
      </w:r>
      <w:r w:rsidR="00D20DCE" w:rsidRPr="00F53BDD">
        <w:t xml:space="preserve"> (</w:t>
      </w:r>
      <w:hyperlink w:anchor="_Appendix_A:_Case" w:history="1">
        <w:r w:rsidR="009104ED" w:rsidRPr="00F53BDD">
          <w:rPr>
            <w:rStyle w:val="Hyperlink"/>
          </w:rPr>
          <w:t>a</w:t>
        </w:r>
        <w:r w:rsidR="00D20DCE" w:rsidRPr="00F53BDD">
          <w:rPr>
            <w:rStyle w:val="Hyperlink"/>
          </w:rPr>
          <w:t>ppendix A</w:t>
        </w:r>
      </w:hyperlink>
      <w:r w:rsidR="00D20DCE" w:rsidRPr="00F53BDD">
        <w:t>).</w:t>
      </w:r>
    </w:p>
    <w:p w:rsidR="009104ED" w:rsidRPr="00F53BDD" w:rsidRDefault="009104ED" w:rsidP="00D41E04">
      <w:pPr>
        <w:pStyle w:val="Heading3"/>
        <w:spacing w:before="280"/>
      </w:pPr>
      <w:r w:rsidRPr="00F53BDD">
        <w:t>Market regulator</w:t>
      </w:r>
    </w:p>
    <w:p w:rsidR="00072D5F" w:rsidRPr="00F53BDD" w:rsidRDefault="009104ED" w:rsidP="00D41E04">
      <w:pPr>
        <w:pStyle w:val="BodyText"/>
        <w:spacing w:before="100" w:after="100"/>
      </w:pPr>
      <w:r w:rsidRPr="00F53BDD">
        <w:t>T</w:t>
      </w:r>
      <w:r w:rsidR="00072D5F" w:rsidRPr="00F53BDD">
        <w:t xml:space="preserve">he Government is also considering appointing a market regulator to </w:t>
      </w:r>
      <w:r w:rsidRPr="00F53BDD">
        <w:t>oversee</w:t>
      </w:r>
      <w:r w:rsidR="00072D5F" w:rsidRPr="00F53BDD">
        <w:t xml:space="preserve"> the operation of the NZ ETS and its users. A key aspect of the discussion is determining the appropriate type of regulator</w:t>
      </w:r>
      <w:r w:rsidRPr="00F53BDD">
        <w:t>,</w:t>
      </w:r>
      <w:r w:rsidR="00072D5F" w:rsidRPr="00F53BDD">
        <w:t xml:space="preserve"> and </w:t>
      </w:r>
      <w:r w:rsidRPr="00F53BDD">
        <w:t xml:space="preserve">setting out </w:t>
      </w:r>
      <w:r w:rsidR="00072D5F" w:rsidRPr="00F53BDD">
        <w:t>their role and functions.</w:t>
      </w:r>
    </w:p>
    <w:p w:rsidR="009104ED" w:rsidRPr="00F53BDD" w:rsidRDefault="009104ED" w:rsidP="00812A66">
      <w:pPr>
        <w:pStyle w:val="Heading2"/>
      </w:pPr>
      <w:bookmarkStart w:id="34" w:name="_Toc75250059"/>
      <w:r w:rsidRPr="00F53BDD">
        <w:t>Your views</w:t>
      </w:r>
      <w:bookmarkEnd w:id="34"/>
    </w:p>
    <w:p w:rsidR="009104ED" w:rsidRPr="00F53BDD" w:rsidRDefault="00223BEC" w:rsidP="00630A4D">
      <w:pPr>
        <w:pStyle w:val="BodyText"/>
      </w:pPr>
      <w:r w:rsidRPr="00F53BDD">
        <w:t>The Government is seeking feedback on</w:t>
      </w:r>
      <w:r w:rsidR="009104ED" w:rsidRPr="00F53BDD">
        <w:t>:</w:t>
      </w:r>
    </w:p>
    <w:p w:rsidR="0063042D" w:rsidRPr="00F53BDD" w:rsidRDefault="0063042D" w:rsidP="00D41E04">
      <w:pPr>
        <w:pStyle w:val="Bullet"/>
      </w:pPr>
      <w:r w:rsidRPr="00F53BDD">
        <w:t>the extent to which these risks have materialised</w:t>
      </w:r>
    </w:p>
    <w:p w:rsidR="0063042D" w:rsidRPr="00F53BDD" w:rsidRDefault="0063042D" w:rsidP="00D41E04">
      <w:pPr>
        <w:pStyle w:val="Bullet"/>
      </w:pPr>
      <w:r w:rsidRPr="00F53BDD">
        <w:t>options to address these risks</w:t>
      </w:r>
    </w:p>
    <w:p w:rsidR="0063042D" w:rsidRPr="00F53BDD" w:rsidRDefault="0063042D" w:rsidP="00D41E04">
      <w:pPr>
        <w:pStyle w:val="Bullet"/>
      </w:pPr>
      <w:r w:rsidRPr="00F53BDD">
        <w:t>appointing a regulator to oversee the market.</w:t>
      </w:r>
    </w:p>
    <w:p w:rsidR="006C2DD6" w:rsidRPr="00F53BDD" w:rsidRDefault="002716EE" w:rsidP="00D41E04">
      <w:pPr>
        <w:pStyle w:val="Heading2"/>
      </w:pPr>
      <w:bookmarkStart w:id="35" w:name="_Toc75250060"/>
      <w:r w:rsidRPr="00F53BDD">
        <w:t>How i</w:t>
      </w:r>
      <w:r w:rsidR="006C2DD6" w:rsidRPr="00F53BDD">
        <w:t xml:space="preserve">nternational </w:t>
      </w:r>
      <w:r w:rsidR="00143FC3" w:rsidRPr="00F53BDD">
        <w:t>ETSs address governance risks</w:t>
      </w:r>
      <w:bookmarkEnd w:id="35"/>
    </w:p>
    <w:p w:rsidR="006C2DD6" w:rsidRPr="00F53BDD" w:rsidRDefault="0030441D" w:rsidP="00D41E04">
      <w:pPr>
        <w:pStyle w:val="BodyText"/>
      </w:pPr>
      <w:r w:rsidRPr="00F53BDD">
        <w:t>Many of these risks have</w:t>
      </w:r>
      <w:r w:rsidR="002716EE" w:rsidRPr="00F53BDD">
        <w:t xml:space="preserve"> materialised</w:t>
      </w:r>
      <w:r w:rsidRPr="00F53BDD">
        <w:t xml:space="preserve"> in international ETSs, and as a result, m</w:t>
      </w:r>
      <w:r w:rsidR="006C2DD6" w:rsidRPr="00F53BDD">
        <w:t xml:space="preserve">ost </w:t>
      </w:r>
      <w:r w:rsidR="0063042D" w:rsidRPr="00F53BDD">
        <w:t xml:space="preserve">schemes </w:t>
      </w:r>
      <w:r w:rsidR="006C2DD6" w:rsidRPr="00F53BDD">
        <w:t xml:space="preserve">are more strongly regulated than the </w:t>
      </w:r>
      <w:r w:rsidRPr="00F53BDD">
        <w:t>NZ</w:t>
      </w:r>
      <w:r w:rsidR="006C2DD6" w:rsidRPr="00F53BDD">
        <w:t xml:space="preserve"> ETS. This section outlines some of the similarities and differences of the more prominent international </w:t>
      </w:r>
      <w:r w:rsidRPr="00F53BDD">
        <w:t>ETSs</w:t>
      </w:r>
      <w:r w:rsidR="006C2DD6" w:rsidRPr="00F53BDD">
        <w:t xml:space="preserve"> </w:t>
      </w:r>
      <w:r w:rsidR="00230364" w:rsidRPr="00F53BDD">
        <w:t>(</w:t>
      </w:r>
      <w:r w:rsidR="00C46EC0" w:rsidRPr="00F53BDD">
        <w:t>t</w:t>
      </w:r>
      <w:r w:rsidR="0017612A" w:rsidRPr="00F53BDD">
        <w:fldChar w:fldCharType="begin"/>
      </w:r>
      <w:r w:rsidR="0017612A" w:rsidRPr="00F53BDD">
        <w:instrText xml:space="preserve"> REF _Ref72573911 \h </w:instrText>
      </w:r>
      <w:r w:rsidRPr="00F53BDD">
        <w:instrText xml:space="preserve"> \* MERGEFORMAT </w:instrText>
      </w:r>
      <w:r w:rsidR="0017612A" w:rsidRPr="00F53BDD">
        <w:fldChar w:fldCharType="separate"/>
      </w:r>
      <w:r w:rsidR="00F84B55" w:rsidRPr="00F53BDD">
        <w:t xml:space="preserve">able </w:t>
      </w:r>
      <w:r w:rsidR="00F84B55">
        <w:t>3</w:t>
      </w:r>
      <w:r w:rsidR="0017612A" w:rsidRPr="00F53BDD">
        <w:fldChar w:fldCharType="end"/>
      </w:r>
      <w:r w:rsidR="006C2DD6" w:rsidRPr="00F53BDD">
        <w:t>).</w:t>
      </w:r>
      <w:r w:rsidR="006C2DD6" w:rsidRPr="00F53BDD" w:rsidDel="009B74E7">
        <w:t xml:space="preserve"> </w:t>
      </w:r>
    </w:p>
    <w:p w:rsidR="00690A7F" w:rsidRPr="00F53BDD" w:rsidRDefault="00690A7F" w:rsidP="00526B0D">
      <w:pPr>
        <w:pStyle w:val="Tableheading"/>
      </w:pPr>
      <w:bookmarkStart w:id="36" w:name="_Ref72573911"/>
      <w:bookmarkStart w:id="37" w:name="_Toc75250106"/>
      <w:r w:rsidRPr="00F53BDD">
        <w:t xml:space="preserve">Table </w:t>
      </w:r>
      <w:r w:rsidR="003C49C8">
        <w:rPr>
          <w:noProof/>
        </w:rPr>
        <w:fldChar w:fldCharType="begin"/>
      </w:r>
      <w:r w:rsidR="003C49C8">
        <w:rPr>
          <w:noProof/>
        </w:rPr>
        <w:instrText xml:space="preserve"> SEQ Table \* ARABIC </w:instrText>
      </w:r>
      <w:r w:rsidR="003C49C8">
        <w:rPr>
          <w:noProof/>
        </w:rPr>
        <w:fldChar w:fldCharType="separate"/>
      </w:r>
      <w:r w:rsidR="00F84B55">
        <w:rPr>
          <w:noProof/>
        </w:rPr>
        <w:t>3</w:t>
      </w:r>
      <w:r w:rsidR="003C49C8">
        <w:rPr>
          <w:noProof/>
        </w:rPr>
        <w:fldChar w:fldCharType="end"/>
      </w:r>
      <w:bookmarkEnd w:id="36"/>
      <w:r w:rsidRPr="00F53BDD">
        <w:t xml:space="preserve">: </w:t>
      </w:r>
      <w:r w:rsidR="00502CE8" w:rsidRPr="00F53BDD">
        <w:tab/>
      </w:r>
      <w:r w:rsidRPr="00F53BDD">
        <w:rPr>
          <w:rFonts w:eastAsia="Times New Roman"/>
        </w:rPr>
        <w:t xml:space="preserve">Examples of international </w:t>
      </w:r>
      <w:r w:rsidR="00C46EC0" w:rsidRPr="00F53BDD">
        <w:rPr>
          <w:rFonts w:eastAsia="Times New Roman"/>
        </w:rPr>
        <w:t>e</w:t>
      </w:r>
      <w:r w:rsidRPr="00F53BDD">
        <w:rPr>
          <w:rFonts w:eastAsia="Times New Roman"/>
        </w:rPr>
        <w:t xml:space="preserve">missions </w:t>
      </w:r>
      <w:r w:rsidR="00C46EC0" w:rsidRPr="00F53BDD">
        <w:rPr>
          <w:rFonts w:eastAsia="Times New Roman"/>
        </w:rPr>
        <w:t>t</w:t>
      </w:r>
      <w:r w:rsidRPr="00F53BDD">
        <w:rPr>
          <w:rFonts w:eastAsia="Times New Roman"/>
        </w:rPr>
        <w:t xml:space="preserve">rading </w:t>
      </w:r>
      <w:r w:rsidR="00C46EC0" w:rsidRPr="00F53BDD">
        <w:rPr>
          <w:rFonts w:eastAsia="Times New Roman"/>
        </w:rPr>
        <w:t>s</w:t>
      </w:r>
      <w:r w:rsidRPr="00F53BDD">
        <w:rPr>
          <w:rFonts w:eastAsia="Times New Roman"/>
        </w:rPr>
        <w:t>chemes</w:t>
      </w:r>
      <w:bookmarkEnd w:id="37"/>
    </w:p>
    <w:tbl>
      <w:tblPr>
        <w:tblStyle w:val="TableGrid2"/>
        <w:tblW w:w="8562" w:type="dxa"/>
        <w:tblBorders>
          <w:top w:val="none" w:sz="0" w:space="0" w:color="auto"/>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998"/>
        <w:gridCol w:w="1998"/>
        <w:gridCol w:w="4566"/>
      </w:tblGrid>
      <w:tr w:rsidR="0030441D" w:rsidRPr="00F53BDD" w:rsidTr="00502CE8">
        <w:tc>
          <w:tcPr>
            <w:tcW w:w="1985" w:type="dxa"/>
            <w:shd w:val="clear" w:color="auto" w:fill="1C556C"/>
          </w:tcPr>
          <w:p w:rsidR="006C2DD6" w:rsidRPr="00F53BDD" w:rsidRDefault="006C2DD6" w:rsidP="0030441D">
            <w:pPr>
              <w:pStyle w:val="TableText"/>
              <w:rPr>
                <w:rFonts w:eastAsia="Times New Roman"/>
                <w:b/>
                <w:bCs/>
                <w:color w:val="FFFFFF" w:themeColor="background1"/>
              </w:rPr>
            </w:pPr>
            <w:r w:rsidRPr="00F53BDD">
              <w:rPr>
                <w:rFonts w:eastAsia="Times New Roman"/>
                <w:b/>
                <w:bCs/>
                <w:color w:val="FFFFFF" w:themeColor="background1"/>
              </w:rPr>
              <w:t>Name</w:t>
            </w:r>
          </w:p>
        </w:tc>
        <w:tc>
          <w:tcPr>
            <w:tcW w:w="1984" w:type="dxa"/>
            <w:shd w:val="clear" w:color="auto" w:fill="1C556C"/>
          </w:tcPr>
          <w:p w:rsidR="006C2DD6" w:rsidRPr="00F53BDD" w:rsidRDefault="006C2DD6" w:rsidP="0030441D">
            <w:pPr>
              <w:pStyle w:val="TableText"/>
              <w:rPr>
                <w:rFonts w:eastAsia="Times New Roman"/>
                <w:b/>
                <w:bCs/>
                <w:color w:val="FFFFFF" w:themeColor="background1"/>
              </w:rPr>
            </w:pPr>
            <w:r w:rsidRPr="00F53BDD">
              <w:rPr>
                <w:rFonts w:eastAsia="Times New Roman"/>
                <w:b/>
                <w:bCs/>
                <w:color w:val="FFFFFF" w:themeColor="background1"/>
              </w:rPr>
              <w:t>Country/</w:t>
            </w:r>
            <w:r w:rsidR="0063042D" w:rsidRPr="00F53BDD">
              <w:rPr>
                <w:rFonts w:eastAsia="Times New Roman"/>
                <w:b/>
                <w:bCs/>
                <w:color w:val="FFFFFF" w:themeColor="background1"/>
              </w:rPr>
              <w:t>r</w:t>
            </w:r>
            <w:r w:rsidRPr="00F53BDD">
              <w:rPr>
                <w:rFonts w:eastAsia="Times New Roman"/>
                <w:b/>
                <w:bCs/>
                <w:color w:val="FFFFFF" w:themeColor="background1"/>
              </w:rPr>
              <w:t>egion</w:t>
            </w:r>
          </w:p>
        </w:tc>
        <w:tc>
          <w:tcPr>
            <w:tcW w:w="4535" w:type="dxa"/>
            <w:shd w:val="clear" w:color="auto" w:fill="1C556C"/>
          </w:tcPr>
          <w:p w:rsidR="006C2DD6" w:rsidRPr="00F53BDD" w:rsidRDefault="006C2DD6" w:rsidP="0030441D">
            <w:pPr>
              <w:pStyle w:val="TableText"/>
              <w:rPr>
                <w:rFonts w:eastAsia="Times New Roman"/>
                <w:b/>
                <w:bCs/>
                <w:color w:val="FFFFFF" w:themeColor="background1"/>
              </w:rPr>
            </w:pPr>
            <w:r w:rsidRPr="00F53BDD">
              <w:rPr>
                <w:rFonts w:eastAsia="Times New Roman"/>
                <w:b/>
                <w:bCs/>
                <w:color w:val="FFFFFF" w:themeColor="background1"/>
              </w:rPr>
              <w:t>Notes</w:t>
            </w:r>
          </w:p>
        </w:tc>
      </w:tr>
      <w:tr w:rsidR="006C2DD6" w:rsidRPr="00F53BDD" w:rsidTr="00502CE8">
        <w:tc>
          <w:tcPr>
            <w:tcW w:w="1985" w:type="dxa"/>
            <w:shd w:val="clear" w:color="auto" w:fill="auto"/>
          </w:tcPr>
          <w:p w:rsidR="006C2DD6" w:rsidRPr="00F53BDD" w:rsidRDefault="006C2DD6" w:rsidP="0030441D">
            <w:pPr>
              <w:pStyle w:val="TableText"/>
              <w:rPr>
                <w:rFonts w:eastAsia="Times New Roman" w:cs="Calibri"/>
              </w:rPr>
            </w:pPr>
            <w:r w:rsidRPr="00F53BDD">
              <w:rPr>
                <w:rFonts w:eastAsia="Times New Roman" w:cs="Calibri"/>
              </w:rPr>
              <w:t>European Union Emission</w:t>
            </w:r>
            <w:r w:rsidR="00C46EC0" w:rsidRPr="00F53BDD">
              <w:rPr>
                <w:rFonts w:eastAsia="Times New Roman" w:cs="Calibri"/>
              </w:rPr>
              <w:t>s</w:t>
            </w:r>
            <w:r w:rsidRPr="00F53BDD">
              <w:rPr>
                <w:rFonts w:eastAsia="Times New Roman" w:cs="Calibri"/>
              </w:rPr>
              <w:t xml:space="preserve"> Trading </w:t>
            </w:r>
            <w:r w:rsidR="00C46EC0" w:rsidRPr="00F53BDD">
              <w:rPr>
                <w:rFonts w:eastAsia="Times New Roman" w:cs="Calibri"/>
              </w:rPr>
              <w:t xml:space="preserve">System </w:t>
            </w:r>
            <w:r w:rsidRPr="00F53BDD">
              <w:rPr>
                <w:rFonts w:eastAsia="Times New Roman" w:cs="Calibri"/>
              </w:rPr>
              <w:t>(EU ETS)</w:t>
            </w:r>
          </w:p>
        </w:tc>
        <w:tc>
          <w:tcPr>
            <w:tcW w:w="1984" w:type="dxa"/>
          </w:tcPr>
          <w:p w:rsidR="006C2DD6" w:rsidRPr="00F53BDD" w:rsidRDefault="006C2DD6" w:rsidP="0030441D">
            <w:pPr>
              <w:pStyle w:val="TableText"/>
              <w:rPr>
                <w:rFonts w:eastAsia="Times New Roman" w:cs="Calibri"/>
              </w:rPr>
            </w:pPr>
            <w:r w:rsidRPr="00F53BDD">
              <w:rPr>
                <w:rFonts w:eastAsia="Times New Roman" w:cs="Calibri"/>
              </w:rPr>
              <w:t>European Union</w:t>
            </w:r>
          </w:p>
        </w:tc>
        <w:tc>
          <w:tcPr>
            <w:tcW w:w="4535" w:type="dxa"/>
            <w:shd w:val="clear" w:color="auto" w:fill="auto"/>
          </w:tcPr>
          <w:p w:rsidR="006C2DD6" w:rsidRPr="00F53BDD" w:rsidRDefault="006C2DD6" w:rsidP="00502CE8">
            <w:pPr>
              <w:pStyle w:val="TableText"/>
            </w:pPr>
            <w:r w:rsidRPr="00F53BDD">
              <w:t>Th</w:t>
            </w:r>
            <w:r w:rsidR="00C46EC0" w:rsidRPr="00F53BDD">
              <w:t>is</w:t>
            </w:r>
            <w:r w:rsidRPr="00F53BDD">
              <w:t xml:space="preserve"> multinational </w:t>
            </w:r>
            <w:r w:rsidR="00C46EC0" w:rsidRPr="00F53BDD">
              <w:t>scheme</w:t>
            </w:r>
            <w:r w:rsidRPr="00F53BDD">
              <w:t xml:space="preserve"> was established in 2005 and operates in 31 countries: all 28 EU Member States and Iceland, </w:t>
            </w:r>
            <w:r w:rsidR="008F75D3" w:rsidRPr="00F53BDD">
              <w:t>Liechtenstein</w:t>
            </w:r>
            <w:r w:rsidRPr="00F53BDD">
              <w:t xml:space="preserve"> and Norway. It </w:t>
            </w:r>
            <w:r w:rsidR="0002297A" w:rsidRPr="00F53BDD">
              <w:t xml:space="preserve">is </w:t>
            </w:r>
            <w:r w:rsidRPr="00F53BDD">
              <w:t>the EU</w:t>
            </w:r>
            <w:r w:rsidR="00C46EC0" w:rsidRPr="00F53BDD">
              <w:t>’</w:t>
            </w:r>
            <w:r w:rsidRPr="00F53BDD">
              <w:t>s central policy instrument to meet their cap set in the Kyoto Protocol</w:t>
            </w:r>
            <w:r w:rsidR="00C46EC0" w:rsidRPr="00F53BDD">
              <w:t>,</w:t>
            </w:r>
            <w:r w:rsidRPr="00F53BDD">
              <w:t xml:space="preserve"> and is the largest ETS in the world.</w:t>
            </w:r>
          </w:p>
        </w:tc>
      </w:tr>
      <w:tr w:rsidR="006C2DD6" w:rsidRPr="00F53BDD" w:rsidTr="00502CE8">
        <w:tc>
          <w:tcPr>
            <w:tcW w:w="1985" w:type="dxa"/>
          </w:tcPr>
          <w:p w:rsidR="006C2DD6" w:rsidRPr="00F53BDD" w:rsidRDefault="006C2DD6" w:rsidP="0030441D">
            <w:pPr>
              <w:pStyle w:val="TableText"/>
              <w:rPr>
                <w:rFonts w:eastAsia="Times New Roman" w:cs="Calibri"/>
              </w:rPr>
            </w:pPr>
            <w:r w:rsidRPr="00F53BDD">
              <w:rPr>
                <w:rFonts w:eastAsia="Times New Roman" w:cs="Calibri"/>
              </w:rPr>
              <w:t xml:space="preserve">California and </w:t>
            </w:r>
            <w:r w:rsidR="0030441D" w:rsidRPr="00F53BDD">
              <w:rPr>
                <w:rFonts w:eastAsia="Times New Roman" w:cs="Calibri"/>
              </w:rPr>
              <w:t>Québec</w:t>
            </w:r>
            <w:r w:rsidRPr="00F53BDD">
              <w:rPr>
                <w:rFonts w:eastAsia="Times New Roman" w:cs="Calibri"/>
              </w:rPr>
              <w:t xml:space="preserve"> </w:t>
            </w:r>
            <w:r w:rsidR="0002297A" w:rsidRPr="00F53BDD">
              <w:rPr>
                <w:rFonts w:eastAsia="Times New Roman" w:cs="Calibri"/>
              </w:rPr>
              <w:t>ca</w:t>
            </w:r>
            <w:r w:rsidRPr="00F53BDD">
              <w:rPr>
                <w:rFonts w:eastAsia="Times New Roman" w:cs="Calibri"/>
              </w:rPr>
              <w:t>p-and-</w:t>
            </w:r>
            <w:r w:rsidR="00C46EC0" w:rsidRPr="00F53BDD">
              <w:rPr>
                <w:rFonts w:eastAsia="Times New Roman" w:cs="Calibri"/>
              </w:rPr>
              <w:t>t</w:t>
            </w:r>
            <w:r w:rsidRPr="00F53BDD">
              <w:rPr>
                <w:rFonts w:eastAsia="Times New Roman" w:cs="Calibri"/>
              </w:rPr>
              <w:t xml:space="preserve">rade </w:t>
            </w:r>
            <w:r w:rsidR="0030441D" w:rsidRPr="00F53BDD">
              <w:rPr>
                <w:rFonts w:eastAsia="Times New Roman" w:cs="Calibri"/>
              </w:rPr>
              <w:t>systems</w:t>
            </w:r>
          </w:p>
        </w:tc>
        <w:tc>
          <w:tcPr>
            <w:tcW w:w="1984" w:type="dxa"/>
          </w:tcPr>
          <w:p w:rsidR="006C2DD6" w:rsidRPr="00F53BDD" w:rsidRDefault="006C2DD6" w:rsidP="0030441D">
            <w:pPr>
              <w:pStyle w:val="TableText"/>
              <w:rPr>
                <w:rFonts w:eastAsia="Times New Roman" w:cs="Calibri"/>
              </w:rPr>
            </w:pPr>
            <w:r w:rsidRPr="00F53BDD">
              <w:rPr>
                <w:rFonts w:eastAsia="Times New Roman" w:cs="Calibri"/>
              </w:rPr>
              <w:t>North America</w:t>
            </w:r>
          </w:p>
        </w:tc>
        <w:tc>
          <w:tcPr>
            <w:tcW w:w="4535" w:type="dxa"/>
            <w:shd w:val="clear" w:color="auto" w:fill="auto"/>
          </w:tcPr>
          <w:p w:rsidR="006C2DD6" w:rsidRPr="00F53BDD" w:rsidRDefault="0030441D" w:rsidP="00502CE8">
            <w:pPr>
              <w:pStyle w:val="TableText"/>
            </w:pPr>
            <w:r w:rsidRPr="00F53BDD">
              <w:t>Québec</w:t>
            </w:r>
            <w:r w:rsidR="006C2DD6" w:rsidRPr="00F53BDD">
              <w:t xml:space="preserve"> links its </w:t>
            </w:r>
            <w:r w:rsidR="00C46EC0" w:rsidRPr="00F53BDD">
              <w:t xml:space="preserve">scheme </w:t>
            </w:r>
            <w:r w:rsidR="006C2DD6" w:rsidRPr="00F53BDD">
              <w:t>with California through the Western Climate Initiative (WCI)</w:t>
            </w:r>
            <w:r w:rsidRPr="00F53BDD">
              <w:t>. Both systems are cap-and-trade ETSs.</w:t>
            </w:r>
          </w:p>
        </w:tc>
      </w:tr>
      <w:tr w:rsidR="006C2DD6" w:rsidRPr="00F53BDD" w:rsidTr="00502CE8">
        <w:tc>
          <w:tcPr>
            <w:tcW w:w="1985" w:type="dxa"/>
            <w:shd w:val="clear" w:color="auto" w:fill="auto"/>
          </w:tcPr>
          <w:p w:rsidR="006C2DD6" w:rsidRPr="00F53BDD" w:rsidRDefault="006C2DD6" w:rsidP="0030441D">
            <w:pPr>
              <w:pStyle w:val="TableText"/>
              <w:rPr>
                <w:rFonts w:eastAsia="Times New Roman" w:cs="Calibri"/>
              </w:rPr>
            </w:pPr>
            <w:r w:rsidRPr="00F53BDD">
              <w:rPr>
                <w:rFonts w:eastAsia="Times New Roman" w:cs="Calibri"/>
              </w:rPr>
              <w:t>South Korea national emission</w:t>
            </w:r>
            <w:r w:rsidR="0002297A" w:rsidRPr="00F53BDD">
              <w:rPr>
                <w:rFonts w:eastAsia="Times New Roman" w:cs="Calibri"/>
              </w:rPr>
              <w:t>s</w:t>
            </w:r>
            <w:r w:rsidRPr="00F53BDD">
              <w:rPr>
                <w:rFonts w:eastAsia="Times New Roman" w:cs="Calibri"/>
              </w:rPr>
              <w:t xml:space="preserve"> trading scheme (K-ETS)</w:t>
            </w:r>
          </w:p>
        </w:tc>
        <w:tc>
          <w:tcPr>
            <w:tcW w:w="1984" w:type="dxa"/>
          </w:tcPr>
          <w:p w:rsidR="006C2DD6" w:rsidRPr="00F53BDD" w:rsidRDefault="006C2DD6" w:rsidP="0030441D">
            <w:pPr>
              <w:pStyle w:val="TableText"/>
              <w:rPr>
                <w:rFonts w:eastAsia="Times New Roman" w:cs="Calibri"/>
              </w:rPr>
            </w:pPr>
            <w:r w:rsidRPr="00F53BDD">
              <w:rPr>
                <w:rFonts w:eastAsia="Times New Roman" w:cs="Calibri"/>
              </w:rPr>
              <w:t>South Korea</w:t>
            </w:r>
          </w:p>
        </w:tc>
        <w:tc>
          <w:tcPr>
            <w:tcW w:w="4535" w:type="dxa"/>
            <w:shd w:val="clear" w:color="auto" w:fill="auto"/>
          </w:tcPr>
          <w:p w:rsidR="006C2DD6" w:rsidRPr="00F53BDD" w:rsidRDefault="00C46EC0" w:rsidP="00502CE8">
            <w:pPr>
              <w:pStyle w:val="TableText"/>
            </w:pPr>
            <w:r w:rsidRPr="00F53BDD">
              <w:t xml:space="preserve">South </w:t>
            </w:r>
            <w:r w:rsidR="006C2DD6" w:rsidRPr="00F53BDD">
              <w:t>Korea</w:t>
            </w:r>
            <w:r w:rsidRPr="00F53BDD">
              <w:t>’s</w:t>
            </w:r>
            <w:r w:rsidR="002D69A2" w:rsidRPr="00F53BDD">
              <w:t xml:space="preserve"> </w:t>
            </w:r>
            <w:r w:rsidR="006C2DD6" w:rsidRPr="00F53BDD">
              <w:t xml:space="preserve">scheme is part of </w:t>
            </w:r>
            <w:r w:rsidRPr="00F53BDD">
              <w:t xml:space="preserve">its </w:t>
            </w:r>
            <w:r w:rsidR="006C2DD6" w:rsidRPr="00F53BDD">
              <w:t>efforts to reduce greenhouse gas emissions.</w:t>
            </w:r>
          </w:p>
        </w:tc>
      </w:tr>
    </w:tbl>
    <w:p w:rsidR="00502CE8" w:rsidRPr="00F53BDD" w:rsidRDefault="00C46EC0" w:rsidP="00502CE8">
      <w:pPr>
        <w:pStyle w:val="Heading3"/>
        <w:spacing w:before="400"/>
        <w:rPr>
          <w:rStyle w:val="Strong"/>
          <w:b/>
          <w:bCs/>
        </w:rPr>
      </w:pPr>
      <w:r w:rsidRPr="00F53BDD">
        <w:rPr>
          <w:rStyle w:val="Strong"/>
          <w:b/>
          <w:bCs/>
        </w:rPr>
        <w:t>EU</w:t>
      </w:r>
      <w:r w:rsidR="0030441D" w:rsidRPr="00F53BDD">
        <w:rPr>
          <w:rStyle w:val="Strong"/>
          <w:b/>
          <w:bCs/>
        </w:rPr>
        <w:t xml:space="preserve"> </w:t>
      </w:r>
      <w:r w:rsidR="006C2DD6" w:rsidRPr="00F53BDD">
        <w:rPr>
          <w:rStyle w:val="Strong"/>
          <w:b/>
          <w:bCs/>
        </w:rPr>
        <w:t xml:space="preserve">Emissions Trading System </w:t>
      </w:r>
    </w:p>
    <w:p w:rsidR="006C2DD6" w:rsidRPr="00F53BDD" w:rsidRDefault="0030441D" w:rsidP="00502CE8">
      <w:pPr>
        <w:pStyle w:val="BodyText"/>
      </w:pPr>
      <w:r w:rsidRPr="00F53BDD">
        <w:t>To</w:t>
      </w:r>
      <w:r w:rsidR="006C2DD6" w:rsidRPr="00F53BDD">
        <w:t xml:space="preserve"> foster confidence and </w:t>
      </w:r>
      <w:r w:rsidR="00C46EC0" w:rsidRPr="00F53BDD">
        <w:t xml:space="preserve">maintain </w:t>
      </w:r>
      <w:r w:rsidR="006C2DD6" w:rsidRPr="00F53BDD">
        <w:t>a safe and efficient trading environment, EU allowances (EUA) are regulated as financial instruments</w:t>
      </w:r>
      <w:r w:rsidR="00C46EC0" w:rsidRPr="00F53BDD">
        <w:t>. They are</w:t>
      </w:r>
      <w:r w:rsidR="006C2DD6" w:rsidRPr="00F53BDD">
        <w:t xml:space="preserve"> subject to the Directive on Markets in Financial Instruments and Market Abuse Regulation. </w:t>
      </w:r>
    </w:p>
    <w:p w:rsidR="006C2DD6" w:rsidRPr="00F53BDD" w:rsidRDefault="001C43B6" w:rsidP="00502CE8">
      <w:pPr>
        <w:pStyle w:val="BodyText"/>
        <w:rPr>
          <w:rFonts w:cs="Arial"/>
          <w:color w:val="000000"/>
        </w:rPr>
      </w:pPr>
      <w:r w:rsidRPr="00F53BDD">
        <w:t>Stringent</w:t>
      </w:r>
      <w:r w:rsidR="006C2DD6" w:rsidRPr="00F53BDD">
        <w:t xml:space="preserve"> standards apply to all market participants. Businesses are subject to strict insider information rules</w:t>
      </w:r>
      <w:r w:rsidR="00C46EC0" w:rsidRPr="00F53BDD">
        <w:t>,</w:t>
      </w:r>
      <w:r w:rsidR="006C2DD6" w:rsidRPr="00F53BDD">
        <w:t xml:space="preserve"> to prevent unfair advantages in the market. Volume and price trading information is reported regularly for market transp</w:t>
      </w:r>
      <w:r w:rsidR="006C2DD6" w:rsidRPr="00F53BDD">
        <w:rPr>
          <w:rFonts w:cs="Arial"/>
          <w:color w:val="000000"/>
        </w:rPr>
        <w:t>arency. Anti-money laundering safeguards are in place across all segments of the market. The EU ETS is governed by the European Securities Markets Authority (ESMA).</w:t>
      </w:r>
    </w:p>
    <w:p w:rsidR="006C2DD6" w:rsidRPr="00F53BDD" w:rsidRDefault="006C2DD6" w:rsidP="005762BB">
      <w:pPr>
        <w:pStyle w:val="Heading3"/>
        <w:spacing w:before="280"/>
      </w:pPr>
      <w:r w:rsidRPr="00F53BDD">
        <w:t xml:space="preserve">California and </w:t>
      </w:r>
      <w:r w:rsidR="0030441D" w:rsidRPr="00F53BDD">
        <w:t>Québec</w:t>
      </w:r>
      <w:r w:rsidRPr="00F53BDD">
        <w:t xml:space="preserve"> </w:t>
      </w:r>
      <w:r w:rsidR="00C46EC0" w:rsidRPr="00F53BDD">
        <w:t>c</w:t>
      </w:r>
      <w:r w:rsidRPr="00F53BDD">
        <w:t>ap-and-</w:t>
      </w:r>
      <w:r w:rsidR="00C46EC0" w:rsidRPr="00F53BDD">
        <w:t>t</w:t>
      </w:r>
      <w:r w:rsidRPr="00F53BDD">
        <w:t xml:space="preserve">rade </w:t>
      </w:r>
      <w:r w:rsidR="0017612A" w:rsidRPr="00F53BDD">
        <w:t>systems</w:t>
      </w:r>
    </w:p>
    <w:p w:rsidR="006C2DD6" w:rsidRPr="00F53BDD" w:rsidRDefault="006C2DD6" w:rsidP="00502CE8">
      <w:pPr>
        <w:pStyle w:val="BodyText"/>
      </w:pPr>
      <w:r w:rsidRPr="00F53BDD">
        <w:t xml:space="preserve">California and </w:t>
      </w:r>
      <w:r w:rsidR="0030441D" w:rsidRPr="00F53BDD">
        <w:t>Québec</w:t>
      </w:r>
      <w:r w:rsidRPr="00F53BDD">
        <w:t xml:space="preserve"> have </w:t>
      </w:r>
      <w:r w:rsidR="00C46EC0" w:rsidRPr="00F53BDD">
        <w:t xml:space="preserve">set up </w:t>
      </w:r>
      <w:r w:rsidRPr="00F53BDD">
        <w:t xml:space="preserve">separate </w:t>
      </w:r>
      <w:r w:rsidR="0030441D" w:rsidRPr="00F53BDD">
        <w:t>ETSs</w:t>
      </w:r>
      <w:r w:rsidRPr="00F53BDD">
        <w:t xml:space="preserve"> that </w:t>
      </w:r>
      <w:r w:rsidR="001C43B6" w:rsidRPr="00F53BDD">
        <w:t>are</w:t>
      </w:r>
      <w:r w:rsidRPr="00F53BDD">
        <w:t xml:space="preserve"> </w:t>
      </w:r>
      <w:r w:rsidR="001C43B6" w:rsidRPr="00F53BDD">
        <w:t>linked</w:t>
      </w:r>
      <w:r w:rsidRPr="00F53BDD">
        <w:t xml:space="preserve"> under the </w:t>
      </w:r>
      <w:r w:rsidRPr="00F53BDD">
        <w:rPr>
          <w:rStyle w:val="Strong"/>
          <w:rFonts w:eastAsiaTheme="majorEastAsia" w:cs="Arial"/>
          <w:b w:val="0"/>
          <w:color w:val="000000"/>
        </w:rPr>
        <w:t xml:space="preserve">Western Climate </w:t>
      </w:r>
      <w:r w:rsidRPr="00F53BDD">
        <w:rPr>
          <w:rStyle w:val="Strong"/>
          <w:b w:val="0"/>
          <w:bCs w:val="0"/>
        </w:rPr>
        <w:t>Initiative</w:t>
      </w:r>
      <w:r w:rsidRPr="00F53BDD">
        <w:t xml:space="preserve"> (WCI). </w:t>
      </w:r>
    </w:p>
    <w:p w:rsidR="006C2DD6" w:rsidRPr="00F53BDD" w:rsidRDefault="006C2DD6" w:rsidP="00502CE8">
      <w:pPr>
        <w:pStyle w:val="BodyText"/>
      </w:pPr>
      <w:r w:rsidRPr="00F53BDD">
        <w:t>The WCI has an auction and reserve system that allows qualified bidders to participa</w:t>
      </w:r>
      <w:r w:rsidR="00877B72" w:rsidRPr="00F53BDD">
        <w:t>te</w:t>
      </w:r>
      <w:r w:rsidRPr="00F53BDD">
        <w:t xml:space="preserve"> in auctions. </w:t>
      </w:r>
      <w:r w:rsidR="00485955" w:rsidRPr="00F53BDD">
        <w:t xml:space="preserve">After </w:t>
      </w:r>
      <w:r w:rsidRPr="00F53BDD">
        <w:t xml:space="preserve">the auction, the platform generates reports and informs participants about </w:t>
      </w:r>
      <w:r w:rsidR="00485955" w:rsidRPr="00F53BDD">
        <w:t>the</w:t>
      </w:r>
      <w:r w:rsidR="005762BB" w:rsidRPr="00F53BDD">
        <w:t> </w:t>
      </w:r>
      <w:r w:rsidRPr="00F53BDD">
        <w:t>results</w:t>
      </w:r>
      <w:r w:rsidR="00485955" w:rsidRPr="00F53BDD">
        <w:t>,</w:t>
      </w:r>
      <w:r w:rsidRPr="00F53BDD">
        <w:t xml:space="preserve"> creating transparency of trades in the primary market. </w:t>
      </w:r>
    </w:p>
    <w:p w:rsidR="006C2DD6" w:rsidRPr="00F53BDD" w:rsidRDefault="00485955" w:rsidP="00502CE8">
      <w:pPr>
        <w:pStyle w:val="BodyText"/>
      </w:pPr>
      <w:r w:rsidRPr="00F53BDD">
        <w:t>A</w:t>
      </w:r>
      <w:r w:rsidR="006C2DD6" w:rsidRPr="00F53BDD">
        <w:t>n independent regulator – The California Air Resources Board (CARB) –</w:t>
      </w:r>
      <w:r w:rsidR="002D69A2" w:rsidRPr="00F53BDD">
        <w:t xml:space="preserve"> </w:t>
      </w:r>
      <w:r w:rsidR="006C2DD6" w:rsidRPr="00F53BDD">
        <w:t>oversee</w:t>
      </w:r>
      <w:r w:rsidRPr="00F53BDD">
        <w:t>s</w:t>
      </w:r>
      <w:r w:rsidR="006C2DD6" w:rsidRPr="00F53BDD">
        <w:t xml:space="preserve"> the market. CARB reviews and evaluates trades at auctions and monitors secondary and derivative market</w:t>
      </w:r>
      <w:r w:rsidR="002D69A2" w:rsidRPr="00F53BDD">
        <w:t>s</w:t>
      </w:r>
      <w:r w:rsidR="006C2DD6" w:rsidRPr="00F53BDD">
        <w:t xml:space="preserve"> to identify any inappropriate activity. It also requires participants to obtain authorisation to participate in the market, imposes transaction reporting requirements and sets position limits.</w:t>
      </w:r>
    </w:p>
    <w:p w:rsidR="006C2DD6" w:rsidRPr="00F53BDD" w:rsidRDefault="006C2DD6" w:rsidP="005762BB">
      <w:pPr>
        <w:pStyle w:val="Heading3"/>
        <w:spacing w:before="280"/>
      </w:pPr>
      <w:r w:rsidRPr="00F53BDD">
        <w:t>South Korean ETS</w:t>
      </w:r>
    </w:p>
    <w:p w:rsidR="006C2DD6" w:rsidRPr="00F53BDD" w:rsidRDefault="006C2DD6" w:rsidP="00502CE8">
      <w:pPr>
        <w:pStyle w:val="BodyText"/>
      </w:pPr>
      <w:r w:rsidRPr="00F53BDD">
        <w:t xml:space="preserve">Trading in the </w:t>
      </w:r>
      <w:r w:rsidR="006B451A" w:rsidRPr="00F53BDD">
        <w:t xml:space="preserve">South </w:t>
      </w:r>
      <w:r w:rsidRPr="00F53BDD">
        <w:t xml:space="preserve">Korean ETS is </w:t>
      </w:r>
      <w:r w:rsidR="006B451A" w:rsidRPr="00F53BDD">
        <w:t xml:space="preserve">solely </w:t>
      </w:r>
      <w:r w:rsidRPr="00F53BDD">
        <w:t xml:space="preserve">through the Korean Exchange (KRX). The </w:t>
      </w:r>
      <w:r w:rsidR="005563DF" w:rsidRPr="00F53BDD">
        <w:t>G</w:t>
      </w:r>
      <w:r w:rsidRPr="00F53BDD">
        <w:t xml:space="preserve">overnment </w:t>
      </w:r>
      <w:r w:rsidR="002D69A2" w:rsidRPr="00F53BDD">
        <w:t xml:space="preserve">applies </w:t>
      </w:r>
      <w:r w:rsidRPr="00F53BDD">
        <w:t xml:space="preserve">market stabilisation measures and restrictions on </w:t>
      </w:r>
      <w:r w:rsidR="0048106F" w:rsidRPr="00F53BDD">
        <w:t xml:space="preserve">market </w:t>
      </w:r>
      <w:r w:rsidRPr="00F53BDD">
        <w:t>participation if required.</w:t>
      </w:r>
    </w:p>
    <w:p w:rsidR="006C2DD6" w:rsidRPr="00F53BDD" w:rsidRDefault="006C2DD6" w:rsidP="00502CE8">
      <w:pPr>
        <w:pStyle w:val="Heading2"/>
      </w:pPr>
      <w:bookmarkStart w:id="38" w:name="_Toc75250061"/>
      <w:r w:rsidRPr="00F53BDD">
        <w:rPr>
          <w:rFonts w:eastAsia="Times New Roman"/>
        </w:rPr>
        <w:t>Compari</w:t>
      </w:r>
      <w:r w:rsidR="00485955" w:rsidRPr="00F53BDD">
        <w:rPr>
          <w:rFonts w:eastAsia="Times New Roman"/>
        </w:rPr>
        <w:t>ng</w:t>
      </w:r>
      <w:r w:rsidRPr="00F53BDD">
        <w:rPr>
          <w:rFonts w:eastAsia="Times New Roman"/>
        </w:rPr>
        <w:t xml:space="preserve"> the NZ ETS </w:t>
      </w:r>
      <w:r w:rsidR="00485955" w:rsidRPr="00F53BDD">
        <w:rPr>
          <w:rFonts w:eastAsia="Times New Roman"/>
        </w:rPr>
        <w:t xml:space="preserve">with </w:t>
      </w:r>
      <w:r w:rsidRPr="00F53BDD">
        <w:rPr>
          <w:rFonts w:eastAsia="Times New Roman"/>
        </w:rPr>
        <w:t>international schemes</w:t>
      </w:r>
      <w:bookmarkEnd w:id="38"/>
    </w:p>
    <w:p w:rsidR="006B451A" w:rsidRPr="00F53BDD" w:rsidRDefault="006C2DD6" w:rsidP="00502CE8">
      <w:pPr>
        <w:pStyle w:val="BodyText"/>
      </w:pPr>
      <w:r w:rsidRPr="00F53BDD">
        <w:t xml:space="preserve">International </w:t>
      </w:r>
      <w:r w:rsidR="006B451A" w:rsidRPr="00F53BDD">
        <w:t xml:space="preserve">ETSs </w:t>
      </w:r>
      <w:r w:rsidRPr="00F53BDD">
        <w:t xml:space="preserve">use a range of approaches and tools to regulate and monitor their schemes. </w:t>
      </w:r>
      <w:r w:rsidR="006B451A" w:rsidRPr="00F53BDD">
        <w:t>This can provide important lessons for market governance in the NZ ETS.</w:t>
      </w:r>
    </w:p>
    <w:p w:rsidR="006C2DD6" w:rsidRPr="00F53BDD" w:rsidRDefault="006C2DD6" w:rsidP="00502CE8">
      <w:pPr>
        <w:pStyle w:val="BodyText"/>
      </w:pPr>
      <w:r w:rsidRPr="00F53BDD">
        <w:t>Many ETSs include emission</w:t>
      </w:r>
      <w:r w:rsidR="006B451A" w:rsidRPr="00F53BDD">
        <w:t>s</w:t>
      </w:r>
      <w:r w:rsidRPr="00F53BDD">
        <w:t xml:space="preserve"> allowances as a financial instrument under their own definitions, and therefore they are regulated as a financial product. California and </w:t>
      </w:r>
      <w:r w:rsidR="0030441D" w:rsidRPr="00F53BDD">
        <w:t>Québec</w:t>
      </w:r>
      <w:r w:rsidRPr="00F53BDD">
        <w:t xml:space="preserve"> take a different approach</w:t>
      </w:r>
      <w:r w:rsidR="0030441D" w:rsidRPr="00F53BDD">
        <w:t xml:space="preserve"> and regulate emission</w:t>
      </w:r>
      <w:r w:rsidR="002D69A2" w:rsidRPr="00F53BDD">
        <w:t>s</w:t>
      </w:r>
      <w:r w:rsidR="0030441D" w:rsidRPr="00F53BDD">
        <w:t xml:space="preserve"> allowances as commodities.</w:t>
      </w:r>
      <w:r w:rsidRPr="00F53BDD">
        <w:t xml:space="preserve"> </w:t>
      </w:r>
    </w:p>
    <w:p w:rsidR="008A2C31" w:rsidRPr="00F53BDD" w:rsidRDefault="006C2DD6" w:rsidP="00502CE8">
      <w:pPr>
        <w:pStyle w:val="BodyText"/>
        <w:rPr>
          <w:b/>
          <w:sz w:val="20"/>
        </w:rPr>
      </w:pPr>
      <w:r w:rsidRPr="00F53BDD">
        <w:t xml:space="preserve">The main tools for market oversight are transaction monitoring, position monitoring, position limits and participation restrictions. </w:t>
      </w:r>
      <w:r w:rsidR="00485955" w:rsidRPr="00F53BDD">
        <w:t xml:space="preserve">Table 4 compares the </w:t>
      </w:r>
      <w:r w:rsidRPr="00F53BDD">
        <w:t xml:space="preserve">international </w:t>
      </w:r>
      <w:r w:rsidR="00485955" w:rsidRPr="00F53BDD">
        <w:t xml:space="preserve">and </w:t>
      </w:r>
      <w:r w:rsidRPr="00F53BDD">
        <w:t>New Zealand approach</w:t>
      </w:r>
      <w:r w:rsidR="00485955" w:rsidRPr="00F53BDD">
        <w:t>es</w:t>
      </w:r>
      <w:r w:rsidRPr="00F53BDD">
        <w:t>.</w:t>
      </w:r>
      <w:bookmarkStart w:id="39" w:name="_Ref72581665"/>
    </w:p>
    <w:p w:rsidR="0030441D" w:rsidRPr="00F53BDD" w:rsidRDefault="0030441D" w:rsidP="0030441D">
      <w:pPr>
        <w:pStyle w:val="Tableheading"/>
      </w:pPr>
      <w:bookmarkStart w:id="40" w:name="_Toc75250107"/>
      <w:r w:rsidRPr="00F53BDD">
        <w:t xml:space="preserve">Table </w:t>
      </w:r>
      <w:r w:rsidR="003C49C8">
        <w:rPr>
          <w:noProof/>
        </w:rPr>
        <w:fldChar w:fldCharType="begin"/>
      </w:r>
      <w:r w:rsidR="003C49C8">
        <w:rPr>
          <w:noProof/>
        </w:rPr>
        <w:instrText xml:space="preserve"> SEQ Table \* ARABIC </w:instrText>
      </w:r>
      <w:r w:rsidR="003C49C8">
        <w:rPr>
          <w:noProof/>
        </w:rPr>
        <w:fldChar w:fldCharType="separate"/>
      </w:r>
      <w:r w:rsidR="00F84B55">
        <w:rPr>
          <w:noProof/>
        </w:rPr>
        <w:t>4</w:t>
      </w:r>
      <w:r w:rsidR="003C49C8">
        <w:rPr>
          <w:noProof/>
        </w:rPr>
        <w:fldChar w:fldCharType="end"/>
      </w:r>
      <w:bookmarkEnd w:id="39"/>
      <w:r w:rsidRPr="00F53BDD">
        <w:t xml:space="preserve">: </w:t>
      </w:r>
      <w:r w:rsidR="00502CE8" w:rsidRPr="00F53BDD">
        <w:tab/>
      </w:r>
      <w:r w:rsidR="00094789" w:rsidRPr="00F53BDD">
        <w:rPr>
          <w:rFonts w:eastAsia="Times New Roman"/>
        </w:rPr>
        <w:t>Comparison of international and New Zealand market oversight</w:t>
      </w:r>
      <w:bookmarkEnd w:id="40"/>
      <w:r w:rsidR="00094789" w:rsidRPr="00F53BDD">
        <w:rPr>
          <w:rFonts w:eastAsia="Times New Roman"/>
        </w:rPr>
        <w:t xml:space="preserve"> </w:t>
      </w:r>
    </w:p>
    <w:tbl>
      <w:tblPr>
        <w:tblStyle w:val="TableGrid1"/>
        <w:tblW w:w="8562" w:type="dxa"/>
        <w:tblBorders>
          <w:top w:val="none" w:sz="0" w:space="0" w:color="auto"/>
          <w:left w:val="none" w:sz="0" w:space="0" w:color="auto"/>
          <w:bottom w:val="single" w:sz="4" w:space="0" w:color="1C556C"/>
          <w:right w:val="none" w:sz="0" w:space="0" w:color="auto"/>
          <w:insideH w:val="single" w:sz="4" w:space="0" w:color="1C556C"/>
          <w:insideV w:val="single" w:sz="4" w:space="0" w:color="1C556C"/>
        </w:tblBorders>
        <w:tblCellMar>
          <w:right w:w="28" w:type="dxa"/>
        </w:tblCellMar>
        <w:tblLook w:val="04A0" w:firstRow="1" w:lastRow="0" w:firstColumn="1" w:lastColumn="0" w:noHBand="0" w:noVBand="1"/>
      </w:tblPr>
      <w:tblGrid>
        <w:gridCol w:w="1533"/>
        <w:gridCol w:w="1662"/>
        <w:gridCol w:w="1825"/>
        <w:gridCol w:w="1771"/>
        <w:gridCol w:w="1771"/>
      </w:tblGrid>
      <w:tr w:rsidR="0030441D" w:rsidRPr="00F53BDD" w:rsidTr="00392CCD">
        <w:tc>
          <w:tcPr>
            <w:tcW w:w="1560" w:type="dxa"/>
            <w:shd w:val="clear" w:color="auto" w:fill="1C556C"/>
            <w:vAlign w:val="bottom"/>
          </w:tcPr>
          <w:p w:rsidR="006C2DD6" w:rsidRPr="00F53BDD" w:rsidRDefault="006C2DD6" w:rsidP="0030441D">
            <w:pPr>
              <w:pStyle w:val="TableText"/>
              <w:rPr>
                <w:rFonts w:eastAsia="Times New Roman"/>
                <w:b/>
                <w:bCs/>
                <w:color w:val="FFFFFF" w:themeColor="background1"/>
              </w:rPr>
            </w:pPr>
          </w:p>
        </w:tc>
        <w:tc>
          <w:tcPr>
            <w:tcW w:w="1701" w:type="dxa"/>
            <w:shd w:val="clear" w:color="auto" w:fill="1C556C"/>
            <w:vAlign w:val="bottom"/>
          </w:tcPr>
          <w:p w:rsidR="006C2DD6" w:rsidRPr="00F53BDD" w:rsidRDefault="006C2DD6" w:rsidP="0030441D">
            <w:pPr>
              <w:pStyle w:val="TableText"/>
              <w:rPr>
                <w:rFonts w:eastAsia="Times New Roman"/>
                <w:b/>
                <w:bCs/>
                <w:color w:val="FFFFFF" w:themeColor="background1"/>
              </w:rPr>
            </w:pPr>
            <w:r w:rsidRPr="00F53BDD">
              <w:rPr>
                <w:rFonts w:eastAsia="Times New Roman"/>
                <w:b/>
                <w:bCs/>
                <w:color w:val="FFFFFF" w:themeColor="background1"/>
              </w:rPr>
              <w:t>EU</w:t>
            </w:r>
          </w:p>
        </w:tc>
        <w:tc>
          <w:tcPr>
            <w:tcW w:w="1871" w:type="dxa"/>
            <w:shd w:val="clear" w:color="auto" w:fill="1C556C"/>
            <w:vAlign w:val="bottom"/>
          </w:tcPr>
          <w:p w:rsidR="006C2DD6" w:rsidRPr="00F53BDD" w:rsidRDefault="006C2DD6" w:rsidP="0030441D">
            <w:pPr>
              <w:pStyle w:val="TableText"/>
              <w:rPr>
                <w:rFonts w:eastAsia="Times New Roman"/>
                <w:b/>
                <w:bCs/>
                <w:color w:val="FFFFFF" w:themeColor="background1"/>
              </w:rPr>
            </w:pPr>
            <w:r w:rsidRPr="00F53BDD">
              <w:rPr>
                <w:rFonts w:eastAsia="Times New Roman"/>
                <w:b/>
                <w:bCs/>
                <w:color w:val="FFFFFF" w:themeColor="background1"/>
              </w:rPr>
              <w:t xml:space="preserve">California and </w:t>
            </w:r>
            <w:r w:rsidR="0030441D" w:rsidRPr="00F53BDD">
              <w:rPr>
                <w:rFonts w:eastAsia="Times New Roman"/>
                <w:b/>
                <w:bCs/>
                <w:color w:val="FFFFFF" w:themeColor="background1"/>
              </w:rPr>
              <w:t>Québec</w:t>
            </w:r>
          </w:p>
        </w:tc>
        <w:tc>
          <w:tcPr>
            <w:tcW w:w="1814" w:type="dxa"/>
            <w:shd w:val="clear" w:color="auto" w:fill="1C556C"/>
            <w:vAlign w:val="bottom"/>
          </w:tcPr>
          <w:p w:rsidR="006C2DD6" w:rsidRPr="00F53BDD" w:rsidRDefault="006C2DD6" w:rsidP="0030441D">
            <w:pPr>
              <w:pStyle w:val="TableText"/>
              <w:rPr>
                <w:rFonts w:eastAsia="Times New Roman"/>
                <w:b/>
                <w:bCs/>
                <w:color w:val="FFFFFF" w:themeColor="background1"/>
              </w:rPr>
            </w:pPr>
            <w:r w:rsidRPr="00F53BDD">
              <w:rPr>
                <w:rFonts w:eastAsia="Times New Roman"/>
                <w:b/>
                <w:bCs/>
                <w:color w:val="FFFFFF" w:themeColor="background1"/>
              </w:rPr>
              <w:t>South Korea</w:t>
            </w:r>
          </w:p>
        </w:tc>
        <w:tc>
          <w:tcPr>
            <w:tcW w:w="1814" w:type="dxa"/>
            <w:shd w:val="clear" w:color="auto" w:fill="1C556C"/>
            <w:vAlign w:val="bottom"/>
          </w:tcPr>
          <w:p w:rsidR="006C2DD6" w:rsidRPr="00F53BDD" w:rsidRDefault="006C2DD6" w:rsidP="0030441D">
            <w:pPr>
              <w:pStyle w:val="TableText"/>
              <w:rPr>
                <w:rFonts w:eastAsia="Times New Roman"/>
                <w:b/>
                <w:bCs/>
                <w:color w:val="FFFFFF" w:themeColor="background1"/>
              </w:rPr>
            </w:pPr>
            <w:r w:rsidRPr="00F53BDD">
              <w:rPr>
                <w:rFonts w:eastAsia="Times New Roman"/>
                <w:b/>
                <w:bCs/>
                <w:color w:val="FFFFFF" w:themeColor="background1"/>
              </w:rPr>
              <w:t>New Zealand</w:t>
            </w:r>
          </w:p>
        </w:tc>
      </w:tr>
      <w:tr w:rsidR="006C2DD6" w:rsidRPr="00F53BDD" w:rsidTr="00392CCD">
        <w:tc>
          <w:tcPr>
            <w:tcW w:w="1560" w:type="dxa"/>
          </w:tcPr>
          <w:p w:rsidR="006C2DD6" w:rsidRPr="00F53BDD" w:rsidRDefault="006C2DD6" w:rsidP="0030441D">
            <w:pPr>
              <w:pStyle w:val="TableText"/>
              <w:rPr>
                <w:rFonts w:eastAsia="Times New Roman" w:cs="Calibri"/>
              </w:rPr>
            </w:pPr>
            <w:r w:rsidRPr="00F53BDD">
              <w:rPr>
                <w:rFonts w:eastAsia="Times New Roman" w:cs="Calibri"/>
              </w:rPr>
              <w:t>Primary and secondary markets</w:t>
            </w:r>
          </w:p>
        </w:tc>
        <w:tc>
          <w:tcPr>
            <w:tcW w:w="1701" w:type="dxa"/>
          </w:tcPr>
          <w:p w:rsidR="006C2DD6" w:rsidRPr="00F53BDD" w:rsidRDefault="006C2DD6" w:rsidP="0030441D">
            <w:pPr>
              <w:pStyle w:val="TableText"/>
              <w:rPr>
                <w:rFonts w:eastAsia="Times New Roman" w:cs="Calibri"/>
              </w:rPr>
            </w:pPr>
            <w:r w:rsidRPr="00F53BDD">
              <w:rPr>
                <w:rFonts w:eastAsia="Times New Roman" w:cs="Calibri"/>
              </w:rPr>
              <w:t>Financial instrument</w:t>
            </w:r>
          </w:p>
        </w:tc>
        <w:tc>
          <w:tcPr>
            <w:tcW w:w="1871" w:type="dxa"/>
          </w:tcPr>
          <w:p w:rsidR="006C2DD6" w:rsidRPr="00F53BDD" w:rsidRDefault="006C2DD6" w:rsidP="0030441D">
            <w:pPr>
              <w:pStyle w:val="TableText"/>
              <w:rPr>
                <w:rFonts w:eastAsia="Times New Roman" w:cs="Calibri"/>
              </w:rPr>
            </w:pPr>
            <w:r w:rsidRPr="00F53BDD">
              <w:rPr>
                <w:rFonts w:eastAsia="Times New Roman" w:cs="Calibri"/>
              </w:rPr>
              <w:t>Commodity</w:t>
            </w:r>
          </w:p>
        </w:tc>
        <w:tc>
          <w:tcPr>
            <w:tcW w:w="1814" w:type="dxa"/>
          </w:tcPr>
          <w:p w:rsidR="006C2DD6" w:rsidRPr="00F53BDD" w:rsidRDefault="006C2DD6" w:rsidP="0030441D">
            <w:pPr>
              <w:pStyle w:val="TableText"/>
              <w:rPr>
                <w:rFonts w:eastAsia="Times New Roman" w:cs="Calibri"/>
              </w:rPr>
            </w:pPr>
            <w:r w:rsidRPr="00F53BDD">
              <w:rPr>
                <w:rFonts w:eastAsia="Times New Roman" w:cs="Calibri"/>
              </w:rPr>
              <w:t xml:space="preserve">Financial </w:t>
            </w:r>
            <w:r w:rsidR="002D69A2" w:rsidRPr="00F53BDD">
              <w:rPr>
                <w:rFonts w:eastAsia="Times New Roman" w:cs="Calibri"/>
              </w:rPr>
              <w:t>i</w:t>
            </w:r>
            <w:r w:rsidRPr="00F53BDD">
              <w:rPr>
                <w:rFonts w:eastAsia="Times New Roman" w:cs="Calibri"/>
              </w:rPr>
              <w:t>nstrument</w:t>
            </w:r>
          </w:p>
        </w:tc>
        <w:tc>
          <w:tcPr>
            <w:tcW w:w="1814" w:type="dxa"/>
          </w:tcPr>
          <w:p w:rsidR="006C2DD6" w:rsidRPr="00F53BDD" w:rsidRDefault="006C2DD6" w:rsidP="0030441D">
            <w:pPr>
              <w:pStyle w:val="TableText"/>
              <w:rPr>
                <w:rFonts w:eastAsia="Times New Roman" w:cs="Calibri"/>
              </w:rPr>
            </w:pPr>
            <w:r w:rsidRPr="00F53BDD">
              <w:rPr>
                <w:rFonts w:eastAsia="Times New Roman" w:cs="Calibri"/>
              </w:rPr>
              <w:t>Commodity</w:t>
            </w:r>
          </w:p>
        </w:tc>
      </w:tr>
      <w:tr w:rsidR="006C2DD6" w:rsidRPr="00F53BDD" w:rsidTr="00392CCD">
        <w:tc>
          <w:tcPr>
            <w:tcW w:w="1560" w:type="dxa"/>
          </w:tcPr>
          <w:p w:rsidR="006C2DD6" w:rsidRPr="00F53BDD" w:rsidRDefault="006C2DD6" w:rsidP="0030441D">
            <w:pPr>
              <w:pStyle w:val="TableText"/>
              <w:rPr>
                <w:rFonts w:eastAsia="Times New Roman" w:cs="Calibri"/>
              </w:rPr>
            </w:pPr>
            <w:r w:rsidRPr="00F53BDD">
              <w:rPr>
                <w:rFonts w:eastAsia="Times New Roman" w:cs="Calibri"/>
              </w:rPr>
              <w:t>Derivative markets</w:t>
            </w:r>
          </w:p>
        </w:tc>
        <w:tc>
          <w:tcPr>
            <w:tcW w:w="1701" w:type="dxa"/>
          </w:tcPr>
          <w:p w:rsidR="006C2DD6" w:rsidRPr="00F53BDD" w:rsidRDefault="006C2DD6" w:rsidP="0030441D">
            <w:pPr>
              <w:pStyle w:val="TableText"/>
              <w:rPr>
                <w:rFonts w:eastAsia="Times New Roman" w:cs="Calibri"/>
              </w:rPr>
            </w:pPr>
            <w:r w:rsidRPr="00F53BDD">
              <w:rPr>
                <w:rFonts w:eastAsia="Times New Roman" w:cs="Calibri"/>
              </w:rPr>
              <w:t>Financial instrument</w:t>
            </w:r>
          </w:p>
        </w:tc>
        <w:tc>
          <w:tcPr>
            <w:tcW w:w="1871" w:type="dxa"/>
          </w:tcPr>
          <w:p w:rsidR="006C2DD6" w:rsidRPr="00F53BDD" w:rsidRDefault="006C2DD6" w:rsidP="0030441D">
            <w:pPr>
              <w:pStyle w:val="TableText"/>
              <w:rPr>
                <w:rFonts w:eastAsia="Times New Roman" w:cs="Calibri"/>
              </w:rPr>
            </w:pPr>
            <w:r w:rsidRPr="00F53BDD">
              <w:rPr>
                <w:rFonts w:eastAsia="Times New Roman" w:cs="Calibri"/>
              </w:rPr>
              <w:t>Financial instrument</w:t>
            </w:r>
          </w:p>
        </w:tc>
        <w:tc>
          <w:tcPr>
            <w:tcW w:w="1814" w:type="dxa"/>
          </w:tcPr>
          <w:p w:rsidR="006C2DD6" w:rsidRPr="00F53BDD" w:rsidRDefault="006C2DD6" w:rsidP="0030441D">
            <w:pPr>
              <w:pStyle w:val="TableText"/>
              <w:rPr>
                <w:rFonts w:eastAsia="Times New Roman" w:cs="Calibri"/>
              </w:rPr>
            </w:pPr>
            <w:r w:rsidRPr="00F53BDD">
              <w:rPr>
                <w:rFonts w:eastAsia="Times New Roman" w:cs="Calibri"/>
              </w:rPr>
              <w:t>Not allowed</w:t>
            </w:r>
          </w:p>
        </w:tc>
        <w:tc>
          <w:tcPr>
            <w:tcW w:w="1814" w:type="dxa"/>
          </w:tcPr>
          <w:p w:rsidR="006C2DD6" w:rsidRPr="00F53BDD" w:rsidRDefault="006C2DD6" w:rsidP="0030441D">
            <w:pPr>
              <w:pStyle w:val="TableText"/>
              <w:rPr>
                <w:rFonts w:eastAsia="Times New Roman" w:cs="Calibri"/>
              </w:rPr>
            </w:pPr>
            <w:r w:rsidRPr="00F53BDD">
              <w:rPr>
                <w:rFonts w:eastAsia="Times New Roman" w:cs="Calibri"/>
              </w:rPr>
              <w:t>Financial instrument</w:t>
            </w:r>
          </w:p>
        </w:tc>
      </w:tr>
      <w:tr w:rsidR="006C2DD6" w:rsidRPr="00F53BDD" w:rsidTr="00392CCD">
        <w:tc>
          <w:tcPr>
            <w:tcW w:w="1560" w:type="dxa"/>
          </w:tcPr>
          <w:p w:rsidR="006C2DD6" w:rsidRPr="00F53BDD" w:rsidRDefault="006C2DD6" w:rsidP="0030441D">
            <w:pPr>
              <w:pStyle w:val="TableText"/>
              <w:rPr>
                <w:rFonts w:eastAsia="Times New Roman" w:cs="Calibri"/>
              </w:rPr>
            </w:pPr>
            <w:r w:rsidRPr="00F53BDD">
              <w:rPr>
                <w:rFonts w:eastAsia="Times New Roman" w:cs="Calibri"/>
              </w:rPr>
              <w:t>Transaction monitoring</w:t>
            </w:r>
          </w:p>
        </w:tc>
        <w:tc>
          <w:tcPr>
            <w:tcW w:w="1701" w:type="dxa"/>
          </w:tcPr>
          <w:p w:rsidR="006C2DD6" w:rsidRPr="00F53BDD" w:rsidRDefault="006C2DD6" w:rsidP="0030441D">
            <w:pPr>
              <w:pStyle w:val="TableText"/>
              <w:rPr>
                <w:rFonts w:eastAsia="Times New Roman" w:cs="Calibri"/>
              </w:rPr>
            </w:pPr>
            <w:r w:rsidRPr="00F53BDD">
              <w:rPr>
                <w:rFonts w:ascii="Segoe UI Symbol" w:eastAsia="Times New Roman" w:hAnsi="Segoe UI Symbol" w:cs="Segoe UI Symbol"/>
                <w:color w:val="202124"/>
                <w:sz w:val="21"/>
                <w:szCs w:val="21"/>
                <w:shd w:val="clear" w:color="auto" w:fill="FFFFFF"/>
              </w:rPr>
              <w:t>✓</w:t>
            </w:r>
          </w:p>
        </w:tc>
        <w:tc>
          <w:tcPr>
            <w:tcW w:w="1871" w:type="dxa"/>
          </w:tcPr>
          <w:p w:rsidR="006C2DD6" w:rsidRPr="00F53BDD" w:rsidRDefault="006C2DD6" w:rsidP="0030441D">
            <w:pPr>
              <w:pStyle w:val="TableText"/>
              <w:rPr>
                <w:rFonts w:eastAsia="Times New Roman" w:cs="Calibri"/>
              </w:rPr>
            </w:pPr>
            <w:r w:rsidRPr="00F53BDD">
              <w:rPr>
                <w:rFonts w:ascii="Segoe UI Symbol" w:eastAsia="Times New Roman" w:hAnsi="Segoe UI Symbol" w:cs="Segoe UI Symbol"/>
                <w:color w:val="202124"/>
                <w:sz w:val="21"/>
                <w:szCs w:val="21"/>
                <w:shd w:val="clear" w:color="auto" w:fill="FFFFFF"/>
              </w:rPr>
              <w:t>✓</w:t>
            </w:r>
          </w:p>
        </w:tc>
        <w:tc>
          <w:tcPr>
            <w:tcW w:w="1814" w:type="dxa"/>
          </w:tcPr>
          <w:p w:rsidR="006C2DD6" w:rsidRPr="00F53BDD" w:rsidRDefault="006C2DD6" w:rsidP="0030441D">
            <w:pPr>
              <w:pStyle w:val="TableText"/>
              <w:rPr>
                <w:rFonts w:eastAsia="Times New Roman" w:cs="Calibri"/>
              </w:rPr>
            </w:pPr>
            <w:r w:rsidRPr="00F53BDD">
              <w:rPr>
                <w:rFonts w:ascii="Segoe UI Symbol" w:eastAsia="Times New Roman" w:hAnsi="Segoe UI Symbol" w:cs="Segoe UI Symbol"/>
                <w:color w:val="202124"/>
                <w:sz w:val="21"/>
                <w:szCs w:val="21"/>
                <w:shd w:val="clear" w:color="auto" w:fill="FFFFFF"/>
              </w:rPr>
              <w:t>✓</w:t>
            </w:r>
          </w:p>
        </w:tc>
        <w:tc>
          <w:tcPr>
            <w:tcW w:w="1814" w:type="dxa"/>
          </w:tcPr>
          <w:p w:rsidR="006C2DD6" w:rsidRPr="00F53BDD" w:rsidRDefault="006C2DD6" w:rsidP="0030441D">
            <w:pPr>
              <w:pStyle w:val="TableText"/>
              <w:rPr>
                <w:rFonts w:eastAsia="Times New Roman" w:cs="Calibri"/>
              </w:rPr>
            </w:pPr>
            <w:r w:rsidRPr="00F53BDD">
              <w:rPr>
                <w:rFonts w:eastAsia="Times New Roman" w:cs="Calibri"/>
              </w:rPr>
              <w:t>X</w:t>
            </w:r>
          </w:p>
        </w:tc>
      </w:tr>
      <w:tr w:rsidR="006C2DD6" w:rsidRPr="00F53BDD" w:rsidTr="00392CCD">
        <w:tc>
          <w:tcPr>
            <w:tcW w:w="1560" w:type="dxa"/>
          </w:tcPr>
          <w:p w:rsidR="006C2DD6" w:rsidRPr="00F53BDD" w:rsidRDefault="006C2DD6" w:rsidP="0030441D">
            <w:pPr>
              <w:pStyle w:val="TableText"/>
              <w:rPr>
                <w:rFonts w:eastAsia="Times New Roman" w:cs="Calibri"/>
              </w:rPr>
            </w:pPr>
            <w:r w:rsidRPr="00F53BDD">
              <w:rPr>
                <w:rFonts w:eastAsia="Times New Roman" w:cs="Calibri"/>
              </w:rPr>
              <w:t>Position reporting</w:t>
            </w:r>
          </w:p>
        </w:tc>
        <w:tc>
          <w:tcPr>
            <w:tcW w:w="1701" w:type="dxa"/>
          </w:tcPr>
          <w:p w:rsidR="006C2DD6" w:rsidRPr="00F53BDD" w:rsidRDefault="006C2DD6" w:rsidP="0030441D">
            <w:pPr>
              <w:pStyle w:val="TableText"/>
              <w:rPr>
                <w:rFonts w:eastAsia="Times New Roman" w:cs="Calibri"/>
              </w:rPr>
            </w:pPr>
            <w:r w:rsidRPr="00F53BDD">
              <w:rPr>
                <w:rFonts w:ascii="Segoe UI Symbol" w:eastAsia="Times New Roman" w:hAnsi="Segoe UI Symbol" w:cs="Segoe UI Symbol"/>
                <w:color w:val="202124"/>
                <w:sz w:val="21"/>
                <w:szCs w:val="21"/>
                <w:shd w:val="clear" w:color="auto" w:fill="FFFFFF"/>
              </w:rPr>
              <w:t>✓</w:t>
            </w:r>
          </w:p>
        </w:tc>
        <w:tc>
          <w:tcPr>
            <w:tcW w:w="1871" w:type="dxa"/>
          </w:tcPr>
          <w:p w:rsidR="006C2DD6" w:rsidRPr="00F53BDD" w:rsidRDefault="006C2DD6" w:rsidP="0030441D">
            <w:pPr>
              <w:pStyle w:val="TableText"/>
              <w:rPr>
                <w:rFonts w:eastAsia="Times New Roman" w:cs="Calibri"/>
              </w:rPr>
            </w:pPr>
            <w:r w:rsidRPr="00F53BDD">
              <w:rPr>
                <w:rFonts w:ascii="Segoe UI Symbol" w:eastAsia="Times New Roman" w:hAnsi="Segoe UI Symbol" w:cs="Segoe UI Symbol"/>
                <w:color w:val="202124"/>
                <w:sz w:val="21"/>
                <w:szCs w:val="21"/>
                <w:shd w:val="clear" w:color="auto" w:fill="FFFFFF"/>
              </w:rPr>
              <w:t>✓</w:t>
            </w:r>
          </w:p>
        </w:tc>
        <w:tc>
          <w:tcPr>
            <w:tcW w:w="1814" w:type="dxa"/>
          </w:tcPr>
          <w:p w:rsidR="006C2DD6" w:rsidRPr="00F53BDD" w:rsidRDefault="006C2DD6" w:rsidP="0030441D">
            <w:pPr>
              <w:pStyle w:val="TableText"/>
              <w:rPr>
                <w:rFonts w:eastAsia="Times New Roman" w:cs="Calibri"/>
              </w:rPr>
            </w:pPr>
            <w:r w:rsidRPr="00F53BDD">
              <w:rPr>
                <w:rFonts w:eastAsia="Times New Roman" w:cs="Calibri"/>
              </w:rPr>
              <w:t>?</w:t>
            </w:r>
          </w:p>
        </w:tc>
        <w:tc>
          <w:tcPr>
            <w:tcW w:w="1814" w:type="dxa"/>
          </w:tcPr>
          <w:p w:rsidR="006C2DD6" w:rsidRPr="00F53BDD" w:rsidRDefault="006C2DD6" w:rsidP="0030441D">
            <w:pPr>
              <w:pStyle w:val="TableText"/>
              <w:rPr>
                <w:rFonts w:eastAsia="Times New Roman" w:cs="Calibri"/>
              </w:rPr>
            </w:pPr>
            <w:r w:rsidRPr="00F53BDD">
              <w:rPr>
                <w:rFonts w:eastAsia="Times New Roman" w:cs="Calibri"/>
              </w:rPr>
              <w:t>X</w:t>
            </w:r>
          </w:p>
        </w:tc>
      </w:tr>
      <w:tr w:rsidR="006C2DD6" w:rsidRPr="00F53BDD" w:rsidTr="00392CCD">
        <w:tc>
          <w:tcPr>
            <w:tcW w:w="1560" w:type="dxa"/>
          </w:tcPr>
          <w:p w:rsidR="006C2DD6" w:rsidRPr="00F53BDD" w:rsidRDefault="006C2DD6" w:rsidP="0030441D">
            <w:pPr>
              <w:pStyle w:val="TableText"/>
              <w:rPr>
                <w:rFonts w:eastAsia="Times New Roman"/>
              </w:rPr>
            </w:pPr>
            <w:r w:rsidRPr="00F53BDD">
              <w:rPr>
                <w:rFonts w:eastAsia="Times New Roman"/>
              </w:rPr>
              <w:t>Position limits</w:t>
            </w:r>
          </w:p>
        </w:tc>
        <w:tc>
          <w:tcPr>
            <w:tcW w:w="1701" w:type="dxa"/>
          </w:tcPr>
          <w:p w:rsidR="006C2DD6" w:rsidRPr="00F53BDD" w:rsidRDefault="006C2DD6" w:rsidP="0030441D">
            <w:pPr>
              <w:pStyle w:val="TableText"/>
              <w:rPr>
                <w:rFonts w:eastAsia="Times New Roman" w:cs="Calibri"/>
              </w:rPr>
            </w:pPr>
            <w:r w:rsidRPr="00F53BDD">
              <w:rPr>
                <w:rFonts w:eastAsia="Times New Roman" w:cs="Calibri"/>
              </w:rPr>
              <w:t>X</w:t>
            </w:r>
          </w:p>
        </w:tc>
        <w:tc>
          <w:tcPr>
            <w:tcW w:w="1871" w:type="dxa"/>
          </w:tcPr>
          <w:p w:rsidR="006C2DD6" w:rsidRPr="00F53BDD" w:rsidRDefault="006C2DD6" w:rsidP="0030441D">
            <w:pPr>
              <w:pStyle w:val="TableText"/>
              <w:rPr>
                <w:rFonts w:eastAsia="Times New Roman" w:cs="Calibri"/>
              </w:rPr>
            </w:pPr>
            <w:r w:rsidRPr="00F53BDD">
              <w:rPr>
                <w:rFonts w:ascii="Segoe UI Symbol" w:eastAsia="Times New Roman" w:hAnsi="Segoe UI Symbol" w:cs="Segoe UI Symbol"/>
                <w:color w:val="202124"/>
                <w:sz w:val="21"/>
                <w:szCs w:val="21"/>
                <w:shd w:val="clear" w:color="auto" w:fill="FFFFFF"/>
              </w:rPr>
              <w:t>✓</w:t>
            </w:r>
          </w:p>
        </w:tc>
        <w:tc>
          <w:tcPr>
            <w:tcW w:w="1814" w:type="dxa"/>
          </w:tcPr>
          <w:p w:rsidR="006C2DD6" w:rsidRPr="00F53BDD" w:rsidRDefault="006C2DD6" w:rsidP="0030441D">
            <w:pPr>
              <w:pStyle w:val="TableText"/>
              <w:rPr>
                <w:rFonts w:eastAsia="Times New Roman" w:cs="Calibri"/>
              </w:rPr>
            </w:pPr>
            <w:r w:rsidRPr="00F53BDD">
              <w:rPr>
                <w:rFonts w:eastAsia="Times New Roman" w:cs="Calibri"/>
              </w:rPr>
              <w:t>?</w:t>
            </w:r>
          </w:p>
        </w:tc>
        <w:tc>
          <w:tcPr>
            <w:tcW w:w="1814" w:type="dxa"/>
          </w:tcPr>
          <w:p w:rsidR="006C2DD6" w:rsidRPr="00F53BDD" w:rsidRDefault="006C2DD6" w:rsidP="0030441D">
            <w:pPr>
              <w:pStyle w:val="TableText"/>
              <w:rPr>
                <w:rFonts w:eastAsia="Times New Roman" w:cs="Calibri"/>
              </w:rPr>
            </w:pPr>
            <w:r w:rsidRPr="00F53BDD">
              <w:rPr>
                <w:rFonts w:eastAsia="Times New Roman" w:cs="Calibri"/>
              </w:rPr>
              <w:t>X</w:t>
            </w:r>
          </w:p>
        </w:tc>
      </w:tr>
      <w:tr w:rsidR="006C2DD6" w:rsidRPr="00F53BDD" w:rsidTr="00392CCD">
        <w:tc>
          <w:tcPr>
            <w:tcW w:w="1560" w:type="dxa"/>
          </w:tcPr>
          <w:p w:rsidR="006C2DD6" w:rsidRPr="00F53BDD" w:rsidRDefault="006C2DD6" w:rsidP="0030441D">
            <w:pPr>
              <w:pStyle w:val="TableText"/>
              <w:rPr>
                <w:rFonts w:eastAsia="Times New Roman"/>
              </w:rPr>
            </w:pPr>
            <w:r w:rsidRPr="00F53BDD">
              <w:rPr>
                <w:rFonts w:eastAsia="Times New Roman"/>
              </w:rPr>
              <w:t>Participation restrictions</w:t>
            </w:r>
          </w:p>
        </w:tc>
        <w:tc>
          <w:tcPr>
            <w:tcW w:w="1701" w:type="dxa"/>
          </w:tcPr>
          <w:p w:rsidR="006C2DD6" w:rsidRPr="00F53BDD" w:rsidRDefault="006C2DD6" w:rsidP="0030441D">
            <w:pPr>
              <w:pStyle w:val="TableText"/>
              <w:rPr>
                <w:rFonts w:eastAsia="Times New Roman" w:cs="Calibri"/>
              </w:rPr>
            </w:pPr>
            <w:r w:rsidRPr="00F53BDD">
              <w:rPr>
                <w:rFonts w:ascii="Segoe UI Symbol" w:eastAsia="Times New Roman" w:hAnsi="Segoe UI Symbol" w:cs="Segoe UI Symbol"/>
                <w:color w:val="202124"/>
                <w:sz w:val="21"/>
                <w:szCs w:val="21"/>
                <w:shd w:val="clear" w:color="auto" w:fill="FFFFFF"/>
              </w:rPr>
              <w:t>✓</w:t>
            </w:r>
          </w:p>
        </w:tc>
        <w:tc>
          <w:tcPr>
            <w:tcW w:w="1871" w:type="dxa"/>
          </w:tcPr>
          <w:p w:rsidR="006C2DD6" w:rsidRPr="00F53BDD" w:rsidRDefault="006C2DD6" w:rsidP="0030441D">
            <w:pPr>
              <w:pStyle w:val="TableText"/>
              <w:rPr>
                <w:rFonts w:eastAsia="Times New Roman" w:cs="Calibri"/>
              </w:rPr>
            </w:pPr>
            <w:r w:rsidRPr="00F53BDD">
              <w:rPr>
                <w:rFonts w:ascii="Segoe UI Symbol" w:eastAsia="Times New Roman" w:hAnsi="Segoe UI Symbol" w:cs="Segoe UI Symbol"/>
                <w:color w:val="202124"/>
                <w:sz w:val="21"/>
                <w:szCs w:val="21"/>
                <w:shd w:val="clear" w:color="auto" w:fill="FFFFFF"/>
              </w:rPr>
              <w:t>✓</w:t>
            </w:r>
          </w:p>
        </w:tc>
        <w:tc>
          <w:tcPr>
            <w:tcW w:w="1814" w:type="dxa"/>
          </w:tcPr>
          <w:p w:rsidR="006C2DD6" w:rsidRPr="00F53BDD" w:rsidRDefault="006C2DD6" w:rsidP="0030441D">
            <w:pPr>
              <w:pStyle w:val="TableText"/>
              <w:rPr>
                <w:rFonts w:eastAsia="Times New Roman" w:cs="Calibri"/>
              </w:rPr>
            </w:pPr>
            <w:r w:rsidRPr="00F53BDD">
              <w:rPr>
                <w:rFonts w:eastAsia="Times New Roman" w:cs="Calibri"/>
              </w:rPr>
              <w:t>No commercial traders</w:t>
            </w:r>
          </w:p>
        </w:tc>
        <w:tc>
          <w:tcPr>
            <w:tcW w:w="1814" w:type="dxa"/>
          </w:tcPr>
          <w:p w:rsidR="006C2DD6" w:rsidRPr="00F53BDD" w:rsidRDefault="006C2DD6" w:rsidP="0030441D">
            <w:pPr>
              <w:pStyle w:val="TableText"/>
              <w:rPr>
                <w:rFonts w:eastAsia="Times New Roman" w:cs="Calibri"/>
              </w:rPr>
            </w:pPr>
            <w:r w:rsidRPr="00F53BDD">
              <w:rPr>
                <w:rFonts w:eastAsia="Times New Roman" w:cs="Calibri"/>
              </w:rPr>
              <w:t>X</w:t>
            </w:r>
          </w:p>
        </w:tc>
      </w:tr>
    </w:tbl>
    <w:p w:rsidR="008354E1" w:rsidRPr="00F53BDD" w:rsidRDefault="008354E1" w:rsidP="00502CE8">
      <w:pPr>
        <w:pStyle w:val="BodyText"/>
      </w:pPr>
    </w:p>
    <w:p w:rsidR="007C649E" w:rsidRPr="00F53BDD" w:rsidRDefault="007C649E" w:rsidP="00502CE8">
      <w:pPr>
        <w:pStyle w:val="BodyText"/>
      </w:pPr>
      <w:r w:rsidRPr="00F53BDD">
        <w:br w:type="page"/>
      </w:r>
    </w:p>
    <w:p w:rsidR="0086492E" w:rsidRPr="00F53BDD" w:rsidRDefault="0086492E" w:rsidP="0086492E">
      <w:pPr>
        <w:pStyle w:val="Heading1"/>
      </w:pPr>
      <w:bookmarkStart w:id="41" w:name="_Toc75250062"/>
      <w:r w:rsidRPr="00F53BDD">
        <w:t xml:space="preserve">Section 3: Governance of </w:t>
      </w:r>
      <w:r w:rsidR="002D69A2" w:rsidRPr="00F53BDD">
        <w:t>a</w:t>
      </w:r>
      <w:r w:rsidRPr="00F53BDD">
        <w:t>dvice</w:t>
      </w:r>
      <w:bookmarkEnd w:id="41"/>
    </w:p>
    <w:p w:rsidR="0086492E" w:rsidRPr="00F53BDD" w:rsidRDefault="0086492E" w:rsidP="00AD5C0A">
      <w:pPr>
        <w:pStyle w:val="BodyText"/>
        <w:spacing w:before="0" w:after="0"/>
        <w:rPr>
          <w:color w:val="000000"/>
          <w:shd w:val="clear" w:color="auto" w:fill="FFFFFF"/>
        </w:rPr>
      </w:pPr>
      <w:r w:rsidRPr="00F53BDD">
        <w:t>Th</w:t>
      </w:r>
      <w:r w:rsidR="00106A9C" w:rsidRPr="00F53BDD">
        <w:t>is</w:t>
      </w:r>
      <w:r w:rsidRPr="00F53BDD">
        <w:t xml:space="preserve"> theme </w:t>
      </w:r>
      <w:r w:rsidR="00F27EA7" w:rsidRPr="00F53BDD">
        <w:t>addresses</w:t>
      </w:r>
      <w:r w:rsidR="00094789" w:rsidRPr="00F53BDD">
        <w:t xml:space="preserve"> </w:t>
      </w:r>
      <w:r w:rsidRPr="00F53BDD">
        <w:t>two risks</w:t>
      </w:r>
      <w:r w:rsidR="00094789" w:rsidRPr="00F53BDD">
        <w:t>, set out below.</w:t>
      </w:r>
      <w:r w:rsidR="00EF04DA" w:rsidRPr="00F53BDD">
        <w:t xml:space="preserve"> </w:t>
      </w:r>
    </w:p>
    <w:p w:rsidR="0086492E" w:rsidRPr="00F53BDD" w:rsidRDefault="0086492E" w:rsidP="0086492E">
      <w:pPr>
        <w:pStyle w:val="Heading2"/>
      </w:pPr>
      <w:bookmarkStart w:id="42" w:name="_Toc75250063"/>
      <w:r w:rsidRPr="00F53BDD">
        <w:t xml:space="preserve">Risk 1: Inadequate, </w:t>
      </w:r>
      <w:r w:rsidR="008F75D3" w:rsidRPr="00F53BDD">
        <w:t>false</w:t>
      </w:r>
      <w:r w:rsidRPr="00F53BDD">
        <w:t xml:space="preserve"> or misleading advice to </w:t>
      </w:r>
      <w:r w:rsidR="00D53694" w:rsidRPr="00F53BDD">
        <w:t>user</w:t>
      </w:r>
      <w:r w:rsidRPr="00F53BDD">
        <w:t>s</w:t>
      </w:r>
      <w:bookmarkEnd w:id="42"/>
    </w:p>
    <w:p w:rsidR="00094789" w:rsidRPr="00F53BDD" w:rsidRDefault="0086492E" w:rsidP="008354E1">
      <w:pPr>
        <w:pStyle w:val="BodyText"/>
      </w:pPr>
      <w:r w:rsidRPr="00F53BDD">
        <w:t xml:space="preserve">Inadequate, false or misleading advice </w:t>
      </w:r>
      <w:r w:rsidR="00711209" w:rsidRPr="00F53BDD">
        <w:t>includes</w:t>
      </w:r>
      <w:r w:rsidRPr="00F53BDD">
        <w:t xml:space="preserve">: </w:t>
      </w:r>
    </w:p>
    <w:p w:rsidR="00094789" w:rsidRPr="00F53BDD" w:rsidRDefault="00711209" w:rsidP="008354E1">
      <w:pPr>
        <w:pStyle w:val="Bullet"/>
        <w:rPr>
          <w:shd w:val="clear" w:color="auto" w:fill="FFFFFF" w:themeFill="background1"/>
        </w:rPr>
      </w:pPr>
      <w:r w:rsidRPr="00F53BDD">
        <w:rPr>
          <w:shd w:val="clear" w:color="auto" w:fill="FFFFFF" w:themeFill="background1"/>
        </w:rPr>
        <w:t xml:space="preserve">poor </w:t>
      </w:r>
      <w:r w:rsidR="0086492E" w:rsidRPr="00F53BDD">
        <w:rPr>
          <w:shd w:val="clear" w:color="auto" w:fill="FFFFFF" w:themeFill="background1"/>
        </w:rPr>
        <w:t xml:space="preserve">advice </w:t>
      </w:r>
      <w:r w:rsidRPr="00F53BDD">
        <w:rPr>
          <w:shd w:val="clear" w:color="auto" w:fill="FFFFFF" w:themeFill="background1"/>
        </w:rPr>
        <w:t xml:space="preserve">to a user </w:t>
      </w:r>
      <w:r w:rsidR="00094789" w:rsidRPr="00F53BDD">
        <w:rPr>
          <w:shd w:val="clear" w:color="auto" w:fill="FFFFFF" w:themeFill="background1"/>
        </w:rPr>
        <w:t xml:space="preserve">on </w:t>
      </w:r>
      <w:r w:rsidR="0086492E" w:rsidRPr="00F53BDD">
        <w:rPr>
          <w:shd w:val="clear" w:color="auto" w:fill="FFFFFF" w:themeFill="background1"/>
        </w:rPr>
        <w:t xml:space="preserve">meeting </w:t>
      </w:r>
      <w:r w:rsidRPr="00F53BDD">
        <w:rPr>
          <w:shd w:val="clear" w:color="auto" w:fill="FFFFFF" w:themeFill="background1"/>
        </w:rPr>
        <w:t xml:space="preserve">their </w:t>
      </w:r>
      <w:r w:rsidR="0086492E" w:rsidRPr="00F53BDD">
        <w:rPr>
          <w:shd w:val="clear" w:color="auto" w:fill="FFFFFF" w:themeFill="background1"/>
        </w:rPr>
        <w:t xml:space="preserve">obligations (technical </w:t>
      </w:r>
      <w:r w:rsidR="00776F6A" w:rsidRPr="00F53BDD">
        <w:rPr>
          <w:shd w:val="clear" w:color="auto" w:fill="FFFFFF" w:themeFill="background1"/>
        </w:rPr>
        <w:t xml:space="preserve">ETS </w:t>
      </w:r>
      <w:r w:rsidR="0086492E" w:rsidRPr="00F53BDD">
        <w:rPr>
          <w:shd w:val="clear" w:color="auto" w:fill="FFFFFF" w:themeFill="background1"/>
        </w:rPr>
        <w:t xml:space="preserve">advice) </w:t>
      </w:r>
    </w:p>
    <w:p w:rsidR="0086492E" w:rsidRPr="00F53BDD" w:rsidRDefault="00711209" w:rsidP="008354E1">
      <w:pPr>
        <w:pStyle w:val="Bullet"/>
      </w:pPr>
      <w:r w:rsidRPr="00F53BDD">
        <w:rPr>
          <w:shd w:val="clear" w:color="auto" w:fill="FFFFFF" w:themeFill="background1"/>
        </w:rPr>
        <w:t xml:space="preserve">poor </w:t>
      </w:r>
      <w:r w:rsidR="0086492E" w:rsidRPr="00F53BDD">
        <w:rPr>
          <w:shd w:val="clear" w:color="auto" w:fill="FFFFFF" w:themeFill="background1"/>
        </w:rPr>
        <w:t>advice</w:t>
      </w:r>
      <w:r w:rsidR="0086492E" w:rsidRPr="00F53BDD">
        <w:t xml:space="preserve"> </w:t>
      </w:r>
      <w:r w:rsidRPr="00F53BDD">
        <w:t xml:space="preserve">to </w:t>
      </w:r>
      <w:r w:rsidR="00094789" w:rsidRPr="00F53BDD">
        <w:t xml:space="preserve">a </w:t>
      </w:r>
      <w:r w:rsidRPr="00F53BDD">
        <w:t xml:space="preserve">user </w:t>
      </w:r>
      <w:r w:rsidR="00094789" w:rsidRPr="00F53BDD">
        <w:t xml:space="preserve">on </w:t>
      </w:r>
      <w:r w:rsidRPr="00F53BDD">
        <w:t xml:space="preserve">trading </w:t>
      </w:r>
      <w:r w:rsidR="0086492E" w:rsidRPr="00F53BDD">
        <w:t>in the NZ ETS market (</w:t>
      </w:r>
      <w:r w:rsidR="00CD6B62" w:rsidRPr="00F53BDD">
        <w:t xml:space="preserve">NZU </w:t>
      </w:r>
      <w:r w:rsidR="0086492E" w:rsidRPr="00F53BDD">
        <w:t>financial advice).</w:t>
      </w:r>
    </w:p>
    <w:p w:rsidR="0086492E" w:rsidRPr="00F53BDD" w:rsidRDefault="0086492E" w:rsidP="008354E1">
      <w:pPr>
        <w:pStyle w:val="BodyText"/>
      </w:pPr>
      <w:r w:rsidRPr="00F53BDD">
        <w:t xml:space="preserve">The </w:t>
      </w:r>
      <w:r w:rsidR="00776F6A" w:rsidRPr="00F53BDD">
        <w:t xml:space="preserve">Government has </w:t>
      </w:r>
      <w:r w:rsidRPr="00F53BDD">
        <w:t xml:space="preserve">received complaints from </w:t>
      </w:r>
      <w:r w:rsidR="00711209" w:rsidRPr="00F53BDD">
        <w:t>users</w:t>
      </w:r>
      <w:r w:rsidR="008E4F00" w:rsidRPr="00F53BDD">
        <w:rPr>
          <w:rStyle w:val="FootnoteReference"/>
          <w:rFonts w:cstheme="minorHAnsi"/>
        </w:rPr>
        <w:footnoteReference w:id="9"/>
      </w:r>
      <w:r w:rsidRPr="00F53BDD">
        <w:t xml:space="preserve"> about poor advice. </w:t>
      </w:r>
      <w:r w:rsidR="008E4F00" w:rsidRPr="00F53BDD">
        <w:t>E</w:t>
      </w:r>
      <w:r w:rsidRPr="00F53BDD">
        <w:t>xamples include:</w:t>
      </w:r>
    </w:p>
    <w:p w:rsidR="0086492E" w:rsidRPr="00F53BDD" w:rsidRDefault="0086492E">
      <w:pPr>
        <w:pStyle w:val="Bullet"/>
        <w:rPr>
          <w:b/>
          <w:bCs/>
        </w:rPr>
      </w:pPr>
      <w:r w:rsidRPr="00F53BDD">
        <w:rPr>
          <w:b/>
          <w:bCs/>
        </w:rPr>
        <w:t>Advice that does not reflect forestry accounting and liabilities:</w:t>
      </w:r>
    </w:p>
    <w:p w:rsidR="0086492E" w:rsidRPr="00F53BDD" w:rsidRDefault="0086492E" w:rsidP="008354E1">
      <w:pPr>
        <w:pStyle w:val="Sub-list"/>
      </w:pPr>
      <w:r w:rsidRPr="00F53BDD">
        <w:t xml:space="preserve">NZ ETS </w:t>
      </w:r>
      <w:r w:rsidR="00711209" w:rsidRPr="00F53BDD">
        <w:t xml:space="preserve">foresters </w:t>
      </w:r>
      <w:r w:rsidRPr="00F53BDD">
        <w:t xml:space="preserve">being advised to sell the units they will need to surrender when they harvest the forest. The result is </w:t>
      </w:r>
      <w:r w:rsidR="00711209" w:rsidRPr="00F53BDD">
        <w:t xml:space="preserve">either </w:t>
      </w:r>
      <w:r w:rsidRPr="00F53BDD">
        <w:t>buy</w:t>
      </w:r>
      <w:r w:rsidR="00711209" w:rsidRPr="00F53BDD">
        <w:t>ing</w:t>
      </w:r>
      <w:r w:rsidRPr="00F53BDD">
        <w:t xml:space="preserve"> units later at a higher price or not harvest</w:t>
      </w:r>
      <w:r w:rsidR="00711209" w:rsidRPr="00F53BDD">
        <w:t>ing</w:t>
      </w:r>
      <w:r w:rsidRPr="00F53BDD">
        <w:t xml:space="preserve">. Financial implications could be </w:t>
      </w:r>
      <w:r w:rsidR="00D26F23" w:rsidRPr="00F53BDD">
        <w:t>significant</w:t>
      </w:r>
      <w:r w:rsidRPr="00F53BDD">
        <w:t>.</w:t>
      </w:r>
    </w:p>
    <w:p w:rsidR="0086492E" w:rsidRPr="00F53BDD" w:rsidRDefault="0086492E" w:rsidP="008354E1">
      <w:pPr>
        <w:pStyle w:val="Sub-list"/>
      </w:pPr>
      <w:r w:rsidRPr="00F53BDD">
        <w:t xml:space="preserve">Land buyers </w:t>
      </w:r>
      <w:r w:rsidR="00D26F23" w:rsidRPr="00F53BDD">
        <w:t xml:space="preserve">being unaware </w:t>
      </w:r>
      <w:r w:rsidRPr="00F53BDD">
        <w:t xml:space="preserve">they are buying NZ ETS registered land </w:t>
      </w:r>
      <w:r w:rsidR="00D26F23" w:rsidRPr="00F53BDD">
        <w:t>with</w:t>
      </w:r>
      <w:r w:rsidRPr="00F53BDD">
        <w:t xml:space="preserve"> reporting</w:t>
      </w:r>
      <w:r w:rsidR="00D26F23" w:rsidRPr="00F53BDD">
        <w:t xml:space="preserve">, </w:t>
      </w:r>
      <w:r w:rsidRPr="00F53BDD">
        <w:t>compliance</w:t>
      </w:r>
      <w:r w:rsidR="00D26F23" w:rsidRPr="00F53BDD">
        <w:t xml:space="preserve"> and </w:t>
      </w:r>
      <w:r w:rsidRPr="00F53BDD">
        <w:t>NZU surrender obligations</w:t>
      </w:r>
      <w:r w:rsidR="00D26F23" w:rsidRPr="00F53BDD">
        <w:t xml:space="preserve"> with financial implications.</w:t>
      </w:r>
    </w:p>
    <w:p w:rsidR="0086492E" w:rsidRPr="00F53BDD" w:rsidRDefault="0086492E" w:rsidP="008354E1">
      <w:pPr>
        <w:pStyle w:val="Bullet"/>
      </w:pPr>
      <w:r w:rsidRPr="00F53BDD">
        <w:rPr>
          <w:b/>
        </w:rPr>
        <w:t>Forward sale contracts</w:t>
      </w:r>
      <w:r w:rsidRPr="00C9025F">
        <w:rPr>
          <w:b/>
          <w:bCs/>
        </w:rPr>
        <w:t>:</w:t>
      </w:r>
      <w:r w:rsidRPr="00F53BDD">
        <w:t xml:space="preserve"> A forest owner, on the advice of a consultant, enter</w:t>
      </w:r>
      <w:r w:rsidR="00977E58" w:rsidRPr="00F53BDD">
        <w:t>ed</w:t>
      </w:r>
      <w:r w:rsidRPr="00F53BDD">
        <w:t xml:space="preserve"> into a </w:t>
      </w:r>
      <w:r w:rsidR="00D26F23" w:rsidRPr="00F53BDD">
        <w:t xml:space="preserve">multi-year </w:t>
      </w:r>
      <w:r w:rsidRPr="00F53BDD">
        <w:t xml:space="preserve">contract to </w:t>
      </w:r>
      <w:r w:rsidR="00D26F23" w:rsidRPr="00F53BDD">
        <w:t xml:space="preserve">sell NZUs </w:t>
      </w:r>
      <w:r w:rsidRPr="00F53BDD">
        <w:t xml:space="preserve">for a fixed price that </w:t>
      </w:r>
      <w:r w:rsidR="00BC5180" w:rsidRPr="00F53BDD">
        <w:t xml:space="preserve">did </w:t>
      </w:r>
      <w:r w:rsidRPr="00F53BDD">
        <w:t>not accurately take into account forward</w:t>
      </w:r>
      <w:r w:rsidR="00977E58" w:rsidRPr="00F53BDD">
        <w:t>-</w:t>
      </w:r>
      <w:r w:rsidRPr="00F53BDD">
        <w:t>looking NZU price modelling.</w:t>
      </w:r>
    </w:p>
    <w:p w:rsidR="0086492E" w:rsidRPr="00F53BDD" w:rsidRDefault="0086492E" w:rsidP="0086492E">
      <w:pPr>
        <w:pStyle w:val="Bullet"/>
      </w:pPr>
      <w:r w:rsidRPr="00F53BDD">
        <w:rPr>
          <w:b/>
        </w:rPr>
        <w:t>Fewer units earned than participants were advised they would receive:</w:t>
      </w:r>
      <w:r w:rsidRPr="00C9025F">
        <w:rPr>
          <w:bCs/>
        </w:rPr>
        <w:t xml:space="preserve"> </w:t>
      </w:r>
      <w:r w:rsidR="00BF0A01" w:rsidRPr="00F53BDD">
        <w:t>B</w:t>
      </w:r>
      <w:r w:rsidRPr="00F53BDD">
        <w:t>ased on a forestry consultant</w:t>
      </w:r>
      <w:r w:rsidR="008E4F00" w:rsidRPr="00F53BDD">
        <w:t>’</w:t>
      </w:r>
      <w:r w:rsidRPr="00F53BDD">
        <w:t>s inaccurate modelling of land eligibility.</w:t>
      </w:r>
    </w:p>
    <w:p w:rsidR="002537B8" w:rsidRPr="00F53BDD" w:rsidRDefault="00977E58" w:rsidP="008354E1">
      <w:pPr>
        <w:pStyle w:val="BodyText"/>
        <w:rPr>
          <w:rFonts w:cstheme="minorHAnsi"/>
          <w:color w:val="000000"/>
        </w:rPr>
      </w:pPr>
      <w:r w:rsidRPr="00F53BDD">
        <w:t>The r</w:t>
      </w:r>
      <w:r w:rsidR="0086492E" w:rsidRPr="00F53BDD">
        <w:t xml:space="preserve">isk of poor advice will </w:t>
      </w:r>
      <w:r w:rsidRPr="00F53BDD">
        <w:t xml:space="preserve">grow </w:t>
      </w:r>
      <w:r w:rsidR="0086492E" w:rsidRPr="00F53BDD">
        <w:t xml:space="preserve">as more foresters enter the </w:t>
      </w:r>
      <w:r w:rsidR="00BC5180" w:rsidRPr="00F53BDD">
        <w:t>scheme</w:t>
      </w:r>
      <w:r w:rsidRPr="00F53BDD">
        <w:t>,</w:t>
      </w:r>
      <w:r w:rsidR="0086492E" w:rsidRPr="00F53BDD">
        <w:t xml:space="preserve"> and </w:t>
      </w:r>
      <w:r w:rsidR="00BC5180" w:rsidRPr="00F53BDD">
        <w:t xml:space="preserve">as </w:t>
      </w:r>
      <w:r w:rsidR="0086492E" w:rsidRPr="00F53BDD">
        <w:t xml:space="preserve">the management of entitlements and obligations </w:t>
      </w:r>
      <w:r w:rsidR="00711209" w:rsidRPr="00F53BDD">
        <w:t>change over time</w:t>
      </w:r>
      <w:r w:rsidR="0086492E" w:rsidRPr="00F53BDD">
        <w:t>.</w:t>
      </w:r>
      <w:r w:rsidR="0086492E" w:rsidRPr="00F53BDD">
        <w:rPr>
          <w:rFonts w:cstheme="minorHAnsi"/>
          <w:color w:val="000000"/>
        </w:rPr>
        <w:t xml:space="preserve"> </w:t>
      </w:r>
      <w:r w:rsidRPr="00F53BDD">
        <w:rPr>
          <w:rFonts w:cstheme="minorHAnsi"/>
          <w:color w:val="000000"/>
        </w:rPr>
        <w:t>As with</w:t>
      </w:r>
      <w:r w:rsidR="0086492E" w:rsidRPr="00F53BDD">
        <w:rPr>
          <w:rFonts w:cstheme="minorHAnsi"/>
          <w:color w:val="000000"/>
        </w:rPr>
        <w:t xml:space="preserve"> financial markets, the likelihood of receiving and acting on poor advice is </w:t>
      </w:r>
      <w:r w:rsidR="0086492E" w:rsidRPr="00F53BDD">
        <w:t>higher</w:t>
      </w:r>
      <w:r w:rsidR="0086492E" w:rsidRPr="00F53BDD">
        <w:rPr>
          <w:rFonts w:cstheme="minorHAnsi"/>
          <w:color w:val="000000"/>
        </w:rPr>
        <w:t xml:space="preserve"> for smaller landowners, including </w:t>
      </w:r>
      <w:r w:rsidR="0086492E" w:rsidRPr="00F53BDD">
        <w:rPr>
          <w:rFonts w:cstheme="minorHAnsi"/>
        </w:rPr>
        <w:t>iwi/Māori. Some M</w:t>
      </w:r>
      <w:r w:rsidR="0087219D" w:rsidRPr="00F53BDD">
        <w:rPr>
          <w:rFonts w:cstheme="minorHAnsi"/>
        </w:rPr>
        <w:t>ā</w:t>
      </w:r>
      <w:r w:rsidR="0086492E" w:rsidRPr="00F53BDD">
        <w:rPr>
          <w:rFonts w:cstheme="minorHAnsi"/>
        </w:rPr>
        <w:t xml:space="preserve">ori </w:t>
      </w:r>
      <w:r w:rsidR="00ED0118" w:rsidRPr="00F53BDD">
        <w:rPr>
          <w:rFonts w:cstheme="minorHAnsi"/>
        </w:rPr>
        <w:t>l</w:t>
      </w:r>
      <w:r w:rsidR="0086492E" w:rsidRPr="00F53BDD">
        <w:rPr>
          <w:rFonts w:cstheme="minorHAnsi"/>
        </w:rPr>
        <w:t xml:space="preserve">and, under Te Ture Whenua </w:t>
      </w:r>
      <w:r w:rsidR="0087219D" w:rsidRPr="00F53BDD">
        <w:rPr>
          <w:rFonts w:cstheme="minorHAnsi"/>
        </w:rPr>
        <w:t>Māori</w:t>
      </w:r>
      <w:r w:rsidR="0086492E" w:rsidRPr="00F53BDD">
        <w:rPr>
          <w:rFonts w:cstheme="minorHAnsi"/>
        </w:rPr>
        <w:t xml:space="preserve"> Act 1993, </w:t>
      </w:r>
      <w:r w:rsidR="00711209" w:rsidRPr="00F53BDD">
        <w:rPr>
          <w:rFonts w:cstheme="minorHAnsi"/>
        </w:rPr>
        <w:t>represent</w:t>
      </w:r>
      <w:r w:rsidR="00BC5180" w:rsidRPr="00F53BDD">
        <w:rPr>
          <w:rFonts w:cstheme="minorHAnsi"/>
        </w:rPr>
        <w:t>s</w:t>
      </w:r>
      <w:r w:rsidR="0086492E" w:rsidRPr="00F53BDD">
        <w:rPr>
          <w:rFonts w:cstheme="minorHAnsi"/>
        </w:rPr>
        <w:t xml:space="preserve"> small areas with complex management. For these groups</w:t>
      </w:r>
      <w:r w:rsidR="00711209" w:rsidRPr="00F53BDD">
        <w:rPr>
          <w:rFonts w:cstheme="minorHAnsi"/>
        </w:rPr>
        <w:t>,</w:t>
      </w:r>
      <w:r w:rsidR="0086492E" w:rsidRPr="00F53BDD">
        <w:rPr>
          <w:rFonts w:cstheme="minorHAnsi"/>
        </w:rPr>
        <w:t xml:space="preserve"> the financial impacts may be</w:t>
      </w:r>
      <w:r w:rsidR="002537B8" w:rsidRPr="00F53BDD">
        <w:rPr>
          <w:rFonts w:cstheme="minorHAnsi"/>
        </w:rPr>
        <w:t xml:space="preserve"> complex.</w:t>
      </w:r>
      <w:r w:rsidR="0086492E" w:rsidRPr="00F53BDD">
        <w:rPr>
          <w:rFonts w:cstheme="minorHAnsi"/>
        </w:rPr>
        <w:t xml:space="preserve"> </w:t>
      </w:r>
    </w:p>
    <w:p w:rsidR="0086492E" w:rsidRPr="00F53BDD" w:rsidRDefault="0086492E" w:rsidP="008354E1">
      <w:pPr>
        <w:pStyle w:val="Heading2"/>
      </w:pPr>
      <w:bookmarkStart w:id="43" w:name="_Toc75250064"/>
      <w:r w:rsidRPr="00F53BDD">
        <w:t>Risk 2: Conflicts of interest</w:t>
      </w:r>
      <w:bookmarkEnd w:id="43"/>
      <w:r w:rsidRPr="00F53BDD">
        <w:t xml:space="preserve"> </w:t>
      </w:r>
    </w:p>
    <w:p w:rsidR="0086492E" w:rsidRPr="00F53BDD" w:rsidRDefault="0086492E" w:rsidP="008354E1">
      <w:pPr>
        <w:pStyle w:val="BodyText"/>
      </w:pPr>
      <w:r w:rsidRPr="00F53BDD">
        <w:t xml:space="preserve">A </w:t>
      </w:r>
      <w:r w:rsidR="00CD6B62" w:rsidRPr="00F53BDD">
        <w:t>conflict of interest</w:t>
      </w:r>
      <w:r w:rsidRPr="00F53BDD">
        <w:t xml:space="preserve"> </w:t>
      </w:r>
      <w:r w:rsidR="008E4F00" w:rsidRPr="00F53BDD">
        <w:t xml:space="preserve">can </w:t>
      </w:r>
      <w:r w:rsidR="00977E58" w:rsidRPr="00F53BDD">
        <w:t xml:space="preserve">arise </w:t>
      </w:r>
      <w:r w:rsidR="008E4F00" w:rsidRPr="00F53BDD">
        <w:t xml:space="preserve">when an NZU adviser has </w:t>
      </w:r>
      <w:r w:rsidR="00977E58" w:rsidRPr="00F53BDD">
        <w:t xml:space="preserve">several </w:t>
      </w:r>
      <w:r w:rsidR="008E4F00" w:rsidRPr="00F53BDD">
        <w:t xml:space="preserve">interests, financial or otherwise, and serving one could involve working against another. </w:t>
      </w:r>
      <w:r w:rsidRPr="00F53BDD">
        <w:t>Examples include</w:t>
      </w:r>
      <w:r w:rsidR="00AF0A8A" w:rsidRPr="00F53BDD">
        <w:t xml:space="preserve"> advisers</w:t>
      </w:r>
      <w:r w:rsidRPr="00F53BDD">
        <w:t>:</w:t>
      </w:r>
    </w:p>
    <w:p w:rsidR="0086492E" w:rsidRPr="00F53BDD" w:rsidRDefault="0086492E" w:rsidP="008354E1">
      <w:pPr>
        <w:pStyle w:val="Bullet"/>
      </w:pPr>
      <w:r w:rsidRPr="00F53BDD">
        <w:t>putting their own interests ahead of their client</w:t>
      </w:r>
      <w:r w:rsidR="00AF0A8A" w:rsidRPr="00F53BDD">
        <w:t>s</w:t>
      </w:r>
      <w:r w:rsidR="007910DE" w:rsidRPr="00F53BDD">
        <w:t>’</w:t>
      </w:r>
    </w:p>
    <w:p w:rsidR="00AF0A8A" w:rsidRPr="00F53BDD" w:rsidRDefault="00AF0A8A" w:rsidP="008354E1">
      <w:pPr>
        <w:pStyle w:val="Bullet"/>
      </w:pPr>
      <w:r w:rsidRPr="00F53BDD">
        <w:t xml:space="preserve">not disclosing </w:t>
      </w:r>
      <w:r w:rsidR="0086492E" w:rsidRPr="00F53BDD">
        <w:t>emission unit</w:t>
      </w:r>
      <w:r w:rsidRPr="00F53BDD">
        <w:t>s holdings</w:t>
      </w:r>
    </w:p>
    <w:p w:rsidR="0086492E" w:rsidRPr="00F53BDD" w:rsidRDefault="0086492E" w:rsidP="008354E1">
      <w:pPr>
        <w:pStyle w:val="Bullet"/>
      </w:pPr>
      <w:r w:rsidRPr="00F53BDD">
        <w:t>receiv</w:t>
      </w:r>
      <w:r w:rsidR="00AF0A8A" w:rsidRPr="00F53BDD">
        <w:t>ing</w:t>
      </w:r>
      <w:r w:rsidRPr="00F53BDD">
        <w:t xml:space="preserve"> </w:t>
      </w:r>
      <w:r w:rsidR="008E4F00" w:rsidRPr="00F53BDD">
        <w:t xml:space="preserve">undisclosed </w:t>
      </w:r>
      <w:r w:rsidRPr="00F53BDD">
        <w:t xml:space="preserve">commissions for referrals. </w:t>
      </w:r>
    </w:p>
    <w:p w:rsidR="0086492E" w:rsidRPr="00F53BDD" w:rsidRDefault="007910DE">
      <w:pPr>
        <w:pStyle w:val="BodyText"/>
      </w:pPr>
      <w:r w:rsidRPr="00F53BDD">
        <w:t>U</w:t>
      </w:r>
      <w:r w:rsidR="0086492E" w:rsidRPr="00F53BDD">
        <w:t xml:space="preserve">sers </w:t>
      </w:r>
      <w:r w:rsidR="00D432EC" w:rsidRPr="00F53BDD">
        <w:t xml:space="preserve">may be </w:t>
      </w:r>
      <w:r w:rsidR="0086492E" w:rsidRPr="00F53BDD">
        <w:t xml:space="preserve">unaware of </w:t>
      </w:r>
      <w:r w:rsidR="00977E58" w:rsidRPr="00F53BDD">
        <w:t xml:space="preserve">an adviser’s </w:t>
      </w:r>
      <w:r w:rsidR="0086492E" w:rsidRPr="00F53BDD">
        <w:t xml:space="preserve">conflicts of interest. A perceived conflict can be as harmful as a real conflict in terms of consumer </w:t>
      </w:r>
      <w:r w:rsidR="00711209" w:rsidRPr="00F53BDD">
        <w:t>confidence</w:t>
      </w:r>
      <w:r w:rsidR="0086492E" w:rsidRPr="00F53BDD">
        <w:t>.</w:t>
      </w:r>
      <w:r w:rsidR="00D432EC" w:rsidRPr="00F53BDD">
        <w:t xml:space="preserve"> </w:t>
      </w:r>
    </w:p>
    <w:p w:rsidR="0086492E" w:rsidRPr="00F53BDD" w:rsidRDefault="0086492E" w:rsidP="0086492E">
      <w:pPr>
        <w:pStyle w:val="Heading2"/>
      </w:pPr>
      <w:bookmarkStart w:id="44" w:name="_Toc75250065"/>
      <w:r w:rsidRPr="00F53BDD">
        <w:t>Options</w:t>
      </w:r>
      <w:bookmarkEnd w:id="44"/>
    </w:p>
    <w:p w:rsidR="0086492E" w:rsidRPr="00F53BDD" w:rsidRDefault="0086492E" w:rsidP="008354E1">
      <w:pPr>
        <w:pStyle w:val="Heading3"/>
        <w:spacing w:before="240"/>
      </w:pPr>
      <w:r w:rsidRPr="00F53BDD">
        <w:t>A1. Maintain the status quo</w:t>
      </w:r>
    </w:p>
    <w:p w:rsidR="0086492E" w:rsidRPr="00F53BDD" w:rsidRDefault="00977E58" w:rsidP="0077420C">
      <w:pPr>
        <w:pStyle w:val="BodyText"/>
        <w:spacing w:before="100" w:after="100"/>
      </w:pPr>
      <w:r w:rsidRPr="00F53BDD">
        <w:t>Under this option, t</w:t>
      </w:r>
      <w:r w:rsidR="0086492E" w:rsidRPr="00F53BDD">
        <w:t xml:space="preserve">here are no checks to ensure </w:t>
      </w:r>
      <w:r w:rsidRPr="00F53BDD">
        <w:t>advisers</w:t>
      </w:r>
      <w:r w:rsidR="0086492E" w:rsidRPr="00F53BDD">
        <w:t xml:space="preserve"> are experienced. </w:t>
      </w:r>
      <w:r w:rsidR="00344097" w:rsidRPr="00F53BDD">
        <w:t>T</w:t>
      </w:r>
      <w:r w:rsidR="0086492E" w:rsidRPr="00F53BDD">
        <w:t>here</w:t>
      </w:r>
      <w:r w:rsidR="00344097" w:rsidRPr="00F53BDD">
        <w:t xml:space="preserve"> is poor </w:t>
      </w:r>
      <w:r w:rsidR="0086492E" w:rsidRPr="00F53BDD">
        <w:t xml:space="preserve">transparency </w:t>
      </w:r>
      <w:r w:rsidR="00344097" w:rsidRPr="00F53BDD">
        <w:t>and no</w:t>
      </w:r>
      <w:r w:rsidR="0086492E" w:rsidRPr="00F53BDD">
        <w:t xml:space="preserve"> minimum assurance standards.</w:t>
      </w:r>
    </w:p>
    <w:p w:rsidR="0086492E" w:rsidRPr="00F53BDD" w:rsidRDefault="0086492E" w:rsidP="008354E1">
      <w:pPr>
        <w:pStyle w:val="Heading4"/>
        <w:spacing w:after="120"/>
      </w:pPr>
      <w:r w:rsidRPr="00F53BDD">
        <w:t>Benefits</w:t>
      </w:r>
    </w:p>
    <w:p w:rsidR="0086492E" w:rsidRPr="00F53BDD" w:rsidRDefault="00977E58" w:rsidP="0077420C">
      <w:pPr>
        <w:pStyle w:val="Bullet"/>
        <w:spacing w:after="100"/>
      </w:pPr>
      <w:r w:rsidRPr="00F53BDD">
        <w:t>N</w:t>
      </w:r>
      <w:r w:rsidR="0086492E" w:rsidRPr="00F53BDD">
        <w:t xml:space="preserve">o additional administrative cost to </w:t>
      </w:r>
      <w:r w:rsidRPr="00F53BDD">
        <w:t>the G</w:t>
      </w:r>
      <w:r w:rsidR="0086492E" w:rsidRPr="00F53BDD">
        <w:t>overnment</w:t>
      </w:r>
      <w:r w:rsidR="003D48EB" w:rsidRPr="00F53BDD">
        <w:t xml:space="preserve">, users </w:t>
      </w:r>
      <w:r w:rsidR="0086492E" w:rsidRPr="00F53BDD">
        <w:t xml:space="preserve">or </w:t>
      </w:r>
      <w:r w:rsidR="003D48EB" w:rsidRPr="00F53BDD">
        <w:t>advisers</w:t>
      </w:r>
      <w:r w:rsidR="0086492E" w:rsidRPr="00F53BDD">
        <w:t xml:space="preserve">. </w:t>
      </w:r>
    </w:p>
    <w:p w:rsidR="0086492E" w:rsidRPr="00F53BDD" w:rsidRDefault="0086492E" w:rsidP="008354E1">
      <w:pPr>
        <w:pStyle w:val="Heading4"/>
        <w:spacing w:after="120"/>
      </w:pPr>
      <w:r w:rsidRPr="00F53BDD">
        <w:t>Disadvantages</w:t>
      </w:r>
    </w:p>
    <w:p w:rsidR="0086492E" w:rsidRPr="00F53BDD" w:rsidRDefault="0086492E" w:rsidP="00526B0D">
      <w:pPr>
        <w:pStyle w:val="Bullet"/>
      </w:pPr>
      <w:r w:rsidRPr="00F53BDD">
        <w:t xml:space="preserve">Small landowners, including iwi and Māori, and new entrants to the </w:t>
      </w:r>
      <w:r w:rsidR="007910DE" w:rsidRPr="00F53BDD">
        <w:t>scheme</w:t>
      </w:r>
      <w:r w:rsidRPr="00F53BDD">
        <w:t xml:space="preserve"> are at</w:t>
      </w:r>
      <w:r w:rsidR="00F25F58" w:rsidRPr="00F53BDD">
        <w:t xml:space="preserve"> a</w:t>
      </w:r>
      <w:r w:rsidRPr="00F53BDD">
        <w:t xml:space="preserve"> disadvantage when it comes to understanding, entering and negotiating NZU trades for fulfilling emissions obligations.</w:t>
      </w:r>
    </w:p>
    <w:p w:rsidR="0086492E" w:rsidRPr="00F53BDD" w:rsidRDefault="003D48EB" w:rsidP="009C2539">
      <w:pPr>
        <w:pStyle w:val="Bullet"/>
      </w:pPr>
      <w:r w:rsidRPr="00F53BDD">
        <w:t xml:space="preserve">Smaller users </w:t>
      </w:r>
      <w:r w:rsidR="0086492E" w:rsidRPr="00F53BDD">
        <w:t xml:space="preserve">may continue to </w:t>
      </w:r>
      <w:r w:rsidR="007910DE" w:rsidRPr="00F53BDD">
        <w:t xml:space="preserve">face </w:t>
      </w:r>
      <w:r w:rsidR="0086492E" w:rsidRPr="00F53BDD">
        <w:t>financial</w:t>
      </w:r>
      <w:r w:rsidR="00977E58" w:rsidRPr="00F53BDD">
        <w:t xml:space="preserve"> loss</w:t>
      </w:r>
      <w:r w:rsidR="007910DE" w:rsidRPr="00F53BDD">
        <w:t xml:space="preserve"> </w:t>
      </w:r>
      <w:r w:rsidRPr="00F53BDD">
        <w:t>because of</w:t>
      </w:r>
      <w:r w:rsidR="0086492E" w:rsidRPr="00F53BDD">
        <w:t xml:space="preserve"> poor advice.</w:t>
      </w:r>
    </w:p>
    <w:p w:rsidR="0086492E" w:rsidRPr="00F53BDD" w:rsidRDefault="0086492E" w:rsidP="0077420C">
      <w:pPr>
        <w:pStyle w:val="Heading3"/>
        <w:spacing w:before="280"/>
      </w:pPr>
      <w:r w:rsidRPr="00F53BDD">
        <w:t>A2. Consumer education campaign and information pack</w:t>
      </w:r>
    </w:p>
    <w:p w:rsidR="0086492E" w:rsidRPr="00F53BDD" w:rsidRDefault="0086492E" w:rsidP="0077420C">
      <w:pPr>
        <w:pStyle w:val="BodyText"/>
        <w:spacing w:before="100" w:after="100"/>
      </w:pPr>
      <w:bookmarkStart w:id="45" w:name="_Hlk74644239"/>
      <w:r w:rsidRPr="00F53BDD">
        <w:t xml:space="preserve">This option affects participants, </w:t>
      </w:r>
      <w:r w:rsidR="00E474FA" w:rsidRPr="00F53BDD">
        <w:t xml:space="preserve">NZU </w:t>
      </w:r>
      <w:r w:rsidRPr="00F53BDD">
        <w:t>traders</w:t>
      </w:r>
      <w:r w:rsidR="00C9025F">
        <w:t>,</w:t>
      </w:r>
      <w:r w:rsidRPr="00F53BDD">
        <w:t xml:space="preserve"> and foresters seeking </w:t>
      </w:r>
      <w:r w:rsidR="00266314" w:rsidRPr="00F53BDD">
        <w:t xml:space="preserve">NZU </w:t>
      </w:r>
      <w:r w:rsidRPr="00F53BDD">
        <w:t>advice.</w:t>
      </w:r>
    </w:p>
    <w:bookmarkEnd w:id="45"/>
    <w:p w:rsidR="0086492E" w:rsidRPr="00F53BDD" w:rsidRDefault="00274F9E" w:rsidP="0077420C">
      <w:pPr>
        <w:pStyle w:val="BodyText"/>
        <w:spacing w:before="100" w:after="100"/>
      </w:pPr>
      <w:r w:rsidRPr="00F53BDD">
        <w:t>U</w:t>
      </w:r>
      <w:r w:rsidR="00344097" w:rsidRPr="00F53BDD">
        <w:t xml:space="preserve">sers </w:t>
      </w:r>
      <w:r w:rsidR="0086492E" w:rsidRPr="00F53BDD">
        <w:t xml:space="preserve">need to know </w:t>
      </w:r>
      <w:r w:rsidRPr="00F53BDD">
        <w:t>where</w:t>
      </w:r>
      <w:r w:rsidR="0086492E" w:rsidRPr="00F53BDD">
        <w:t xml:space="preserve"> to seek professional advice, the state of the </w:t>
      </w:r>
      <w:r w:rsidR="00E474FA" w:rsidRPr="00F53BDD">
        <w:t xml:space="preserve">NZ ETS </w:t>
      </w:r>
      <w:r w:rsidR="0086492E" w:rsidRPr="00F53BDD">
        <w:t>market, the trading options available, and redress if they receive poor advice.</w:t>
      </w:r>
    </w:p>
    <w:p w:rsidR="0086492E" w:rsidRPr="00F53BDD" w:rsidRDefault="00344097" w:rsidP="0077420C">
      <w:pPr>
        <w:pStyle w:val="BodyText"/>
        <w:spacing w:before="100" w:after="100"/>
      </w:pPr>
      <w:r w:rsidRPr="00F53BDD">
        <w:t>T</w:t>
      </w:r>
      <w:r w:rsidR="0086492E" w:rsidRPr="00F53BDD">
        <w:t xml:space="preserve">he Government could consider a cross-agency </w:t>
      </w:r>
      <w:r w:rsidR="00BB1A07" w:rsidRPr="00F53BDD">
        <w:t>education campaign</w:t>
      </w:r>
      <w:r w:rsidR="0086492E" w:rsidRPr="00F53BDD">
        <w:t xml:space="preserve"> and information</w:t>
      </w:r>
      <w:r w:rsidRPr="00F53BDD">
        <w:t xml:space="preserve">, </w:t>
      </w:r>
      <w:r w:rsidR="00274F9E" w:rsidRPr="00F53BDD">
        <w:t xml:space="preserve">addressing </w:t>
      </w:r>
      <w:r w:rsidR="0086492E" w:rsidRPr="00F53BDD">
        <w:t>issues such as</w:t>
      </w:r>
      <w:r w:rsidRPr="00F53BDD">
        <w:t xml:space="preserve"> </w:t>
      </w:r>
      <w:r w:rsidR="0086492E" w:rsidRPr="00F53BDD">
        <w:t xml:space="preserve">legal requirements </w:t>
      </w:r>
      <w:r w:rsidR="008D7A97" w:rsidRPr="00F53BDD">
        <w:t xml:space="preserve">and </w:t>
      </w:r>
      <w:r w:rsidR="0086492E" w:rsidRPr="00F53BDD">
        <w:t>financial knowledge</w:t>
      </w:r>
      <w:r w:rsidR="008D7A97" w:rsidRPr="00F53BDD">
        <w:t xml:space="preserve"> specific to the NZ ETS</w:t>
      </w:r>
      <w:r w:rsidR="0086492E" w:rsidRPr="00F53BDD">
        <w:t>.</w:t>
      </w:r>
    </w:p>
    <w:p w:rsidR="0086492E" w:rsidRPr="00F53BDD" w:rsidRDefault="0086492E" w:rsidP="0077420C">
      <w:pPr>
        <w:pStyle w:val="BodyText"/>
        <w:spacing w:before="100" w:after="100"/>
      </w:pPr>
      <w:r w:rsidRPr="00F53BDD">
        <w:t xml:space="preserve">The information pack could also </w:t>
      </w:r>
      <w:r w:rsidR="00274F9E" w:rsidRPr="00F53BDD">
        <w:t xml:space="preserve">guide users </w:t>
      </w:r>
      <w:r w:rsidR="008D7A97" w:rsidRPr="00F53BDD">
        <w:t xml:space="preserve">on </w:t>
      </w:r>
      <w:r w:rsidRPr="00F53BDD">
        <w:t>choosing a</w:t>
      </w:r>
      <w:r w:rsidR="00274F9E" w:rsidRPr="00F53BDD">
        <w:t>n</w:t>
      </w:r>
      <w:r w:rsidRPr="00F53BDD">
        <w:t xml:space="preserve"> adviser</w:t>
      </w:r>
      <w:r w:rsidR="00274F9E" w:rsidRPr="00F53BDD">
        <w:t>,</w:t>
      </w:r>
      <w:r w:rsidRPr="00F53BDD">
        <w:t xml:space="preserve"> by </w:t>
      </w:r>
      <w:r w:rsidR="00274F9E" w:rsidRPr="00F53BDD">
        <w:t xml:space="preserve">listing </w:t>
      </w:r>
      <w:r w:rsidR="008D7A97" w:rsidRPr="00F53BDD">
        <w:t>questions</w:t>
      </w:r>
      <w:r w:rsidRPr="00F53BDD">
        <w:t xml:space="preserve"> </w:t>
      </w:r>
      <w:r w:rsidR="00274F9E" w:rsidRPr="00F53BDD">
        <w:t>about</w:t>
      </w:r>
      <w:r w:rsidR="00AB7EEC" w:rsidRPr="00F53BDD">
        <w:t> </w:t>
      </w:r>
      <w:r w:rsidRPr="00F53BDD">
        <w:t>advisers</w:t>
      </w:r>
      <w:r w:rsidR="00274F9E" w:rsidRPr="00F53BDD">
        <w:t>’</w:t>
      </w:r>
      <w:r w:rsidRPr="00F53BDD">
        <w:t xml:space="preserve"> experience and qualifications,</w:t>
      </w:r>
      <w:r w:rsidR="00B9514B" w:rsidRPr="00F53BDD">
        <w:t xml:space="preserve"> </w:t>
      </w:r>
      <w:r w:rsidRPr="00F53BDD">
        <w:t>how the</w:t>
      </w:r>
      <w:r w:rsidR="00274F9E" w:rsidRPr="00F53BDD">
        <w:t>y</w:t>
      </w:r>
      <w:r w:rsidRPr="00F53BDD">
        <w:t xml:space="preserve"> </w:t>
      </w:r>
      <w:r w:rsidR="00274F9E" w:rsidRPr="00F53BDD">
        <w:t>are paid</w:t>
      </w:r>
      <w:r w:rsidR="008D7A97" w:rsidRPr="00F53BDD">
        <w:t>,</w:t>
      </w:r>
      <w:r w:rsidR="00B9514B" w:rsidRPr="00F53BDD">
        <w:t xml:space="preserve"> and </w:t>
      </w:r>
      <w:r w:rsidRPr="00F53BDD">
        <w:t xml:space="preserve">the costs and liabilities </w:t>
      </w:r>
      <w:r w:rsidR="00274F9E" w:rsidRPr="00F53BDD">
        <w:t>of</w:t>
      </w:r>
      <w:r w:rsidR="00AB7EEC" w:rsidRPr="00F53BDD">
        <w:t> </w:t>
      </w:r>
      <w:r w:rsidR="00E474FA" w:rsidRPr="00F53BDD">
        <w:t xml:space="preserve">joining </w:t>
      </w:r>
      <w:r w:rsidRPr="00F53BDD">
        <w:t xml:space="preserve">the </w:t>
      </w:r>
      <w:r w:rsidR="007910DE" w:rsidRPr="00F53BDD">
        <w:t>scheme</w:t>
      </w:r>
      <w:r w:rsidR="00B9514B" w:rsidRPr="00F53BDD">
        <w:t>.</w:t>
      </w:r>
    </w:p>
    <w:p w:rsidR="0086492E" w:rsidRPr="00F53BDD" w:rsidRDefault="0086492E" w:rsidP="0077420C">
      <w:pPr>
        <w:pStyle w:val="Heading4"/>
        <w:spacing w:after="120"/>
      </w:pPr>
      <w:r w:rsidRPr="00F53BDD">
        <w:t>Benefits</w:t>
      </w:r>
    </w:p>
    <w:p w:rsidR="0086492E" w:rsidRPr="00F53BDD" w:rsidRDefault="00F260F9" w:rsidP="0077420C">
      <w:pPr>
        <w:pStyle w:val="Bullet"/>
      </w:pPr>
      <w:r w:rsidRPr="00F53BDD">
        <w:t xml:space="preserve">Helps users </w:t>
      </w:r>
      <w:r w:rsidR="0086492E" w:rsidRPr="00F53BDD">
        <w:t>make better choice</w:t>
      </w:r>
      <w:r w:rsidRPr="00F53BDD">
        <w:t>s</w:t>
      </w:r>
      <w:r w:rsidR="0086492E" w:rsidRPr="00F53BDD">
        <w:t xml:space="preserve"> about engaging with the NZ ETS.</w:t>
      </w:r>
    </w:p>
    <w:p w:rsidR="0086492E" w:rsidRPr="00F53BDD" w:rsidRDefault="00F260F9" w:rsidP="0077420C">
      <w:pPr>
        <w:pStyle w:val="Bullet"/>
      </w:pPr>
      <w:r w:rsidRPr="00F53BDD">
        <w:t>H</w:t>
      </w:r>
      <w:r w:rsidR="00E474FA" w:rsidRPr="00F53BDD">
        <w:t>elps</w:t>
      </w:r>
      <w:r w:rsidR="0086492E" w:rsidRPr="00F53BDD">
        <w:t xml:space="preserve"> </w:t>
      </w:r>
      <w:r w:rsidR="00D65A48" w:rsidRPr="00F53BDD">
        <w:t>u</w:t>
      </w:r>
      <w:r w:rsidR="00E474FA" w:rsidRPr="00F53BDD">
        <w:t>sers</w:t>
      </w:r>
      <w:r w:rsidR="0086492E" w:rsidRPr="00F53BDD">
        <w:t xml:space="preserve"> understand </w:t>
      </w:r>
      <w:r w:rsidR="00274F9E" w:rsidRPr="00F53BDD">
        <w:t>whether</w:t>
      </w:r>
      <w:r w:rsidR="00E474FA" w:rsidRPr="00F53BDD">
        <w:t xml:space="preserve"> they </w:t>
      </w:r>
      <w:r w:rsidR="00274F9E" w:rsidRPr="00F53BDD">
        <w:t xml:space="preserve">have </w:t>
      </w:r>
      <w:r w:rsidR="00E474FA" w:rsidRPr="00F53BDD">
        <w:t>receiv</w:t>
      </w:r>
      <w:r w:rsidRPr="00F53BDD">
        <w:t>e</w:t>
      </w:r>
      <w:r w:rsidR="00274F9E" w:rsidRPr="00F53BDD">
        <w:t>d</w:t>
      </w:r>
      <w:r w:rsidR="00E474FA" w:rsidRPr="00F53BDD">
        <w:t xml:space="preserve"> </w:t>
      </w:r>
      <w:r w:rsidRPr="00F53BDD">
        <w:t>poor</w:t>
      </w:r>
      <w:r w:rsidR="0086492E" w:rsidRPr="00F53BDD">
        <w:t xml:space="preserve"> advice.</w:t>
      </w:r>
    </w:p>
    <w:p w:rsidR="0086492E" w:rsidRPr="00F53BDD" w:rsidRDefault="00F260F9" w:rsidP="0077420C">
      <w:pPr>
        <w:pStyle w:val="Bullet"/>
      </w:pPr>
      <w:r w:rsidRPr="00F53BDD">
        <w:t>E</w:t>
      </w:r>
      <w:r w:rsidR="0086492E" w:rsidRPr="00F53BDD">
        <w:t>nhance</w:t>
      </w:r>
      <w:r w:rsidRPr="00F53BDD">
        <w:t>s</w:t>
      </w:r>
      <w:r w:rsidR="0086492E" w:rsidRPr="00F53BDD">
        <w:t xml:space="preserve"> transparency and clarity in the ETS.</w:t>
      </w:r>
    </w:p>
    <w:p w:rsidR="0086492E" w:rsidRPr="00F53BDD" w:rsidRDefault="00F260F9" w:rsidP="0077420C">
      <w:pPr>
        <w:pStyle w:val="Bullet"/>
      </w:pPr>
      <w:r w:rsidRPr="00F53BDD">
        <w:t>A</w:t>
      </w:r>
      <w:r w:rsidR="0086492E" w:rsidRPr="00F53BDD">
        <w:t xml:space="preserve"> low</w:t>
      </w:r>
      <w:r w:rsidR="00E474FA" w:rsidRPr="00F53BDD">
        <w:t>-</w:t>
      </w:r>
      <w:r w:rsidR="0086492E" w:rsidRPr="00F53BDD">
        <w:t xml:space="preserve">cost option for </w:t>
      </w:r>
      <w:r w:rsidR="00D65A48" w:rsidRPr="00F53BDD">
        <w:t>u</w:t>
      </w:r>
      <w:r w:rsidR="00E474FA" w:rsidRPr="00F53BDD">
        <w:t>sers and advisers</w:t>
      </w:r>
      <w:r w:rsidR="0086492E" w:rsidRPr="00F53BDD">
        <w:t xml:space="preserve">. The </w:t>
      </w:r>
      <w:r w:rsidR="007910DE" w:rsidRPr="00F53BDD">
        <w:t xml:space="preserve">Government will bear the </w:t>
      </w:r>
      <w:r w:rsidR="0086492E" w:rsidRPr="00F53BDD">
        <w:t>cost to design and</w:t>
      </w:r>
      <w:r w:rsidR="00AB7EEC" w:rsidRPr="00F53BDD">
        <w:t> </w:t>
      </w:r>
      <w:r w:rsidR="0086492E" w:rsidRPr="00F53BDD">
        <w:t>implement</w:t>
      </w:r>
      <w:r w:rsidR="007910DE" w:rsidRPr="00F53BDD">
        <w:t>,</w:t>
      </w:r>
      <w:r w:rsidR="008F75D3" w:rsidRPr="00F53BDD">
        <w:t xml:space="preserve"> but</w:t>
      </w:r>
      <w:r w:rsidR="00D55C56" w:rsidRPr="00F53BDD">
        <w:t xml:space="preserve"> </w:t>
      </w:r>
      <w:r w:rsidR="007910DE" w:rsidRPr="00F53BDD">
        <w:t xml:space="preserve">it will likely be </w:t>
      </w:r>
      <w:r w:rsidR="00D55C56" w:rsidRPr="00F53BDD">
        <w:t>low.</w:t>
      </w:r>
    </w:p>
    <w:p w:rsidR="0086492E" w:rsidRPr="00F53BDD" w:rsidRDefault="0086492E" w:rsidP="0077420C">
      <w:pPr>
        <w:pStyle w:val="Heading4"/>
        <w:spacing w:after="120"/>
      </w:pPr>
      <w:r w:rsidRPr="00F53BDD">
        <w:t>Disadvantages</w:t>
      </w:r>
    </w:p>
    <w:p w:rsidR="0086492E" w:rsidRPr="00F53BDD" w:rsidRDefault="00274F9E" w:rsidP="00526B0D">
      <w:pPr>
        <w:pStyle w:val="Bullet"/>
      </w:pPr>
      <w:r w:rsidRPr="00F53BDD">
        <w:t>D</w:t>
      </w:r>
      <w:r w:rsidR="0086492E" w:rsidRPr="00F53BDD">
        <w:t xml:space="preserve">oes not entirely </w:t>
      </w:r>
      <w:r w:rsidR="00F260F9" w:rsidRPr="00F53BDD">
        <w:t>address</w:t>
      </w:r>
      <w:r w:rsidR="0086492E" w:rsidRPr="00F53BDD">
        <w:t xml:space="preserve"> the risk of poor advice. </w:t>
      </w:r>
      <w:r w:rsidRPr="00F53BDD">
        <w:t>U</w:t>
      </w:r>
      <w:r w:rsidR="00D55C56" w:rsidRPr="00F53BDD">
        <w:t>sers</w:t>
      </w:r>
      <w:r w:rsidR="0086492E" w:rsidRPr="00F53BDD">
        <w:t xml:space="preserve"> are still at risk of financial </w:t>
      </w:r>
      <w:r w:rsidRPr="00F53BDD">
        <w:t>loss</w:t>
      </w:r>
      <w:r w:rsidR="0086492E" w:rsidRPr="00F53BDD">
        <w:t>.</w:t>
      </w:r>
    </w:p>
    <w:p w:rsidR="0086492E" w:rsidRPr="00F53BDD" w:rsidRDefault="00F260F9" w:rsidP="00526B0D">
      <w:pPr>
        <w:pStyle w:val="Bullet"/>
      </w:pPr>
      <w:r w:rsidRPr="00F53BDD">
        <w:t>Does</w:t>
      </w:r>
      <w:r w:rsidR="00D55C56" w:rsidRPr="00F53BDD">
        <w:t xml:space="preserve"> not </w:t>
      </w:r>
      <w:r w:rsidR="00F50D18" w:rsidRPr="00F53BDD">
        <w:t xml:space="preserve">prevent an adviser </w:t>
      </w:r>
      <w:r w:rsidR="00274F9E" w:rsidRPr="00F53BDD">
        <w:t xml:space="preserve">giving </w:t>
      </w:r>
      <w:r w:rsidR="0086492E" w:rsidRPr="00F53BDD">
        <w:t>misleading or poor advice.</w:t>
      </w:r>
    </w:p>
    <w:p w:rsidR="0086492E" w:rsidRPr="00F53BDD" w:rsidRDefault="0086492E" w:rsidP="0077420C">
      <w:pPr>
        <w:pStyle w:val="Heading3"/>
        <w:spacing w:before="280"/>
      </w:pPr>
      <w:r w:rsidRPr="00F53BDD">
        <w:t xml:space="preserve">A3. </w:t>
      </w:r>
      <w:r w:rsidR="006218BD" w:rsidRPr="00812A66">
        <w:rPr>
          <w:bCs w:val="0"/>
        </w:rPr>
        <w:t>Sector guidelines for NZU advisers</w:t>
      </w:r>
      <w:r w:rsidR="006218BD" w:rsidRPr="00F53BDD" w:rsidDel="006218BD">
        <w:t xml:space="preserve"> </w:t>
      </w:r>
    </w:p>
    <w:p w:rsidR="0086492E" w:rsidRPr="00F53BDD" w:rsidRDefault="0086492E" w:rsidP="0077420C">
      <w:pPr>
        <w:pStyle w:val="BodyText"/>
      </w:pPr>
      <w:r w:rsidRPr="00F53BDD">
        <w:t xml:space="preserve">This option affects </w:t>
      </w:r>
      <w:r w:rsidR="00266314" w:rsidRPr="00F53BDD">
        <w:t xml:space="preserve">NZU </w:t>
      </w:r>
      <w:r w:rsidR="00D65A48" w:rsidRPr="00F53BDD">
        <w:t>a</w:t>
      </w:r>
      <w:r w:rsidR="00266314" w:rsidRPr="00F53BDD">
        <w:t>dvisers</w:t>
      </w:r>
      <w:r w:rsidRPr="00F53BDD">
        <w:t>.</w:t>
      </w:r>
    </w:p>
    <w:p w:rsidR="00BF0A01" w:rsidRPr="00F53BDD" w:rsidRDefault="00266314" w:rsidP="0086492E">
      <w:pPr>
        <w:pStyle w:val="BodyText"/>
      </w:pPr>
      <w:r w:rsidRPr="00F53BDD">
        <w:t>The Government could consider introducing g</w:t>
      </w:r>
      <w:r w:rsidR="0086492E" w:rsidRPr="00F53BDD">
        <w:t>uidelines to benchmark the expected level of service from advisers.</w:t>
      </w:r>
      <w:r w:rsidR="00BF0A01" w:rsidRPr="00F53BDD">
        <w:t xml:space="preserve"> </w:t>
      </w:r>
      <w:r w:rsidR="00274F9E" w:rsidRPr="00F53BDD">
        <w:t xml:space="preserve">These </w:t>
      </w:r>
      <w:r w:rsidR="0086492E" w:rsidRPr="00F53BDD">
        <w:t xml:space="preserve">could be developed </w:t>
      </w:r>
      <w:r w:rsidRPr="00F53BDD">
        <w:t xml:space="preserve">by </w:t>
      </w:r>
      <w:r w:rsidR="0086492E" w:rsidRPr="00F53BDD">
        <w:t>industry</w:t>
      </w:r>
      <w:r w:rsidR="00AE4178" w:rsidRPr="00F53BDD">
        <w:t>,</w:t>
      </w:r>
      <w:r w:rsidR="0086492E" w:rsidRPr="00F53BDD">
        <w:t xml:space="preserve"> </w:t>
      </w:r>
      <w:r w:rsidRPr="00F53BDD">
        <w:t xml:space="preserve">by </w:t>
      </w:r>
      <w:r w:rsidR="00274F9E" w:rsidRPr="00F53BDD">
        <w:t xml:space="preserve">the </w:t>
      </w:r>
      <w:r w:rsidRPr="00F53BDD">
        <w:t>G</w:t>
      </w:r>
      <w:r w:rsidR="0086492E" w:rsidRPr="00F53BDD">
        <w:t>overnment</w:t>
      </w:r>
      <w:r w:rsidR="00AE4178" w:rsidRPr="00F53BDD">
        <w:t xml:space="preserve">, or by </w:t>
      </w:r>
      <w:r w:rsidR="00274F9E" w:rsidRPr="00F53BDD">
        <w:t>both in</w:t>
      </w:r>
      <w:r w:rsidR="0077420C" w:rsidRPr="00F53BDD">
        <w:t> </w:t>
      </w:r>
      <w:r w:rsidR="00274F9E" w:rsidRPr="00F53BDD">
        <w:t>consul</w:t>
      </w:r>
      <w:r w:rsidR="007910DE" w:rsidRPr="00F53BDD">
        <w:t>t</w:t>
      </w:r>
      <w:r w:rsidR="00274F9E" w:rsidRPr="00F53BDD">
        <w:t xml:space="preserve">ation. </w:t>
      </w:r>
    </w:p>
    <w:p w:rsidR="0086492E" w:rsidRPr="00F53BDD" w:rsidRDefault="0086492E" w:rsidP="0086492E">
      <w:pPr>
        <w:pStyle w:val="BodyText"/>
      </w:pPr>
      <w:r w:rsidRPr="00F53BDD">
        <w:t xml:space="preserve">The </w:t>
      </w:r>
      <w:r w:rsidR="00CB13E3" w:rsidRPr="00F53BDD">
        <w:t>g</w:t>
      </w:r>
      <w:r w:rsidRPr="00F53BDD">
        <w:t xml:space="preserve">uidelines could </w:t>
      </w:r>
      <w:r w:rsidR="00AE4178" w:rsidRPr="00F53BDD">
        <w:t xml:space="preserve">be </w:t>
      </w:r>
      <w:r w:rsidRPr="00F53BDD">
        <w:t>voluntary</w:t>
      </w:r>
      <w:r w:rsidR="007910DE" w:rsidRPr="00F53BDD">
        <w:t xml:space="preserve"> – </w:t>
      </w:r>
      <w:r w:rsidRPr="00F53BDD">
        <w:t xml:space="preserve">advisers </w:t>
      </w:r>
      <w:r w:rsidR="007910DE" w:rsidRPr="00F53BDD">
        <w:t xml:space="preserve">would be </w:t>
      </w:r>
      <w:r w:rsidRPr="00F53BDD">
        <w:t>recommended to use the</w:t>
      </w:r>
      <w:r w:rsidR="00274F9E" w:rsidRPr="00F53BDD">
        <w:t>m</w:t>
      </w:r>
      <w:r w:rsidRPr="00F53BDD">
        <w:t xml:space="preserve"> when </w:t>
      </w:r>
      <w:r w:rsidR="00274F9E" w:rsidRPr="00F53BDD">
        <w:t>on</w:t>
      </w:r>
      <w:r w:rsidRPr="00F53BDD">
        <w:t xml:space="preserve"> the NZ ETS or trading NZUs.</w:t>
      </w:r>
      <w:r w:rsidR="00266314" w:rsidRPr="00F53BDD">
        <w:t xml:space="preserve"> </w:t>
      </w:r>
      <w:r w:rsidR="00274F9E" w:rsidRPr="00F53BDD">
        <w:t>Or</w:t>
      </w:r>
      <w:r w:rsidR="00BF0A01" w:rsidRPr="00F53BDD">
        <w:t xml:space="preserve"> </w:t>
      </w:r>
      <w:r w:rsidR="00274F9E" w:rsidRPr="00F53BDD">
        <w:t>the G</w:t>
      </w:r>
      <w:r w:rsidR="00266314" w:rsidRPr="00F53BDD">
        <w:t xml:space="preserve">overnment could strengthen the guidelines by </w:t>
      </w:r>
      <w:r w:rsidR="00274F9E" w:rsidRPr="00F53BDD">
        <w:t>putting them into</w:t>
      </w:r>
      <w:r w:rsidR="00266314" w:rsidRPr="00F53BDD">
        <w:t xml:space="preserve"> legislation.</w:t>
      </w:r>
    </w:p>
    <w:p w:rsidR="0086492E" w:rsidRPr="00F53BDD" w:rsidRDefault="0086492E" w:rsidP="0077420C">
      <w:pPr>
        <w:pStyle w:val="Heading4"/>
        <w:spacing w:after="120"/>
      </w:pPr>
      <w:r w:rsidRPr="00F53BDD">
        <w:t>Benefits</w:t>
      </w:r>
    </w:p>
    <w:p w:rsidR="0086492E" w:rsidRPr="00F53BDD" w:rsidRDefault="00AE4178" w:rsidP="000C4660">
      <w:pPr>
        <w:pStyle w:val="Bullet"/>
      </w:pPr>
      <w:r w:rsidRPr="00F53BDD">
        <w:t>C</w:t>
      </w:r>
      <w:r w:rsidR="0086492E" w:rsidRPr="00F53BDD">
        <w:t>learly set</w:t>
      </w:r>
      <w:r w:rsidR="00274F9E" w:rsidRPr="00F53BDD">
        <w:t>s</w:t>
      </w:r>
      <w:r w:rsidR="0086492E" w:rsidRPr="00F53BDD">
        <w:t xml:space="preserve"> out the expectation for advisers and </w:t>
      </w:r>
      <w:r w:rsidRPr="00F53BDD">
        <w:t>the</w:t>
      </w:r>
      <w:r w:rsidR="00274F9E" w:rsidRPr="00F53BDD">
        <w:t>ir</w:t>
      </w:r>
      <w:r w:rsidRPr="00F53BDD">
        <w:t xml:space="preserve"> level of service</w:t>
      </w:r>
      <w:r w:rsidR="0086492E" w:rsidRPr="00F53BDD">
        <w:t xml:space="preserve">. </w:t>
      </w:r>
    </w:p>
    <w:p w:rsidR="0086492E" w:rsidRPr="00F53BDD" w:rsidRDefault="00AE4178" w:rsidP="000C4660">
      <w:pPr>
        <w:pStyle w:val="Bullet"/>
      </w:pPr>
      <w:r w:rsidRPr="00F53BDD">
        <w:t>R</w:t>
      </w:r>
      <w:r w:rsidR="007A3319" w:rsidRPr="00F53BDD">
        <w:t xml:space="preserve">elatively low-cost option for users. </w:t>
      </w:r>
      <w:r w:rsidR="008338A5" w:rsidRPr="00F53BDD">
        <w:t>T</w:t>
      </w:r>
      <w:r w:rsidR="007A3319" w:rsidRPr="00F53BDD">
        <w:t xml:space="preserve">he cost would likely be borne by the </w:t>
      </w:r>
      <w:r w:rsidRPr="00F53BDD">
        <w:t>body</w:t>
      </w:r>
      <w:r w:rsidR="007A3319" w:rsidRPr="00F53BDD">
        <w:t xml:space="preserve"> that develops the guidelines: either industry</w:t>
      </w:r>
      <w:r w:rsidR="00E3294A" w:rsidRPr="00F53BDD">
        <w:t>,</w:t>
      </w:r>
      <w:r w:rsidR="007A3319" w:rsidRPr="00F53BDD">
        <w:t xml:space="preserve"> </w:t>
      </w:r>
      <w:r w:rsidR="007910DE" w:rsidRPr="00F53BDD">
        <w:t xml:space="preserve">the </w:t>
      </w:r>
      <w:r w:rsidRPr="00F53BDD">
        <w:t>G</w:t>
      </w:r>
      <w:r w:rsidR="007A3319" w:rsidRPr="00F53BDD">
        <w:t>overnment</w:t>
      </w:r>
      <w:r w:rsidR="00E3294A" w:rsidRPr="00F53BDD">
        <w:t xml:space="preserve"> or both</w:t>
      </w:r>
      <w:r w:rsidR="007A3319" w:rsidRPr="00F53BDD">
        <w:t>.</w:t>
      </w:r>
    </w:p>
    <w:p w:rsidR="0086492E" w:rsidRPr="00F53BDD" w:rsidRDefault="0086492E" w:rsidP="0077420C">
      <w:pPr>
        <w:pStyle w:val="Heading4"/>
        <w:spacing w:after="120"/>
      </w:pPr>
      <w:r w:rsidRPr="00F53BDD">
        <w:t>Disadvantages</w:t>
      </w:r>
    </w:p>
    <w:p w:rsidR="0086492E" w:rsidRPr="00F53BDD" w:rsidRDefault="006C7267" w:rsidP="000C4660">
      <w:pPr>
        <w:pStyle w:val="Bullet"/>
      </w:pPr>
      <w:r w:rsidRPr="00F53BDD">
        <w:t>D</w:t>
      </w:r>
      <w:r w:rsidR="0086492E" w:rsidRPr="00F53BDD">
        <w:t>o</w:t>
      </w:r>
      <w:r w:rsidRPr="00F53BDD">
        <w:t>es</w:t>
      </w:r>
      <w:r w:rsidR="0086492E" w:rsidRPr="00F53BDD">
        <w:t xml:space="preserve"> not enforce </w:t>
      </w:r>
      <w:r w:rsidR="00AE4178" w:rsidRPr="00F53BDD">
        <w:t xml:space="preserve">the expected service levels or </w:t>
      </w:r>
      <w:r w:rsidR="0086492E" w:rsidRPr="00F53BDD">
        <w:t xml:space="preserve">regulate advisers, </w:t>
      </w:r>
      <w:r w:rsidR="00CB13E3" w:rsidRPr="00F53BDD">
        <w:t>allow</w:t>
      </w:r>
      <w:r w:rsidR="0086492E" w:rsidRPr="00F53BDD">
        <w:t xml:space="preserve">ing </w:t>
      </w:r>
      <w:r w:rsidR="008338A5" w:rsidRPr="00F53BDD">
        <w:t>poor advice</w:t>
      </w:r>
      <w:r w:rsidR="0086492E" w:rsidRPr="00F53BDD">
        <w:t xml:space="preserve"> to persist. </w:t>
      </w:r>
    </w:p>
    <w:p w:rsidR="0086492E" w:rsidRPr="00F53BDD" w:rsidRDefault="00AE4178" w:rsidP="000C4660">
      <w:pPr>
        <w:pStyle w:val="Bullet"/>
      </w:pPr>
      <w:r w:rsidRPr="00F53BDD">
        <w:t xml:space="preserve">Does </w:t>
      </w:r>
      <w:r w:rsidR="0086492E" w:rsidRPr="00F53BDD">
        <w:t xml:space="preserve">not necessarily </w:t>
      </w:r>
      <w:r w:rsidR="006C7267" w:rsidRPr="00F53BDD">
        <w:t>inform</w:t>
      </w:r>
      <w:r w:rsidR="007910DE" w:rsidRPr="00F53BDD">
        <w:t xml:space="preserve"> </w:t>
      </w:r>
      <w:r w:rsidR="00CB13E3" w:rsidRPr="00F53BDD">
        <w:t>u</w:t>
      </w:r>
      <w:r w:rsidR="008338A5" w:rsidRPr="00F53BDD">
        <w:t>sers</w:t>
      </w:r>
      <w:r w:rsidR="0086492E" w:rsidRPr="00F53BDD">
        <w:t xml:space="preserve"> on their rights</w:t>
      </w:r>
      <w:r w:rsidR="006C7267" w:rsidRPr="00F53BDD">
        <w:t>,</w:t>
      </w:r>
      <w:r w:rsidR="0086492E" w:rsidRPr="00F53BDD">
        <w:t xml:space="preserve"> if </w:t>
      </w:r>
      <w:r w:rsidR="00D46C64" w:rsidRPr="00F53BDD">
        <w:t xml:space="preserve">they receive </w:t>
      </w:r>
      <w:r w:rsidR="0086492E" w:rsidRPr="00F53BDD">
        <w:t>bad advice.</w:t>
      </w:r>
    </w:p>
    <w:p w:rsidR="0086492E" w:rsidRPr="00F53BDD" w:rsidRDefault="0086492E" w:rsidP="00EC6896">
      <w:pPr>
        <w:pStyle w:val="Heading4"/>
      </w:pPr>
      <w:r w:rsidRPr="00F53BDD">
        <w:t>Examples of industry guidelines and toolkits</w:t>
      </w:r>
    </w:p>
    <w:p w:rsidR="0086492E" w:rsidRPr="00F53BDD" w:rsidRDefault="0086492E" w:rsidP="0086492E">
      <w:pPr>
        <w:pStyle w:val="BodyText"/>
      </w:pPr>
      <w:r w:rsidRPr="00F53BDD">
        <w:t xml:space="preserve">Guidelines are a common feature of complex or large sectors. Examples </w:t>
      </w:r>
      <w:r w:rsidR="00A816E7" w:rsidRPr="00F53BDD">
        <w:t xml:space="preserve">of </w:t>
      </w:r>
      <w:r w:rsidR="008338A5" w:rsidRPr="00F53BDD">
        <w:t>public guidelines</w:t>
      </w:r>
      <w:r w:rsidR="00A816E7" w:rsidRPr="00F53BDD">
        <w:t xml:space="preserve"> include</w:t>
      </w:r>
      <w:r w:rsidRPr="00F53BDD">
        <w:t>:</w:t>
      </w:r>
    </w:p>
    <w:p w:rsidR="0086492E" w:rsidRPr="00F53BDD" w:rsidRDefault="0086492E" w:rsidP="0086492E">
      <w:pPr>
        <w:pStyle w:val="Bullet"/>
      </w:pPr>
      <w:r w:rsidRPr="00F53BDD">
        <w:rPr>
          <w:b/>
          <w:bCs/>
        </w:rPr>
        <w:t>Financial Markets Authority</w:t>
      </w:r>
      <w:r w:rsidRPr="00F53BDD">
        <w:t xml:space="preserve"> – </w:t>
      </w:r>
      <w:hyperlink r:id="rId25" w:history="1">
        <w:r w:rsidRPr="00C9025F">
          <w:rPr>
            <w:rStyle w:val="Hyperlink"/>
            <w:i/>
            <w:iCs/>
          </w:rPr>
          <w:t>Guidance library</w:t>
        </w:r>
      </w:hyperlink>
      <w:r w:rsidRPr="00F53BDD">
        <w:t xml:space="preserve">. </w:t>
      </w:r>
    </w:p>
    <w:p w:rsidR="0086492E" w:rsidRPr="00F53BDD" w:rsidRDefault="0086492E" w:rsidP="0086492E">
      <w:pPr>
        <w:pStyle w:val="Bullet"/>
      </w:pPr>
      <w:r w:rsidRPr="00F53BDD">
        <w:rPr>
          <w:b/>
          <w:bCs/>
        </w:rPr>
        <w:t>WorkSafe</w:t>
      </w:r>
      <w:r w:rsidRPr="00F53BDD">
        <w:t xml:space="preserve"> – </w:t>
      </w:r>
      <w:hyperlink r:id="rId26" w:history="1">
        <w:r w:rsidR="00C9025F" w:rsidRPr="00C9025F">
          <w:rPr>
            <w:rStyle w:val="Hyperlink"/>
          </w:rPr>
          <w:t>Industry guidance for working with hazardous substances</w:t>
        </w:r>
      </w:hyperlink>
      <w:r w:rsidR="00C9025F">
        <w:t xml:space="preserve"> and </w:t>
      </w:r>
      <w:hyperlink r:id="rId27" w:history="1">
        <w:r w:rsidRPr="00C9025F">
          <w:rPr>
            <w:rStyle w:val="Hyperlink"/>
            <w:i/>
            <w:iCs/>
          </w:rPr>
          <w:t>Working safely with hazardous substances</w:t>
        </w:r>
      </w:hyperlink>
      <w:r w:rsidRPr="00F53BDD">
        <w:t xml:space="preserve">. </w:t>
      </w:r>
    </w:p>
    <w:p w:rsidR="0086492E" w:rsidRPr="00F53BDD" w:rsidRDefault="0086492E" w:rsidP="0086492E">
      <w:pPr>
        <w:pStyle w:val="Bullet"/>
      </w:pPr>
      <w:r w:rsidRPr="00F53BDD">
        <w:rPr>
          <w:b/>
        </w:rPr>
        <w:t>New Zealand Construction Industry Council</w:t>
      </w:r>
      <w:r w:rsidRPr="00F53BDD">
        <w:t xml:space="preserve"> – </w:t>
      </w:r>
      <w:hyperlink r:id="rId28" w:history="1">
        <w:r w:rsidRPr="00C9025F">
          <w:rPr>
            <w:rStyle w:val="Hyperlink"/>
            <w:i/>
            <w:iCs/>
          </w:rPr>
          <w:t>Design guidelines</w:t>
        </w:r>
      </w:hyperlink>
      <w:r w:rsidRPr="00F53BDD">
        <w:t>.</w:t>
      </w:r>
      <w:r w:rsidRPr="00F53BDD">
        <w:rPr>
          <w:i/>
          <w:iCs/>
        </w:rPr>
        <w:t xml:space="preserve"> </w:t>
      </w:r>
    </w:p>
    <w:p w:rsidR="0086492E" w:rsidRPr="00F53BDD" w:rsidRDefault="0086492E" w:rsidP="0086492E">
      <w:pPr>
        <w:pStyle w:val="Heading3"/>
      </w:pPr>
      <w:r w:rsidRPr="00F53BDD">
        <w:t xml:space="preserve">A4. Code of </w:t>
      </w:r>
      <w:r w:rsidR="00910D94" w:rsidRPr="00F53BDD">
        <w:t>c</w:t>
      </w:r>
      <w:r w:rsidRPr="00F53BDD">
        <w:t xml:space="preserve">onduct, </w:t>
      </w:r>
      <w:r w:rsidR="00EC20C8" w:rsidRPr="00F53BDD">
        <w:t xml:space="preserve">licensing and </w:t>
      </w:r>
      <w:r w:rsidRPr="00F53BDD">
        <w:t xml:space="preserve">registration of </w:t>
      </w:r>
      <w:r w:rsidR="00D53694" w:rsidRPr="00F53BDD">
        <w:t>NZU advisers</w:t>
      </w:r>
    </w:p>
    <w:p w:rsidR="0086492E" w:rsidRPr="00F53BDD" w:rsidRDefault="0086492E" w:rsidP="0086492E">
      <w:pPr>
        <w:pStyle w:val="BodyText"/>
      </w:pPr>
      <w:r w:rsidRPr="00F53BDD">
        <w:t xml:space="preserve">This option affects </w:t>
      </w:r>
      <w:r w:rsidR="00F4705C" w:rsidRPr="00F53BDD">
        <w:t xml:space="preserve">advisers directly. </w:t>
      </w:r>
      <w:r w:rsidRPr="00F53BDD">
        <w:t xml:space="preserve">It </w:t>
      </w:r>
      <w:r w:rsidR="00F4705C" w:rsidRPr="00F53BDD">
        <w:t xml:space="preserve">would also require </w:t>
      </w:r>
      <w:r w:rsidR="006C7267" w:rsidRPr="00F53BDD">
        <w:t xml:space="preserve">the </w:t>
      </w:r>
      <w:r w:rsidR="00A816E7" w:rsidRPr="00F53BDD">
        <w:t>G</w:t>
      </w:r>
      <w:r w:rsidR="00F4705C" w:rsidRPr="00F53BDD">
        <w:t xml:space="preserve">overnment to appoint a regulator to </w:t>
      </w:r>
      <w:r w:rsidRPr="00F53BDD">
        <w:t xml:space="preserve">enforce </w:t>
      </w:r>
      <w:r w:rsidR="00F4705C" w:rsidRPr="00F53BDD">
        <w:t>and monitor compliance</w:t>
      </w:r>
      <w:r w:rsidRPr="00F53BDD">
        <w:t>.</w:t>
      </w:r>
    </w:p>
    <w:p w:rsidR="0086492E" w:rsidRPr="00F53BDD" w:rsidRDefault="00A816E7" w:rsidP="0077420C">
      <w:pPr>
        <w:pStyle w:val="BodyText"/>
      </w:pPr>
      <w:r w:rsidRPr="00F53BDD">
        <w:t>T</w:t>
      </w:r>
      <w:r w:rsidR="0086492E" w:rsidRPr="00F53BDD">
        <w:t xml:space="preserve">his </w:t>
      </w:r>
      <w:r w:rsidR="00F4705C" w:rsidRPr="00F53BDD">
        <w:t xml:space="preserve">option would amend </w:t>
      </w:r>
      <w:r w:rsidR="0086492E" w:rsidRPr="00F53BDD">
        <w:t>primary legislation to introduce:</w:t>
      </w:r>
    </w:p>
    <w:p w:rsidR="0086492E" w:rsidRPr="00F53BDD" w:rsidRDefault="0086492E" w:rsidP="0077420C">
      <w:pPr>
        <w:pStyle w:val="Bullet"/>
      </w:pPr>
      <w:r w:rsidRPr="00F53BDD">
        <w:t xml:space="preserve">a </w:t>
      </w:r>
      <w:r w:rsidR="00C95AF3" w:rsidRPr="00F53BDD">
        <w:t>c</w:t>
      </w:r>
      <w:r w:rsidRPr="00F53BDD">
        <w:t xml:space="preserve">ode of </w:t>
      </w:r>
      <w:r w:rsidR="00C95AF3" w:rsidRPr="00F53BDD">
        <w:t>c</w:t>
      </w:r>
      <w:r w:rsidRPr="00F53BDD">
        <w:t xml:space="preserve">onduct </w:t>
      </w:r>
      <w:r w:rsidR="006C7267" w:rsidRPr="00F53BDD">
        <w:t xml:space="preserve">that </w:t>
      </w:r>
      <w:r w:rsidR="00F4705C" w:rsidRPr="00F53BDD">
        <w:t>sets expectations for adviser</w:t>
      </w:r>
      <w:r w:rsidR="006C7267" w:rsidRPr="00F53BDD">
        <w:t>s</w:t>
      </w:r>
      <w:r w:rsidRPr="00F53BDD">
        <w:t xml:space="preserve"> </w:t>
      </w:r>
    </w:p>
    <w:p w:rsidR="0086492E" w:rsidRPr="00F53BDD" w:rsidRDefault="0086492E" w:rsidP="0077420C">
      <w:pPr>
        <w:pStyle w:val="Bullet"/>
      </w:pPr>
      <w:r w:rsidRPr="00F53BDD">
        <w:t xml:space="preserve">compulsory licensing </w:t>
      </w:r>
      <w:r w:rsidR="008F75D3" w:rsidRPr="00F53BDD">
        <w:t>to</w:t>
      </w:r>
      <w:r w:rsidRPr="00F53BDD">
        <w:t xml:space="preserve"> provide the regulated services</w:t>
      </w:r>
      <w:r w:rsidR="00F4705C" w:rsidRPr="00F53BDD">
        <w:t xml:space="preserve"> on a commercial basis</w:t>
      </w:r>
      <w:r w:rsidRPr="00F53BDD">
        <w:t xml:space="preserve"> </w:t>
      </w:r>
    </w:p>
    <w:p w:rsidR="0086492E" w:rsidRPr="00F53BDD" w:rsidRDefault="0086492E" w:rsidP="0077420C">
      <w:pPr>
        <w:pStyle w:val="Bullet"/>
      </w:pPr>
      <w:r w:rsidRPr="00F53BDD">
        <w:t xml:space="preserve">compulsory registration of </w:t>
      </w:r>
      <w:r w:rsidR="005C627D" w:rsidRPr="00F53BDD">
        <w:t>a</w:t>
      </w:r>
      <w:r w:rsidR="00F4705C" w:rsidRPr="00F53BDD">
        <w:t>dviser</w:t>
      </w:r>
      <w:r w:rsidR="006C7267" w:rsidRPr="00F53BDD">
        <w:t>s</w:t>
      </w:r>
      <w:r w:rsidR="00F4705C" w:rsidRPr="00F53BDD">
        <w:t xml:space="preserve"> </w:t>
      </w:r>
      <w:r w:rsidRPr="00F53BDD">
        <w:t>on a public</w:t>
      </w:r>
      <w:r w:rsidR="00F4705C" w:rsidRPr="00F53BDD">
        <w:t>, searchable</w:t>
      </w:r>
      <w:r w:rsidRPr="00F53BDD">
        <w:t xml:space="preserve"> registry.</w:t>
      </w:r>
    </w:p>
    <w:p w:rsidR="0086492E" w:rsidRPr="00F53BDD" w:rsidRDefault="0086492E" w:rsidP="0086492E">
      <w:pPr>
        <w:pStyle w:val="BodyText"/>
      </w:pPr>
      <w:r w:rsidRPr="00F53BDD">
        <w:t xml:space="preserve">The purpose of registering and licensing </w:t>
      </w:r>
      <w:r w:rsidR="00F4705C" w:rsidRPr="00F53BDD">
        <w:t xml:space="preserve">advisers </w:t>
      </w:r>
      <w:r w:rsidRPr="00F53BDD">
        <w:t>would be to:</w:t>
      </w:r>
    </w:p>
    <w:p w:rsidR="0086492E" w:rsidRPr="00F53BDD" w:rsidRDefault="0086492E" w:rsidP="0086492E">
      <w:pPr>
        <w:pStyle w:val="Bullet"/>
      </w:pPr>
      <w:r w:rsidRPr="00F53BDD">
        <w:t xml:space="preserve">raise the professional standards of advice </w:t>
      </w:r>
      <w:r w:rsidR="006C7267" w:rsidRPr="00F53BDD">
        <w:t xml:space="preserve">on </w:t>
      </w:r>
      <w:r w:rsidRPr="00F53BDD">
        <w:t>the ETS</w:t>
      </w:r>
    </w:p>
    <w:p w:rsidR="0086492E" w:rsidRPr="00F53BDD" w:rsidRDefault="0086492E" w:rsidP="0086492E">
      <w:pPr>
        <w:pStyle w:val="Bullet"/>
      </w:pPr>
      <w:r w:rsidRPr="00F53BDD">
        <w:t xml:space="preserve">address concerns that there are no industry safeguards on the quality of advice </w:t>
      </w:r>
      <w:r w:rsidR="006C7267" w:rsidRPr="00F53BDD">
        <w:t xml:space="preserve">for </w:t>
      </w:r>
      <w:r w:rsidR="005C627D" w:rsidRPr="00F53BDD">
        <w:t>u</w:t>
      </w:r>
      <w:r w:rsidR="00F4705C" w:rsidRPr="00F53BDD">
        <w:t>sers</w:t>
      </w:r>
    </w:p>
    <w:p w:rsidR="0086492E" w:rsidRPr="00F53BDD" w:rsidRDefault="0086492E" w:rsidP="0086492E">
      <w:pPr>
        <w:pStyle w:val="Bullet"/>
      </w:pPr>
      <w:r w:rsidRPr="00F53BDD">
        <w:t>increase confidence in the ETS.</w:t>
      </w:r>
    </w:p>
    <w:p w:rsidR="0086492E" w:rsidRPr="00F53BDD" w:rsidRDefault="0086492E" w:rsidP="00EC6896">
      <w:pPr>
        <w:pStyle w:val="Heading4"/>
      </w:pPr>
      <w:r w:rsidRPr="00F53BDD">
        <w:t xml:space="preserve">Code of </w:t>
      </w:r>
      <w:r w:rsidR="00C95AF3" w:rsidRPr="00F53BDD">
        <w:t>c</w:t>
      </w:r>
      <w:r w:rsidRPr="00F53BDD">
        <w:t xml:space="preserve">onduct – </w:t>
      </w:r>
      <w:r w:rsidR="004B7D56" w:rsidRPr="00F53BDD">
        <w:t>s</w:t>
      </w:r>
      <w:r w:rsidRPr="00F53BDD">
        <w:t>etting the standards</w:t>
      </w:r>
    </w:p>
    <w:p w:rsidR="0086492E" w:rsidRPr="00F53BDD" w:rsidRDefault="0086492E" w:rsidP="0077420C">
      <w:pPr>
        <w:pStyle w:val="BodyText"/>
        <w:spacing w:before="100" w:after="100"/>
      </w:pPr>
      <w:r w:rsidRPr="00F53BDD">
        <w:t xml:space="preserve">A </w:t>
      </w:r>
      <w:r w:rsidR="00C95AF3" w:rsidRPr="00F53BDD">
        <w:t>c</w:t>
      </w:r>
      <w:r w:rsidRPr="00F53BDD">
        <w:t xml:space="preserve">ode could set out the standards of professional conduct </w:t>
      </w:r>
      <w:r w:rsidR="00A816E7" w:rsidRPr="00F53BDD">
        <w:t xml:space="preserve">expected of </w:t>
      </w:r>
      <w:r w:rsidRPr="00F53BDD">
        <w:t>advisers</w:t>
      </w:r>
      <w:r w:rsidR="00A816E7" w:rsidRPr="00F53BDD">
        <w:t>.</w:t>
      </w:r>
      <w:r w:rsidRPr="00F53BDD">
        <w:t xml:space="preserve"> </w:t>
      </w:r>
      <w:r w:rsidR="004B7D56" w:rsidRPr="00F53BDD">
        <w:t>A</w:t>
      </w:r>
      <w:r w:rsidR="00A816E7" w:rsidRPr="00F53BDD">
        <w:t>dvisers would be obliged to</w:t>
      </w:r>
      <w:r w:rsidRPr="00F53BDD">
        <w:t xml:space="preserve"> </w:t>
      </w:r>
      <w:r w:rsidR="008F75D3" w:rsidRPr="00F53BDD">
        <w:t xml:space="preserve">always comply with the </w:t>
      </w:r>
      <w:r w:rsidR="00C95AF3" w:rsidRPr="00F53BDD">
        <w:t>c</w:t>
      </w:r>
      <w:r w:rsidR="008F75D3" w:rsidRPr="00F53BDD">
        <w:t>ode</w:t>
      </w:r>
      <w:r w:rsidRPr="00F53BDD">
        <w:t xml:space="preserve"> when </w:t>
      </w:r>
      <w:r w:rsidR="004B7D56" w:rsidRPr="00F53BDD">
        <w:t xml:space="preserve">giving </w:t>
      </w:r>
      <w:r w:rsidRPr="00F53BDD">
        <w:t>advice</w:t>
      </w:r>
      <w:r w:rsidR="00A816E7" w:rsidRPr="00F53BDD">
        <w:t>.</w:t>
      </w:r>
    </w:p>
    <w:p w:rsidR="00F4705C" w:rsidRPr="00F53BDD" w:rsidRDefault="00F4705C" w:rsidP="0077420C">
      <w:pPr>
        <w:pStyle w:val="BodyText"/>
        <w:spacing w:before="100" w:after="100"/>
      </w:pPr>
      <w:r w:rsidRPr="00F53BDD">
        <w:t xml:space="preserve">The content of the </w:t>
      </w:r>
      <w:r w:rsidR="00C95AF3" w:rsidRPr="00F53BDD">
        <w:t>c</w:t>
      </w:r>
      <w:r w:rsidRPr="00F53BDD">
        <w:t xml:space="preserve">ode could be </w:t>
      </w:r>
      <w:r w:rsidR="004B7D56" w:rsidRPr="00F53BDD">
        <w:t xml:space="preserve">based on </w:t>
      </w:r>
      <w:r w:rsidRPr="00F53BDD">
        <w:t>principle</w:t>
      </w:r>
      <w:r w:rsidR="004B7D56" w:rsidRPr="00F53BDD">
        <w:t>s</w:t>
      </w:r>
      <w:r w:rsidRPr="00F53BDD">
        <w:t xml:space="preserve">, describing the values and behaviour an adviser is expected to uphold. Given the similarities between the financial and carbon markets, </w:t>
      </w:r>
      <w:r w:rsidR="004B7D56" w:rsidRPr="00F53BDD">
        <w:t xml:space="preserve">some of </w:t>
      </w:r>
      <w:r w:rsidRPr="00F53BDD">
        <w:t xml:space="preserve">the principles </w:t>
      </w:r>
      <w:r w:rsidR="004B7D56" w:rsidRPr="00F53BDD">
        <w:t xml:space="preserve">could be similar </w:t>
      </w:r>
      <w:r w:rsidRPr="00F53BDD">
        <w:t xml:space="preserve">to those in the </w:t>
      </w:r>
      <w:hyperlink r:id="rId29" w:history="1">
        <w:r w:rsidR="00A816E7" w:rsidRPr="00812A66">
          <w:rPr>
            <w:rStyle w:val="Hyperlink"/>
            <w:i/>
            <w:iCs/>
          </w:rPr>
          <w:t>Code of Professional Conduct for Financial Advice Services</w:t>
        </w:r>
      </w:hyperlink>
      <w:r w:rsidRPr="00F53BDD">
        <w:t>.</w:t>
      </w:r>
    </w:p>
    <w:p w:rsidR="0086492E" w:rsidRPr="00F53BDD" w:rsidRDefault="0086492E" w:rsidP="0077420C">
      <w:pPr>
        <w:pStyle w:val="BodyText"/>
        <w:spacing w:before="100" w:after="100"/>
      </w:pPr>
      <w:r w:rsidRPr="00F53BDD">
        <w:t xml:space="preserve">Introducing the </w:t>
      </w:r>
      <w:r w:rsidR="00C95AF3" w:rsidRPr="00F53BDD">
        <w:t>c</w:t>
      </w:r>
      <w:r w:rsidRPr="00F53BDD">
        <w:t>ode would serv</w:t>
      </w:r>
      <w:r w:rsidR="00F4705C" w:rsidRPr="00F53BDD">
        <w:t>e</w:t>
      </w:r>
      <w:r w:rsidRPr="00F53BDD">
        <w:t xml:space="preserve"> </w:t>
      </w:r>
      <w:r w:rsidR="004B7D56" w:rsidRPr="00F53BDD">
        <w:t xml:space="preserve">several </w:t>
      </w:r>
      <w:r w:rsidRPr="00F53BDD">
        <w:t>purposes:</w:t>
      </w:r>
    </w:p>
    <w:p w:rsidR="00A816E7" w:rsidRPr="00F53BDD" w:rsidRDefault="0086492E" w:rsidP="0086492E">
      <w:pPr>
        <w:pStyle w:val="Bullet"/>
      </w:pPr>
      <w:r w:rsidRPr="00F53BDD">
        <w:t xml:space="preserve">inform </w:t>
      </w:r>
      <w:r w:rsidR="005C627D" w:rsidRPr="00F53BDD">
        <w:t>u</w:t>
      </w:r>
      <w:r w:rsidR="00F4705C" w:rsidRPr="00F53BDD">
        <w:t xml:space="preserve">sers </w:t>
      </w:r>
      <w:r w:rsidRPr="00F53BDD">
        <w:t xml:space="preserve">what they can expect </w:t>
      </w:r>
      <w:r w:rsidR="00F4705C" w:rsidRPr="00F53BDD">
        <w:t xml:space="preserve">from </w:t>
      </w:r>
      <w:r w:rsidRPr="00F53BDD">
        <w:t>an adviser</w:t>
      </w:r>
    </w:p>
    <w:p w:rsidR="0086492E" w:rsidRPr="00F53BDD" w:rsidRDefault="004B7D56" w:rsidP="0086492E">
      <w:pPr>
        <w:pStyle w:val="Bullet"/>
      </w:pPr>
      <w:r w:rsidRPr="00F53BDD">
        <w:t xml:space="preserve">set </w:t>
      </w:r>
      <w:r w:rsidR="0086492E" w:rsidRPr="00F53BDD">
        <w:t xml:space="preserve">a benchmark </w:t>
      </w:r>
      <w:r w:rsidRPr="00F53BDD">
        <w:t>for</w:t>
      </w:r>
      <w:r w:rsidR="0086492E" w:rsidRPr="00F53BDD">
        <w:t xml:space="preserve"> </w:t>
      </w:r>
      <w:r w:rsidRPr="00F53BDD">
        <w:t xml:space="preserve">advisers’ </w:t>
      </w:r>
      <w:r w:rsidR="0086492E" w:rsidRPr="00F53BDD">
        <w:t>conduct</w:t>
      </w:r>
      <w:r w:rsidR="00A816E7" w:rsidRPr="00F53BDD">
        <w:t xml:space="preserve"> and behaviour </w:t>
      </w:r>
    </w:p>
    <w:p w:rsidR="0086492E" w:rsidRPr="00F53BDD" w:rsidRDefault="004B7D56" w:rsidP="0086492E">
      <w:pPr>
        <w:pStyle w:val="Bullet"/>
      </w:pPr>
      <w:r w:rsidRPr="00F53BDD">
        <w:t>s</w:t>
      </w:r>
      <w:r w:rsidR="0086492E" w:rsidRPr="00F53BDD">
        <w:t>et the standards of competency and ethical conduct for advisers.</w:t>
      </w:r>
    </w:p>
    <w:p w:rsidR="0086492E" w:rsidRPr="00F53BDD" w:rsidRDefault="0086492E" w:rsidP="00EC6896">
      <w:pPr>
        <w:pStyle w:val="Heading4"/>
      </w:pPr>
      <w:r w:rsidRPr="00F53BDD">
        <w:t xml:space="preserve">Registration and </w:t>
      </w:r>
      <w:r w:rsidR="004B7D56" w:rsidRPr="00F53BDD">
        <w:t>l</w:t>
      </w:r>
      <w:r w:rsidRPr="00F53BDD">
        <w:t xml:space="preserve">icensing of </w:t>
      </w:r>
      <w:r w:rsidR="00F4705C" w:rsidRPr="00F53BDD">
        <w:t xml:space="preserve">NZU </w:t>
      </w:r>
      <w:r w:rsidRPr="00F53BDD">
        <w:t>advisers</w:t>
      </w:r>
    </w:p>
    <w:p w:rsidR="0086492E" w:rsidRPr="00F53BDD" w:rsidRDefault="004B7D56" w:rsidP="0077420C">
      <w:pPr>
        <w:pStyle w:val="BodyText"/>
        <w:spacing w:after="100"/>
      </w:pPr>
      <w:r w:rsidRPr="00F53BDD">
        <w:t>A</w:t>
      </w:r>
      <w:r w:rsidR="0086492E" w:rsidRPr="00F53BDD">
        <w:t xml:space="preserve">dvisers would be required </w:t>
      </w:r>
      <w:r w:rsidR="00FB6F27" w:rsidRPr="00F53BDD">
        <w:t>to hold a licen</w:t>
      </w:r>
      <w:r w:rsidRPr="00F53BDD">
        <w:t>c</w:t>
      </w:r>
      <w:r w:rsidR="00FB6F27" w:rsidRPr="00F53BDD">
        <w:t xml:space="preserve">e </w:t>
      </w:r>
      <w:r w:rsidR="00F4705C" w:rsidRPr="00F53BDD">
        <w:t>to</w:t>
      </w:r>
      <w:r w:rsidR="0086492E" w:rsidRPr="00F53BDD">
        <w:t xml:space="preserve"> be eligible to</w:t>
      </w:r>
      <w:r w:rsidR="00F4705C" w:rsidRPr="00F53BDD">
        <w:t xml:space="preserve"> </w:t>
      </w:r>
      <w:r w:rsidRPr="00F53BDD">
        <w:t xml:space="preserve">give </w:t>
      </w:r>
      <w:r w:rsidR="00F4705C" w:rsidRPr="00F53BDD">
        <w:t>advice on a commercial basis</w:t>
      </w:r>
      <w:r w:rsidR="0086492E" w:rsidRPr="00F53BDD">
        <w:t>.</w:t>
      </w:r>
      <w:r w:rsidR="00FB6F27" w:rsidRPr="00F53BDD">
        <w:t xml:space="preserve"> </w:t>
      </w:r>
      <w:r w:rsidRPr="00F53BDD">
        <w:t>They</w:t>
      </w:r>
      <w:r w:rsidR="0086492E" w:rsidRPr="00F53BDD">
        <w:t xml:space="preserve"> could be required to undergo a comprehensive competency, capability and integrity background check, including a police or financial check, to ensu</w:t>
      </w:r>
      <w:r w:rsidR="00284C90" w:rsidRPr="00F53BDD">
        <w:t>r</w:t>
      </w:r>
      <w:r w:rsidR="0086492E" w:rsidRPr="00F53BDD">
        <w:t xml:space="preserve">e they are suitable </w:t>
      </w:r>
      <w:r w:rsidR="000B59C4" w:rsidRPr="00F53BDD">
        <w:t>candidates</w:t>
      </w:r>
      <w:r w:rsidR="0086492E" w:rsidRPr="00F53BDD">
        <w:t xml:space="preserve">. This check should not be any more burdensome than </w:t>
      </w:r>
      <w:r w:rsidR="00EC5350" w:rsidRPr="00F53BDD">
        <w:t>those for</w:t>
      </w:r>
      <w:r w:rsidR="0086492E" w:rsidRPr="00F53BDD">
        <w:t xml:space="preserve"> financial advi</w:t>
      </w:r>
      <w:r w:rsidR="00EC5350" w:rsidRPr="00F53BDD">
        <w:t>sers</w:t>
      </w:r>
      <w:r w:rsidR="0086492E" w:rsidRPr="00F53BDD">
        <w:t>.</w:t>
      </w:r>
      <w:r w:rsidR="0072164C" w:rsidRPr="00F53BDD">
        <w:t xml:space="preserve"> </w:t>
      </w:r>
    </w:p>
    <w:p w:rsidR="0072164C" w:rsidRPr="00F53BDD" w:rsidRDefault="0072164C" w:rsidP="0077420C">
      <w:pPr>
        <w:pStyle w:val="BodyText"/>
        <w:spacing w:after="100"/>
      </w:pPr>
      <w:r w:rsidRPr="00F53BDD">
        <w:t xml:space="preserve">There could be ongoing requirements </w:t>
      </w:r>
      <w:r w:rsidR="00FB6F27" w:rsidRPr="00F53BDD">
        <w:t xml:space="preserve">to </w:t>
      </w:r>
      <w:r w:rsidRPr="00F53BDD">
        <w:t>ensure the adviser remains suitably qualified and credible. Example</w:t>
      </w:r>
      <w:r w:rsidR="00FB6F27" w:rsidRPr="00F53BDD">
        <w:t>s</w:t>
      </w:r>
      <w:r w:rsidRPr="00F53BDD">
        <w:t xml:space="preserve"> include</w:t>
      </w:r>
      <w:r w:rsidR="00FB6F27" w:rsidRPr="00F53BDD">
        <w:t xml:space="preserve"> </w:t>
      </w:r>
      <w:r w:rsidRPr="00F53BDD">
        <w:t>ongoing conduct and care obligations</w:t>
      </w:r>
      <w:r w:rsidR="00FB6F27" w:rsidRPr="00F53BDD">
        <w:t xml:space="preserve">, </w:t>
      </w:r>
      <w:r w:rsidRPr="00F53BDD">
        <w:t xml:space="preserve">joining an approved </w:t>
      </w:r>
      <w:r w:rsidR="00284C90" w:rsidRPr="00F53BDD">
        <w:t>d</w:t>
      </w:r>
      <w:r w:rsidRPr="00F53BDD">
        <w:t xml:space="preserve">ispute </w:t>
      </w:r>
      <w:r w:rsidR="00284C90" w:rsidRPr="00F53BDD">
        <w:t>r</w:t>
      </w:r>
      <w:r w:rsidRPr="00F53BDD">
        <w:t xml:space="preserve">esolution </w:t>
      </w:r>
      <w:r w:rsidR="00284C90" w:rsidRPr="00F53BDD">
        <w:t>s</w:t>
      </w:r>
      <w:r w:rsidRPr="00F53BDD">
        <w:t>cheme,</w:t>
      </w:r>
      <w:r w:rsidR="00FB6F27" w:rsidRPr="00F53BDD">
        <w:t xml:space="preserve"> </w:t>
      </w:r>
      <w:r w:rsidR="00EC5350" w:rsidRPr="00F53BDD">
        <w:t>and</w:t>
      </w:r>
      <w:r w:rsidR="00FB6F27" w:rsidRPr="00F53BDD">
        <w:t xml:space="preserve"> </w:t>
      </w:r>
      <w:r w:rsidRPr="00F53BDD">
        <w:t xml:space="preserve">disclosing the types of advice </w:t>
      </w:r>
      <w:r w:rsidR="00FB6F27" w:rsidRPr="00F53BDD">
        <w:t xml:space="preserve">they </w:t>
      </w:r>
      <w:r w:rsidR="00EC5350" w:rsidRPr="00F53BDD">
        <w:t xml:space="preserve">gave </w:t>
      </w:r>
      <w:r w:rsidRPr="00F53BDD">
        <w:t>during the year.</w:t>
      </w:r>
    </w:p>
    <w:p w:rsidR="0072164C" w:rsidRPr="00F53BDD" w:rsidRDefault="00FB6F27" w:rsidP="0077420C">
      <w:pPr>
        <w:pStyle w:val="BodyText"/>
        <w:spacing w:after="100"/>
      </w:pPr>
      <w:r w:rsidRPr="00F53BDD">
        <w:t>A</w:t>
      </w:r>
      <w:r w:rsidR="0072164C" w:rsidRPr="00F53BDD">
        <w:t xml:space="preserve"> licensed adviser could be</w:t>
      </w:r>
      <w:r w:rsidR="00EF64EA" w:rsidRPr="00F53BDD">
        <w:t xml:space="preserve"> required</w:t>
      </w:r>
      <w:r w:rsidR="0072164C" w:rsidRPr="00F53BDD">
        <w:t xml:space="preserve"> to enrol on a public register</w:t>
      </w:r>
      <w:r w:rsidR="00EF64EA" w:rsidRPr="00F53BDD">
        <w:t xml:space="preserve">, so </w:t>
      </w:r>
      <w:r w:rsidR="00284C90" w:rsidRPr="00F53BDD">
        <w:t>users</w:t>
      </w:r>
      <w:r w:rsidRPr="00F53BDD">
        <w:t xml:space="preserve"> </w:t>
      </w:r>
      <w:r w:rsidR="00EF64EA" w:rsidRPr="00F53BDD">
        <w:t>could</w:t>
      </w:r>
      <w:r w:rsidR="0072164C" w:rsidRPr="00F53BDD">
        <w:t xml:space="preserve"> quickly find and engage </w:t>
      </w:r>
      <w:r w:rsidR="00EF64EA" w:rsidRPr="00F53BDD">
        <w:t>them</w:t>
      </w:r>
      <w:r w:rsidR="0072164C" w:rsidRPr="00F53BDD">
        <w:t>. An appointed regulator could be responsible for maintaining a public register of current licen</w:t>
      </w:r>
      <w:r w:rsidR="00EF64EA" w:rsidRPr="00F53BDD">
        <w:t>c</w:t>
      </w:r>
      <w:r w:rsidR="0072164C" w:rsidRPr="00F53BDD">
        <w:t>e holders.</w:t>
      </w:r>
    </w:p>
    <w:p w:rsidR="006A1201" w:rsidRPr="00F53BDD" w:rsidRDefault="00AA185C" w:rsidP="0077420C">
      <w:pPr>
        <w:pStyle w:val="BodyText"/>
        <w:spacing w:after="100"/>
      </w:pPr>
      <w:r w:rsidRPr="00F53BDD">
        <w:t>L</w:t>
      </w:r>
      <w:r w:rsidR="0086492E" w:rsidRPr="00F53BDD">
        <w:t xml:space="preserve">egislation would </w:t>
      </w:r>
      <w:r w:rsidR="00F4705C" w:rsidRPr="00F53BDD">
        <w:t xml:space="preserve">need to </w:t>
      </w:r>
      <w:r w:rsidR="0086492E" w:rsidRPr="00F53BDD">
        <w:t xml:space="preserve">establish </w:t>
      </w:r>
      <w:r w:rsidR="008B7A44" w:rsidRPr="00F53BDD">
        <w:t xml:space="preserve">or appoint </w:t>
      </w:r>
      <w:r w:rsidR="00F4705C" w:rsidRPr="00F53BDD">
        <w:t xml:space="preserve">a regulator with </w:t>
      </w:r>
      <w:r w:rsidR="0086492E" w:rsidRPr="00F53BDD">
        <w:t xml:space="preserve">registration and licensing powers. The </w:t>
      </w:r>
      <w:r w:rsidR="00F4705C" w:rsidRPr="00F53BDD">
        <w:t>regulator</w:t>
      </w:r>
      <w:r w:rsidR="0086492E" w:rsidRPr="00F53BDD">
        <w:t xml:space="preserve"> would </w:t>
      </w:r>
      <w:r w:rsidR="00EF64EA" w:rsidRPr="00F53BDD">
        <w:t xml:space="preserve">oversee </w:t>
      </w:r>
      <w:r w:rsidR="0086492E" w:rsidRPr="00F53BDD">
        <w:t>registration and licensing, including</w:t>
      </w:r>
      <w:r w:rsidRPr="00F53BDD">
        <w:t xml:space="preserve"> </w:t>
      </w:r>
      <w:r w:rsidR="0086492E" w:rsidRPr="00F53BDD">
        <w:t>the assessment of applications,</w:t>
      </w:r>
      <w:r w:rsidRPr="00F53BDD">
        <w:t xml:space="preserve"> </w:t>
      </w:r>
      <w:r w:rsidR="0086492E" w:rsidRPr="00F53BDD">
        <w:t>auditing,</w:t>
      </w:r>
      <w:r w:rsidRPr="00F53BDD">
        <w:t xml:space="preserve"> </w:t>
      </w:r>
      <w:r w:rsidR="0086492E" w:rsidRPr="00F53BDD">
        <w:t>compliance and</w:t>
      </w:r>
      <w:r w:rsidRPr="00F53BDD">
        <w:t xml:space="preserve"> </w:t>
      </w:r>
      <w:r w:rsidR="0086492E" w:rsidRPr="00F53BDD">
        <w:t>promotion of the system</w:t>
      </w:r>
      <w:r w:rsidRPr="00F53BDD">
        <w:t>.</w:t>
      </w:r>
    </w:p>
    <w:p w:rsidR="0086492E" w:rsidRPr="00F53BDD" w:rsidRDefault="006A1201" w:rsidP="0077420C">
      <w:pPr>
        <w:pStyle w:val="BodyText"/>
        <w:spacing w:after="100"/>
      </w:pPr>
      <w:r w:rsidRPr="00F53BDD">
        <w:t>Any proposal to implement licen</w:t>
      </w:r>
      <w:r w:rsidR="00EF64EA" w:rsidRPr="00F53BDD">
        <w:t>s</w:t>
      </w:r>
      <w:r w:rsidRPr="00F53BDD">
        <w:t xml:space="preserve">ing and registration of </w:t>
      </w:r>
      <w:r w:rsidR="00EF64EA" w:rsidRPr="00F53BDD">
        <w:t xml:space="preserve">advisers </w:t>
      </w:r>
      <w:r w:rsidRPr="00F53BDD">
        <w:t xml:space="preserve">must work alongside </w:t>
      </w:r>
      <w:r w:rsidR="00284C90" w:rsidRPr="00F53BDD">
        <w:t xml:space="preserve">the </w:t>
      </w:r>
      <w:r w:rsidR="005C7579" w:rsidRPr="00F53BDD">
        <w:t>regulation of forestry adviser services under the Forests Act (1949)</w:t>
      </w:r>
      <w:r w:rsidR="00EF64EA" w:rsidRPr="00F53BDD">
        <w:t>. W</w:t>
      </w:r>
      <w:r w:rsidRPr="00F53BDD">
        <w:t>e will be considering this</w:t>
      </w:r>
      <w:r w:rsidR="00A57A4E" w:rsidRPr="00F53BDD">
        <w:t> </w:t>
      </w:r>
      <w:r w:rsidRPr="00F53BDD">
        <w:t>alignment as we develop the policy options.</w:t>
      </w:r>
    </w:p>
    <w:p w:rsidR="0086492E" w:rsidRPr="00F53BDD" w:rsidRDefault="0086492E" w:rsidP="0077420C">
      <w:pPr>
        <w:pStyle w:val="Heading4"/>
        <w:spacing w:after="120"/>
      </w:pPr>
      <w:r w:rsidRPr="00F53BDD">
        <w:t>Benefits</w:t>
      </w:r>
    </w:p>
    <w:p w:rsidR="0086492E" w:rsidRPr="00F53BDD" w:rsidRDefault="00AA185C" w:rsidP="00007DB6">
      <w:pPr>
        <w:pStyle w:val="Bullet"/>
        <w:numPr>
          <w:ilvl w:val="0"/>
          <w:numId w:val="17"/>
        </w:numPr>
        <w:spacing w:after="100"/>
        <w:ind w:left="426" w:hanging="426"/>
      </w:pPr>
      <w:r w:rsidRPr="00F53BDD">
        <w:t>C</w:t>
      </w:r>
      <w:r w:rsidR="0086492E" w:rsidRPr="00F53BDD">
        <w:t xml:space="preserve">lear rules and criteria </w:t>
      </w:r>
      <w:r w:rsidRPr="00F53BDD">
        <w:t xml:space="preserve">that </w:t>
      </w:r>
      <w:r w:rsidR="0086492E" w:rsidRPr="00F53BDD">
        <w:t xml:space="preserve">set out what </w:t>
      </w:r>
      <w:r w:rsidRPr="00F53BDD">
        <w:t>is</w:t>
      </w:r>
      <w:r w:rsidR="0086492E" w:rsidRPr="00F53BDD">
        <w:t xml:space="preserve"> high</w:t>
      </w:r>
      <w:r w:rsidR="00DF3B6E" w:rsidRPr="00F53BDD">
        <w:t>-</w:t>
      </w:r>
      <w:r w:rsidR="0086492E" w:rsidRPr="00F53BDD">
        <w:t xml:space="preserve">quality </w:t>
      </w:r>
      <w:r w:rsidR="00DF3B6E" w:rsidRPr="00F53BDD">
        <w:t xml:space="preserve">NZU </w:t>
      </w:r>
      <w:r w:rsidR="0086492E" w:rsidRPr="00F53BDD">
        <w:t>advice.</w:t>
      </w:r>
    </w:p>
    <w:p w:rsidR="0086492E" w:rsidRPr="00F53BDD" w:rsidRDefault="00AA185C" w:rsidP="00007DB6">
      <w:pPr>
        <w:pStyle w:val="Bullet"/>
        <w:numPr>
          <w:ilvl w:val="0"/>
          <w:numId w:val="17"/>
        </w:numPr>
        <w:ind w:left="426" w:hanging="426"/>
      </w:pPr>
      <w:r w:rsidRPr="00F53BDD">
        <w:t xml:space="preserve">Compliance with the </w:t>
      </w:r>
      <w:r w:rsidR="00C95AF3" w:rsidRPr="00F53BDD">
        <w:t>c</w:t>
      </w:r>
      <w:r w:rsidRPr="00F53BDD">
        <w:t xml:space="preserve">ode would be </w:t>
      </w:r>
      <w:r w:rsidR="0086492E" w:rsidRPr="00F53BDD">
        <w:t>monitor</w:t>
      </w:r>
      <w:r w:rsidRPr="00F53BDD">
        <w:t>ed</w:t>
      </w:r>
      <w:r w:rsidR="0086492E" w:rsidRPr="00F53BDD">
        <w:t xml:space="preserve"> and enforced, discouraging misleading and poor advice. </w:t>
      </w:r>
    </w:p>
    <w:p w:rsidR="0086492E" w:rsidRPr="00F53BDD" w:rsidRDefault="0086492E" w:rsidP="0077420C">
      <w:pPr>
        <w:pStyle w:val="Heading4"/>
        <w:spacing w:after="120"/>
      </w:pPr>
      <w:r w:rsidRPr="00F53BDD">
        <w:t>Disadvantages</w:t>
      </w:r>
    </w:p>
    <w:p w:rsidR="0086492E" w:rsidRPr="00F53BDD" w:rsidRDefault="00AA185C" w:rsidP="0077420C">
      <w:pPr>
        <w:pStyle w:val="Bullet"/>
        <w:spacing w:after="100"/>
      </w:pPr>
      <w:r w:rsidRPr="00F53BDD">
        <w:t>M</w:t>
      </w:r>
      <w:r w:rsidR="0086492E" w:rsidRPr="00F53BDD">
        <w:t>ay be too restrictive for small or new advisers.</w:t>
      </w:r>
    </w:p>
    <w:p w:rsidR="0086492E" w:rsidRPr="00F53BDD" w:rsidRDefault="00AA185C" w:rsidP="0077420C">
      <w:pPr>
        <w:pStyle w:val="Bullet"/>
      </w:pPr>
      <w:r w:rsidRPr="00F53BDD">
        <w:t>W</w:t>
      </w:r>
      <w:r w:rsidR="00DF3B6E" w:rsidRPr="00F53BDD">
        <w:t xml:space="preserve">ill likely require a regulator with compliance functions and powers. </w:t>
      </w:r>
      <w:r w:rsidR="0086492E" w:rsidRPr="00F53BDD">
        <w:t xml:space="preserve">The cost of setting up a regulator to enforce the </w:t>
      </w:r>
      <w:r w:rsidR="00C95AF3" w:rsidRPr="00F53BDD">
        <w:t>c</w:t>
      </w:r>
      <w:r w:rsidR="0086492E" w:rsidRPr="00F53BDD">
        <w:t xml:space="preserve">ode will fall on </w:t>
      </w:r>
      <w:r w:rsidR="00EF64EA" w:rsidRPr="00F53BDD">
        <w:t>the G</w:t>
      </w:r>
      <w:r w:rsidR="00DF3B6E" w:rsidRPr="00F53BDD">
        <w:t>overnment</w:t>
      </w:r>
      <w:r w:rsidR="00EF64EA" w:rsidRPr="00F53BDD">
        <w:t xml:space="preserve">. Establishing and maintaining the </w:t>
      </w:r>
      <w:r w:rsidR="00C95AF3" w:rsidRPr="00F53BDD">
        <w:t>c</w:t>
      </w:r>
      <w:r w:rsidR="00EF64EA" w:rsidRPr="00F53BDD">
        <w:t xml:space="preserve">ode </w:t>
      </w:r>
      <w:r w:rsidR="00DF3B6E" w:rsidRPr="00F53BDD">
        <w:t>will be relatively expensive.</w:t>
      </w:r>
    </w:p>
    <w:p w:rsidR="0086492E" w:rsidRPr="00F53BDD" w:rsidRDefault="0086492E" w:rsidP="00EC6896">
      <w:pPr>
        <w:pStyle w:val="Heading4"/>
      </w:pPr>
      <w:r w:rsidRPr="00F53BDD">
        <w:t xml:space="preserve">Examples </w:t>
      </w:r>
      <w:r w:rsidR="005A6E4F" w:rsidRPr="00F53BDD">
        <w:t xml:space="preserve">from other sectors </w:t>
      </w:r>
    </w:p>
    <w:p w:rsidR="00F4705C" w:rsidRPr="00F53BDD" w:rsidRDefault="00284C90" w:rsidP="00F4705C">
      <w:pPr>
        <w:pStyle w:val="BodyText"/>
      </w:pPr>
      <w:r w:rsidRPr="00F53BDD">
        <w:t>A</w:t>
      </w:r>
      <w:r w:rsidR="00F4705C" w:rsidRPr="00F53BDD">
        <w:t xml:space="preserve"> </w:t>
      </w:r>
      <w:r w:rsidRPr="00F53BDD">
        <w:t>c</w:t>
      </w:r>
      <w:r w:rsidR="00F4705C" w:rsidRPr="00F53BDD">
        <w:t xml:space="preserve">ode, registration </w:t>
      </w:r>
      <w:r w:rsidR="00DF3B6E" w:rsidRPr="00F53BDD">
        <w:t>and licensing</w:t>
      </w:r>
      <w:r w:rsidR="00AA185C" w:rsidRPr="00F53BDD">
        <w:t xml:space="preserve"> system</w:t>
      </w:r>
      <w:r w:rsidR="00DF3B6E" w:rsidRPr="00F53BDD">
        <w:t xml:space="preserve"> </w:t>
      </w:r>
      <w:r w:rsidR="00F4705C" w:rsidRPr="00F53BDD">
        <w:t xml:space="preserve">has parallels with other </w:t>
      </w:r>
      <w:r w:rsidR="00EF64EA" w:rsidRPr="00F53BDD">
        <w:t xml:space="preserve">advisory </w:t>
      </w:r>
      <w:r w:rsidR="00F4705C" w:rsidRPr="00F53BDD">
        <w:t>industries, such as real estate, financ</w:t>
      </w:r>
      <w:r w:rsidR="00EF64EA" w:rsidRPr="00F53BDD">
        <w:t>e</w:t>
      </w:r>
      <w:r w:rsidR="00F4705C" w:rsidRPr="00F53BDD">
        <w:t xml:space="preserve"> and </w:t>
      </w:r>
      <w:r w:rsidR="00EF64EA" w:rsidRPr="00F53BDD">
        <w:t xml:space="preserve">advisers on </w:t>
      </w:r>
      <w:r w:rsidR="00F4705C" w:rsidRPr="00F53BDD">
        <w:t>forestry supply chain.</w:t>
      </w:r>
    </w:p>
    <w:p w:rsidR="0086492E" w:rsidRPr="00F53BDD" w:rsidRDefault="0086492E" w:rsidP="0086492E">
      <w:pPr>
        <w:pStyle w:val="Heading5"/>
      </w:pPr>
      <w:r w:rsidRPr="00F53BDD">
        <w:t xml:space="preserve">Codes of </w:t>
      </w:r>
      <w:r w:rsidR="00EF64EA" w:rsidRPr="00F53BDD">
        <w:t>c</w:t>
      </w:r>
      <w:r w:rsidRPr="00F53BDD">
        <w:t xml:space="preserve">onduct exist for other </w:t>
      </w:r>
      <w:r w:rsidR="00EF64EA" w:rsidRPr="00F53BDD">
        <w:t>services</w:t>
      </w:r>
    </w:p>
    <w:p w:rsidR="0086492E" w:rsidRPr="00F53BDD" w:rsidRDefault="00EF64EA" w:rsidP="0086492E">
      <w:pPr>
        <w:pStyle w:val="BodyText"/>
      </w:pPr>
      <w:r w:rsidRPr="00F53BDD">
        <w:t>S</w:t>
      </w:r>
      <w:r w:rsidR="0086492E" w:rsidRPr="00F53BDD">
        <w:t xml:space="preserve">everal </w:t>
      </w:r>
      <w:r w:rsidR="00284C90" w:rsidRPr="00F53BDD">
        <w:t xml:space="preserve">New Zealand </w:t>
      </w:r>
      <w:r w:rsidR="0086492E" w:rsidRPr="00F53BDD">
        <w:t xml:space="preserve">agencies and authorities </w:t>
      </w:r>
      <w:r w:rsidR="0095165E" w:rsidRPr="00F53BDD">
        <w:t>use</w:t>
      </w:r>
      <w:r w:rsidR="0086492E" w:rsidRPr="00F53BDD">
        <w:t xml:space="preserve"> </w:t>
      </w:r>
      <w:r w:rsidR="00AA185C" w:rsidRPr="00F53BDD">
        <w:t xml:space="preserve">a </w:t>
      </w:r>
      <w:r w:rsidR="00284C90" w:rsidRPr="00F53BDD">
        <w:t>c</w:t>
      </w:r>
      <w:r w:rsidR="00AA185C" w:rsidRPr="00F53BDD">
        <w:t xml:space="preserve">ode, registration and </w:t>
      </w:r>
      <w:r w:rsidR="0086492E" w:rsidRPr="00F53BDD">
        <w:t xml:space="preserve">licensing </w:t>
      </w:r>
      <w:r w:rsidR="00AA185C" w:rsidRPr="00F53BDD">
        <w:t>system</w:t>
      </w:r>
      <w:r w:rsidR="0086492E" w:rsidRPr="00F53BDD">
        <w:t>:</w:t>
      </w:r>
    </w:p>
    <w:p w:rsidR="0086492E" w:rsidRPr="00F53BDD" w:rsidRDefault="0086492E" w:rsidP="0086492E">
      <w:pPr>
        <w:pStyle w:val="Bullet"/>
      </w:pPr>
      <w:r w:rsidRPr="00F53BDD">
        <w:rPr>
          <w:b/>
          <w:bCs/>
        </w:rPr>
        <w:t>Financial Markets Authority</w:t>
      </w:r>
      <w:r w:rsidRPr="00F53BDD">
        <w:t xml:space="preserve"> </w:t>
      </w:r>
      <w:r w:rsidR="00284C90" w:rsidRPr="00F53BDD">
        <w:t>–</w:t>
      </w:r>
      <w:r w:rsidRPr="00F53BDD">
        <w:t xml:space="preserve"> </w:t>
      </w:r>
      <w:hyperlink r:id="rId30" w:history="1">
        <w:r w:rsidRPr="001F4836">
          <w:rPr>
            <w:rStyle w:val="Hyperlink"/>
            <w:i/>
            <w:iCs/>
          </w:rPr>
          <w:t>Code of Professional Conduct for Financial Advice Services</w:t>
        </w:r>
      </w:hyperlink>
      <w:r w:rsidRPr="00F53BDD">
        <w:t xml:space="preserve">. </w:t>
      </w:r>
    </w:p>
    <w:p w:rsidR="0086492E" w:rsidRPr="00F53BDD" w:rsidRDefault="0086492E" w:rsidP="0086492E">
      <w:pPr>
        <w:pStyle w:val="Bullet"/>
      </w:pPr>
      <w:r w:rsidRPr="00F53BDD">
        <w:rPr>
          <w:b/>
          <w:bCs/>
        </w:rPr>
        <w:t>Real Estate Authority</w:t>
      </w:r>
      <w:r w:rsidRPr="00F53BDD">
        <w:t xml:space="preserve"> – </w:t>
      </w:r>
      <w:hyperlink r:id="rId31" w:history="1">
        <w:r w:rsidRPr="001F4836">
          <w:rPr>
            <w:rStyle w:val="Hyperlink"/>
            <w:i/>
            <w:iCs/>
          </w:rPr>
          <w:t>Code of Conduct</w:t>
        </w:r>
      </w:hyperlink>
      <w:r w:rsidRPr="00F53BDD">
        <w:t xml:space="preserve">. </w:t>
      </w:r>
    </w:p>
    <w:p w:rsidR="0086492E" w:rsidRPr="00F53BDD" w:rsidRDefault="0086492E" w:rsidP="0086492E">
      <w:pPr>
        <w:pStyle w:val="Bullet"/>
      </w:pPr>
      <w:r w:rsidRPr="00F53BDD">
        <w:rPr>
          <w:b/>
          <w:bCs/>
        </w:rPr>
        <w:t xml:space="preserve">Immigration Advisers Authority </w:t>
      </w:r>
      <w:r w:rsidRPr="00F53BDD">
        <w:t xml:space="preserve">– </w:t>
      </w:r>
      <w:hyperlink r:id="rId32" w:history="1">
        <w:r w:rsidRPr="001F4836">
          <w:rPr>
            <w:rStyle w:val="Hyperlink"/>
            <w:i/>
            <w:iCs/>
          </w:rPr>
          <w:t>Code of Conduct</w:t>
        </w:r>
      </w:hyperlink>
      <w:r w:rsidRPr="00F53BDD">
        <w:t>.</w:t>
      </w:r>
      <w:r w:rsidRPr="00F53BDD">
        <w:rPr>
          <w:b/>
          <w:bCs/>
        </w:rPr>
        <w:t xml:space="preserve"> </w:t>
      </w:r>
    </w:p>
    <w:p w:rsidR="0086492E" w:rsidRPr="00F53BDD" w:rsidRDefault="0086492E" w:rsidP="0086492E">
      <w:pPr>
        <w:pStyle w:val="Bullet"/>
      </w:pPr>
      <w:r w:rsidRPr="00F53BDD">
        <w:rPr>
          <w:b/>
          <w:bCs/>
        </w:rPr>
        <w:t>Nursing Council of New Zealand</w:t>
      </w:r>
      <w:r w:rsidRPr="00F53BDD">
        <w:t xml:space="preserve"> </w:t>
      </w:r>
      <w:r w:rsidR="0095165E" w:rsidRPr="00F53BDD">
        <w:t>–</w:t>
      </w:r>
      <w:r w:rsidRPr="00F53BDD">
        <w:t xml:space="preserve"> </w:t>
      </w:r>
      <w:hyperlink r:id="rId33" w:history="1">
        <w:r w:rsidRPr="001F4836">
          <w:rPr>
            <w:rStyle w:val="Hyperlink"/>
            <w:i/>
            <w:iCs/>
          </w:rPr>
          <w:t>Tikanga Whanonga Code of Conduct</w:t>
        </w:r>
      </w:hyperlink>
      <w:r w:rsidRPr="00F53BDD">
        <w:t xml:space="preserve">. </w:t>
      </w:r>
    </w:p>
    <w:p w:rsidR="0086492E" w:rsidRPr="00F53BDD" w:rsidRDefault="0086492E" w:rsidP="0086492E">
      <w:pPr>
        <w:pStyle w:val="Heading5"/>
      </w:pPr>
      <w:r w:rsidRPr="00F53BDD">
        <w:t>Public registers for professional service</w:t>
      </w:r>
      <w:r w:rsidR="0095165E" w:rsidRPr="00F53BDD">
        <w:t>s</w:t>
      </w:r>
      <w:r w:rsidRPr="00F53BDD">
        <w:t xml:space="preserve"> </w:t>
      </w:r>
    </w:p>
    <w:p w:rsidR="0086492E" w:rsidRPr="00F53BDD" w:rsidRDefault="0086492E" w:rsidP="0086492E">
      <w:pPr>
        <w:pStyle w:val="BodyText"/>
      </w:pPr>
      <w:r w:rsidRPr="00F53BDD">
        <w:t>Public registers are commonplace for some service</w:t>
      </w:r>
      <w:r w:rsidR="0095165E" w:rsidRPr="00F53BDD">
        <w:t>s</w:t>
      </w:r>
      <w:r w:rsidRPr="00F53BDD">
        <w:t xml:space="preserve"> in New Zealand.</w:t>
      </w:r>
    </w:p>
    <w:p w:rsidR="0086492E" w:rsidRPr="00F53BDD" w:rsidRDefault="008235A8" w:rsidP="0086492E">
      <w:pPr>
        <w:pStyle w:val="Bullet"/>
      </w:pPr>
      <w:r w:rsidRPr="00F53BDD">
        <w:rPr>
          <w:b/>
          <w:bCs/>
        </w:rPr>
        <w:t xml:space="preserve">The </w:t>
      </w:r>
      <w:r w:rsidR="0086492E" w:rsidRPr="00F53BDD">
        <w:rPr>
          <w:b/>
          <w:bCs/>
        </w:rPr>
        <w:t>Companies Office</w:t>
      </w:r>
      <w:r w:rsidR="0086492E" w:rsidRPr="00F53BDD">
        <w:t xml:space="preserve"> maintains a </w:t>
      </w:r>
      <w:hyperlink r:id="rId34" w:history="1">
        <w:r w:rsidR="00AA185C" w:rsidRPr="001F4836">
          <w:rPr>
            <w:rStyle w:val="Hyperlink"/>
          </w:rPr>
          <w:t>r</w:t>
        </w:r>
        <w:r w:rsidR="008F75D3" w:rsidRPr="001F4836">
          <w:rPr>
            <w:rStyle w:val="Hyperlink"/>
          </w:rPr>
          <w:t>egister of</w:t>
        </w:r>
        <w:r w:rsidR="0086492E" w:rsidRPr="001F4836">
          <w:rPr>
            <w:rStyle w:val="Hyperlink"/>
          </w:rPr>
          <w:t xml:space="preserve"> </w:t>
        </w:r>
        <w:r w:rsidR="00AA185C" w:rsidRPr="001F4836">
          <w:rPr>
            <w:rStyle w:val="Hyperlink"/>
          </w:rPr>
          <w:t>f</w:t>
        </w:r>
        <w:r w:rsidR="0086492E" w:rsidRPr="001F4836">
          <w:rPr>
            <w:rStyle w:val="Hyperlink"/>
          </w:rPr>
          <w:t xml:space="preserve">inancial </w:t>
        </w:r>
        <w:r w:rsidR="00AA185C" w:rsidRPr="001F4836">
          <w:rPr>
            <w:rStyle w:val="Hyperlink"/>
          </w:rPr>
          <w:t>s</w:t>
        </w:r>
        <w:r w:rsidR="0086492E" w:rsidRPr="001F4836">
          <w:rPr>
            <w:rStyle w:val="Hyperlink"/>
          </w:rPr>
          <w:t xml:space="preserve">ervice </w:t>
        </w:r>
        <w:r w:rsidR="00AA185C" w:rsidRPr="001F4836">
          <w:rPr>
            <w:rStyle w:val="Hyperlink"/>
          </w:rPr>
          <w:t>p</w:t>
        </w:r>
        <w:r w:rsidR="0086492E" w:rsidRPr="001F4836">
          <w:rPr>
            <w:rStyle w:val="Hyperlink"/>
          </w:rPr>
          <w:t>roviders</w:t>
        </w:r>
      </w:hyperlink>
      <w:r w:rsidR="00AA73AA" w:rsidRPr="00F53BDD">
        <w:t>.</w:t>
      </w:r>
    </w:p>
    <w:p w:rsidR="0086492E" w:rsidRPr="00F53BDD" w:rsidRDefault="008235A8" w:rsidP="0086492E">
      <w:pPr>
        <w:pStyle w:val="Bullet"/>
      </w:pPr>
      <w:r w:rsidRPr="00F53BDD">
        <w:rPr>
          <w:b/>
          <w:bCs/>
        </w:rPr>
        <w:t xml:space="preserve">The </w:t>
      </w:r>
      <w:r w:rsidR="0086492E" w:rsidRPr="00F53BDD">
        <w:rPr>
          <w:b/>
          <w:bCs/>
        </w:rPr>
        <w:t>Real Estate Authority</w:t>
      </w:r>
      <w:r w:rsidR="0086492E" w:rsidRPr="00F53BDD">
        <w:t xml:space="preserve"> maintains a </w:t>
      </w:r>
      <w:hyperlink r:id="rId35" w:history="1">
        <w:r w:rsidR="0086492E" w:rsidRPr="001F4836">
          <w:rPr>
            <w:rStyle w:val="Hyperlink"/>
          </w:rPr>
          <w:t xml:space="preserve">public </w:t>
        </w:r>
        <w:r w:rsidR="008F75D3" w:rsidRPr="001F4836">
          <w:rPr>
            <w:rStyle w:val="Hyperlink"/>
          </w:rPr>
          <w:t>register of</w:t>
        </w:r>
        <w:r w:rsidR="0086492E" w:rsidRPr="001F4836">
          <w:rPr>
            <w:rStyle w:val="Hyperlink"/>
          </w:rPr>
          <w:t xml:space="preserve"> all licensed real estate agents, salespeople, branch managers and companies</w:t>
        </w:r>
      </w:hyperlink>
      <w:r w:rsidR="00AA73AA" w:rsidRPr="00F53BDD">
        <w:t>.</w:t>
      </w:r>
    </w:p>
    <w:p w:rsidR="0086492E" w:rsidRPr="00F53BDD" w:rsidRDefault="008235A8" w:rsidP="0086492E">
      <w:pPr>
        <w:pStyle w:val="Bullet"/>
      </w:pPr>
      <w:r w:rsidRPr="00F53BDD">
        <w:rPr>
          <w:b/>
          <w:bCs/>
        </w:rPr>
        <w:t xml:space="preserve">The </w:t>
      </w:r>
      <w:r w:rsidR="0086492E" w:rsidRPr="00F53BDD">
        <w:rPr>
          <w:b/>
          <w:bCs/>
        </w:rPr>
        <w:t>Immigration Advisers Authority</w:t>
      </w:r>
      <w:r w:rsidR="0086492E" w:rsidRPr="00F53BDD">
        <w:t xml:space="preserve"> maintains a </w:t>
      </w:r>
      <w:hyperlink r:id="rId36" w:history="1">
        <w:r w:rsidR="008F75D3" w:rsidRPr="00D622C8">
          <w:rPr>
            <w:rStyle w:val="Hyperlink"/>
          </w:rPr>
          <w:t>register of</w:t>
        </w:r>
        <w:r w:rsidR="0086492E" w:rsidRPr="00D622C8">
          <w:rPr>
            <w:rStyle w:val="Hyperlink"/>
          </w:rPr>
          <w:t xml:space="preserve"> all licensed immigration advisers and their business contact details</w:t>
        </w:r>
      </w:hyperlink>
      <w:r w:rsidR="00AA73AA" w:rsidRPr="00F53BDD">
        <w:t>.</w:t>
      </w:r>
    </w:p>
    <w:p w:rsidR="005C5249" w:rsidRPr="00F53BDD" w:rsidRDefault="008235A8" w:rsidP="000C4660">
      <w:pPr>
        <w:pStyle w:val="Bullet"/>
        <w:spacing w:after="200" w:line="276" w:lineRule="auto"/>
        <w:rPr>
          <w:rFonts w:eastAsiaTheme="majorEastAsia"/>
        </w:rPr>
      </w:pPr>
      <w:r w:rsidRPr="00F53BDD">
        <w:rPr>
          <w:b/>
          <w:bCs/>
        </w:rPr>
        <w:t xml:space="preserve">The </w:t>
      </w:r>
      <w:r w:rsidR="0086492E" w:rsidRPr="00F53BDD">
        <w:rPr>
          <w:b/>
          <w:bCs/>
        </w:rPr>
        <w:t xml:space="preserve">Nursing Council of New Zealand </w:t>
      </w:r>
      <w:r w:rsidR="0086492E" w:rsidRPr="00F53BDD">
        <w:t xml:space="preserve">maintains a </w:t>
      </w:r>
      <w:hyperlink r:id="rId37" w:history="1">
        <w:r w:rsidR="008F75D3" w:rsidRPr="00D622C8">
          <w:rPr>
            <w:rStyle w:val="Hyperlink"/>
          </w:rPr>
          <w:t>p</w:t>
        </w:r>
        <w:r w:rsidR="0086492E" w:rsidRPr="00D622C8">
          <w:rPr>
            <w:rStyle w:val="Hyperlink"/>
          </w:rPr>
          <w:t xml:space="preserve">ublic </w:t>
        </w:r>
        <w:r w:rsidR="008F75D3" w:rsidRPr="00D622C8">
          <w:rPr>
            <w:rStyle w:val="Hyperlink"/>
          </w:rPr>
          <w:t>r</w:t>
        </w:r>
        <w:r w:rsidR="0086492E" w:rsidRPr="00D622C8">
          <w:rPr>
            <w:rStyle w:val="Hyperlink"/>
          </w:rPr>
          <w:t>egister</w:t>
        </w:r>
        <w:r w:rsidR="008F75D3" w:rsidRPr="00D622C8">
          <w:rPr>
            <w:rStyle w:val="Hyperlink"/>
          </w:rPr>
          <w:t xml:space="preserve"> </w:t>
        </w:r>
        <w:r w:rsidR="0086492E" w:rsidRPr="00D622C8">
          <w:rPr>
            <w:rStyle w:val="Hyperlink"/>
          </w:rPr>
          <w:t xml:space="preserve">for any registered nurse who holds a current </w:t>
        </w:r>
        <w:r w:rsidR="00AA185C" w:rsidRPr="00D622C8">
          <w:rPr>
            <w:rStyle w:val="Hyperlink"/>
          </w:rPr>
          <w:t>a</w:t>
        </w:r>
        <w:r w:rsidR="0086492E" w:rsidRPr="00D622C8">
          <w:rPr>
            <w:rStyle w:val="Hyperlink"/>
          </w:rPr>
          <w:t xml:space="preserve">nnual </w:t>
        </w:r>
        <w:r w:rsidR="00AA185C" w:rsidRPr="00D622C8">
          <w:rPr>
            <w:rStyle w:val="Hyperlink"/>
          </w:rPr>
          <w:t>p</w:t>
        </w:r>
        <w:r w:rsidR="0086492E" w:rsidRPr="00D622C8">
          <w:rPr>
            <w:rStyle w:val="Hyperlink"/>
          </w:rPr>
          <w:t xml:space="preserve">ractising </w:t>
        </w:r>
        <w:r w:rsidR="00AA185C" w:rsidRPr="00D622C8">
          <w:rPr>
            <w:rStyle w:val="Hyperlink"/>
          </w:rPr>
          <w:t>c</w:t>
        </w:r>
        <w:r w:rsidR="0086492E" w:rsidRPr="00D622C8">
          <w:rPr>
            <w:rStyle w:val="Hyperlink"/>
          </w:rPr>
          <w:t>ertificate</w:t>
        </w:r>
      </w:hyperlink>
      <w:r w:rsidR="00AA73AA" w:rsidRPr="00F53BDD">
        <w:t>.</w:t>
      </w:r>
    </w:p>
    <w:p w:rsidR="0086492E" w:rsidRPr="00F53BDD" w:rsidRDefault="00D622C8" w:rsidP="000E5DA4">
      <w:pPr>
        <w:pStyle w:val="Heading2"/>
        <w:spacing w:after="240"/>
      </w:pPr>
      <w:bookmarkStart w:id="46" w:name="_Toc75250066"/>
      <w:r>
        <w:t>Consultation</w:t>
      </w:r>
      <w:r w:rsidRPr="00F53BDD">
        <w:t xml:space="preserve"> </w:t>
      </w:r>
      <w:r w:rsidR="008235A8" w:rsidRPr="00F53BDD">
        <w:t>q</w:t>
      </w:r>
      <w:r w:rsidR="0086492E" w:rsidRPr="00F53BDD">
        <w:t>uestions</w:t>
      </w:r>
      <w:bookmarkEnd w:id="46"/>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2F4A09" w:rsidRPr="00F53BDD" w:rsidTr="00566B83">
        <w:trPr>
          <w:trHeight w:val="1986"/>
        </w:trPr>
        <w:tc>
          <w:tcPr>
            <w:tcW w:w="0" w:type="auto"/>
            <w:tcBorders>
              <w:bottom w:val="nil"/>
            </w:tcBorders>
            <w:shd w:val="clear" w:color="auto" w:fill="D2DDE2"/>
          </w:tcPr>
          <w:p w:rsidR="002F4A09" w:rsidRPr="00F53BDD" w:rsidRDefault="005E2F79" w:rsidP="00566B83">
            <w:pPr>
              <w:pStyle w:val="Blueboxheading"/>
              <w:keepNext w:val="0"/>
              <w:spacing w:after="120"/>
            </w:pPr>
            <w:r w:rsidRPr="00F53BDD">
              <w:t>Poor and conflicted advice</w:t>
            </w:r>
          </w:p>
          <w:p w:rsidR="005E2F79" w:rsidRPr="00F53BDD" w:rsidRDefault="00707D7D" w:rsidP="00566B83">
            <w:pPr>
              <w:pStyle w:val="Blueboxnumbered"/>
            </w:pPr>
            <w:r w:rsidRPr="00F53BDD">
              <w:t>As an NZ ETS user, have you received poor, misleading or inaccurate advice on NZU prices or ETS trading? If so, how did this affect you, and what was the financial impact?</w:t>
            </w:r>
          </w:p>
          <w:p w:rsidR="005A5A8D" w:rsidRDefault="00344E8F" w:rsidP="00007DB6">
            <w:pPr>
              <w:pStyle w:val="Blueboxnumbered"/>
              <w:ind w:left="681" w:hanging="397"/>
            </w:pPr>
            <w:r w:rsidRPr="00F53BDD">
              <w:t>As an NZ ETS user, have you received advice with financial implications from an NZU adviser with a real, or perceived, conflict of interest? If so, how did this affect you, and what was the financial impact?</w:t>
            </w:r>
          </w:p>
          <w:p w:rsidR="00AD5C0A" w:rsidRPr="00F53BDD" w:rsidRDefault="00AD5C0A" w:rsidP="00AD5C0A">
            <w:pPr>
              <w:pStyle w:val="Blueboxtext"/>
              <w:keepNext/>
              <w:rPr>
                <w:b/>
                <w:bCs/>
              </w:rPr>
            </w:pPr>
            <w:r w:rsidRPr="00F53BDD">
              <w:rPr>
                <w:b/>
                <w:bCs/>
              </w:rPr>
              <w:t>Education campaign and information pack</w:t>
            </w:r>
          </w:p>
          <w:p w:rsidR="00AD5C0A" w:rsidRPr="00F53BDD" w:rsidRDefault="00AD5C0A" w:rsidP="00AD5C0A">
            <w:pPr>
              <w:pStyle w:val="Blueboxnumbered"/>
            </w:pPr>
            <w:r w:rsidRPr="00F53BDD">
              <w:t>To what extent would an education campaign and information pack improve decision-making for users?</w:t>
            </w:r>
          </w:p>
          <w:p w:rsidR="00AD5C0A" w:rsidRPr="00F53BDD" w:rsidRDefault="00AD5C0A" w:rsidP="00AD5C0A">
            <w:pPr>
              <w:pStyle w:val="Blueboxnumbered"/>
            </w:pPr>
            <w:r w:rsidRPr="00F53BDD">
              <w:t xml:space="preserve">What information could help users and traders make informed decisions about engaging with the </w:t>
            </w:r>
            <w:r>
              <w:t xml:space="preserve">NZ </w:t>
            </w:r>
            <w:r w:rsidRPr="00F53BDD">
              <w:t>ETS or selecting an adviser?</w:t>
            </w:r>
          </w:p>
          <w:p w:rsidR="00AD5C0A" w:rsidRPr="00F53BDD" w:rsidRDefault="00AD5C0A" w:rsidP="00AD5C0A">
            <w:pPr>
              <w:pStyle w:val="Blueboxtext"/>
              <w:rPr>
                <w:b/>
                <w:bCs/>
              </w:rPr>
            </w:pPr>
            <w:r>
              <w:rPr>
                <w:b/>
                <w:bCs/>
              </w:rPr>
              <w:t>G</w:t>
            </w:r>
            <w:r w:rsidRPr="00F53BDD">
              <w:rPr>
                <w:b/>
                <w:bCs/>
              </w:rPr>
              <w:t>uidelines for NZU advisers</w:t>
            </w:r>
          </w:p>
          <w:p w:rsidR="00AD5C0A" w:rsidRPr="00F53BDD" w:rsidRDefault="00AD5C0A" w:rsidP="00AD5C0A">
            <w:pPr>
              <w:pStyle w:val="Blueboxnumbered"/>
            </w:pPr>
            <w:r w:rsidRPr="00F53BDD">
              <w:t>To what extent would voluntary guidelines for advisers improve the quality of their advice?</w:t>
            </w:r>
          </w:p>
          <w:p w:rsidR="00AD5C0A" w:rsidRPr="00F53BDD" w:rsidRDefault="00AD5C0A" w:rsidP="00AD5C0A">
            <w:pPr>
              <w:pStyle w:val="Blueboxnumbered"/>
            </w:pPr>
            <w:r w:rsidRPr="00F53BDD">
              <w:t>What should be included in the guidelines to improve the quality of advice?</w:t>
            </w:r>
          </w:p>
          <w:p w:rsidR="00AD5C0A" w:rsidRPr="00F53BDD" w:rsidRDefault="00AD5C0A" w:rsidP="00AD5C0A">
            <w:pPr>
              <w:pStyle w:val="Blueboxtext"/>
              <w:rPr>
                <w:b/>
                <w:bCs/>
              </w:rPr>
            </w:pPr>
            <w:r w:rsidRPr="00F53BDD">
              <w:rPr>
                <w:b/>
                <w:bCs/>
              </w:rPr>
              <w:t>Code of conduct, registration and licensing</w:t>
            </w:r>
          </w:p>
          <w:p w:rsidR="00AD5C0A" w:rsidRPr="00F53BDD" w:rsidRDefault="00AD5C0A" w:rsidP="00AD5C0A">
            <w:pPr>
              <w:pStyle w:val="Blueboxnumbered"/>
            </w:pPr>
            <w:r w:rsidRPr="00F53BDD">
              <w:t>To what extent would a code of conduct, registration and licensing framework for advisers improve the quality of their advice?</w:t>
            </w:r>
          </w:p>
          <w:p w:rsidR="00AD5C0A" w:rsidRPr="00F53BDD" w:rsidRDefault="00AD5C0A" w:rsidP="00AD5C0A">
            <w:pPr>
              <w:pStyle w:val="Blueboxnumbered"/>
            </w:pPr>
            <w:r w:rsidRPr="00F53BDD">
              <w:t>What content would you expect in a code of conduct for advisers?</w:t>
            </w:r>
          </w:p>
          <w:p w:rsidR="00AD5C0A" w:rsidRPr="00F53BDD" w:rsidRDefault="00AD5C0A" w:rsidP="00AD5C0A">
            <w:pPr>
              <w:pStyle w:val="Blueboxnumbered"/>
            </w:pPr>
            <w:r w:rsidRPr="00F53BDD">
              <w:t>Which licensing requirements and standards would you expect for an adviser?</w:t>
            </w:r>
          </w:p>
          <w:p w:rsidR="00AD5C0A" w:rsidRPr="00F53BDD" w:rsidRDefault="00AD5C0A" w:rsidP="00AD5C0A">
            <w:pPr>
              <w:pStyle w:val="Blueboxtext"/>
              <w:rPr>
                <w:b/>
                <w:bCs/>
              </w:rPr>
            </w:pPr>
            <w:r w:rsidRPr="00F53BDD">
              <w:rPr>
                <w:b/>
                <w:bCs/>
              </w:rPr>
              <w:t>Other options</w:t>
            </w:r>
          </w:p>
          <w:p w:rsidR="00AD5C0A" w:rsidRPr="00F53BDD" w:rsidRDefault="00AD5C0A" w:rsidP="00E05DEA">
            <w:pPr>
              <w:pStyle w:val="Blueboxnumbered"/>
              <w:spacing w:after="240"/>
              <w:ind w:left="681" w:hanging="397"/>
            </w:pPr>
            <w:r w:rsidRPr="00F53BDD">
              <w:t>What other changes, if any, could improve the quality of advice in the NZ ETS?</w:t>
            </w:r>
          </w:p>
        </w:tc>
      </w:tr>
    </w:tbl>
    <w:p w:rsidR="007B3189" w:rsidRPr="007B3189" w:rsidRDefault="007B3189" w:rsidP="007B3189">
      <w:pPr>
        <w:pStyle w:val="BodyText"/>
      </w:pPr>
      <w:bookmarkStart w:id="47" w:name="_Toc75250067"/>
      <w:r w:rsidRPr="007B3189">
        <w:br w:type="page"/>
      </w:r>
    </w:p>
    <w:p w:rsidR="001D3F95" w:rsidRPr="00F53BDD" w:rsidRDefault="001D3F95" w:rsidP="00526B0D">
      <w:pPr>
        <w:pStyle w:val="Heading1"/>
      </w:pPr>
      <w:r w:rsidRPr="00F53BDD">
        <w:t xml:space="preserve">Section </w:t>
      </w:r>
      <w:r w:rsidR="00223BEC" w:rsidRPr="00F53BDD">
        <w:t>4</w:t>
      </w:r>
      <w:r w:rsidRPr="00F53BDD">
        <w:t xml:space="preserve">: </w:t>
      </w:r>
      <w:r w:rsidR="00282BFC" w:rsidRPr="00F53BDD">
        <w:t xml:space="preserve">Governance of </w:t>
      </w:r>
      <w:r w:rsidR="00971B4D" w:rsidRPr="00F53BDD">
        <w:t>t</w:t>
      </w:r>
      <w:r w:rsidR="00282BFC" w:rsidRPr="00F53BDD">
        <w:t>rading</w:t>
      </w:r>
      <w:bookmarkEnd w:id="47"/>
    </w:p>
    <w:p w:rsidR="004726DC" w:rsidRPr="00F53BDD" w:rsidRDefault="004726DC" w:rsidP="00AD5C0A">
      <w:pPr>
        <w:pStyle w:val="BodyText"/>
        <w:spacing w:before="0" w:after="0"/>
      </w:pPr>
      <w:r w:rsidRPr="00F53BDD">
        <w:t>Th</w:t>
      </w:r>
      <w:r w:rsidR="00E76718" w:rsidRPr="00F53BDD">
        <w:t>is</w:t>
      </w:r>
      <w:r w:rsidRPr="00F53BDD">
        <w:rPr>
          <w:i/>
          <w:iCs/>
        </w:rPr>
        <w:t xml:space="preserve"> </w:t>
      </w:r>
      <w:r w:rsidRPr="00F53BDD">
        <w:t>theme addresses two risks</w:t>
      </w:r>
      <w:r w:rsidR="00DF276D" w:rsidRPr="00F53BDD">
        <w:t>, set out below</w:t>
      </w:r>
      <w:r w:rsidRPr="00F53BDD">
        <w:t xml:space="preserve">. </w:t>
      </w:r>
    </w:p>
    <w:p w:rsidR="001D3F95" w:rsidRPr="00F53BDD" w:rsidRDefault="001D3F95" w:rsidP="00526B0D">
      <w:pPr>
        <w:pStyle w:val="Heading2"/>
      </w:pPr>
      <w:bookmarkStart w:id="48" w:name="_Toc75250068"/>
      <w:r w:rsidRPr="00F53BDD">
        <w:t xml:space="preserve">Risk 3: </w:t>
      </w:r>
      <w:r w:rsidR="00F27EA7" w:rsidRPr="00F53BDD">
        <w:t>L</w:t>
      </w:r>
      <w:r w:rsidRPr="00F53BDD">
        <w:t>ack of transparency, oversight and monitoring of</w:t>
      </w:r>
      <w:r w:rsidR="008260CB" w:rsidRPr="00F53BDD">
        <w:t> </w:t>
      </w:r>
      <w:r w:rsidRPr="00F53BDD">
        <w:t>trades in the secondary market</w:t>
      </w:r>
      <w:bookmarkEnd w:id="48"/>
    </w:p>
    <w:p w:rsidR="001D3F95" w:rsidRPr="00F53BDD" w:rsidRDefault="0031675C" w:rsidP="008260CB">
      <w:pPr>
        <w:pStyle w:val="BodyText"/>
        <w:rPr>
          <w:rFonts w:eastAsiaTheme="minorHAnsi"/>
          <w:lang w:eastAsia="en-US"/>
        </w:rPr>
      </w:pPr>
      <w:r w:rsidRPr="00F53BDD">
        <w:t>Increasing transparency</w:t>
      </w:r>
      <w:r w:rsidR="00F27EA7" w:rsidRPr="00F53BDD">
        <w:t xml:space="preserve"> in these areas </w:t>
      </w:r>
      <w:r w:rsidR="00DE0806" w:rsidRPr="00F53BDD">
        <w:rPr>
          <w:rFonts w:eastAsiaTheme="minorHAnsi"/>
          <w:lang w:eastAsia="en-US"/>
        </w:rPr>
        <w:t xml:space="preserve">has </w:t>
      </w:r>
      <w:r w:rsidR="001D3F95" w:rsidRPr="00F53BDD">
        <w:rPr>
          <w:rFonts w:eastAsiaTheme="minorHAnsi"/>
          <w:lang w:eastAsia="en-US"/>
        </w:rPr>
        <w:t xml:space="preserve">three </w:t>
      </w:r>
      <w:r w:rsidR="00DE0806" w:rsidRPr="00F53BDD">
        <w:rPr>
          <w:rFonts w:eastAsiaTheme="minorHAnsi"/>
          <w:lang w:eastAsia="en-US"/>
        </w:rPr>
        <w:t>benefits</w:t>
      </w:r>
      <w:r w:rsidR="00F27EA7" w:rsidRPr="00F53BDD">
        <w:rPr>
          <w:rFonts w:eastAsiaTheme="minorHAnsi"/>
          <w:lang w:eastAsia="en-US"/>
        </w:rPr>
        <w:t>:</w:t>
      </w:r>
      <w:r w:rsidR="001D3F95" w:rsidRPr="00F53BDD">
        <w:t xml:space="preserve"> </w:t>
      </w:r>
    </w:p>
    <w:p w:rsidR="001D3F95" w:rsidRPr="00F53BDD" w:rsidRDefault="00F27EA7" w:rsidP="00812A66">
      <w:pPr>
        <w:pStyle w:val="Bullet"/>
        <w:numPr>
          <w:ilvl w:val="0"/>
          <w:numId w:val="25"/>
        </w:numPr>
        <w:rPr>
          <w:rFonts w:eastAsiaTheme="minorHAnsi"/>
        </w:rPr>
      </w:pPr>
      <w:r w:rsidRPr="00F53BDD">
        <w:rPr>
          <w:rFonts w:eastAsiaTheme="minorHAnsi"/>
          <w:b/>
          <w:bCs/>
        </w:rPr>
        <w:t>A</w:t>
      </w:r>
      <w:r w:rsidR="001D3F95" w:rsidRPr="00F53BDD">
        <w:rPr>
          <w:rFonts w:eastAsiaTheme="minorHAnsi"/>
          <w:b/>
          <w:bCs/>
        </w:rPr>
        <w:t>llow</w:t>
      </w:r>
      <w:r w:rsidR="00DE0806" w:rsidRPr="00F53BDD">
        <w:rPr>
          <w:rFonts w:eastAsiaTheme="minorHAnsi"/>
          <w:b/>
          <w:bCs/>
        </w:rPr>
        <w:t>s</w:t>
      </w:r>
      <w:r w:rsidR="001D3F95" w:rsidRPr="00F53BDD">
        <w:rPr>
          <w:rFonts w:eastAsiaTheme="minorHAnsi"/>
          <w:b/>
          <w:bCs/>
        </w:rPr>
        <w:t xml:space="preserve"> for price discovery</w:t>
      </w:r>
      <w:r w:rsidR="001D3F95" w:rsidRPr="00FA2196">
        <w:rPr>
          <w:rFonts w:eastAsiaTheme="minorHAnsi"/>
          <w:b/>
          <w:bCs/>
        </w:rPr>
        <w:t>.</w:t>
      </w:r>
      <w:r w:rsidR="001D3F95" w:rsidRPr="00F53BDD">
        <w:t xml:space="preserve"> </w:t>
      </w:r>
      <w:r w:rsidR="00314148" w:rsidRPr="00F53BDD">
        <w:t>Transparent t</w:t>
      </w:r>
      <w:r w:rsidR="00A709F4" w:rsidRPr="00F53BDD">
        <w:t xml:space="preserve">rading </w:t>
      </w:r>
      <w:r w:rsidRPr="00F53BDD">
        <w:t>sends</w:t>
      </w:r>
      <w:r w:rsidRPr="00F53BDD">
        <w:rPr>
          <w:rFonts w:eastAsiaTheme="minorHAnsi"/>
        </w:rPr>
        <w:t xml:space="preserve"> </w:t>
      </w:r>
      <w:r w:rsidR="00752028" w:rsidRPr="00F53BDD">
        <w:rPr>
          <w:rFonts w:eastAsiaTheme="minorHAnsi"/>
        </w:rPr>
        <w:t xml:space="preserve">more efficient </w:t>
      </w:r>
      <w:r w:rsidR="001D3F95" w:rsidRPr="00F53BDD">
        <w:rPr>
          <w:rFonts w:eastAsiaTheme="minorHAnsi"/>
        </w:rPr>
        <w:t>price signal</w:t>
      </w:r>
      <w:r w:rsidR="00A709F4" w:rsidRPr="00F53BDD">
        <w:rPr>
          <w:rFonts w:eastAsiaTheme="minorHAnsi"/>
        </w:rPr>
        <w:t>s</w:t>
      </w:r>
      <w:r w:rsidRPr="00F53BDD">
        <w:rPr>
          <w:rFonts w:eastAsiaTheme="minorHAnsi"/>
        </w:rPr>
        <w:t>,</w:t>
      </w:r>
      <w:r w:rsidR="00A709F4" w:rsidRPr="00F53BDD">
        <w:rPr>
          <w:rFonts w:eastAsiaTheme="minorHAnsi"/>
        </w:rPr>
        <w:t xml:space="preserve"> which</w:t>
      </w:r>
      <w:r w:rsidR="001D3F95" w:rsidRPr="00F53BDD">
        <w:rPr>
          <w:rFonts w:eastAsiaTheme="minorHAnsi"/>
        </w:rPr>
        <w:t xml:space="preserve"> help </w:t>
      </w:r>
      <w:r w:rsidR="00D93B6A" w:rsidRPr="00F53BDD">
        <w:rPr>
          <w:rFonts w:eastAsiaTheme="minorHAnsi"/>
        </w:rPr>
        <w:t>u</w:t>
      </w:r>
      <w:r w:rsidR="00DE0806" w:rsidRPr="00F53BDD">
        <w:rPr>
          <w:rFonts w:eastAsiaTheme="minorHAnsi"/>
        </w:rPr>
        <w:t>sers</w:t>
      </w:r>
      <w:r w:rsidR="001D3F95" w:rsidRPr="00F53BDD">
        <w:rPr>
          <w:rFonts w:eastAsiaTheme="minorHAnsi"/>
        </w:rPr>
        <w:t xml:space="preserve"> decide whe</w:t>
      </w:r>
      <w:r w:rsidRPr="00F53BDD">
        <w:rPr>
          <w:rFonts w:eastAsiaTheme="minorHAnsi"/>
        </w:rPr>
        <w:t>ther</w:t>
      </w:r>
      <w:r w:rsidR="00971B4D" w:rsidRPr="00F53BDD">
        <w:rPr>
          <w:rFonts w:eastAsiaTheme="minorHAnsi"/>
        </w:rPr>
        <w:t xml:space="preserve"> </w:t>
      </w:r>
      <w:r w:rsidR="001D3F95" w:rsidRPr="00F53BDD">
        <w:rPr>
          <w:rFonts w:eastAsiaTheme="minorHAnsi"/>
        </w:rPr>
        <w:t xml:space="preserve">it is worth </w:t>
      </w:r>
      <w:r w:rsidR="00971B4D" w:rsidRPr="00F53BDD">
        <w:rPr>
          <w:rFonts w:eastAsiaTheme="minorHAnsi"/>
        </w:rPr>
        <w:t xml:space="preserve">reducing emissions </w:t>
      </w:r>
      <w:r w:rsidR="001D3F95" w:rsidRPr="00F53BDD">
        <w:rPr>
          <w:rFonts w:eastAsiaTheme="minorHAnsi"/>
        </w:rPr>
        <w:t>on their own or buying NZUs to cover obligations</w:t>
      </w:r>
      <w:r w:rsidR="0031675C" w:rsidRPr="00F53BDD">
        <w:rPr>
          <w:rFonts w:eastAsiaTheme="minorHAnsi"/>
        </w:rPr>
        <w:t>.</w:t>
      </w:r>
    </w:p>
    <w:p w:rsidR="001D3F95" w:rsidRPr="00F53BDD" w:rsidRDefault="00F27EA7" w:rsidP="00812A66">
      <w:pPr>
        <w:pStyle w:val="Bullet"/>
        <w:numPr>
          <w:ilvl w:val="0"/>
          <w:numId w:val="25"/>
        </w:numPr>
        <w:rPr>
          <w:rFonts w:eastAsiaTheme="minorHAnsi"/>
          <w:lang w:eastAsia="en-US"/>
        </w:rPr>
      </w:pPr>
      <w:r w:rsidRPr="00F53BDD">
        <w:rPr>
          <w:rFonts w:eastAsiaTheme="minorHAnsi"/>
          <w:b/>
          <w:bCs/>
          <w:lang w:eastAsia="en-US"/>
        </w:rPr>
        <w:t>C</w:t>
      </w:r>
      <w:r w:rsidR="0031675C" w:rsidRPr="00F53BDD">
        <w:rPr>
          <w:rFonts w:eastAsiaTheme="minorHAnsi"/>
          <w:b/>
          <w:bCs/>
          <w:lang w:eastAsia="en-US"/>
        </w:rPr>
        <w:t>reates a fair and equal playing field</w:t>
      </w:r>
      <w:r w:rsidR="001D3F95" w:rsidRPr="00F53BDD">
        <w:rPr>
          <w:rFonts w:eastAsiaTheme="minorHAnsi"/>
          <w:b/>
          <w:bCs/>
          <w:lang w:eastAsia="en-US"/>
        </w:rPr>
        <w:t>.</w:t>
      </w:r>
      <w:r w:rsidR="001D3F95" w:rsidRPr="00F53BDD">
        <w:rPr>
          <w:rFonts w:eastAsiaTheme="minorHAnsi"/>
          <w:lang w:eastAsia="en-US"/>
        </w:rPr>
        <w:t xml:space="preserve"> </w:t>
      </w:r>
      <w:r w:rsidR="00A709F4" w:rsidRPr="00F53BDD">
        <w:rPr>
          <w:rFonts w:eastAsiaTheme="minorHAnsi"/>
          <w:lang w:eastAsia="en-US"/>
        </w:rPr>
        <w:t xml:space="preserve">Equal access to information </w:t>
      </w:r>
      <w:r w:rsidR="00752028" w:rsidRPr="00F53BDD">
        <w:rPr>
          <w:rFonts w:eastAsiaTheme="minorHAnsi"/>
          <w:lang w:eastAsia="en-US"/>
        </w:rPr>
        <w:t xml:space="preserve">creates </w:t>
      </w:r>
      <w:r w:rsidR="001D3F95" w:rsidRPr="00F53BDD">
        <w:rPr>
          <w:rFonts w:eastAsiaTheme="minorHAnsi"/>
          <w:lang w:eastAsia="en-US"/>
        </w:rPr>
        <w:t xml:space="preserve">a </w:t>
      </w:r>
      <w:r w:rsidRPr="00F53BDD">
        <w:rPr>
          <w:rFonts w:eastAsiaTheme="minorHAnsi"/>
          <w:lang w:eastAsia="en-US"/>
        </w:rPr>
        <w:t>level</w:t>
      </w:r>
      <w:r w:rsidR="001D3F95" w:rsidRPr="00F53BDD">
        <w:rPr>
          <w:rFonts w:eastAsiaTheme="minorHAnsi"/>
          <w:lang w:eastAsia="en-US"/>
        </w:rPr>
        <w:t xml:space="preserve"> playing field for all </w:t>
      </w:r>
      <w:r w:rsidR="00D53694" w:rsidRPr="00F53BDD">
        <w:rPr>
          <w:rFonts w:eastAsiaTheme="minorHAnsi"/>
          <w:lang w:eastAsia="en-US"/>
        </w:rPr>
        <w:t>user</w:t>
      </w:r>
      <w:r w:rsidR="00DE0806" w:rsidRPr="00F53BDD">
        <w:rPr>
          <w:rFonts w:eastAsiaTheme="minorHAnsi"/>
          <w:lang w:eastAsia="en-US"/>
        </w:rPr>
        <w:t>s</w:t>
      </w:r>
      <w:r w:rsidR="001D3F95" w:rsidRPr="00F53BDD">
        <w:rPr>
          <w:rFonts w:eastAsiaTheme="minorHAnsi"/>
          <w:lang w:eastAsia="en-US"/>
        </w:rPr>
        <w:t xml:space="preserve">. </w:t>
      </w:r>
      <w:r w:rsidR="00AC2F20" w:rsidRPr="00F53BDD">
        <w:rPr>
          <w:rFonts w:eastAsiaTheme="minorHAnsi"/>
          <w:lang w:eastAsia="en-US"/>
        </w:rPr>
        <w:t xml:space="preserve">This includes market information, such as trading price and volume, and </w:t>
      </w:r>
      <w:r w:rsidR="001D3F95" w:rsidRPr="00F53BDD">
        <w:rPr>
          <w:rFonts w:eastAsiaTheme="minorHAnsi"/>
          <w:lang w:eastAsia="en-US"/>
        </w:rPr>
        <w:t>information about future policy changes.</w:t>
      </w:r>
    </w:p>
    <w:p w:rsidR="001D3F95" w:rsidRPr="00F53BDD" w:rsidRDefault="00F27EA7" w:rsidP="00812A66">
      <w:pPr>
        <w:pStyle w:val="Bullet"/>
        <w:numPr>
          <w:ilvl w:val="0"/>
          <w:numId w:val="25"/>
        </w:numPr>
        <w:rPr>
          <w:rFonts w:ascii="Source Sans Pro" w:eastAsiaTheme="minorHAnsi" w:hAnsi="Source Sans Pro" w:cs="Source Sans Pro"/>
          <w:color w:val="000000"/>
          <w:sz w:val="20"/>
          <w:lang w:eastAsia="en-US"/>
        </w:rPr>
      </w:pPr>
      <w:r w:rsidRPr="00F53BDD">
        <w:rPr>
          <w:rFonts w:eastAsiaTheme="minorHAnsi"/>
          <w:b/>
          <w:bCs/>
        </w:rPr>
        <w:t>H</w:t>
      </w:r>
      <w:r w:rsidR="00DE0806" w:rsidRPr="00F53BDD">
        <w:rPr>
          <w:rFonts w:eastAsiaTheme="minorHAnsi"/>
          <w:b/>
          <w:bCs/>
        </w:rPr>
        <w:t xml:space="preserve">elps identify </w:t>
      </w:r>
      <w:r w:rsidR="001D3F95" w:rsidRPr="00F53BDD">
        <w:rPr>
          <w:rFonts w:eastAsiaTheme="minorHAnsi"/>
          <w:b/>
          <w:bCs/>
        </w:rPr>
        <w:t>manipulation and fraud.</w:t>
      </w:r>
      <w:r w:rsidR="001D3F95" w:rsidRPr="00F53BDD">
        <w:rPr>
          <w:rFonts w:eastAsiaTheme="minorHAnsi"/>
        </w:rPr>
        <w:t xml:space="preserve"> </w:t>
      </w:r>
      <w:r w:rsidR="00314148" w:rsidRPr="00F53BDD">
        <w:rPr>
          <w:rFonts w:eastAsiaTheme="minorHAnsi"/>
        </w:rPr>
        <w:t>M</w:t>
      </w:r>
      <w:r w:rsidR="00A709F4" w:rsidRPr="00F53BDD">
        <w:rPr>
          <w:rFonts w:eastAsiaTheme="minorHAnsi"/>
        </w:rPr>
        <w:t xml:space="preserve">onitoring trades allows </w:t>
      </w:r>
      <w:r w:rsidR="00DE0806" w:rsidRPr="00F53BDD">
        <w:rPr>
          <w:rFonts w:eastAsiaTheme="minorHAnsi"/>
        </w:rPr>
        <w:t xml:space="preserve">a regulator to identify </w:t>
      </w:r>
      <w:r w:rsidR="00A709F4" w:rsidRPr="00F53BDD">
        <w:rPr>
          <w:rFonts w:eastAsiaTheme="minorHAnsi"/>
        </w:rPr>
        <w:t xml:space="preserve">any wrongdoing, misconduct or anti-competitive behaviour. </w:t>
      </w:r>
      <w:r w:rsidRPr="00F53BDD">
        <w:rPr>
          <w:rFonts w:eastAsiaTheme="minorHAnsi"/>
        </w:rPr>
        <w:t xml:space="preserve">It </w:t>
      </w:r>
      <w:r w:rsidR="00A709F4" w:rsidRPr="00F53BDD">
        <w:rPr>
          <w:rFonts w:eastAsiaTheme="minorHAnsi"/>
        </w:rPr>
        <w:t xml:space="preserve">also </w:t>
      </w:r>
      <w:r w:rsidR="001E0B58" w:rsidRPr="00F53BDD">
        <w:rPr>
          <w:rFonts w:eastAsiaTheme="minorHAnsi"/>
        </w:rPr>
        <w:t>keeps</w:t>
      </w:r>
      <w:r w:rsidR="00314148" w:rsidRPr="00F53BDD">
        <w:rPr>
          <w:rFonts w:eastAsiaTheme="minorHAnsi"/>
        </w:rPr>
        <w:t xml:space="preserve"> </w:t>
      </w:r>
      <w:r w:rsidR="00DE0806" w:rsidRPr="00F53BDD">
        <w:rPr>
          <w:rFonts w:eastAsiaTheme="minorHAnsi"/>
        </w:rPr>
        <w:t xml:space="preserve">the NZ ETS market </w:t>
      </w:r>
      <w:r w:rsidR="00A709F4" w:rsidRPr="00F53BDD">
        <w:rPr>
          <w:rFonts w:eastAsiaTheme="minorHAnsi"/>
        </w:rPr>
        <w:t>perform</w:t>
      </w:r>
      <w:r w:rsidR="001E0B58" w:rsidRPr="00F53BDD">
        <w:rPr>
          <w:rFonts w:eastAsiaTheme="minorHAnsi"/>
        </w:rPr>
        <w:t>ing</w:t>
      </w:r>
      <w:r w:rsidR="00A709F4" w:rsidRPr="00F53BDD">
        <w:rPr>
          <w:rFonts w:eastAsiaTheme="minorHAnsi"/>
        </w:rPr>
        <w:t xml:space="preserve"> as intended</w:t>
      </w:r>
      <w:r w:rsidR="001E0B58" w:rsidRPr="00F53BDD">
        <w:rPr>
          <w:rFonts w:eastAsiaTheme="minorHAnsi"/>
        </w:rPr>
        <w:t>,</w:t>
      </w:r>
      <w:r w:rsidR="00314148" w:rsidRPr="00F53BDD">
        <w:rPr>
          <w:rFonts w:eastAsiaTheme="minorHAnsi"/>
        </w:rPr>
        <w:t xml:space="preserve"> and </w:t>
      </w:r>
      <w:r w:rsidR="00A709F4" w:rsidRPr="00F53BDD">
        <w:rPr>
          <w:rFonts w:eastAsiaTheme="minorHAnsi"/>
        </w:rPr>
        <w:t>users</w:t>
      </w:r>
      <w:r w:rsidR="001E0B58" w:rsidRPr="00F53BDD">
        <w:rPr>
          <w:rFonts w:eastAsiaTheme="minorHAnsi"/>
        </w:rPr>
        <w:t>’ behaviour</w:t>
      </w:r>
      <w:r w:rsidR="0031675C" w:rsidRPr="00F53BDD">
        <w:rPr>
          <w:rFonts w:eastAsiaTheme="minorHAnsi"/>
        </w:rPr>
        <w:t xml:space="preserve"> in line with </w:t>
      </w:r>
      <w:r w:rsidR="001E0B58" w:rsidRPr="00F53BDD">
        <w:rPr>
          <w:rFonts w:eastAsiaTheme="minorHAnsi"/>
        </w:rPr>
        <w:t xml:space="preserve">the </w:t>
      </w:r>
      <w:r w:rsidR="0031675C" w:rsidRPr="00F53BDD">
        <w:rPr>
          <w:rFonts w:eastAsiaTheme="minorHAnsi"/>
        </w:rPr>
        <w:t>rules.</w:t>
      </w:r>
    </w:p>
    <w:p w:rsidR="001D3F95" w:rsidRPr="00F53BDD" w:rsidRDefault="001D3F95" w:rsidP="00526B0D">
      <w:pPr>
        <w:pStyle w:val="Heading2"/>
      </w:pPr>
      <w:bookmarkStart w:id="49" w:name="_Toc75250069"/>
      <w:r w:rsidRPr="00F53BDD">
        <w:t xml:space="preserve">Risk 4: Credit and </w:t>
      </w:r>
      <w:r w:rsidR="001E0B58" w:rsidRPr="00F53BDD">
        <w:t>counter-party</w:t>
      </w:r>
      <w:r w:rsidRPr="00F53BDD">
        <w:t xml:space="preserve"> risk</w:t>
      </w:r>
      <w:bookmarkEnd w:id="49"/>
    </w:p>
    <w:p w:rsidR="00B64BDB" w:rsidRPr="00F53BDD" w:rsidRDefault="00314148" w:rsidP="001D3F95">
      <w:pPr>
        <w:pStyle w:val="BodyText"/>
      </w:pPr>
      <w:r w:rsidRPr="00F53BDD">
        <w:t>C</w:t>
      </w:r>
      <w:r w:rsidR="001D3F95" w:rsidRPr="00F53BDD">
        <w:t xml:space="preserve">redit and </w:t>
      </w:r>
      <w:r w:rsidR="001E0B58" w:rsidRPr="00F53BDD">
        <w:t>counter-party</w:t>
      </w:r>
      <w:r w:rsidR="001D3F95" w:rsidRPr="00F53BDD">
        <w:t xml:space="preserve"> risk </w:t>
      </w:r>
      <w:r w:rsidRPr="00F53BDD">
        <w:t>is</w:t>
      </w:r>
      <w:r w:rsidR="000E3F10" w:rsidRPr="00F53BDD">
        <w:t xml:space="preserve"> </w:t>
      </w:r>
      <w:r w:rsidR="00B64BDB" w:rsidRPr="00F53BDD">
        <w:t>the possibilit</w:t>
      </w:r>
      <w:r w:rsidR="00971B4D" w:rsidRPr="00F53BDD">
        <w:t>y</w:t>
      </w:r>
      <w:r w:rsidR="00B64BDB" w:rsidRPr="00F53BDD">
        <w:t xml:space="preserve"> that one of the parties to </w:t>
      </w:r>
      <w:r w:rsidR="000E3F10" w:rsidRPr="00F53BDD">
        <w:t xml:space="preserve">an NZU </w:t>
      </w:r>
      <w:r w:rsidR="00B64BDB" w:rsidRPr="00F53BDD">
        <w:t>trade default</w:t>
      </w:r>
      <w:r w:rsidR="00CF4777" w:rsidRPr="00F53BDD">
        <w:t>s</w:t>
      </w:r>
      <w:r w:rsidR="00B64BDB" w:rsidRPr="00F53BDD">
        <w:t xml:space="preserve"> on their contractual obligations</w:t>
      </w:r>
      <w:r w:rsidR="00CF4777" w:rsidRPr="00F53BDD">
        <w:t xml:space="preserve">. </w:t>
      </w:r>
      <w:r w:rsidR="00B64BDB" w:rsidRPr="00F53BDD">
        <w:t>Example</w:t>
      </w:r>
      <w:r w:rsidR="0042557A" w:rsidRPr="00F53BDD">
        <w:t>s</w:t>
      </w:r>
      <w:r w:rsidR="00B64BDB" w:rsidRPr="00F53BDD">
        <w:t xml:space="preserve"> of this include:</w:t>
      </w:r>
    </w:p>
    <w:p w:rsidR="00B64BDB" w:rsidRPr="00F53BDD" w:rsidRDefault="00B64BDB" w:rsidP="008260CB">
      <w:pPr>
        <w:pStyle w:val="Bullet"/>
      </w:pPr>
      <w:r w:rsidRPr="00F53BDD">
        <w:t xml:space="preserve">one </w:t>
      </w:r>
      <w:r w:rsidR="001352E6" w:rsidRPr="00F53BDD">
        <w:t>us</w:t>
      </w:r>
      <w:r w:rsidR="000E3F10" w:rsidRPr="00F53BDD">
        <w:t>er</w:t>
      </w:r>
      <w:r w:rsidRPr="00F53BDD">
        <w:t xml:space="preserve"> default</w:t>
      </w:r>
      <w:r w:rsidR="001E0B58" w:rsidRPr="00F53BDD">
        <w:t>s</w:t>
      </w:r>
      <w:r w:rsidRPr="00F53BDD">
        <w:t xml:space="preserve"> on payments for the</w:t>
      </w:r>
      <w:r w:rsidR="005A6E4F" w:rsidRPr="00F53BDD">
        <w:t>ir</w:t>
      </w:r>
      <w:r w:rsidRPr="00F53BDD">
        <w:t xml:space="preserve"> NZU</w:t>
      </w:r>
      <w:r w:rsidR="000E3F10" w:rsidRPr="00F53BDD">
        <w:t xml:space="preserve"> as part of a trade</w:t>
      </w:r>
    </w:p>
    <w:p w:rsidR="00B64BDB" w:rsidRPr="00F53BDD" w:rsidRDefault="00B64BDB" w:rsidP="00526B0D">
      <w:pPr>
        <w:pStyle w:val="Bullet"/>
      </w:pPr>
      <w:r w:rsidRPr="00F53BDD">
        <w:t>payment is made but the NZUs are not transferred</w:t>
      </w:r>
      <w:r w:rsidR="001E0B58" w:rsidRPr="00F53BDD">
        <w:t>,</w:t>
      </w:r>
      <w:r w:rsidRPr="00F53BDD">
        <w:t xml:space="preserve"> as the selling party defaults.</w:t>
      </w:r>
    </w:p>
    <w:p w:rsidR="001D3F95" w:rsidRPr="00F53BDD" w:rsidRDefault="00B64BDB" w:rsidP="008260CB">
      <w:pPr>
        <w:pStyle w:val="BodyText"/>
      </w:pPr>
      <w:r w:rsidRPr="00F53BDD">
        <w:t xml:space="preserve">Trades that cannot be settled affect </w:t>
      </w:r>
      <w:r w:rsidR="00314148" w:rsidRPr="00F53BDD">
        <w:t xml:space="preserve">the </w:t>
      </w:r>
      <w:r w:rsidRPr="00F53BDD">
        <w:t xml:space="preserve">compliance </w:t>
      </w:r>
      <w:r w:rsidR="004F5403" w:rsidRPr="00F53BDD">
        <w:t>and</w:t>
      </w:r>
      <w:r w:rsidRPr="00F53BDD">
        <w:t xml:space="preserve"> financial position of </w:t>
      </w:r>
      <w:r w:rsidR="00CF4777" w:rsidRPr="00F53BDD">
        <w:t>users</w:t>
      </w:r>
      <w:r w:rsidRPr="00F53BDD">
        <w:t xml:space="preserve">. </w:t>
      </w:r>
      <w:r w:rsidR="001D3F95" w:rsidRPr="00F53BDD">
        <w:rPr>
          <w:rFonts w:eastAsia="Times New Roman"/>
        </w:rPr>
        <w:t xml:space="preserve">If the receiving </w:t>
      </w:r>
      <w:r w:rsidR="000E3F10" w:rsidRPr="00F53BDD">
        <w:rPr>
          <w:rFonts w:eastAsia="Times New Roman"/>
        </w:rPr>
        <w:t>user</w:t>
      </w:r>
      <w:r w:rsidR="001D3F95" w:rsidRPr="00F53BDD">
        <w:rPr>
          <w:rFonts w:eastAsia="Times New Roman"/>
        </w:rPr>
        <w:t xml:space="preserve"> </w:t>
      </w:r>
      <w:r w:rsidRPr="00F53BDD">
        <w:rPr>
          <w:rFonts w:eastAsia="Times New Roman"/>
        </w:rPr>
        <w:t>does no</w:t>
      </w:r>
      <w:r w:rsidR="001D3F95" w:rsidRPr="00F53BDD">
        <w:rPr>
          <w:rFonts w:eastAsia="Times New Roman"/>
        </w:rPr>
        <w:t>t have units to surrender by</w:t>
      </w:r>
      <w:r w:rsidR="0042557A" w:rsidRPr="00F53BDD">
        <w:rPr>
          <w:rFonts w:eastAsia="Times New Roman"/>
        </w:rPr>
        <w:t xml:space="preserve"> the</w:t>
      </w:r>
      <w:r w:rsidR="001D3F95" w:rsidRPr="00F53BDD">
        <w:rPr>
          <w:rFonts w:eastAsia="Times New Roman"/>
        </w:rPr>
        <w:t xml:space="preserve"> due date, because of </w:t>
      </w:r>
      <w:r w:rsidR="005E3DE8" w:rsidRPr="00F53BDD">
        <w:rPr>
          <w:rFonts w:eastAsia="Times New Roman"/>
        </w:rPr>
        <w:t>a trade failing to settle</w:t>
      </w:r>
      <w:r w:rsidR="001D3F95" w:rsidRPr="00F53BDD">
        <w:rPr>
          <w:rFonts w:eastAsia="Times New Roman"/>
        </w:rPr>
        <w:t xml:space="preserve">, they would </w:t>
      </w:r>
      <w:r w:rsidR="001E0B58" w:rsidRPr="00F53BDD">
        <w:rPr>
          <w:rFonts w:eastAsia="Times New Roman"/>
        </w:rPr>
        <w:t xml:space="preserve">face </w:t>
      </w:r>
      <w:r w:rsidR="001D3F95" w:rsidRPr="00F53BDD">
        <w:rPr>
          <w:rFonts w:eastAsia="Times New Roman"/>
        </w:rPr>
        <w:t xml:space="preserve">the penalty under </w:t>
      </w:r>
      <w:r w:rsidR="001352E6" w:rsidRPr="00F53BDD">
        <w:rPr>
          <w:rFonts w:eastAsia="Times New Roman"/>
        </w:rPr>
        <w:t>section 134 of the Climate Change Response Act 2002</w:t>
      </w:r>
      <w:r w:rsidR="001E0B58" w:rsidRPr="00F53BDD">
        <w:rPr>
          <w:rFonts w:eastAsia="Times New Roman"/>
        </w:rPr>
        <w:t xml:space="preserve"> –</w:t>
      </w:r>
      <w:r w:rsidR="001352E6" w:rsidRPr="00F53BDD">
        <w:rPr>
          <w:rFonts w:eastAsia="Times New Roman"/>
        </w:rPr>
        <w:t xml:space="preserve"> </w:t>
      </w:r>
      <w:r w:rsidR="001D3F95" w:rsidRPr="00F53BDD">
        <w:rPr>
          <w:rFonts w:eastAsia="Times New Roman"/>
        </w:rPr>
        <w:t xml:space="preserve">three times the price of NZUs multiplied by the number of outstanding units, </w:t>
      </w:r>
      <w:r w:rsidR="00291C2B" w:rsidRPr="00F53BDD">
        <w:rPr>
          <w:rFonts w:eastAsia="Times New Roman"/>
        </w:rPr>
        <w:t>as well as</w:t>
      </w:r>
      <w:r w:rsidR="006D4B3C" w:rsidRPr="00F53BDD">
        <w:rPr>
          <w:rFonts w:eastAsia="Times New Roman"/>
        </w:rPr>
        <w:t> </w:t>
      </w:r>
      <w:r w:rsidR="005E3DE8" w:rsidRPr="00F53BDD">
        <w:rPr>
          <w:rFonts w:eastAsia="Times New Roman"/>
        </w:rPr>
        <w:t>fulfilling their surrender obligation.</w:t>
      </w:r>
      <w:r w:rsidR="001D3F95" w:rsidRPr="00F53BDD">
        <w:rPr>
          <w:rFonts w:eastAsia="Times New Roman"/>
        </w:rPr>
        <w:t xml:space="preserve"> </w:t>
      </w:r>
    </w:p>
    <w:p w:rsidR="007C649E" w:rsidRPr="00F53BDD" w:rsidRDefault="001D3F95" w:rsidP="007C649E">
      <w:pPr>
        <w:pStyle w:val="Heading2"/>
      </w:pPr>
      <w:bookmarkStart w:id="50" w:name="_Toc75250070"/>
      <w:r w:rsidRPr="00F53BDD">
        <w:t>Options</w:t>
      </w:r>
      <w:bookmarkEnd w:id="50"/>
    </w:p>
    <w:p w:rsidR="007C649E" w:rsidRPr="00F53BDD" w:rsidRDefault="007C649E" w:rsidP="008260CB">
      <w:pPr>
        <w:pStyle w:val="Heading3"/>
        <w:spacing w:before="240"/>
      </w:pPr>
      <w:r w:rsidRPr="00F53BDD">
        <w:t>B1. Maintain the status quo</w:t>
      </w:r>
    </w:p>
    <w:p w:rsidR="00695E3D" w:rsidRPr="00F53BDD" w:rsidRDefault="00695E3D" w:rsidP="008260CB">
      <w:pPr>
        <w:pStyle w:val="BodyText"/>
      </w:pPr>
      <w:r w:rsidRPr="00F53BDD">
        <w:t xml:space="preserve">Most NZU trades today are </w:t>
      </w:r>
      <w:r w:rsidR="00F25D7A" w:rsidRPr="00F53BDD">
        <w:t>over the counter</w:t>
      </w:r>
      <w:r w:rsidRPr="00F53BDD">
        <w:t xml:space="preserve"> (OTC)</w:t>
      </w:r>
      <w:r w:rsidR="00291C2B" w:rsidRPr="00F53BDD">
        <w:t>,</w:t>
      </w:r>
      <w:r w:rsidRPr="00F53BDD">
        <w:t xml:space="preserve"> involv</w:t>
      </w:r>
      <w:r w:rsidR="00291C2B" w:rsidRPr="00F53BDD">
        <w:t>ing</w:t>
      </w:r>
      <w:r w:rsidRPr="00F53BDD">
        <w:t xml:space="preserve"> a direct trading relationship between a buyer and seller. </w:t>
      </w:r>
      <w:r w:rsidR="005444EF" w:rsidRPr="00F53BDD">
        <w:t>Some</w:t>
      </w:r>
      <w:r w:rsidRPr="00F53BDD">
        <w:t xml:space="preserve"> traders act as dealers by </w:t>
      </w:r>
      <w:r w:rsidR="003B3E4D" w:rsidRPr="00F53BDD">
        <w:t xml:space="preserve">forming </w:t>
      </w:r>
      <w:r w:rsidRPr="00F53BDD">
        <w:t xml:space="preserve">trading networks and relationships. OTC trades occur without </w:t>
      </w:r>
      <w:r w:rsidR="00FE77CF" w:rsidRPr="00F53BDD">
        <w:t xml:space="preserve">government </w:t>
      </w:r>
      <w:r w:rsidRPr="00F53BDD">
        <w:t>supervision or using an exchange. There</w:t>
      </w:r>
      <w:r w:rsidR="00A57A4E" w:rsidRPr="00F53BDD">
        <w:t> </w:t>
      </w:r>
      <w:r w:rsidRPr="00F53BDD">
        <w:t>is</w:t>
      </w:r>
      <w:r w:rsidR="00A57A4E" w:rsidRPr="00F53BDD">
        <w:t> </w:t>
      </w:r>
      <w:r w:rsidRPr="00F53BDD">
        <w:t>no transaction or price reporting for OTC trades, but NZU holdings are maintained in</w:t>
      </w:r>
      <w:r w:rsidR="00156BD0" w:rsidRPr="00F53BDD">
        <w:t> </w:t>
      </w:r>
      <w:r w:rsidRPr="00F53BDD">
        <w:t>the Register.</w:t>
      </w:r>
      <w:r w:rsidR="00EF04DA" w:rsidRPr="00F53BDD">
        <w:t xml:space="preserve"> </w:t>
      </w:r>
    </w:p>
    <w:p w:rsidR="00695E3D" w:rsidRPr="00F53BDD" w:rsidRDefault="00695E3D" w:rsidP="00695E3D">
      <w:pPr>
        <w:pStyle w:val="BodyText"/>
      </w:pPr>
      <w:r w:rsidRPr="00F53BDD">
        <w:t>OTC trading has the following challenges:</w:t>
      </w:r>
    </w:p>
    <w:p w:rsidR="00695E3D" w:rsidRPr="00F53BDD" w:rsidRDefault="00695E3D" w:rsidP="008260CB">
      <w:pPr>
        <w:pStyle w:val="Bullet"/>
      </w:pPr>
      <w:r w:rsidRPr="00F53BDD">
        <w:rPr>
          <w:b/>
          <w:bCs/>
        </w:rPr>
        <w:t>Poor transparency</w:t>
      </w:r>
      <w:r w:rsidRPr="00FA2196">
        <w:rPr>
          <w:b/>
          <w:bCs/>
        </w:rPr>
        <w:t>.</w:t>
      </w:r>
      <w:r w:rsidRPr="00F53BDD">
        <w:t xml:space="preserve"> Because </w:t>
      </w:r>
      <w:r w:rsidR="003B3E4D" w:rsidRPr="00F53BDD">
        <w:t>it</w:t>
      </w:r>
      <w:r w:rsidRPr="00F53BDD">
        <w:t xml:space="preserve"> involve</w:t>
      </w:r>
      <w:r w:rsidR="00291C2B" w:rsidRPr="00F53BDD">
        <w:t>s</w:t>
      </w:r>
      <w:r w:rsidRPr="00F53BDD">
        <w:t xml:space="preserve"> bilateral trades, only the NZU buyer and seller know the final trade price and trad</w:t>
      </w:r>
      <w:r w:rsidR="00670FA0" w:rsidRPr="00F53BDD">
        <w:t>ing</w:t>
      </w:r>
      <w:r w:rsidRPr="00F53BDD">
        <w:t xml:space="preserve"> details</w:t>
      </w:r>
      <w:r w:rsidR="003B3E4D" w:rsidRPr="00F53BDD">
        <w:t>,</w:t>
      </w:r>
      <w:r w:rsidRPr="00F53BDD">
        <w:t xml:space="preserve"> which limits price discovery in the </w:t>
      </w:r>
      <w:r w:rsidR="00670FA0" w:rsidRPr="00F53BDD">
        <w:t>scheme</w:t>
      </w:r>
      <w:r w:rsidRPr="00F53BDD">
        <w:t>.</w:t>
      </w:r>
    </w:p>
    <w:p w:rsidR="00695E3D" w:rsidRPr="00F53BDD" w:rsidRDefault="00695E3D" w:rsidP="008260CB">
      <w:pPr>
        <w:pStyle w:val="Bullet"/>
      </w:pPr>
      <w:r w:rsidRPr="00F53BDD">
        <w:rPr>
          <w:b/>
          <w:bCs/>
        </w:rPr>
        <w:t>OTC trades can be illiquid</w:t>
      </w:r>
      <w:r w:rsidRPr="00FA2196">
        <w:rPr>
          <w:b/>
          <w:bCs/>
        </w:rPr>
        <w:t>.</w:t>
      </w:r>
      <w:r w:rsidR="008B7A44" w:rsidRPr="00F53BDD">
        <w:rPr>
          <w:color w:val="183C47"/>
          <w:vertAlign w:val="superscript"/>
        </w:rPr>
        <w:footnoteReference w:id="10"/>
      </w:r>
      <w:r w:rsidRPr="00F53BDD">
        <w:t xml:space="preserve"> </w:t>
      </w:r>
      <w:r w:rsidR="003B3E4D" w:rsidRPr="00F53BDD">
        <w:t>T</w:t>
      </w:r>
      <w:r w:rsidRPr="00F53BDD">
        <w:t>raders can exit the market at any time,</w:t>
      </w:r>
      <w:r w:rsidR="00291C2B" w:rsidRPr="00F53BDD">
        <w:t xml:space="preserve"> </w:t>
      </w:r>
      <w:r w:rsidRPr="00F53BDD">
        <w:t>limit</w:t>
      </w:r>
      <w:r w:rsidR="00291C2B" w:rsidRPr="00F53BDD">
        <w:t>ing</w:t>
      </w:r>
      <w:r w:rsidRPr="00F53BDD">
        <w:t xml:space="preserve"> the ability of other traders to buy or sell NZUs. </w:t>
      </w:r>
    </w:p>
    <w:p w:rsidR="00695E3D" w:rsidRPr="00F53BDD" w:rsidRDefault="00695E3D" w:rsidP="00695E3D">
      <w:pPr>
        <w:pStyle w:val="Bullet"/>
      </w:pPr>
      <w:r w:rsidRPr="00F53BDD">
        <w:rPr>
          <w:b/>
          <w:bCs/>
        </w:rPr>
        <w:t xml:space="preserve">Greater credit and </w:t>
      </w:r>
      <w:r w:rsidR="001E0B58" w:rsidRPr="00F53BDD">
        <w:rPr>
          <w:b/>
          <w:bCs/>
        </w:rPr>
        <w:t>counter-party</w:t>
      </w:r>
      <w:r w:rsidRPr="00F53BDD">
        <w:rPr>
          <w:b/>
          <w:bCs/>
        </w:rPr>
        <w:t xml:space="preserve"> risk</w:t>
      </w:r>
      <w:r w:rsidRPr="00FA2196">
        <w:rPr>
          <w:b/>
          <w:bCs/>
        </w:rPr>
        <w:t>.</w:t>
      </w:r>
      <w:r w:rsidRPr="00F53BDD">
        <w:t xml:space="preserve"> The bespoke nature of OTC trades means one of the parties may default on the trade</w:t>
      </w:r>
      <w:r w:rsidR="000744C4" w:rsidRPr="00F53BDD">
        <w:t>. N</w:t>
      </w:r>
      <w:r w:rsidRPr="00F53BDD">
        <w:t>either party will have knowledge of the other</w:t>
      </w:r>
      <w:r w:rsidR="003B3E4D" w:rsidRPr="00F53BDD">
        <w:t>’s</w:t>
      </w:r>
      <w:r w:rsidRPr="00F53BDD">
        <w:t xml:space="preserve"> financial position</w:t>
      </w:r>
      <w:r w:rsidR="000744C4" w:rsidRPr="00F53BDD">
        <w:t xml:space="preserve"> or </w:t>
      </w:r>
      <w:r w:rsidRPr="00F53BDD">
        <w:t>ability to cover the NZU obligations.</w:t>
      </w:r>
    </w:p>
    <w:p w:rsidR="00695E3D" w:rsidRPr="00F53BDD" w:rsidRDefault="00695E3D" w:rsidP="00695E3D">
      <w:pPr>
        <w:pStyle w:val="Bullet"/>
      </w:pPr>
      <w:r w:rsidRPr="00F53BDD">
        <w:rPr>
          <w:b/>
          <w:bCs/>
        </w:rPr>
        <w:t>It does not create a level playing field</w:t>
      </w:r>
      <w:r w:rsidRPr="00FA2196">
        <w:rPr>
          <w:b/>
          <w:bCs/>
        </w:rPr>
        <w:t>.</w:t>
      </w:r>
      <w:r w:rsidRPr="00F53BDD">
        <w:t xml:space="preserve"> In OTC trading, </w:t>
      </w:r>
      <w:r w:rsidR="001A250F" w:rsidRPr="00F53BDD">
        <w:t xml:space="preserve">the </w:t>
      </w:r>
      <w:r w:rsidRPr="00F53BDD">
        <w:t>user may not be getting a fair market price for the NZUs they are buying or selling</w:t>
      </w:r>
      <w:r w:rsidR="003D73E3" w:rsidRPr="00F53BDD">
        <w:t>. W</w:t>
      </w:r>
      <w:r w:rsidRPr="00F53BDD">
        <w:t>ith little visibility o</w:t>
      </w:r>
      <w:r w:rsidR="00670FA0" w:rsidRPr="00F53BDD">
        <w:t>f</w:t>
      </w:r>
      <w:r w:rsidRPr="00F53BDD">
        <w:t xml:space="preserve"> other trades</w:t>
      </w:r>
      <w:r w:rsidR="003D73E3" w:rsidRPr="00F53BDD">
        <w:t>,</w:t>
      </w:r>
      <w:r w:rsidRPr="00F53BDD">
        <w:t xml:space="preserve"> there is no way to compare the details of the transaction.</w:t>
      </w:r>
    </w:p>
    <w:p w:rsidR="007C649E" w:rsidRPr="00F53BDD" w:rsidRDefault="007C649E" w:rsidP="008260CB">
      <w:pPr>
        <w:pStyle w:val="Heading4"/>
        <w:spacing w:after="120"/>
      </w:pPr>
      <w:r w:rsidRPr="00F53BDD">
        <w:t>Benefits</w:t>
      </w:r>
    </w:p>
    <w:p w:rsidR="007C649E" w:rsidRPr="00F53BDD" w:rsidRDefault="007E5DCD" w:rsidP="000C4660">
      <w:pPr>
        <w:pStyle w:val="Bullet"/>
      </w:pPr>
      <w:r w:rsidRPr="00F53BDD">
        <w:t>A</w:t>
      </w:r>
      <w:r w:rsidR="0020757C" w:rsidRPr="00F53BDD">
        <w:t>void</w:t>
      </w:r>
      <w:r w:rsidRPr="00F53BDD">
        <w:t>s</w:t>
      </w:r>
      <w:r w:rsidR="0020757C" w:rsidRPr="00F53BDD">
        <w:t xml:space="preserve"> </w:t>
      </w:r>
      <w:r w:rsidR="003D73E3" w:rsidRPr="00F53BDD">
        <w:t xml:space="preserve">extra </w:t>
      </w:r>
      <w:r w:rsidR="007C649E" w:rsidRPr="00F53BDD">
        <w:t xml:space="preserve">administrative cost to </w:t>
      </w:r>
      <w:r w:rsidR="003D73E3" w:rsidRPr="00F53BDD">
        <w:t>the G</w:t>
      </w:r>
      <w:r w:rsidR="007C649E" w:rsidRPr="00F53BDD">
        <w:t xml:space="preserve">overnment or </w:t>
      </w:r>
      <w:r w:rsidR="000E3F10" w:rsidRPr="00F53BDD">
        <w:t>users</w:t>
      </w:r>
      <w:r w:rsidR="007C649E" w:rsidRPr="00F53BDD">
        <w:t xml:space="preserve">. </w:t>
      </w:r>
    </w:p>
    <w:p w:rsidR="007C649E" w:rsidRPr="00F53BDD" w:rsidRDefault="007C649E" w:rsidP="008260CB">
      <w:pPr>
        <w:pStyle w:val="Heading4"/>
        <w:spacing w:after="120"/>
      </w:pPr>
      <w:r w:rsidRPr="00F53BDD">
        <w:t>Disadvantages</w:t>
      </w:r>
    </w:p>
    <w:p w:rsidR="000E3F10" w:rsidRPr="00F53BDD" w:rsidRDefault="001A250F" w:rsidP="000C4660">
      <w:pPr>
        <w:pStyle w:val="Bullet"/>
      </w:pPr>
      <w:r w:rsidRPr="00F53BDD">
        <w:t>T</w:t>
      </w:r>
      <w:r w:rsidR="000E3F10" w:rsidRPr="00F53BDD">
        <w:t xml:space="preserve">rading information </w:t>
      </w:r>
      <w:r w:rsidR="00670FA0" w:rsidRPr="00F53BDD">
        <w:t xml:space="preserve">that </w:t>
      </w:r>
      <w:r w:rsidR="000E3F10" w:rsidRPr="00F53BDD">
        <w:t>would support efficient price discovery for all users</w:t>
      </w:r>
      <w:r w:rsidR="007E5DCD" w:rsidRPr="00F53BDD">
        <w:t xml:space="preserve"> </w:t>
      </w:r>
      <w:r w:rsidR="000E3F10" w:rsidRPr="00F53BDD">
        <w:t>remains</w:t>
      </w:r>
      <w:r w:rsidR="008260CB" w:rsidRPr="00F53BDD">
        <w:t> </w:t>
      </w:r>
      <w:r w:rsidR="000E3F10" w:rsidRPr="00F53BDD">
        <w:t xml:space="preserve">hidden. </w:t>
      </w:r>
    </w:p>
    <w:p w:rsidR="007C649E" w:rsidRPr="00F53BDD" w:rsidRDefault="003D73E3" w:rsidP="000C4660">
      <w:pPr>
        <w:pStyle w:val="Bullet"/>
      </w:pPr>
      <w:r w:rsidRPr="00F53BDD">
        <w:t>U</w:t>
      </w:r>
      <w:r w:rsidR="000E3F10" w:rsidRPr="00F53BDD">
        <w:t xml:space="preserve">sers will continue to be </w:t>
      </w:r>
      <w:r w:rsidR="007C649E" w:rsidRPr="00F53BDD">
        <w:t>expose</w:t>
      </w:r>
      <w:r w:rsidR="0069198F" w:rsidRPr="00F53BDD">
        <w:t>d to</w:t>
      </w:r>
      <w:r w:rsidR="007C649E" w:rsidRPr="00F53BDD">
        <w:t xml:space="preserve"> </w:t>
      </w:r>
      <w:r w:rsidR="000E3F10" w:rsidRPr="00F53BDD">
        <w:t xml:space="preserve">credit and </w:t>
      </w:r>
      <w:r w:rsidR="001E0B58" w:rsidRPr="00F53BDD">
        <w:t>counter-party</w:t>
      </w:r>
      <w:r w:rsidR="000E3F10" w:rsidRPr="00F53BDD">
        <w:t xml:space="preserve"> risk, which can lead to </w:t>
      </w:r>
      <w:r w:rsidR="007C649E" w:rsidRPr="00F53BDD">
        <w:t xml:space="preserve">financial </w:t>
      </w:r>
      <w:r w:rsidRPr="00F53BDD">
        <w:t xml:space="preserve">loss </w:t>
      </w:r>
      <w:r w:rsidR="000E3F10" w:rsidRPr="00F53BDD">
        <w:t xml:space="preserve">for the receiving </w:t>
      </w:r>
      <w:r w:rsidR="007E5DCD" w:rsidRPr="00F53BDD">
        <w:t xml:space="preserve">user </w:t>
      </w:r>
      <w:r w:rsidR="000E3F10" w:rsidRPr="00F53BDD">
        <w:t>if the trades are not fulfilled</w:t>
      </w:r>
      <w:r w:rsidR="007C649E" w:rsidRPr="00F53BDD">
        <w:t xml:space="preserve">. </w:t>
      </w:r>
    </w:p>
    <w:p w:rsidR="007C649E" w:rsidRPr="00F53BDD" w:rsidRDefault="007C649E" w:rsidP="007C649E">
      <w:pPr>
        <w:pStyle w:val="Heading3"/>
      </w:pPr>
      <w:r w:rsidRPr="00F53BDD">
        <w:t xml:space="preserve">B2. Voluntary </w:t>
      </w:r>
      <w:r w:rsidR="003D73E3" w:rsidRPr="00F53BDD">
        <w:t>t</w:t>
      </w:r>
      <w:r w:rsidRPr="00F53BDD">
        <w:t xml:space="preserve">ransaction </w:t>
      </w:r>
      <w:r w:rsidR="003D73E3" w:rsidRPr="00F53BDD">
        <w:t>r</w:t>
      </w:r>
      <w:r w:rsidRPr="00F53BDD">
        <w:t>eporting</w:t>
      </w:r>
    </w:p>
    <w:p w:rsidR="007C649E" w:rsidRPr="00F53BDD" w:rsidRDefault="000E3F10" w:rsidP="007C649E">
      <w:pPr>
        <w:pStyle w:val="BodyText"/>
      </w:pPr>
      <w:r w:rsidRPr="00F53BDD">
        <w:t>This option will affect NZU traders and NZ ETS participants.</w:t>
      </w:r>
    </w:p>
    <w:p w:rsidR="000E3F10" w:rsidRPr="00F53BDD" w:rsidRDefault="000E3F10" w:rsidP="007C649E">
      <w:pPr>
        <w:pStyle w:val="BodyText"/>
      </w:pPr>
      <w:r w:rsidRPr="00F53BDD">
        <w:t xml:space="preserve">The Government could consider a voluntary transaction reporting framework. </w:t>
      </w:r>
      <w:r w:rsidR="00670FA0" w:rsidRPr="00F53BDD">
        <w:t>U</w:t>
      </w:r>
      <w:r w:rsidR="00772215" w:rsidRPr="00F53BDD">
        <w:t xml:space="preserve">sers </w:t>
      </w:r>
      <w:r w:rsidRPr="00F53BDD">
        <w:t xml:space="preserve">could choose to voluntarily report </w:t>
      </w:r>
      <w:r w:rsidR="007C649E" w:rsidRPr="00F53BDD">
        <w:t xml:space="preserve">transactions </w:t>
      </w:r>
      <w:r w:rsidRPr="00F53BDD">
        <w:t>to a regulator</w:t>
      </w:r>
      <w:r w:rsidR="003D73E3" w:rsidRPr="00F53BDD">
        <w:t>,</w:t>
      </w:r>
      <w:r w:rsidRPr="00F53BDD">
        <w:t xml:space="preserve"> either on a regular </w:t>
      </w:r>
      <w:r w:rsidR="003D73E3" w:rsidRPr="00F53BDD">
        <w:t xml:space="preserve">basis </w:t>
      </w:r>
      <w:r w:rsidRPr="00F53BDD">
        <w:t>or after each</w:t>
      </w:r>
      <w:r w:rsidR="008260CB" w:rsidRPr="00F53BDD">
        <w:t> </w:t>
      </w:r>
      <w:r w:rsidRPr="00F53BDD">
        <w:t xml:space="preserve">trade. </w:t>
      </w:r>
    </w:p>
    <w:p w:rsidR="0056276C" w:rsidRPr="00F53BDD" w:rsidRDefault="000E3F10" w:rsidP="0056276C">
      <w:pPr>
        <w:pStyle w:val="BodyText"/>
      </w:pPr>
      <w:r w:rsidRPr="00F53BDD">
        <w:t xml:space="preserve">Transaction reporting is designed to increase post-trade transparency </w:t>
      </w:r>
      <w:r w:rsidR="00772215" w:rsidRPr="00F53BDD">
        <w:t>i</w:t>
      </w:r>
      <w:r w:rsidRPr="00F53BDD">
        <w:t>n financial markets by</w:t>
      </w:r>
      <w:r w:rsidR="008260CB" w:rsidRPr="00F53BDD">
        <w:t> </w:t>
      </w:r>
      <w:r w:rsidRPr="00F53BDD">
        <w:t xml:space="preserve">allowing a </w:t>
      </w:r>
      <w:r w:rsidR="007C649E" w:rsidRPr="00F53BDD">
        <w:t>regulator to view all historical transactions data.</w:t>
      </w:r>
      <w:r w:rsidR="0056276C" w:rsidRPr="00F53BDD">
        <w:t xml:space="preserve"> </w:t>
      </w:r>
      <w:r w:rsidR="003D73E3" w:rsidRPr="00F53BDD">
        <w:t>This</w:t>
      </w:r>
      <w:r w:rsidR="0056276C" w:rsidRPr="00F53BDD">
        <w:t xml:space="preserve"> is a common </w:t>
      </w:r>
      <w:r w:rsidR="00772215" w:rsidRPr="00F53BDD">
        <w:t xml:space="preserve">feature </w:t>
      </w:r>
      <w:r w:rsidR="0056276C" w:rsidRPr="00F53BDD">
        <w:t xml:space="preserve">for markets, such as </w:t>
      </w:r>
      <w:r w:rsidR="0042557A" w:rsidRPr="00F53BDD">
        <w:t xml:space="preserve">on </w:t>
      </w:r>
      <w:r w:rsidR="0056276C" w:rsidRPr="00F53BDD">
        <w:t xml:space="preserve">the </w:t>
      </w:r>
      <w:hyperlink r:id="rId38" w:history="1">
        <w:r w:rsidR="001352E6" w:rsidRPr="00FA2196">
          <w:rPr>
            <w:rStyle w:val="Hyperlink"/>
          </w:rPr>
          <w:t>National Association of Securities Dealers Automated Quotations</w:t>
        </w:r>
      </w:hyperlink>
      <w:r w:rsidR="001352E6" w:rsidRPr="00F53BDD">
        <w:t xml:space="preserve"> (</w:t>
      </w:r>
      <w:r w:rsidR="0056276C" w:rsidRPr="00F53BDD">
        <w:t>NASDAQ</w:t>
      </w:r>
      <w:r w:rsidR="001352E6" w:rsidRPr="00F53BDD">
        <w:t>)</w:t>
      </w:r>
      <w:r w:rsidR="0056276C" w:rsidRPr="00F53BDD">
        <w:t xml:space="preserve">. </w:t>
      </w:r>
      <w:r w:rsidR="003D73E3" w:rsidRPr="00F53BDD">
        <w:t>It</w:t>
      </w:r>
      <w:r w:rsidR="006B0B68" w:rsidRPr="00F53BDD">
        <w:t xml:space="preserve"> is not common practice in other international ETSs.</w:t>
      </w:r>
    </w:p>
    <w:p w:rsidR="007C649E" w:rsidRPr="00F53BDD" w:rsidRDefault="007C649E" w:rsidP="007C649E">
      <w:pPr>
        <w:pStyle w:val="BodyText"/>
      </w:pPr>
      <w:r w:rsidRPr="00F53BDD">
        <w:t>Transaction reporting has two functions</w:t>
      </w:r>
      <w:r w:rsidR="00772215" w:rsidRPr="00F53BDD">
        <w:t>, allowing a regulator to</w:t>
      </w:r>
      <w:r w:rsidRPr="00F53BDD">
        <w:t>:</w:t>
      </w:r>
    </w:p>
    <w:p w:rsidR="007C649E" w:rsidRPr="00F53BDD" w:rsidRDefault="0056276C" w:rsidP="007C649E">
      <w:pPr>
        <w:pStyle w:val="Bullet"/>
      </w:pPr>
      <w:r w:rsidRPr="00F53BDD">
        <w:t xml:space="preserve">use </w:t>
      </w:r>
      <w:r w:rsidR="00772215" w:rsidRPr="00F53BDD">
        <w:t xml:space="preserve">historical </w:t>
      </w:r>
      <w:r w:rsidR="007C649E" w:rsidRPr="00F53BDD">
        <w:t xml:space="preserve">transaction data to determine whether there is evidence of market abuse, and </w:t>
      </w:r>
      <w:r w:rsidR="003D73E3" w:rsidRPr="00F53BDD">
        <w:t xml:space="preserve">the </w:t>
      </w:r>
      <w:r w:rsidR="007C649E" w:rsidRPr="00F53BDD">
        <w:t xml:space="preserve">enforcement or remedies </w:t>
      </w:r>
      <w:r w:rsidR="00670FA0" w:rsidRPr="00F53BDD">
        <w:t>needed</w:t>
      </w:r>
    </w:p>
    <w:p w:rsidR="007C649E" w:rsidRPr="00F53BDD" w:rsidRDefault="007C649E" w:rsidP="007C649E">
      <w:pPr>
        <w:pStyle w:val="Bullet"/>
      </w:pPr>
      <w:r w:rsidRPr="00F53BDD">
        <w:t>monitor developments in the market that could affect price stability.</w:t>
      </w:r>
    </w:p>
    <w:p w:rsidR="007C649E" w:rsidRPr="00F53BDD" w:rsidRDefault="007C649E" w:rsidP="008260CB">
      <w:pPr>
        <w:pStyle w:val="BodyText"/>
      </w:pPr>
      <w:r w:rsidRPr="00F53BDD">
        <w:t xml:space="preserve">Transaction reporting can be achieved </w:t>
      </w:r>
      <w:r w:rsidR="00772215" w:rsidRPr="00F53BDD">
        <w:t>by</w:t>
      </w:r>
      <w:r w:rsidRPr="00F53BDD">
        <w:t>:</w:t>
      </w:r>
    </w:p>
    <w:p w:rsidR="007C649E" w:rsidRPr="00F53BDD" w:rsidRDefault="00670FA0" w:rsidP="008260CB">
      <w:pPr>
        <w:pStyle w:val="Bullet"/>
      </w:pPr>
      <w:r w:rsidRPr="00F53BDD">
        <w:t>U</w:t>
      </w:r>
      <w:r w:rsidR="00772215" w:rsidRPr="00F53BDD">
        <w:t>sers</w:t>
      </w:r>
      <w:r w:rsidR="0056276C" w:rsidRPr="00F53BDD">
        <w:t xml:space="preserve"> submitting a transaction report file directly to the regulator. </w:t>
      </w:r>
      <w:r w:rsidR="007C649E" w:rsidRPr="00F53BDD">
        <w:t xml:space="preserve">Larger investment firms or </w:t>
      </w:r>
      <w:r w:rsidR="0056276C" w:rsidRPr="00F53BDD">
        <w:t xml:space="preserve">NZU </w:t>
      </w:r>
      <w:r w:rsidR="007C649E" w:rsidRPr="00F53BDD">
        <w:t xml:space="preserve">traders </w:t>
      </w:r>
      <w:r w:rsidR="0056276C" w:rsidRPr="00F53BDD">
        <w:t xml:space="preserve">may already </w:t>
      </w:r>
      <w:r w:rsidR="007C649E" w:rsidRPr="00F53BDD">
        <w:t>have post-trade processing</w:t>
      </w:r>
      <w:r w:rsidR="0056276C" w:rsidRPr="00F53BDD">
        <w:t xml:space="preserve"> systems for reporting. </w:t>
      </w:r>
      <w:r w:rsidR="007C649E" w:rsidRPr="00F53BDD">
        <w:t xml:space="preserve">This </w:t>
      </w:r>
      <w:r w:rsidR="0056276C" w:rsidRPr="00F53BDD">
        <w:t xml:space="preserve">option </w:t>
      </w:r>
      <w:r w:rsidR="007C649E" w:rsidRPr="00F53BDD">
        <w:t>replicate</w:t>
      </w:r>
      <w:r w:rsidR="00772215" w:rsidRPr="00F53BDD">
        <w:t>s</w:t>
      </w:r>
      <w:r w:rsidR="007C649E" w:rsidRPr="00F53BDD">
        <w:t xml:space="preserve"> obligations in other commodity </w:t>
      </w:r>
      <w:r w:rsidR="0056276C" w:rsidRPr="00F53BDD">
        <w:t xml:space="preserve">and financial </w:t>
      </w:r>
      <w:r w:rsidR="007C649E" w:rsidRPr="00F53BDD">
        <w:t>markets and avoid</w:t>
      </w:r>
      <w:r w:rsidR="00772215" w:rsidRPr="00F53BDD">
        <w:t>s</w:t>
      </w:r>
      <w:r w:rsidR="007C649E" w:rsidRPr="00F53BDD">
        <w:t xml:space="preserve"> disrupt</w:t>
      </w:r>
      <w:r w:rsidR="00772215" w:rsidRPr="00F53BDD">
        <w:t>ing</w:t>
      </w:r>
      <w:r w:rsidR="007C649E" w:rsidRPr="00F53BDD">
        <w:t xml:space="preserve"> their processes.</w:t>
      </w:r>
    </w:p>
    <w:p w:rsidR="007C649E" w:rsidRPr="00F53BDD" w:rsidRDefault="00772215" w:rsidP="007C649E">
      <w:pPr>
        <w:pStyle w:val="Bullet"/>
      </w:pPr>
      <w:r w:rsidRPr="00F53BDD">
        <w:t>Indirect r</w:t>
      </w:r>
      <w:r w:rsidR="007C649E" w:rsidRPr="00F53BDD">
        <w:t>eport</w:t>
      </w:r>
      <w:r w:rsidRPr="00F53BDD">
        <w:t xml:space="preserve">ing </w:t>
      </w:r>
      <w:r w:rsidR="007C649E" w:rsidRPr="00F53BDD">
        <w:t>via a third</w:t>
      </w:r>
      <w:r w:rsidR="003D73E3" w:rsidRPr="00F53BDD">
        <w:t xml:space="preserve"> </w:t>
      </w:r>
      <w:r w:rsidR="007C649E" w:rsidRPr="00F53BDD">
        <w:t xml:space="preserve">party. </w:t>
      </w:r>
      <w:r w:rsidRPr="00F53BDD">
        <w:t>T</w:t>
      </w:r>
      <w:r w:rsidR="007C649E" w:rsidRPr="00F53BDD">
        <w:t>ransaction information can be</w:t>
      </w:r>
      <w:r w:rsidR="003524C8" w:rsidRPr="00F53BDD">
        <w:t xml:space="preserve"> automatically</w:t>
      </w:r>
      <w:r w:rsidR="007C649E" w:rsidRPr="00F53BDD">
        <w:t xml:space="preserve"> </w:t>
      </w:r>
      <w:r w:rsidR="003524C8" w:rsidRPr="00F53BDD">
        <w:t xml:space="preserve">recorded and </w:t>
      </w:r>
      <w:r w:rsidR="007C649E" w:rsidRPr="00F53BDD">
        <w:t>submitted to the regulator</w:t>
      </w:r>
      <w:r w:rsidR="006257A8" w:rsidRPr="00F53BDD">
        <w:t xml:space="preserve"> by the third</w:t>
      </w:r>
      <w:r w:rsidR="003D73E3" w:rsidRPr="00F53BDD">
        <w:t xml:space="preserve"> </w:t>
      </w:r>
      <w:r w:rsidR="006257A8" w:rsidRPr="00F53BDD">
        <w:t>party</w:t>
      </w:r>
      <w:r w:rsidR="007C649E" w:rsidRPr="00F53BDD">
        <w:t xml:space="preserve"> </w:t>
      </w:r>
      <w:r w:rsidRPr="00F53BDD">
        <w:t xml:space="preserve">or platform </w:t>
      </w:r>
      <w:r w:rsidR="003524C8" w:rsidRPr="00F53BDD">
        <w:t xml:space="preserve">on behalf of </w:t>
      </w:r>
      <w:r w:rsidR="007C649E" w:rsidRPr="00F53BDD">
        <w:t xml:space="preserve">traders. </w:t>
      </w:r>
    </w:p>
    <w:p w:rsidR="007C649E" w:rsidRPr="00F53BDD" w:rsidRDefault="007C649E" w:rsidP="008260CB">
      <w:pPr>
        <w:pStyle w:val="Heading4"/>
        <w:spacing w:after="120"/>
      </w:pPr>
      <w:r w:rsidRPr="00F53BDD">
        <w:t>Benefits</w:t>
      </w:r>
    </w:p>
    <w:p w:rsidR="007C649E" w:rsidRPr="00F53BDD" w:rsidRDefault="003D73E3" w:rsidP="00526B0D">
      <w:pPr>
        <w:pStyle w:val="Bullet"/>
      </w:pPr>
      <w:r w:rsidRPr="00F53BDD">
        <w:t>Requires l</w:t>
      </w:r>
      <w:r w:rsidR="007C649E" w:rsidRPr="00F53BDD">
        <w:t>ow cost</w:t>
      </w:r>
      <w:r w:rsidR="00054263" w:rsidRPr="00F53BDD">
        <w:t xml:space="preserve"> and</w:t>
      </w:r>
      <w:r w:rsidR="007C649E" w:rsidRPr="00F53BDD">
        <w:t xml:space="preserve"> effort from </w:t>
      </w:r>
      <w:r w:rsidR="00054263" w:rsidRPr="00F53BDD">
        <w:t>users.</w:t>
      </w:r>
    </w:p>
    <w:p w:rsidR="007C649E" w:rsidRPr="00F53BDD" w:rsidRDefault="007C649E" w:rsidP="00526B0D">
      <w:pPr>
        <w:pStyle w:val="Bullet"/>
      </w:pPr>
      <w:r w:rsidRPr="00F53BDD">
        <w:t xml:space="preserve">Provides some </w:t>
      </w:r>
      <w:r w:rsidR="0056276C" w:rsidRPr="00F53BDD">
        <w:t xml:space="preserve">historical </w:t>
      </w:r>
      <w:r w:rsidRPr="00F53BDD">
        <w:t>trade</w:t>
      </w:r>
      <w:r w:rsidR="0056276C" w:rsidRPr="00F53BDD">
        <w:t xml:space="preserve"> </w:t>
      </w:r>
      <w:r w:rsidRPr="00F53BDD">
        <w:t xml:space="preserve">data and insight into </w:t>
      </w:r>
      <w:r w:rsidR="0056276C" w:rsidRPr="00F53BDD">
        <w:t xml:space="preserve">market developments in </w:t>
      </w:r>
      <w:r w:rsidRPr="00F53BDD">
        <w:t>the ETS</w:t>
      </w:r>
      <w:r w:rsidR="0056276C" w:rsidRPr="00F53BDD">
        <w:t>.</w:t>
      </w:r>
    </w:p>
    <w:p w:rsidR="007C649E" w:rsidRPr="00F53BDD" w:rsidRDefault="007C649E" w:rsidP="008260CB">
      <w:pPr>
        <w:pStyle w:val="Heading4"/>
        <w:spacing w:after="120"/>
      </w:pPr>
      <w:r w:rsidRPr="00F53BDD">
        <w:t>Disadvantages</w:t>
      </w:r>
    </w:p>
    <w:p w:rsidR="007C649E" w:rsidRPr="00F53BDD" w:rsidRDefault="0056276C" w:rsidP="00526B0D">
      <w:pPr>
        <w:pStyle w:val="Bullet"/>
      </w:pPr>
      <w:r w:rsidRPr="00F53BDD">
        <w:t>Records of trading data are likely to be infrequent and i</w:t>
      </w:r>
      <w:r w:rsidR="007C649E" w:rsidRPr="00F53BDD">
        <w:t>ncomplete</w:t>
      </w:r>
      <w:r w:rsidRPr="00F53BDD">
        <w:t>.</w:t>
      </w:r>
    </w:p>
    <w:p w:rsidR="007C649E" w:rsidRPr="00F53BDD" w:rsidRDefault="0056276C" w:rsidP="00526B0D">
      <w:pPr>
        <w:pStyle w:val="Bullet"/>
      </w:pPr>
      <w:r w:rsidRPr="00F53BDD">
        <w:t>Self-reported d</w:t>
      </w:r>
      <w:r w:rsidR="007C649E" w:rsidRPr="00F53BDD">
        <w:t xml:space="preserve">ata </w:t>
      </w:r>
      <w:r w:rsidRPr="00F53BDD">
        <w:t xml:space="preserve">is not </w:t>
      </w:r>
      <w:r w:rsidR="007C649E" w:rsidRPr="00F53BDD">
        <w:t>verified</w:t>
      </w:r>
      <w:r w:rsidR="00054263" w:rsidRPr="00F53BDD">
        <w:t>.</w:t>
      </w:r>
    </w:p>
    <w:p w:rsidR="0056276C" w:rsidRPr="00F53BDD" w:rsidRDefault="006B0B68" w:rsidP="000C4660">
      <w:pPr>
        <w:pStyle w:val="Bullet"/>
      </w:pPr>
      <w:r w:rsidRPr="00F53BDD">
        <w:t>U</w:t>
      </w:r>
      <w:r w:rsidR="0056276C" w:rsidRPr="00F53BDD">
        <w:t xml:space="preserve">nlikely to </w:t>
      </w:r>
      <w:r w:rsidR="007C649E" w:rsidRPr="00F53BDD">
        <w:t>collect</w:t>
      </w:r>
      <w:r w:rsidR="0056276C" w:rsidRPr="00F53BDD">
        <w:t xml:space="preserve"> historical trading data from users </w:t>
      </w:r>
      <w:r w:rsidR="003D73E3" w:rsidRPr="00F53BDD">
        <w:t>who</w:t>
      </w:r>
      <w:r w:rsidR="0056276C" w:rsidRPr="00F53BDD">
        <w:t xml:space="preserve"> engage in misconduct</w:t>
      </w:r>
      <w:r w:rsidR="007C649E" w:rsidRPr="00F53BDD">
        <w:t xml:space="preserve">. </w:t>
      </w:r>
    </w:p>
    <w:p w:rsidR="007C649E" w:rsidRPr="00F53BDD" w:rsidRDefault="007C649E" w:rsidP="007C649E">
      <w:pPr>
        <w:pStyle w:val="Heading3"/>
      </w:pPr>
      <w:r w:rsidRPr="00F53BDD">
        <w:t xml:space="preserve">B3. NZU </w:t>
      </w:r>
      <w:r w:rsidR="003D73E3" w:rsidRPr="00F53BDD">
        <w:t>t</w:t>
      </w:r>
      <w:r w:rsidRPr="00F53BDD">
        <w:t xml:space="preserve">rader </w:t>
      </w:r>
      <w:r w:rsidR="003D73E3" w:rsidRPr="00F53BDD">
        <w:t>p</w:t>
      </w:r>
      <w:r w:rsidRPr="00F53BDD">
        <w:t xml:space="preserve">osition </w:t>
      </w:r>
      <w:r w:rsidR="003D73E3" w:rsidRPr="00F53BDD">
        <w:t>r</w:t>
      </w:r>
      <w:r w:rsidRPr="00F53BDD">
        <w:t>eporting</w:t>
      </w:r>
      <w:r w:rsidR="00CC279A" w:rsidRPr="00F53BDD">
        <w:t xml:space="preserve"> </w:t>
      </w:r>
    </w:p>
    <w:p w:rsidR="007C649E" w:rsidRPr="00F53BDD" w:rsidRDefault="007C649E" w:rsidP="008260CB">
      <w:pPr>
        <w:pStyle w:val="BodyText"/>
      </w:pPr>
      <w:r w:rsidRPr="00F53BDD">
        <w:t xml:space="preserve">This option affects </w:t>
      </w:r>
      <w:r w:rsidR="0056276C" w:rsidRPr="00F53BDD">
        <w:t xml:space="preserve">NZU </w:t>
      </w:r>
      <w:r w:rsidRPr="00F53BDD">
        <w:t>traders</w:t>
      </w:r>
      <w:r w:rsidR="0056276C" w:rsidRPr="00F53BDD">
        <w:t xml:space="preserve"> and ETS participants</w:t>
      </w:r>
      <w:r w:rsidR="006B0B68" w:rsidRPr="00F53BDD">
        <w:t>.</w:t>
      </w:r>
    </w:p>
    <w:p w:rsidR="0056276C" w:rsidRPr="00F53BDD" w:rsidRDefault="006B0B68" w:rsidP="007C649E">
      <w:pPr>
        <w:pStyle w:val="BodyText"/>
      </w:pPr>
      <w:r w:rsidRPr="00F53BDD">
        <w:t>This</w:t>
      </w:r>
      <w:r w:rsidR="007C649E" w:rsidRPr="00F53BDD">
        <w:t xml:space="preserve"> option require</w:t>
      </w:r>
      <w:r w:rsidRPr="00F53BDD">
        <w:t>s</w:t>
      </w:r>
      <w:r w:rsidR="007C649E" w:rsidRPr="00F53BDD">
        <w:t xml:space="preserve"> all </w:t>
      </w:r>
      <w:r w:rsidRPr="00F53BDD">
        <w:t xml:space="preserve">users to </w:t>
      </w:r>
      <w:r w:rsidR="007C649E" w:rsidRPr="00F53BDD">
        <w:t xml:space="preserve">disclose the </w:t>
      </w:r>
      <w:r w:rsidR="0056276C" w:rsidRPr="00F53BDD">
        <w:t xml:space="preserve">total number of </w:t>
      </w:r>
      <w:r w:rsidR="007C649E" w:rsidRPr="00F53BDD">
        <w:t xml:space="preserve">NZUs they hold (called </w:t>
      </w:r>
      <w:r w:rsidR="0056276C" w:rsidRPr="00F53BDD">
        <w:t>l</w:t>
      </w:r>
      <w:r w:rsidR="007C649E" w:rsidRPr="00F53BDD">
        <w:t>ong positions) or borrow (called short positions).</w:t>
      </w:r>
      <w:r w:rsidR="007C649E" w:rsidRPr="00F53BDD">
        <w:rPr>
          <w:rStyle w:val="FootnoteReference"/>
        </w:rPr>
        <w:footnoteReference w:id="11"/>
      </w:r>
      <w:r w:rsidR="007C649E" w:rsidRPr="00F53BDD">
        <w:t xml:space="preserve"> </w:t>
      </w:r>
    </w:p>
    <w:p w:rsidR="007C649E" w:rsidRPr="00F53BDD" w:rsidRDefault="00A01778" w:rsidP="007C649E">
      <w:pPr>
        <w:pStyle w:val="BodyText"/>
      </w:pPr>
      <w:r w:rsidRPr="00F53BDD">
        <w:t xml:space="preserve">Position reporting </w:t>
      </w:r>
      <w:r w:rsidR="0042557A" w:rsidRPr="00F53BDD">
        <w:t xml:space="preserve">provides information about </w:t>
      </w:r>
      <w:r w:rsidR="007C649E" w:rsidRPr="00F53BDD">
        <w:t xml:space="preserve">trading activity and market sentiment. These are </w:t>
      </w:r>
      <w:r w:rsidR="003A36D3" w:rsidRPr="00F53BDD">
        <w:t xml:space="preserve">signals </w:t>
      </w:r>
      <w:r w:rsidR="007C649E" w:rsidRPr="00F53BDD">
        <w:t xml:space="preserve">to regulators and other </w:t>
      </w:r>
      <w:r w:rsidR="0056276C" w:rsidRPr="00F53BDD">
        <w:t xml:space="preserve">ETS users </w:t>
      </w:r>
      <w:r w:rsidR="00146053" w:rsidRPr="00F53BDD">
        <w:t xml:space="preserve">about </w:t>
      </w:r>
      <w:r w:rsidR="007C649E" w:rsidRPr="00F53BDD">
        <w:t>market develop</w:t>
      </w:r>
      <w:r w:rsidR="00FA14DA" w:rsidRPr="00F53BDD">
        <w:t>ments</w:t>
      </w:r>
      <w:r w:rsidR="006B0B68" w:rsidRPr="00F53BDD">
        <w:t xml:space="preserve"> and </w:t>
      </w:r>
      <w:r w:rsidR="007C649E" w:rsidRPr="00F53BDD">
        <w:t>price discovery.</w:t>
      </w:r>
    </w:p>
    <w:p w:rsidR="007C649E" w:rsidRPr="00F53BDD" w:rsidRDefault="007C649E" w:rsidP="007C649E">
      <w:pPr>
        <w:pStyle w:val="BodyText"/>
      </w:pPr>
      <w:r w:rsidRPr="00F53BDD">
        <w:t xml:space="preserve">Position reporting can </w:t>
      </w:r>
      <w:r w:rsidR="00A01778" w:rsidRPr="00F53BDD">
        <w:t>help</w:t>
      </w:r>
      <w:r w:rsidRPr="00F53BDD">
        <w:t>:</w:t>
      </w:r>
    </w:p>
    <w:p w:rsidR="007C649E" w:rsidRPr="00F53BDD" w:rsidRDefault="00A01778" w:rsidP="007C649E">
      <w:pPr>
        <w:pStyle w:val="Bullet"/>
      </w:pPr>
      <w:r w:rsidRPr="00F53BDD">
        <w:t xml:space="preserve">users </w:t>
      </w:r>
      <w:r w:rsidR="003A36D3" w:rsidRPr="00F53BDD">
        <w:t xml:space="preserve">to </w:t>
      </w:r>
      <w:r w:rsidR="007C649E" w:rsidRPr="00F53BDD">
        <w:t xml:space="preserve">better understand </w:t>
      </w:r>
      <w:r w:rsidR="001E0B58" w:rsidRPr="00F53BDD">
        <w:t>counter-party</w:t>
      </w:r>
      <w:r w:rsidR="007C649E" w:rsidRPr="00F53BDD">
        <w:t xml:space="preserve"> risk</w:t>
      </w:r>
    </w:p>
    <w:p w:rsidR="007C649E" w:rsidRPr="00F53BDD" w:rsidRDefault="00D944F9" w:rsidP="007C649E">
      <w:pPr>
        <w:pStyle w:val="Bullet"/>
      </w:pPr>
      <w:r w:rsidRPr="00F53BDD">
        <w:t>r</w:t>
      </w:r>
      <w:r w:rsidR="007C649E" w:rsidRPr="00F53BDD">
        <w:t>egulators to better understand the distribution of market power</w:t>
      </w:r>
    </w:p>
    <w:p w:rsidR="007C649E" w:rsidRPr="00F53BDD" w:rsidRDefault="007C649E" w:rsidP="007C649E">
      <w:pPr>
        <w:pStyle w:val="Bullet"/>
      </w:pPr>
      <w:r w:rsidRPr="00F53BDD">
        <w:t xml:space="preserve">the public to better understand market </w:t>
      </w:r>
      <w:r w:rsidR="00A01778" w:rsidRPr="00F53BDD">
        <w:t>developments</w:t>
      </w:r>
      <w:r w:rsidRPr="00F53BDD">
        <w:t>.</w:t>
      </w:r>
    </w:p>
    <w:p w:rsidR="00167C7B" w:rsidRPr="00F53BDD" w:rsidRDefault="007C649E" w:rsidP="007C649E">
      <w:pPr>
        <w:pStyle w:val="BodyText"/>
      </w:pPr>
      <w:r w:rsidRPr="00F53BDD">
        <w:t xml:space="preserve">For maximum transparency, the </w:t>
      </w:r>
      <w:r w:rsidR="00A01778" w:rsidRPr="00F53BDD">
        <w:t xml:space="preserve">position reporting </w:t>
      </w:r>
      <w:r w:rsidRPr="00F53BDD">
        <w:t xml:space="preserve">obligation could apply </w:t>
      </w:r>
      <w:r w:rsidR="00A01778" w:rsidRPr="00F53BDD">
        <w:t>to any person or business that</w:t>
      </w:r>
      <w:r w:rsidR="00167C7B" w:rsidRPr="00F53BDD">
        <w:t xml:space="preserve"> holds or trades NZUs</w:t>
      </w:r>
      <w:r w:rsidR="00A01778" w:rsidRPr="00F53BDD">
        <w:t xml:space="preserve">, whether </w:t>
      </w:r>
      <w:r w:rsidR="00167C7B" w:rsidRPr="00F53BDD">
        <w:t xml:space="preserve">or not </w:t>
      </w:r>
      <w:r w:rsidR="00A01778" w:rsidRPr="00F53BDD">
        <w:t>they have compliance obligations</w:t>
      </w:r>
      <w:r w:rsidRPr="00F53BDD">
        <w:t xml:space="preserve">. </w:t>
      </w:r>
    </w:p>
    <w:p w:rsidR="007C649E" w:rsidRPr="00F53BDD" w:rsidRDefault="007C649E" w:rsidP="007C649E">
      <w:pPr>
        <w:pStyle w:val="BodyText"/>
      </w:pPr>
      <w:r w:rsidRPr="00F53BDD">
        <w:t xml:space="preserve">Similar to </w:t>
      </w:r>
      <w:r w:rsidR="0056276C" w:rsidRPr="00F53BDD">
        <w:t>option B2</w:t>
      </w:r>
      <w:r w:rsidR="003A36D3" w:rsidRPr="00F53BDD">
        <w:t xml:space="preserve"> (</w:t>
      </w:r>
      <w:r w:rsidR="004C58DC" w:rsidRPr="00F53BDD">
        <w:t>v</w:t>
      </w:r>
      <w:r w:rsidR="0056276C" w:rsidRPr="00F53BDD">
        <w:t>oluntary</w:t>
      </w:r>
      <w:r w:rsidR="003A36D3" w:rsidRPr="00F53BDD">
        <w:t xml:space="preserve"> </w:t>
      </w:r>
      <w:r w:rsidR="004C58DC" w:rsidRPr="00F53BDD">
        <w:t>t</w:t>
      </w:r>
      <w:r w:rsidR="0056276C" w:rsidRPr="00F53BDD">
        <w:t xml:space="preserve">ransaction </w:t>
      </w:r>
      <w:r w:rsidR="004C58DC" w:rsidRPr="00F53BDD">
        <w:t>r</w:t>
      </w:r>
      <w:r w:rsidR="0056276C" w:rsidRPr="00F53BDD">
        <w:t>eporting</w:t>
      </w:r>
      <w:r w:rsidR="003A36D3" w:rsidRPr="00F53BDD">
        <w:t>)</w:t>
      </w:r>
      <w:r w:rsidR="0056276C" w:rsidRPr="00F53BDD">
        <w:t xml:space="preserve">, position </w:t>
      </w:r>
      <w:r w:rsidRPr="00F53BDD">
        <w:t>reporting can be:</w:t>
      </w:r>
    </w:p>
    <w:p w:rsidR="007C649E" w:rsidRPr="00F53BDD" w:rsidRDefault="007C649E" w:rsidP="007C649E">
      <w:pPr>
        <w:pStyle w:val="Bullet"/>
      </w:pPr>
      <w:r w:rsidRPr="00F53BDD">
        <w:t>direct</w:t>
      </w:r>
      <w:r w:rsidR="00146053" w:rsidRPr="00F53BDD">
        <w:t>,</w:t>
      </w:r>
      <w:r w:rsidRPr="00F53BDD">
        <w:t xml:space="preserve"> by submitting a report to the relevant regulator, or</w:t>
      </w:r>
    </w:p>
    <w:p w:rsidR="007C649E" w:rsidRPr="00F53BDD" w:rsidRDefault="007C649E" w:rsidP="007C649E">
      <w:pPr>
        <w:pStyle w:val="Bullet"/>
      </w:pPr>
      <w:r w:rsidRPr="00F53BDD">
        <w:t>indirect</w:t>
      </w:r>
      <w:r w:rsidR="00146053" w:rsidRPr="00F53BDD">
        <w:t>,</w:t>
      </w:r>
      <w:r w:rsidRPr="00F53BDD">
        <w:t xml:space="preserve"> via a third</w:t>
      </w:r>
      <w:r w:rsidR="00146053" w:rsidRPr="00F53BDD">
        <w:t xml:space="preserve"> </w:t>
      </w:r>
      <w:r w:rsidRPr="00F53BDD">
        <w:t xml:space="preserve">party. For example, a regulated exchange </w:t>
      </w:r>
      <w:r w:rsidR="00167C7B" w:rsidRPr="00F53BDD">
        <w:t xml:space="preserve">can submit </w:t>
      </w:r>
      <w:r w:rsidRPr="00F53BDD">
        <w:t xml:space="preserve">a summary of positions to </w:t>
      </w:r>
      <w:r w:rsidR="00167C7B" w:rsidRPr="00F53BDD">
        <w:t>a</w:t>
      </w:r>
      <w:r w:rsidRPr="00F53BDD">
        <w:t xml:space="preserve"> regulator.</w:t>
      </w:r>
    </w:p>
    <w:p w:rsidR="007C649E" w:rsidRPr="00F53BDD" w:rsidRDefault="007C649E" w:rsidP="008260CB">
      <w:pPr>
        <w:pStyle w:val="Heading4"/>
        <w:spacing w:after="120"/>
      </w:pPr>
      <w:r w:rsidRPr="00F53BDD">
        <w:t>Benefits</w:t>
      </w:r>
    </w:p>
    <w:p w:rsidR="007C649E" w:rsidRPr="00F53BDD" w:rsidRDefault="003A36D3">
      <w:pPr>
        <w:pStyle w:val="Bullet"/>
      </w:pPr>
      <w:r w:rsidRPr="00F53BDD">
        <w:t xml:space="preserve">More </w:t>
      </w:r>
      <w:r w:rsidR="007C649E" w:rsidRPr="00F53BDD">
        <w:t>transparency</w:t>
      </w:r>
      <w:r w:rsidR="00167C7B" w:rsidRPr="00F53BDD">
        <w:t xml:space="preserve"> and </w:t>
      </w:r>
      <w:r w:rsidR="007C649E" w:rsidRPr="00F53BDD">
        <w:t xml:space="preserve">insight into </w:t>
      </w:r>
      <w:r w:rsidR="00167C7B" w:rsidRPr="00F53BDD">
        <w:t>market conditions and trading conduct</w:t>
      </w:r>
      <w:r w:rsidR="00D944F9" w:rsidRPr="00F53BDD">
        <w:t>.</w:t>
      </w:r>
    </w:p>
    <w:p w:rsidR="007C649E" w:rsidRPr="00F53BDD" w:rsidRDefault="007C649E" w:rsidP="008260CB">
      <w:pPr>
        <w:pStyle w:val="Heading4"/>
        <w:spacing w:after="120"/>
      </w:pPr>
      <w:r w:rsidRPr="00F53BDD">
        <w:t>Disadvantages</w:t>
      </w:r>
    </w:p>
    <w:p w:rsidR="0056276C" w:rsidRPr="00F53BDD" w:rsidRDefault="0056276C" w:rsidP="00FD1F2E">
      <w:pPr>
        <w:pStyle w:val="Bullet"/>
      </w:pPr>
      <w:r w:rsidRPr="00F53BDD">
        <w:t>Self-reported data is not verified</w:t>
      </w:r>
      <w:r w:rsidR="00D944F9" w:rsidRPr="00F53BDD">
        <w:t>.</w:t>
      </w:r>
    </w:p>
    <w:p w:rsidR="007C649E" w:rsidRPr="00F53BDD" w:rsidRDefault="00167C7B" w:rsidP="00FD1F2E">
      <w:pPr>
        <w:pStyle w:val="Bullet"/>
      </w:pPr>
      <w:r w:rsidRPr="00F53BDD">
        <w:t xml:space="preserve">Reporting increases </w:t>
      </w:r>
      <w:r w:rsidR="0056276C" w:rsidRPr="00F53BDD">
        <w:t>administrative burden.</w:t>
      </w:r>
    </w:p>
    <w:p w:rsidR="007C649E" w:rsidRPr="00F53BDD" w:rsidRDefault="007C649E" w:rsidP="00EC6896">
      <w:pPr>
        <w:pStyle w:val="Heading4"/>
      </w:pPr>
      <w:r w:rsidRPr="00F53BDD">
        <w:t>Examples of ETS</w:t>
      </w:r>
      <w:r w:rsidR="003D4287" w:rsidRPr="00F53BDD">
        <w:t>s</w:t>
      </w:r>
      <w:r w:rsidRPr="00F53BDD">
        <w:t xml:space="preserve"> with position reporting</w:t>
      </w:r>
    </w:p>
    <w:p w:rsidR="007C649E" w:rsidRPr="00F53BDD" w:rsidRDefault="007C649E" w:rsidP="007C649E">
      <w:pPr>
        <w:pStyle w:val="BodyText"/>
      </w:pPr>
      <w:r w:rsidRPr="00F53BDD">
        <w:t xml:space="preserve">The EU ETS requires commodity derivative exchanges to report on aggregate position by trader type on a weekly basis. </w:t>
      </w:r>
      <w:r w:rsidR="00167C7B" w:rsidRPr="00F53BDD">
        <w:t xml:space="preserve">Reporting </w:t>
      </w:r>
      <w:r w:rsidRPr="00F53BDD">
        <w:t>improve</w:t>
      </w:r>
      <w:r w:rsidR="00167C7B" w:rsidRPr="00F53BDD">
        <w:t>s</w:t>
      </w:r>
      <w:r w:rsidRPr="00F53BDD">
        <w:t xml:space="preserve"> financial stability, market transparency, and strengthen</w:t>
      </w:r>
      <w:r w:rsidR="00167C7B" w:rsidRPr="00F53BDD">
        <w:t>s</w:t>
      </w:r>
      <w:r w:rsidRPr="00F53BDD">
        <w:t xml:space="preserve"> investor protection.</w:t>
      </w:r>
    </w:p>
    <w:p w:rsidR="0038777C" w:rsidRPr="00F53BDD" w:rsidRDefault="0038777C" w:rsidP="0038777C">
      <w:pPr>
        <w:pStyle w:val="Heading3"/>
      </w:pPr>
      <w:r w:rsidRPr="00F53BDD">
        <w:t>B4. Requiring exchange-based trading</w:t>
      </w:r>
    </w:p>
    <w:p w:rsidR="00593482" w:rsidRPr="00F53BDD" w:rsidRDefault="00593482" w:rsidP="0038777C">
      <w:pPr>
        <w:pStyle w:val="BodyText"/>
      </w:pPr>
      <w:r w:rsidRPr="00F53BDD">
        <w:t xml:space="preserve">This option affects </w:t>
      </w:r>
      <w:r w:rsidR="00695E3D" w:rsidRPr="00F53BDD">
        <w:t>all users</w:t>
      </w:r>
      <w:r w:rsidR="00125780" w:rsidRPr="00F53BDD">
        <w:t xml:space="preserve"> and requires oversight by </w:t>
      </w:r>
      <w:r w:rsidRPr="00F53BDD">
        <w:t>a regulator.</w:t>
      </w:r>
    </w:p>
    <w:p w:rsidR="001A7FB1" w:rsidRPr="00F53BDD" w:rsidRDefault="00146053" w:rsidP="0038777C">
      <w:pPr>
        <w:pStyle w:val="BodyText"/>
      </w:pPr>
      <w:r w:rsidRPr="00F53BDD">
        <w:t>Under this option,</w:t>
      </w:r>
      <w:r w:rsidR="0038777C" w:rsidRPr="00F53BDD">
        <w:t xml:space="preserve"> </w:t>
      </w:r>
      <w:r w:rsidR="00030632" w:rsidRPr="00F53BDD">
        <w:t xml:space="preserve">most or </w:t>
      </w:r>
      <w:r w:rsidR="0038777C" w:rsidRPr="00F53BDD">
        <w:t xml:space="preserve">all NZU trades </w:t>
      </w:r>
      <w:r w:rsidRPr="00F53BDD">
        <w:t xml:space="preserve">would have </w:t>
      </w:r>
      <w:r w:rsidR="0038777C" w:rsidRPr="00F53BDD">
        <w:t xml:space="preserve">to take place on one or more </w:t>
      </w:r>
      <w:r w:rsidR="00695E3D" w:rsidRPr="00F53BDD">
        <w:t xml:space="preserve">regulated </w:t>
      </w:r>
      <w:r w:rsidR="0038777C" w:rsidRPr="00F53BDD">
        <w:t xml:space="preserve">exchanges. </w:t>
      </w:r>
    </w:p>
    <w:p w:rsidR="0038777C" w:rsidRPr="00F53BDD" w:rsidRDefault="001A7FB1" w:rsidP="008B258F">
      <w:pPr>
        <w:pStyle w:val="BodyText"/>
      </w:pPr>
      <w:r w:rsidRPr="00F53BDD">
        <w:t>In e</w:t>
      </w:r>
      <w:r w:rsidR="0038777C" w:rsidRPr="00F53BDD">
        <w:t>xchang</w:t>
      </w:r>
      <w:r w:rsidR="00695E3D" w:rsidRPr="00F53BDD">
        <w:t>e-based trading</w:t>
      </w:r>
      <w:r w:rsidRPr="00F53BDD">
        <w:t>, all buy and sell</w:t>
      </w:r>
      <w:r w:rsidR="007752B8" w:rsidRPr="00F53BDD">
        <w:t xml:space="preserve"> orders are automatically matched</w:t>
      </w:r>
      <w:r w:rsidRPr="00F53BDD">
        <w:t xml:space="preserve"> </w:t>
      </w:r>
      <w:r w:rsidR="007752B8" w:rsidRPr="00F53BDD">
        <w:t xml:space="preserve">and executed </w:t>
      </w:r>
      <w:r w:rsidRPr="00F53BDD">
        <w:t xml:space="preserve">to ensure fair trading across all </w:t>
      </w:r>
      <w:r w:rsidR="007752B8" w:rsidRPr="00F53BDD">
        <w:t>users</w:t>
      </w:r>
      <w:r w:rsidRPr="00F53BDD">
        <w:t>.</w:t>
      </w:r>
      <w:r w:rsidR="007752B8" w:rsidRPr="00F53BDD">
        <w:t xml:space="preserve"> Exchanges </w:t>
      </w:r>
      <w:r w:rsidR="0038777C" w:rsidRPr="00F53BDD">
        <w:t xml:space="preserve">enable trading at scale, because each trader </w:t>
      </w:r>
      <w:r w:rsidR="00146053" w:rsidRPr="00F53BDD">
        <w:t>has</w:t>
      </w:r>
      <w:r w:rsidR="0038777C" w:rsidRPr="00F53BDD">
        <w:t xml:space="preserve"> access to a much wider pool of counter</w:t>
      </w:r>
      <w:r w:rsidR="00146053" w:rsidRPr="00F53BDD">
        <w:t>-</w:t>
      </w:r>
      <w:r w:rsidR="0038777C" w:rsidRPr="00F53BDD">
        <w:t>parties to trade with.</w:t>
      </w:r>
    </w:p>
    <w:p w:rsidR="0038777C" w:rsidRPr="00F53BDD" w:rsidRDefault="007752B8" w:rsidP="0038777C">
      <w:pPr>
        <w:pStyle w:val="BodyText"/>
      </w:pPr>
      <w:r w:rsidRPr="00F53BDD">
        <w:t>A</w:t>
      </w:r>
      <w:r w:rsidR="0038777C" w:rsidRPr="00F53BDD">
        <w:t xml:space="preserve">ll traders </w:t>
      </w:r>
      <w:r w:rsidR="00D70911" w:rsidRPr="00F53BDD">
        <w:t>must</w:t>
      </w:r>
      <w:r w:rsidR="0038777C" w:rsidRPr="00F53BDD">
        <w:t xml:space="preserve"> be registered on the exchange. This may include </w:t>
      </w:r>
      <w:r w:rsidRPr="00F53BDD">
        <w:t xml:space="preserve">traders </w:t>
      </w:r>
      <w:r w:rsidR="0038777C" w:rsidRPr="00F53BDD">
        <w:t xml:space="preserve">posting collateral </w:t>
      </w:r>
      <w:r w:rsidRPr="00F53BDD">
        <w:t xml:space="preserve">or bonds </w:t>
      </w:r>
      <w:r w:rsidR="0038777C" w:rsidRPr="00F53BDD">
        <w:t xml:space="preserve">to cover potential losses. </w:t>
      </w:r>
      <w:r w:rsidRPr="00F53BDD">
        <w:t xml:space="preserve">Requiring collateral </w:t>
      </w:r>
      <w:r w:rsidR="0038777C" w:rsidRPr="00F53BDD">
        <w:t xml:space="preserve">can act as a barrier to trading, but </w:t>
      </w:r>
      <w:r w:rsidR="00146053" w:rsidRPr="00F53BDD">
        <w:t xml:space="preserve">gives </w:t>
      </w:r>
      <w:r w:rsidR="0038777C" w:rsidRPr="00F53BDD">
        <w:t xml:space="preserve">some protection against credit and </w:t>
      </w:r>
      <w:r w:rsidR="001E0B58" w:rsidRPr="00F53BDD">
        <w:t>counter-party</w:t>
      </w:r>
      <w:r w:rsidR="0042557A" w:rsidRPr="00F53BDD">
        <w:t xml:space="preserve"> risk</w:t>
      </w:r>
      <w:r w:rsidR="0038777C" w:rsidRPr="00F53BDD">
        <w:t>.</w:t>
      </w:r>
    </w:p>
    <w:p w:rsidR="0038777C" w:rsidRPr="00F53BDD" w:rsidRDefault="0038777C" w:rsidP="0038777C">
      <w:pPr>
        <w:pStyle w:val="BodyText"/>
      </w:pPr>
      <w:r w:rsidRPr="00F53BDD">
        <w:t xml:space="preserve">Generally, exchanges provide more information to the public and </w:t>
      </w:r>
      <w:r w:rsidR="0042557A" w:rsidRPr="00F53BDD">
        <w:t>regulators</w:t>
      </w:r>
      <w:r w:rsidRPr="00F53BDD">
        <w:t xml:space="preserve"> through </w:t>
      </w:r>
      <w:r w:rsidR="007752B8" w:rsidRPr="00F53BDD">
        <w:t xml:space="preserve">aggregate data </w:t>
      </w:r>
      <w:r w:rsidRPr="00F53BDD">
        <w:t>reporting</w:t>
      </w:r>
      <w:r w:rsidR="00AB2DEA" w:rsidRPr="00F53BDD">
        <w:t>,</w:t>
      </w:r>
      <w:r w:rsidR="007752B8" w:rsidRPr="00F53BDD">
        <w:t xml:space="preserve"> such as </w:t>
      </w:r>
      <w:r w:rsidRPr="00F53BDD">
        <w:t>live price and volume data. These statistics support price discovery and market efficiency for all traders.</w:t>
      </w:r>
    </w:p>
    <w:p w:rsidR="0038777C" w:rsidRPr="00F53BDD" w:rsidRDefault="005A6E9B" w:rsidP="008260CB">
      <w:pPr>
        <w:pStyle w:val="Heading4"/>
        <w:spacing w:after="120"/>
      </w:pPr>
      <w:r w:rsidRPr="00F53BDD">
        <w:t>Benefits</w:t>
      </w:r>
    </w:p>
    <w:p w:rsidR="0038777C" w:rsidRPr="00F53BDD" w:rsidRDefault="007752B8" w:rsidP="008260CB">
      <w:pPr>
        <w:pStyle w:val="Bullet"/>
      </w:pPr>
      <w:r w:rsidRPr="00F53BDD">
        <w:t>Reporting on buy and sell orders improves price discovery and market efficiency.</w:t>
      </w:r>
    </w:p>
    <w:p w:rsidR="0038777C" w:rsidRPr="00F53BDD" w:rsidRDefault="0038777C" w:rsidP="008260CB">
      <w:pPr>
        <w:pStyle w:val="Bullet"/>
      </w:pPr>
      <w:r w:rsidRPr="00F53BDD">
        <w:t xml:space="preserve">Exchanges are generally liquid. The pool of buyers and sellers </w:t>
      </w:r>
      <w:r w:rsidR="00AB2DEA" w:rsidRPr="00F53BDD">
        <w:t xml:space="preserve">is </w:t>
      </w:r>
      <w:r w:rsidRPr="00F53BDD">
        <w:t xml:space="preserve">larger because traders meet in a centralised location to transact. </w:t>
      </w:r>
    </w:p>
    <w:p w:rsidR="00054263" w:rsidRPr="00F53BDD" w:rsidRDefault="00AE73C5" w:rsidP="008260CB">
      <w:pPr>
        <w:pStyle w:val="Bullet"/>
      </w:pPr>
      <w:r w:rsidRPr="00F53BDD">
        <w:t xml:space="preserve">A </w:t>
      </w:r>
      <w:r w:rsidR="00054263" w:rsidRPr="00F53BDD">
        <w:t xml:space="preserve">common set of rules ensures </w:t>
      </w:r>
      <w:r w:rsidRPr="00F53BDD">
        <w:t>users</w:t>
      </w:r>
      <w:r w:rsidR="001352E6" w:rsidRPr="00F53BDD">
        <w:t xml:space="preserve"> are</w:t>
      </w:r>
      <w:r w:rsidR="00054263" w:rsidRPr="00F53BDD">
        <w:t>:</w:t>
      </w:r>
    </w:p>
    <w:p w:rsidR="00054263" w:rsidRPr="00F53BDD" w:rsidRDefault="003B5262" w:rsidP="008260CB">
      <w:pPr>
        <w:pStyle w:val="Sub-list"/>
      </w:pPr>
      <w:r w:rsidRPr="00F53BDD">
        <w:t xml:space="preserve">treated equally </w:t>
      </w:r>
      <w:r w:rsidR="0038777C" w:rsidRPr="00F53BDD">
        <w:t xml:space="preserve">when buying or selling </w:t>
      </w:r>
    </w:p>
    <w:p w:rsidR="0038777C" w:rsidRPr="00F53BDD" w:rsidRDefault="0038777C" w:rsidP="008260CB">
      <w:pPr>
        <w:pStyle w:val="Sub-list"/>
      </w:pPr>
      <w:r w:rsidRPr="00F53BDD">
        <w:t xml:space="preserve">able to buy or sell at </w:t>
      </w:r>
      <w:r w:rsidR="00054263" w:rsidRPr="00F53BDD">
        <w:t>a fair market price</w:t>
      </w:r>
      <w:r w:rsidRPr="00F53BDD">
        <w:t>.</w:t>
      </w:r>
    </w:p>
    <w:p w:rsidR="0038777C" w:rsidRPr="00F53BDD" w:rsidRDefault="007752B8" w:rsidP="008260CB">
      <w:pPr>
        <w:pStyle w:val="Bullet"/>
      </w:pPr>
      <w:r w:rsidRPr="00F53BDD">
        <w:t>E</w:t>
      </w:r>
      <w:r w:rsidR="0038777C" w:rsidRPr="00F53BDD">
        <w:t xml:space="preserve">xchange rules, collateral and margins help reduce credit and </w:t>
      </w:r>
      <w:r w:rsidR="001E0B58" w:rsidRPr="00F53BDD">
        <w:t>counter-party</w:t>
      </w:r>
      <w:r w:rsidR="0038777C" w:rsidRPr="00F53BDD">
        <w:t xml:space="preserve"> risk. </w:t>
      </w:r>
    </w:p>
    <w:p w:rsidR="005A6E9B" w:rsidRPr="00F53BDD" w:rsidRDefault="005A6E9B" w:rsidP="008260CB">
      <w:pPr>
        <w:pStyle w:val="Heading4"/>
        <w:spacing w:after="120"/>
      </w:pPr>
      <w:r w:rsidRPr="00F53BDD">
        <w:t>Disadvantages</w:t>
      </w:r>
    </w:p>
    <w:p w:rsidR="005A6E9B" w:rsidRPr="00F53BDD" w:rsidRDefault="00AB2DEA" w:rsidP="000C4660">
      <w:pPr>
        <w:pStyle w:val="Bullet"/>
      </w:pPr>
      <w:r w:rsidRPr="00F53BDD">
        <w:t>U</w:t>
      </w:r>
      <w:r w:rsidR="00695E3D" w:rsidRPr="00F53BDD">
        <w:t xml:space="preserve">sers must register with an </w:t>
      </w:r>
      <w:r w:rsidR="005A6E9B" w:rsidRPr="00F53BDD">
        <w:t>exchange</w:t>
      </w:r>
      <w:r w:rsidR="00695E3D" w:rsidRPr="00F53BDD">
        <w:t xml:space="preserve"> and</w:t>
      </w:r>
      <w:r w:rsidR="005A6E9B" w:rsidRPr="00F53BDD">
        <w:t xml:space="preserve"> may incur set up</w:t>
      </w:r>
      <w:r w:rsidR="00695E3D" w:rsidRPr="00F53BDD">
        <w:t xml:space="preserve"> </w:t>
      </w:r>
      <w:r w:rsidR="00054263" w:rsidRPr="00F53BDD">
        <w:t>cost</w:t>
      </w:r>
      <w:r w:rsidR="007752B8" w:rsidRPr="00F53BDD">
        <w:t>s</w:t>
      </w:r>
      <w:r w:rsidR="00054263" w:rsidRPr="00F53BDD">
        <w:t>.</w:t>
      </w:r>
      <w:r w:rsidR="005A6E9B" w:rsidRPr="00F53BDD">
        <w:t xml:space="preserve"> </w:t>
      </w:r>
    </w:p>
    <w:p w:rsidR="00CC279A" w:rsidRPr="00F53BDD" w:rsidRDefault="00AB2DEA" w:rsidP="000C4660">
      <w:pPr>
        <w:pStyle w:val="Bullet"/>
      </w:pPr>
      <w:r w:rsidRPr="00F53BDD">
        <w:t>U</w:t>
      </w:r>
      <w:r w:rsidR="00CC279A" w:rsidRPr="00F53BDD">
        <w:t xml:space="preserve">sers may be required to pay </w:t>
      </w:r>
      <w:r w:rsidR="007752B8" w:rsidRPr="00F53BDD">
        <w:t xml:space="preserve">trading </w:t>
      </w:r>
      <w:r w:rsidR="00CC279A" w:rsidRPr="00F53BDD">
        <w:t>fees to participate.</w:t>
      </w:r>
    </w:p>
    <w:p w:rsidR="005A6E9B" w:rsidRPr="00F53BDD" w:rsidRDefault="007752B8" w:rsidP="000C4660">
      <w:pPr>
        <w:pStyle w:val="Bullet"/>
      </w:pPr>
      <w:r w:rsidRPr="00F53BDD">
        <w:t xml:space="preserve">Requiring </w:t>
      </w:r>
      <w:r w:rsidR="005A6E9B" w:rsidRPr="00F53BDD">
        <w:t xml:space="preserve">collateral to trade may discourage some small </w:t>
      </w:r>
      <w:r w:rsidR="00695E3D" w:rsidRPr="00F53BDD">
        <w:t>users.</w:t>
      </w:r>
    </w:p>
    <w:p w:rsidR="005A6E9B" w:rsidRPr="00F53BDD" w:rsidRDefault="007752B8" w:rsidP="000C4660">
      <w:pPr>
        <w:pStyle w:val="Bullet"/>
      </w:pPr>
      <w:r w:rsidRPr="00F53BDD">
        <w:t xml:space="preserve">Could </w:t>
      </w:r>
      <w:r w:rsidR="00AB2DEA" w:rsidRPr="00F53BDD">
        <w:t>be costly for</w:t>
      </w:r>
      <w:r w:rsidR="005A6E9B" w:rsidRPr="00F53BDD">
        <w:t xml:space="preserve"> the </w:t>
      </w:r>
      <w:r w:rsidR="00AB2DEA" w:rsidRPr="00F53BDD">
        <w:t>G</w:t>
      </w:r>
      <w:r w:rsidR="005A6E9B" w:rsidRPr="00F53BDD">
        <w:t>overnment to start up and maintain</w:t>
      </w:r>
      <w:r w:rsidR="00695E3D" w:rsidRPr="00F53BDD">
        <w:t>.</w:t>
      </w:r>
    </w:p>
    <w:p w:rsidR="0038777C" w:rsidRPr="00F53BDD" w:rsidRDefault="007875F7" w:rsidP="00340B47">
      <w:pPr>
        <w:pStyle w:val="BodyText"/>
      </w:pPr>
      <w:r w:rsidRPr="00F53BDD">
        <w:t>T</w:t>
      </w:r>
      <w:r w:rsidR="0038777C" w:rsidRPr="00F53BDD">
        <w:t xml:space="preserve">he Government could leverage existing commodity platforms or markets </w:t>
      </w:r>
      <w:r w:rsidRPr="00F53BDD">
        <w:t xml:space="preserve">for </w:t>
      </w:r>
      <w:r w:rsidR="0038777C" w:rsidRPr="00F53BDD">
        <w:t>NZUs. To ensure</w:t>
      </w:r>
      <w:r w:rsidR="00E05DEA">
        <w:t> </w:t>
      </w:r>
      <w:r w:rsidR="0038777C" w:rsidRPr="00F53BDD">
        <w:t xml:space="preserve">they align with the </w:t>
      </w:r>
      <w:r w:rsidR="00695E3D" w:rsidRPr="00F53BDD">
        <w:t xml:space="preserve">Government’s </w:t>
      </w:r>
      <w:r w:rsidR="0038777C" w:rsidRPr="00F53BDD">
        <w:t>objectives, these platforms could operate under licen</w:t>
      </w:r>
      <w:r w:rsidR="00AB2DEA" w:rsidRPr="00F53BDD">
        <w:t>c</w:t>
      </w:r>
      <w:r w:rsidR="0038777C" w:rsidRPr="00F53BDD">
        <w:t xml:space="preserve">e and oversight by a regulator. This option would be similar to the market operator licensing </w:t>
      </w:r>
      <w:r w:rsidR="005A6E4F" w:rsidRPr="00F53BDD">
        <w:t>framework</w:t>
      </w:r>
      <w:r w:rsidR="0038777C" w:rsidRPr="00F53BDD">
        <w:t xml:space="preserve"> set up under the </w:t>
      </w:r>
      <w:r w:rsidR="00812A66" w:rsidRPr="00F53BDD">
        <w:t>F</w:t>
      </w:r>
      <w:r w:rsidR="00812A66">
        <w:t xml:space="preserve">inancial </w:t>
      </w:r>
      <w:r w:rsidR="0038777C" w:rsidRPr="00F53BDD">
        <w:t>M</w:t>
      </w:r>
      <w:r w:rsidR="00812A66">
        <w:t xml:space="preserve">arkets </w:t>
      </w:r>
      <w:r w:rsidR="0038777C" w:rsidRPr="00F53BDD">
        <w:t>C</w:t>
      </w:r>
      <w:r w:rsidR="00812A66">
        <w:t xml:space="preserve">onduct </w:t>
      </w:r>
      <w:r w:rsidR="0038777C" w:rsidRPr="00F53BDD">
        <w:t>A</w:t>
      </w:r>
      <w:r w:rsidR="00812A66">
        <w:t>ct</w:t>
      </w:r>
      <w:r w:rsidR="0038777C" w:rsidRPr="00F53BDD">
        <w:t xml:space="preserve"> </w:t>
      </w:r>
      <w:r w:rsidR="00812A66">
        <w:t xml:space="preserve">2013 </w:t>
      </w:r>
      <w:r w:rsidR="0038777C" w:rsidRPr="00F53BDD">
        <w:t>for the financial securities market.</w:t>
      </w:r>
    </w:p>
    <w:p w:rsidR="00C2373A" w:rsidRPr="00F53BDD" w:rsidRDefault="00D56095" w:rsidP="00BD1321">
      <w:pPr>
        <w:pStyle w:val="Heading2"/>
        <w:spacing w:after="240"/>
      </w:pPr>
      <w:bookmarkStart w:id="51" w:name="_Toc75250071"/>
      <w:r>
        <w:t>Consultation</w:t>
      </w:r>
      <w:r w:rsidRPr="00F53BDD">
        <w:t xml:space="preserve"> </w:t>
      </w:r>
      <w:r w:rsidR="00C2373A" w:rsidRPr="00F53BDD">
        <w:t>questions</w:t>
      </w:r>
      <w:bookmarkEnd w:id="51"/>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BD1321" w:rsidRPr="00F53BDD" w:rsidTr="00BD1321">
        <w:tc>
          <w:tcPr>
            <w:tcW w:w="0" w:type="auto"/>
            <w:shd w:val="clear" w:color="auto" w:fill="D2DDE2"/>
          </w:tcPr>
          <w:p w:rsidR="00BD1321" w:rsidRPr="00F53BDD" w:rsidRDefault="00BD1321" w:rsidP="00BD1321">
            <w:pPr>
              <w:pStyle w:val="Blueboxheading"/>
              <w:spacing w:after="120"/>
            </w:pPr>
            <w:r w:rsidRPr="00F53BDD">
              <w:t>Transparency of trades</w:t>
            </w:r>
          </w:p>
          <w:p w:rsidR="00BD1321" w:rsidRPr="00F53BDD" w:rsidRDefault="00BD1321" w:rsidP="00BD1321">
            <w:pPr>
              <w:pStyle w:val="Blueboxnumbered"/>
            </w:pPr>
            <w:r w:rsidRPr="00F53BDD">
              <w:t>To what extent would more visibility on the price or volume of other NZU trades improve transparency in the NZ ETS, and better inform your decisions about buying and selling?</w:t>
            </w:r>
          </w:p>
          <w:p w:rsidR="00BD1321" w:rsidRPr="00F53BDD" w:rsidRDefault="00BD1321" w:rsidP="00BD1321">
            <w:pPr>
              <w:pStyle w:val="Blueboxnumbered"/>
            </w:pPr>
            <w:r w:rsidRPr="00F53BDD">
              <w:t>What other types of information would make trades more transparent?</w:t>
            </w:r>
          </w:p>
          <w:p w:rsidR="00BD1321" w:rsidRPr="00F53BDD" w:rsidRDefault="00BD1321" w:rsidP="00BD1321">
            <w:pPr>
              <w:pStyle w:val="Blueboxtext"/>
              <w:rPr>
                <w:b/>
                <w:bCs/>
              </w:rPr>
            </w:pPr>
            <w:r w:rsidRPr="00F53BDD">
              <w:rPr>
                <w:b/>
                <w:bCs/>
              </w:rPr>
              <w:t>Credit and counter-party risks</w:t>
            </w:r>
          </w:p>
          <w:p w:rsidR="00BD1321" w:rsidRPr="00F53BDD" w:rsidRDefault="00BD1321" w:rsidP="00BD1321">
            <w:pPr>
              <w:pStyle w:val="Blueboxnumbered"/>
            </w:pPr>
            <w:r w:rsidRPr="00F53BDD">
              <w:t>To what extent has credit and counter-party risk affected your ability to buy or sell NZUs? What was the financial impact on you?</w:t>
            </w:r>
          </w:p>
          <w:p w:rsidR="00BD1321" w:rsidRPr="00F53BDD" w:rsidRDefault="00BD1321" w:rsidP="00BD1321">
            <w:pPr>
              <w:pStyle w:val="Blueboxtext"/>
              <w:rPr>
                <w:b/>
                <w:bCs/>
              </w:rPr>
            </w:pPr>
            <w:r w:rsidRPr="00F53BDD">
              <w:rPr>
                <w:b/>
                <w:bCs/>
              </w:rPr>
              <w:t>Voluntary transaction reporting</w:t>
            </w:r>
          </w:p>
          <w:p w:rsidR="00BD1321" w:rsidRPr="00F53BDD" w:rsidRDefault="00BD1321" w:rsidP="00BD1321">
            <w:pPr>
              <w:pStyle w:val="Blueboxnumbered"/>
            </w:pPr>
            <w:r w:rsidRPr="00F53BDD">
              <w:t xml:space="preserve">As a </w:t>
            </w:r>
            <w:r w:rsidR="00C8678F">
              <w:t xml:space="preserve">NZ ETS </w:t>
            </w:r>
            <w:r w:rsidRPr="00F53BDD">
              <w:t xml:space="preserve">user, what impact would voluntary transaction reporting have on your business or trading activity? </w:t>
            </w:r>
          </w:p>
          <w:p w:rsidR="00BD1321" w:rsidRPr="00F53BDD" w:rsidRDefault="00BD1321" w:rsidP="00BD1321">
            <w:pPr>
              <w:pStyle w:val="Blueboxnumbered"/>
            </w:pPr>
            <w:r w:rsidRPr="00F53BDD">
              <w:t xml:space="preserve">As a </w:t>
            </w:r>
            <w:r w:rsidR="00C8678F">
              <w:t xml:space="preserve">NZ ETS </w:t>
            </w:r>
            <w:r w:rsidRPr="00F53BDD">
              <w:t xml:space="preserve">user, what impact would position reporting have on your business or trading activity? </w:t>
            </w:r>
          </w:p>
          <w:p w:rsidR="00BD1321" w:rsidRPr="00F53BDD" w:rsidRDefault="00BD1321" w:rsidP="00BD1321">
            <w:pPr>
              <w:pStyle w:val="Blueboxnumbered"/>
            </w:pPr>
            <w:r w:rsidRPr="00F53BDD">
              <w:t>As a</w:t>
            </w:r>
            <w:r w:rsidR="00C8678F">
              <w:t xml:space="preserve"> NZ ETS</w:t>
            </w:r>
            <w:r w:rsidRPr="00F53BDD">
              <w:t xml:space="preserve"> user, what impact would exchange-based trading have on your business or trading activity?</w:t>
            </w:r>
          </w:p>
          <w:p w:rsidR="00BD1321" w:rsidRPr="00F53BDD" w:rsidRDefault="00BD1321" w:rsidP="00BD1321">
            <w:pPr>
              <w:pStyle w:val="Blueboxtext"/>
              <w:rPr>
                <w:b/>
                <w:bCs/>
              </w:rPr>
            </w:pPr>
            <w:r w:rsidRPr="00F53BDD">
              <w:rPr>
                <w:b/>
                <w:bCs/>
              </w:rPr>
              <w:t>Other options</w:t>
            </w:r>
          </w:p>
          <w:p w:rsidR="00BD1321" w:rsidRPr="00F53BDD" w:rsidRDefault="00BD1321" w:rsidP="00BD1321">
            <w:pPr>
              <w:pStyle w:val="Blueboxnumbered"/>
              <w:spacing w:after="240"/>
            </w:pPr>
            <w:r w:rsidRPr="00F53BDD">
              <w:t>What other options could increase transparency of trades, or reduce market risks associated with trading NZUs?</w:t>
            </w:r>
          </w:p>
        </w:tc>
      </w:tr>
    </w:tbl>
    <w:p w:rsidR="00BD1321" w:rsidRPr="00F53BDD" w:rsidRDefault="00BD1321" w:rsidP="007823D6">
      <w:pPr>
        <w:pStyle w:val="BodyText"/>
      </w:pPr>
    </w:p>
    <w:p w:rsidR="008D3D7E" w:rsidRPr="00F53BDD" w:rsidRDefault="008D3D7E">
      <w:pPr>
        <w:spacing w:before="0" w:after="200" w:line="276" w:lineRule="auto"/>
        <w:jc w:val="left"/>
      </w:pPr>
      <w:r w:rsidRPr="00F53BDD">
        <w:br w:type="page"/>
      </w:r>
    </w:p>
    <w:p w:rsidR="00A37B38" w:rsidRPr="00F53BDD" w:rsidRDefault="00A37B38" w:rsidP="00FC2F3C">
      <w:pPr>
        <w:pStyle w:val="Heading1"/>
      </w:pPr>
      <w:bookmarkStart w:id="52" w:name="_Toc75250072"/>
      <w:r w:rsidRPr="00F53BDD">
        <w:t xml:space="preserve">Section 5: Governance of </w:t>
      </w:r>
      <w:r w:rsidR="00D70911" w:rsidRPr="00F53BDD">
        <w:t>m</w:t>
      </w:r>
      <w:r w:rsidRPr="00F53BDD">
        <w:t xml:space="preserve">arket </w:t>
      </w:r>
      <w:r w:rsidR="00D70911" w:rsidRPr="00F53BDD">
        <w:t>c</w:t>
      </w:r>
      <w:r w:rsidRPr="00F53BDD">
        <w:t>onduct</w:t>
      </w:r>
      <w:bookmarkEnd w:id="52"/>
    </w:p>
    <w:p w:rsidR="004726DC" w:rsidRPr="00F53BDD" w:rsidRDefault="004726DC" w:rsidP="00AD5C0A">
      <w:pPr>
        <w:pStyle w:val="BodyText"/>
        <w:spacing w:before="0" w:after="0"/>
      </w:pPr>
      <w:r w:rsidRPr="00F53BDD">
        <w:t>Th</w:t>
      </w:r>
      <w:r w:rsidR="00D70911" w:rsidRPr="00F53BDD">
        <w:t>is</w:t>
      </w:r>
      <w:r w:rsidRPr="00F53BDD">
        <w:rPr>
          <w:i/>
          <w:iCs/>
        </w:rPr>
        <w:t xml:space="preserve"> </w:t>
      </w:r>
      <w:r w:rsidRPr="00F53BDD">
        <w:t xml:space="preserve">theme addresses </w:t>
      </w:r>
      <w:r w:rsidR="001C4099" w:rsidRPr="00F53BDD">
        <w:t xml:space="preserve">four risks, </w:t>
      </w:r>
      <w:r w:rsidR="00AB2DEA" w:rsidRPr="00F53BDD">
        <w:t xml:space="preserve">set out below. </w:t>
      </w:r>
    </w:p>
    <w:p w:rsidR="00A37B38" w:rsidRPr="00F53BDD" w:rsidRDefault="00A37B38" w:rsidP="006C12AA">
      <w:pPr>
        <w:pStyle w:val="Heading2"/>
      </w:pPr>
      <w:bookmarkStart w:id="53" w:name="_Toc75250073"/>
      <w:r w:rsidRPr="00F53BDD">
        <w:t>Risk 5: Insider trading and information asymmetry</w:t>
      </w:r>
      <w:bookmarkEnd w:id="53"/>
      <w:r w:rsidRPr="00F53BDD">
        <w:t xml:space="preserve"> </w:t>
      </w:r>
    </w:p>
    <w:p w:rsidR="00A37B38" w:rsidRPr="00F53BDD" w:rsidRDefault="00A37B38" w:rsidP="006C12AA">
      <w:pPr>
        <w:pStyle w:val="BodyText"/>
      </w:pPr>
      <w:r w:rsidRPr="00F53BDD">
        <w:t>Insider trading refers to:</w:t>
      </w:r>
    </w:p>
    <w:p w:rsidR="00A37B38" w:rsidRPr="00F53BDD" w:rsidRDefault="008B1E24" w:rsidP="006C12AA">
      <w:pPr>
        <w:pStyle w:val="Bullet"/>
      </w:pPr>
      <w:r w:rsidRPr="00F53BDD">
        <w:t>buying</w:t>
      </w:r>
      <w:r w:rsidR="00A37B38" w:rsidRPr="00F53BDD">
        <w:t xml:space="preserve"> or selling </w:t>
      </w:r>
      <w:r w:rsidR="00A76CF1" w:rsidRPr="00F53BDD">
        <w:t>NZUs</w:t>
      </w:r>
      <w:r w:rsidR="00A37B38" w:rsidRPr="00F53BDD">
        <w:t xml:space="preserve"> while in possession of material information that is not generally available to the market</w:t>
      </w:r>
    </w:p>
    <w:p w:rsidR="00A37B38" w:rsidRPr="00F53BDD" w:rsidRDefault="00A37B38" w:rsidP="006C12AA">
      <w:pPr>
        <w:pStyle w:val="Bullet"/>
      </w:pPr>
      <w:r w:rsidRPr="00F53BDD">
        <w:t>passing on and sharing material information that is not generally available to the market.</w:t>
      </w:r>
    </w:p>
    <w:p w:rsidR="00A37B38" w:rsidRPr="00F53BDD" w:rsidRDefault="00A37B38" w:rsidP="006C12AA">
      <w:pPr>
        <w:pStyle w:val="BodyText"/>
      </w:pPr>
      <w:r w:rsidRPr="00F53BDD">
        <w:t xml:space="preserve">In </w:t>
      </w:r>
      <w:r w:rsidR="00A16739" w:rsidRPr="00F53BDD">
        <w:t xml:space="preserve">these </w:t>
      </w:r>
      <w:r w:rsidRPr="00F53BDD">
        <w:t>situation</w:t>
      </w:r>
      <w:r w:rsidR="00A16739" w:rsidRPr="00F53BDD">
        <w:t>s</w:t>
      </w:r>
      <w:r w:rsidRPr="00F53BDD">
        <w:t xml:space="preserve">, information is ‘material’ if a reasonable person would expect </w:t>
      </w:r>
      <w:r w:rsidR="008B258F" w:rsidRPr="00F53BDD">
        <w:t xml:space="preserve">the information </w:t>
      </w:r>
      <w:r w:rsidRPr="00F53BDD">
        <w:t xml:space="preserve">to </w:t>
      </w:r>
      <w:r w:rsidR="00A16739" w:rsidRPr="00F53BDD">
        <w:t>influence</w:t>
      </w:r>
      <w:r w:rsidRPr="00F53BDD">
        <w:t xml:space="preserve"> the price of </w:t>
      </w:r>
      <w:r w:rsidR="00A76CF1" w:rsidRPr="00F53BDD">
        <w:t>NZU</w:t>
      </w:r>
      <w:r w:rsidRPr="00F53BDD">
        <w:t xml:space="preserve"> if </w:t>
      </w:r>
      <w:r w:rsidR="008B258F" w:rsidRPr="00F53BDD">
        <w:t xml:space="preserve">it </w:t>
      </w:r>
      <w:r w:rsidR="00B7058C" w:rsidRPr="00F53BDD">
        <w:t>were</w:t>
      </w:r>
      <w:r w:rsidR="00A16739" w:rsidRPr="00F53BDD">
        <w:t xml:space="preserve"> </w:t>
      </w:r>
      <w:r w:rsidRPr="00F53BDD">
        <w:t>generally available.</w:t>
      </w:r>
      <w:r w:rsidR="00F75AE9" w:rsidRPr="00F53BDD">
        <w:t xml:space="preserve"> </w:t>
      </w:r>
    </w:p>
    <w:p w:rsidR="00A37B38" w:rsidRPr="00F53BDD" w:rsidRDefault="00A37B38" w:rsidP="006C12AA">
      <w:pPr>
        <w:pStyle w:val="BodyText"/>
      </w:pPr>
      <w:r w:rsidRPr="00F53BDD">
        <w:t>Insider trading could occur if, for example, a</w:t>
      </w:r>
      <w:r w:rsidR="00CA6990" w:rsidRPr="00F53BDD">
        <w:t>n NZ ETS user</w:t>
      </w:r>
      <w:r w:rsidRPr="00F53BDD">
        <w:t xml:space="preserve"> had </w:t>
      </w:r>
      <w:r w:rsidR="00427DC4" w:rsidRPr="00F53BDD">
        <w:t xml:space="preserve">confidential </w:t>
      </w:r>
      <w:r w:rsidRPr="00F53BDD">
        <w:t>information that a large emitter planned to shut down, or substantively reduced their emissions,</w:t>
      </w:r>
      <w:r w:rsidR="00A16739" w:rsidRPr="00F53BDD">
        <w:t xml:space="preserve"> and</w:t>
      </w:r>
      <w:r w:rsidRPr="00F53BDD">
        <w:t xml:space="preserve"> then used that information to trade NZUs to make a profit</w:t>
      </w:r>
      <w:r w:rsidR="00427DC4" w:rsidRPr="00F53BDD">
        <w:t xml:space="preserve"> following its release</w:t>
      </w:r>
      <w:r w:rsidRPr="00F53BDD">
        <w:t>.</w:t>
      </w:r>
    </w:p>
    <w:p w:rsidR="00A37B38" w:rsidRPr="00F53BDD" w:rsidRDefault="00A37B38" w:rsidP="006C12AA">
      <w:pPr>
        <w:pStyle w:val="Heading2"/>
      </w:pPr>
      <w:bookmarkStart w:id="54" w:name="_Toc75250074"/>
      <w:r w:rsidRPr="00F53BDD">
        <w:t>Risk 6: Manipulation of NZU prices</w:t>
      </w:r>
      <w:bookmarkEnd w:id="54"/>
    </w:p>
    <w:p w:rsidR="008B1E24" w:rsidRPr="00F53BDD" w:rsidRDefault="00A37B38" w:rsidP="00A37B38">
      <w:pPr>
        <w:pStyle w:val="BodyText"/>
      </w:pPr>
      <w:r w:rsidRPr="00F53BDD">
        <w:t>Market manipulation includes spreading false market information</w:t>
      </w:r>
      <w:r w:rsidR="008B258F" w:rsidRPr="00F53BDD">
        <w:t xml:space="preserve"> </w:t>
      </w:r>
      <w:r w:rsidRPr="00F53BDD">
        <w:t>or giving false impressions of</w:t>
      </w:r>
      <w:r w:rsidR="006D05E6" w:rsidRPr="00F53BDD">
        <w:t> </w:t>
      </w:r>
      <w:r w:rsidRPr="00F53BDD">
        <w:t xml:space="preserve">market </w:t>
      </w:r>
      <w:r w:rsidR="00427DC4" w:rsidRPr="00F53BDD">
        <w:t>supply or demand for NZUs</w:t>
      </w:r>
      <w:r w:rsidRPr="00F53BDD">
        <w:t xml:space="preserve">, typically with the aim </w:t>
      </w:r>
      <w:r w:rsidR="001C4099" w:rsidRPr="00F53BDD">
        <w:t xml:space="preserve">of </w:t>
      </w:r>
      <w:r w:rsidRPr="00F53BDD">
        <w:t>influenc</w:t>
      </w:r>
      <w:r w:rsidR="001C4099" w:rsidRPr="00F53BDD">
        <w:t>ing</w:t>
      </w:r>
      <w:r w:rsidRPr="00F53BDD">
        <w:t xml:space="preserve"> the market price for</w:t>
      </w:r>
      <w:r w:rsidR="006D05E6" w:rsidRPr="00F53BDD">
        <w:t> </w:t>
      </w:r>
      <w:r w:rsidRPr="00F53BDD">
        <w:t>profit.</w:t>
      </w:r>
      <w:r w:rsidR="008B1E24" w:rsidRPr="00F53BDD">
        <w:t xml:space="preserve"> </w:t>
      </w:r>
    </w:p>
    <w:p w:rsidR="003B19E8" w:rsidRPr="00F53BDD" w:rsidRDefault="001C4099" w:rsidP="006C12AA">
      <w:pPr>
        <w:pStyle w:val="BodyText"/>
      </w:pPr>
      <w:r w:rsidRPr="00F53BDD">
        <w:rPr>
          <w:lang w:eastAsia="en-GB"/>
        </w:rPr>
        <w:t xml:space="preserve">Manipulation in the </w:t>
      </w:r>
      <w:r w:rsidRPr="00F53BDD">
        <w:rPr>
          <w:b/>
          <w:bCs/>
          <w:lang w:eastAsia="en-GB"/>
        </w:rPr>
        <w:t>p</w:t>
      </w:r>
      <w:r w:rsidR="00A37B38" w:rsidRPr="00F53BDD">
        <w:rPr>
          <w:b/>
          <w:bCs/>
          <w:lang w:eastAsia="en-GB"/>
        </w:rPr>
        <w:t>rimary market</w:t>
      </w:r>
      <w:r w:rsidR="00F12721" w:rsidRPr="009A6C3F">
        <w:rPr>
          <w:lang w:eastAsia="en-GB"/>
        </w:rPr>
        <w:t xml:space="preserve"> </w:t>
      </w:r>
      <w:r w:rsidR="00A37B38" w:rsidRPr="00F53BDD">
        <w:rPr>
          <w:lang w:eastAsia="en-GB"/>
        </w:rPr>
        <w:t>(</w:t>
      </w:r>
      <w:r w:rsidR="00054263" w:rsidRPr="00F53BDD">
        <w:rPr>
          <w:lang w:eastAsia="en-GB"/>
        </w:rPr>
        <w:t>ie,</w:t>
      </w:r>
      <w:r w:rsidR="00A37B38" w:rsidRPr="00F53BDD">
        <w:rPr>
          <w:lang w:eastAsia="en-GB"/>
        </w:rPr>
        <w:t xml:space="preserve"> </w:t>
      </w:r>
      <w:r w:rsidR="00F12721" w:rsidRPr="00F53BDD">
        <w:rPr>
          <w:lang w:eastAsia="en-GB"/>
        </w:rPr>
        <w:t>g</w:t>
      </w:r>
      <w:r w:rsidR="00A16739" w:rsidRPr="00F53BDD">
        <w:rPr>
          <w:lang w:eastAsia="en-GB"/>
        </w:rPr>
        <w:t>overnment</w:t>
      </w:r>
      <w:r w:rsidR="00A37B38" w:rsidRPr="00F53BDD">
        <w:rPr>
          <w:lang w:eastAsia="en-GB"/>
        </w:rPr>
        <w:t xml:space="preserve">-run auctions) could include collusion </w:t>
      </w:r>
      <w:r w:rsidR="00427DC4" w:rsidRPr="00F53BDD">
        <w:rPr>
          <w:lang w:eastAsia="en-GB"/>
        </w:rPr>
        <w:t xml:space="preserve">among bidders or bidding with knowledge of </w:t>
      </w:r>
      <w:r w:rsidR="00A37B38" w:rsidRPr="00F53BDD">
        <w:rPr>
          <w:lang w:eastAsia="en-GB"/>
        </w:rPr>
        <w:t xml:space="preserve">the </w:t>
      </w:r>
      <w:r w:rsidR="00F12721" w:rsidRPr="00F53BDD">
        <w:rPr>
          <w:lang w:eastAsia="en-GB"/>
        </w:rPr>
        <w:t>c</w:t>
      </w:r>
      <w:r w:rsidR="00A37B38" w:rsidRPr="00F53BDD">
        <w:rPr>
          <w:lang w:eastAsia="en-GB"/>
        </w:rPr>
        <w:t xml:space="preserve">onfidential </w:t>
      </w:r>
      <w:r w:rsidR="00F12721" w:rsidRPr="00F53BDD">
        <w:rPr>
          <w:lang w:eastAsia="en-GB"/>
        </w:rPr>
        <w:t>r</w:t>
      </w:r>
      <w:r w:rsidR="00A37B38" w:rsidRPr="00F53BDD">
        <w:rPr>
          <w:lang w:eastAsia="en-GB"/>
        </w:rPr>
        <w:t xml:space="preserve">eserve </w:t>
      </w:r>
      <w:r w:rsidR="00F12721" w:rsidRPr="00F53BDD">
        <w:rPr>
          <w:lang w:eastAsia="en-GB"/>
        </w:rPr>
        <w:t>p</w:t>
      </w:r>
      <w:r w:rsidR="00A37B38" w:rsidRPr="00F53BDD">
        <w:rPr>
          <w:lang w:eastAsia="en-GB"/>
        </w:rPr>
        <w:t>rice</w:t>
      </w:r>
      <w:r w:rsidR="008B258F" w:rsidRPr="00F53BDD">
        <w:rPr>
          <w:lang w:eastAsia="en-GB"/>
        </w:rPr>
        <w:t>.</w:t>
      </w:r>
    </w:p>
    <w:p w:rsidR="00A37B38" w:rsidRPr="00F53BDD" w:rsidRDefault="001C4099" w:rsidP="006C12AA">
      <w:pPr>
        <w:pStyle w:val="BodyText"/>
      </w:pPr>
      <w:r w:rsidRPr="00F53BDD">
        <w:rPr>
          <w:lang w:eastAsia="en-GB"/>
        </w:rPr>
        <w:t xml:space="preserve">Manipulation in the </w:t>
      </w:r>
      <w:r w:rsidR="00427DC4" w:rsidRPr="00F53BDD">
        <w:rPr>
          <w:b/>
          <w:bCs/>
          <w:lang w:eastAsia="en-GB"/>
        </w:rPr>
        <w:t>secondary market</w:t>
      </w:r>
      <w:r w:rsidR="00427DC4" w:rsidRPr="00F53BDD">
        <w:rPr>
          <w:lang w:eastAsia="en-GB"/>
        </w:rPr>
        <w:t xml:space="preserve"> could include trading with the primary purpose of</w:t>
      </w:r>
      <w:r w:rsidR="006D05E6" w:rsidRPr="00F53BDD">
        <w:rPr>
          <w:lang w:eastAsia="en-GB"/>
        </w:rPr>
        <w:t> </w:t>
      </w:r>
      <w:r w:rsidR="00427DC4" w:rsidRPr="00F53BDD">
        <w:rPr>
          <w:lang w:eastAsia="en-GB"/>
        </w:rPr>
        <w:t>setting or maintaining the price of NZUs on a secondary trading platform.</w:t>
      </w:r>
      <w:r w:rsidR="00A37B38" w:rsidRPr="00F53BDD" w:rsidDel="00301526">
        <w:rPr>
          <w:lang w:eastAsia="en-GB"/>
        </w:rPr>
        <w:t xml:space="preserve"> </w:t>
      </w:r>
    </w:p>
    <w:p w:rsidR="00A37B38" w:rsidRPr="00F53BDD" w:rsidRDefault="00A37B38" w:rsidP="006C12AA">
      <w:pPr>
        <w:pStyle w:val="BodyText"/>
      </w:pPr>
      <w:r w:rsidRPr="00F53BDD">
        <w:rPr>
          <w:rFonts w:eastAsia="Times New Roman"/>
        </w:rPr>
        <w:t>The main consequence of market manipulation is distortion of the market price</w:t>
      </w:r>
      <w:r w:rsidR="001C4099" w:rsidRPr="00F53BDD">
        <w:rPr>
          <w:rFonts w:eastAsia="Times New Roman"/>
        </w:rPr>
        <w:t>. T</w:t>
      </w:r>
      <w:r w:rsidR="00A16739" w:rsidRPr="00F53BDD">
        <w:rPr>
          <w:rFonts w:eastAsia="Times New Roman"/>
        </w:rPr>
        <w:t xml:space="preserve">his </w:t>
      </w:r>
      <w:r w:rsidRPr="00F53BDD">
        <w:rPr>
          <w:rFonts w:eastAsia="Times New Roman"/>
        </w:rPr>
        <w:t>could</w:t>
      </w:r>
      <w:r w:rsidR="006D05E6" w:rsidRPr="00F53BDD">
        <w:rPr>
          <w:rFonts w:eastAsia="Times New Roman"/>
        </w:rPr>
        <w:t> </w:t>
      </w:r>
      <w:r w:rsidRPr="00F53BDD">
        <w:rPr>
          <w:rFonts w:eastAsia="Times New Roman"/>
        </w:rPr>
        <w:t>cause</w:t>
      </w:r>
      <w:r w:rsidRPr="00F53BDD">
        <w:rPr>
          <w:rFonts w:ascii="Arial" w:eastAsia="Times New Roman" w:hAnsi="Arial" w:cs="Times New Roman"/>
          <w:sz w:val="20"/>
        </w:rPr>
        <w:t xml:space="preserve"> </w:t>
      </w:r>
      <w:r w:rsidRPr="00F53BDD">
        <w:rPr>
          <w:rFonts w:eastAsia="Times New Roman"/>
        </w:rPr>
        <w:t xml:space="preserve">financial </w:t>
      </w:r>
      <w:r w:rsidR="001C4099" w:rsidRPr="00F53BDD">
        <w:rPr>
          <w:rFonts w:eastAsia="Times New Roman"/>
        </w:rPr>
        <w:t>loss</w:t>
      </w:r>
      <w:r w:rsidRPr="00F53BDD">
        <w:rPr>
          <w:rFonts w:eastAsia="Times New Roman"/>
        </w:rPr>
        <w:t xml:space="preserve"> to </w:t>
      </w:r>
      <w:r w:rsidR="00CA6990" w:rsidRPr="00F53BDD">
        <w:rPr>
          <w:rFonts w:eastAsia="Times New Roman"/>
        </w:rPr>
        <w:t>other users</w:t>
      </w:r>
      <w:r w:rsidRPr="00F53BDD">
        <w:rPr>
          <w:rFonts w:eastAsia="Times New Roman"/>
        </w:rPr>
        <w:t xml:space="preserve"> and undermine </w:t>
      </w:r>
      <w:r w:rsidR="00A16739" w:rsidRPr="00F53BDD">
        <w:rPr>
          <w:rFonts w:eastAsia="Times New Roman"/>
        </w:rPr>
        <w:t>the NZ ETS’s effectiveness in reducing</w:t>
      </w:r>
      <w:r w:rsidR="006D05E6" w:rsidRPr="00F53BDD">
        <w:rPr>
          <w:rFonts w:eastAsia="Times New Roman"/>
        </w:rPr>
        <w:t> </w:t>
      </w:r>
      <w:r w:rsidRPr="00F53BDD">
        <w:rPr>
          <w:rFonts w:eastAsia="Times New Roman"/>
        </w:rPr>
        <w:t xml:space="preserve">emissions. </w:t>
      </w:r>
    </w:p>
    <w:p w:rsidR="00A37B38" w:rsidRPr="00F53BDD" w:rsidRDefault="00A37B38" w:rsidP="006C12AA">
      <w:pPr>
        <w:pStyle w:val="Heading2"/>
      </w:pPr>
      <w:bookmarkStart w:id="55" w:name="_Toc75250075"/>
      <w:r w:rsidRPr="00F53BDD">
        <w:t>Risk 7: Money laundering</w:t>
      </w:r>
      <w:r w:rsidR="009A6C3F">
        <w:t xml:space="preserve"> and </w:t>
      </w:r>
      <w:r w:rsidRPr="00F53BDD">
        <w:t>financing of terrorism</w:t>
      </w:r>
      <w:bookmarkEnd w:id="55"/>
      <w:r w:rsidRPr="00F53BDD">
        <w:t xml:space="preserve"> </w:t>
      </w:r>
    </w:p>
    <w:p w:rsidR="00A37B38" w:rsidRPr="00F53BDD" w:rsidRDefault="00A37B38" w:rsidP="00A37B38">
      <w:pPr>
        <w:pStyle w:val="BodyText"/>
      </w:pPr>
      <w:r w:rsidRPr="00F53BDD">
        <w:t xml:space="preserve">Money laundering </w:t>
      </w:r>
      <w:r w:rsidR="00D90271" w:rsidRPr="00F53BDD">
        <w:t>involves transferring</w:t>
      </w:r>
      <w:r w:rsidRPr="00F53BDD">
        <w:t xml:space="preserve"> illegitimate money </w:t>
      </w:r>
      <w:r w:rsidR="00276F89" w:rsidRPr="00F53BDD">
        <w:t xml:space="preserve">into </w:t>
      </w:r>
      <w:r w:rsidR="00D90271" w:rsidRPr="00F53BDD">
        <w:t xml:space="preserve">the legitimate economy through a </w:t>
      </w:r>
      <w:r w:rsidRPr="00F53BDD">
        <w:t>market</w:t>
      </w:r>
      <w:r w:rsidR="00CA6990" w:rsidRPr="00F53BDD">
        <w:t xml:space="preserve"> such as the NZ ETS</w:t>
      </w:r>
      <w:r w:rsidR="00D90271" w:rsidRPr="00F53BDD">
        <w:t xml:space="preserve">. This is achieved by </w:t>
      </w:r>
      <w:r w:rsidRPr="00F53BDD">
        <w:t>distancing criminal proceeds from</w:t>
      </w:r>
      <w:r w:rsidR="006D05E6" w:rsidRPr="00F53BDD">
        <w:t> </w:t>
      </w:r>
      <w:r w:rsidRPr="00F53BDD">
        <w:t>their source</w:t>
      </w:r>
      <w:r w:rsidR="00D90271" w:rsidRPr="00F53BDD">
        <w:t xml:space="preserve"> until </w:t>
      </w:r>
      <w:r w:rsidRPr="00F53BDD">
        <w:t>the funds are no longer traceable</w:t>
      </w:r>
      <w:r w:rsidR="00D90271" w:rsidRPr="00F53BDD">
        <w:t xml:space="preserve"> </w:t>
      </w:r>
      <w:r w:rsidR="005A7FB9" w:rsidRPr="00F53BDD">
        <w:t xml:space="preserve">and appear to be </w:t>
      </w:r>
      <w:r w:rsidR="00D90271" w:rsidRPr="00F53BDD">
        <w:t>legitimate</w:t>
      </w:r>
      <w:r w:rsidRPr="00F53BDD">
        <w:t>.</w:t>
      </w:r>
      <w:r w:rsidR="00D90271" w:rsidRPr="00F53BDD">
        <w:t xml:space="preserve"> </w:t>
      </w:r>
    </w:p>
    <w:p w:rsidR="001C4099" w:rsidRPr="00F53BDD" w:rsidRDefault="001C4099" w:rsidP="00A37B38">
      <w:pPr>
        <w:pStyle w:val="BodyText"/>
      </w:pPr>
      <w:r w:rsidRPr="00F53BDD">
        <w:t>F</w:t>
      </w:r>
      <w:r w:rsidR="00A37B38" w:rsidRPr="00F53BDD">
        <w:t xml:space="preserve">inancing of terrorism </w:t>
      </w:r>
      <w:r w:rsidR="00D90271" w:rsidRPr="00F53BDD">
        <w:t xml:space="preserve">involves </w:t>
      </w:r>
      <w:r w:rsidRPr="00F53BDD">
        <w:t>moving</w:t>
      </w:r>
      <w:r w:rsidR="00A37B38" w:rsidRPr="00F53BDD">
        <w:t xml:space="preserve"> money from the legitimate economy to </w:t>
      </w:r>
      <w:r w:rsidR="00D90271" w:rsidRPr="00F53BDD">
        <w:t xml:space="preserve">be </w:t>
      </w:r>
      <w:r w:rsidR="00A37B38" w:rsidRPr="00F53BDD">
        <w:t>use</w:t>
      </w:r>
      <w:r w:rsidRPr="00F53BDD">
        <w:t>d</w:t>
      </w:r>
      <w:r w:rsidR="00A37B38" w:rsidRPr="00F53BDD">
        <w:t xml:space="preserve"> for</w:t>
      </w:r>
      <w:r w:rsidR="006D05E6" w:rsidRPr="00F53BDD">
        <w:t> </w:t>
      </w:r>
      <w:r w:rsidR="00A37B38" w:rsidRPr="00F53BDD">
        <w:t xml:space="preserve">criminal acts. </w:t>
      </w:r>
    </w:p>
    <w:p w:rsidR="00A37B38" w:rsidRPr="00F53BDD" w:rsidRDefault="00A37B38" w:rsidP="00A37B38">
      <w:pPr>
        <w:pStyle w:val="BodyText"/>
      </w:pPr>
      <w:r w:rsidRPr="00F53BDD">
        <w:t>There are similar methods and channels for each.</w:t>
      </w:r>
    </w:p>
    <w:p w:rsidR="00A37B38" w:rsidRPr="00F53BDD" w:rsidRDefault="00A37B38" w:rsidP="00EE7A29">
      <w:pPr>
        <w:pStyle w:val="Heading2"/>
        <w:spacing w:before="280"/>
      </w:pPr>
      <w:bookmarkStart w:id="56" w:name="_Toc75250076"/>
      <w:r w:rsidRPr="00F53BDD">
        <w:t>Options</w:t>
      </w:r>
      <w:bookmarkEnd w:id="56"/>
    </w:p>
    <w:p w:rsidR="00CA6990" w:rsidRPr="00F53BDD" w:rsidRDefault="00A37B38" w:rsidP="006D05E6">
      <w:pPr>
        <w:pStyle w:val="BodyText"/>
      </w:pPr>
      <w:r w:rsidRPr="00F53BDD">
        <w:t xml:space="preserve">In 2019, the Government identified insider trading and market manipulation as risks </w:t>
      </w:r>
      <w:r w:rsidR="00F12721" w:rsidRPr="00F53BDD">
        <w:t xml:space="preserve">to address </w:t>
      </w:r>
      <w:r w:rsidRPr="00F53BDD">
        <w:t>in the ETS.</w:t>
      </w:r>
      <w:r w:rsidRPr="00F53BDD">
        <w:rPr>
          <w:rStyle w:val="FootnoteReference"/>
        </w:rPr>
        <w:footnoteReference w:id="12"/>
      </w:r>
      <w:r w:rsidRPr="00F53BDD">
        <w:t xml:space="preserve"> </w:t>
      </w:r>
      <w:r w:rsidR="007B34ED" w:rsidRPr="00F53BDD">
        <w:t>Given the seriousness of these risks</w:t>
      </w:r>
      <w:r w:rsidR="003B0EAD" w:rsidRPr="00F53BDD">
        <w:t xml:space="preserve"> of misconduct</w:t>
      </w:r>
      <w:r w:rsidR="007B34ED" w:rsidRPr="00F53BDD">
        <w:t xml:space="preserve">, the Government believes </w:t>
      </w:r>
      <w:r w:rsidR="00CA6990" w:rsidRPr="00F53BDD">
        <w:t xml:space="preserve">only regulatory options </w:t>
      </w:r>
      <w:r w:rsidR="007B34ED" w:rsidRPr="00F53BDD">
        <w:t>should be considered – bringing the NZ ETS in line with how these risks are traded in financial markets and international ETSs.</w:t>
      </w:r>
    </w:p>
    <w:p w:rsidR="00A37B38" w:rsidRPr="00F53BDD" w:rsidRDefault="00A37B38" w:rsidP="00A37B38">
      <w:pPr>
        <w:keepNext/>
        <w:tabs>
          <w:tab w:val="left" w:pos="851"/>
        </w:tabs>
        <w:spacing w:before="360" w:after="0" w:line="240" w:lineRule="auto"/>
        <w:jc w:val="left"/>
        <w:outlineLvl w:val="2"/>
        <w:rPr>
          <w:rFonts w:eastAsiaTheme="majorEastAsia" w:cstheme="majorBidi"/>
          <w:b/>
          <w:bCs/>
          <w:sz w:val="28"/>
        </w:rPr>
      </w:pPr>
      <w:r w:rsidRPr="00F53BDD">
        <w:rPr>
          <w:rFonts w:eastAsiaTheme="majorEastAsia" w:cstheme="majorBidi"/>
          <w:b/>
          <w:bCs/>
          <w:sz w:val="28"/>
        </w:rPr>
        <w:t>C1. Maintaining the status quo</w:t>
      </w:r>
    </w:p>
    <w:p w:rsidR="00A37B38" w:rsidRPr="00F53BDD" w:rsidRDefault="00276F89" w:rsidP="00A37B38">
      <w:pPr>
        <w:pStyle w:val="BodyText"/>
      </w:pPr>
      <w:r w:rsidRPr="00F53BDD">
        <w:t>T</w:t>
      </w:r>
      <w:r w:rsidR="008A36FA" w:rsidRPr="00F53BDD">
        <w:t xml:space="preserve">he </w:t>
      </w:r>
      <w:r w:rsidR="00394BAA" w:rsidRPr="00F53BDD">
        <w:t>G</w:t>
      </w:r>
      <w:r w:rsidR="00CA6990" w:rsidRPr="00F53BDD">
        <w:t>overnment w</w:t>
      </w:r>
      <w:r w:rsidR="008A36FA" w:rsidRPr="00F53BDD">
        <w:t>ould</w:t>
      </w:r>
      <w:r w:rsidR="00CA6990" w:rsidRPr="00F53BDD">
        <w:t xml:space="preserve"> not make any changes to monitor </w:t>
      </w:r>
      <w:r w:rsidR="00A969A4" w:rsidRPr="00F53BDD">
        <w:t>or prohibit</w:t>
      </w:r>
      <w:r w:rsidR="00A37B38" w:rsidRPr="00F53BDD">
        <w:t xml:space="preserve"> </w:t>
      </w:r>
      <w:r w:rsidR="00CA6990" w:rsidRPr="00F53BDD">
        <w:t>market misconduct</w:t>
      </w:r>
      <w:r w:rsidR="00A37B38" w:rsidRPr="00F53BDD">
        <w:t xml:space="preserve">, </w:t>
      </w:r>
      <w:r w:rsidR="00A969A4" w:rsidRPr="00F53BDD">
        <w:t xml:space="preserve">nor introduce </w:t>
      </w:r>
      <w:r w:rsidR="00A37B38" w:rsidRPr="00F53BDD">
        <w:t xml:space="preserve">offences, </w:t>
      </w:r>
      <w:r w:rsidR="00054263" w:rsidRPr="00F53BDD">
        <w:t>penalties</w:t>
      </w:r>
      <w:r w:rsidR="009A6C3F">
        <w:t>,</w:t>
      </w:r>
      <w:r w:rsidR="00A37B38" w:rsidRPr="00F53BDD">
        <w:t xml:space="preserve"> or a regulator to monitor and enforce </w:t>
      </w:r>
      <w:r w:rsidR="00A969A4" w:rsidRPr="00F53BDD">
        <w:t>these rules</w:t>
      </w:r>
      <w:r w:rsidR="00A37B38" w:rsidRPr="00F53BDD">
        <w:t>.</w:t>
      </w:r>
    </w:p>
    <w:p w:rsidR="00CA6990" w:rsidRPr="00F53BDD" w:rsidRDefault="007B34ED" w:rsidP="00A37B38">
      <w:pPr>
        <w:pStyle w:val="BodyText"/>
      </w:pPr>
      <w:r w:rsidRPr="00F53BDD">
        <w:t xml:space="preserve">Given the Government has already identified insider trading and market manipulation as risks that should be addressed, the status quo is unlikely to </w:t>
      </w:r>
      <w:r w:rsidR="008A4A01" w:rsidRPr="00F53BDD">
        <w:t>continue</w:t>
      </w:r>
      <w:r w:rsidRPr="00F53BDD">
        <w:t>.</w:t>
      </w:r>
    </w:p>
    <w:p w:rsidR="00A37B38" w:rsidRPr="00F53BDD" w:rsidRDefault="00A969A4" w:rsidP="006D05E6">
      <w:pPr>
        <w:pStyle w:val="Heading4"/>
        <w:spacing w:after="120"/>
      </w:pPr>
      <w:r w:rsidRPr="00F53BDD">
        <w:t>Benefits</w:t>
      </w:r>
    </w:p>
    <w:p w:rsidR="00A37B38" w:rsidRPr="00F53BDD" w:rsidRDefault="008A36FA" w:rsidP="00A37B38">
      <w:pPr>
        <w:pStyle w:val="Bullet"/>
      </w:pPr>
      <w:r w:rsidRPr="00F53BDD">
        <w:t>N</w:t>
      </w:r>
      <w:r w:rsidR="00A37B38" w:rsidRPr="00F53BDD">
        <w:t xml:space="preserve">o additional administrative cost for </w:t>
      </w:r>
      <w:r w:rsidR="001C4099" w:rsidRPr="00F53BDD">
        <w:t>the G</w:t>
      </w:r>
      <w:r w:rsidR="00A37B38" w:rsidRPr="00F53BDD">
        <w:t xml:space="preserve">overnment or users. </w:t>
      </w:r>
    </w:p>
    <w:p w:rsidR="00A37B38" w:rsidRPr="00F53BDD" w:rsidRDefault="00A37B38" w:rsidP="006D05E6">
      <w:pPr>
        <w:pStyle w:val="Heading4"/>
        <w:spacing w:after="120"/>
      </w:pPr>
      <w:r w:rsidRPr="00F53BDD">
        <w:t>Disadvantages</w:t>
      </w:r>
    </w:p>
    <w:p w:rsidR="00A16739" w:rsidRPr="00F53BDD" w:rsidRDefault="001C4099" w:rsidP="00A37B38">
      <w:pPr>
        <w:pStyle w:val="Bullet"/>
      </w:pPr>
      <w:r w:rsidRPr="00F53BDD">
        <w:t>U</w:t>
      </w:r>
      <w:r w:rsidR="00A16739" w:rsidRPr="00F53BDD">
        <w:t xml:space="preserve">sers will continue to be exposed to the risk of financial </w:t>
      </w:r>
      <w:r w:rsidRPr="00F53BDD">
        <w:t>loss</w:t>
      </w:r>
      <w:r w:rsidR="008A36FA" w:rsidRPr="00F53BDD">
        <w:t>.</w:t>
      </w:r>
    </w:p>
    <w:p w:rsidR="00A16739" w:rsidRPr="00F53BDD" w:rsidRDefault="001C4099" w:rsidP="00A37B38">
      <w:pPr>
        <w:pStyle w:val="Bullet"/>
      </w:pPr>
      <w:r w:rsidRPr="00F53BDD">
        <w:t xml:space="preserve">Greater risk </w:t>
      </w:r>
      <w:r w:rsidR="00A16739" w:rsidRPr="00F53BDD">
        <w:t>of these two forms of conduct in the future</w:t>
      </w:r>
      <w:r w:rsidR="008A36FA" w:rsidRPr="00F53BDD">
        <w:t>.</w:t>
      </w:r>
    </w:p>
    <w:p w:rsidR="00A37B38" w:rsidRPr="00F53BDD" w:rsidRDefault="001C4099">
      <w:pPr>
        <w:pStyle w:val="Bullet"/>
      </w:pPr>
      <w:r w:rsidRPr="00F53BDD">
        <w:t>Less c</w:t>
      </w:r>
      <w:r w:rsidR="00A37B38" w:rsidRPr="00F53BDD">
        <w:t xml:space="preserve">onfidence in the NZ ETS market </w:t>
      </w:r>
      <w:r w:rsidR="008A4A01" w:rsidRPr="00F53BDD">
        <w:t>as a consequence of inaction</w:t>
      </w:r>
      <w:r w:rsidR="00A16739" w:rsidRPr="00F53BDD">
        <w:t>.</w:t>
      </w:r>
    </w:p>
    <w:p w:rsidR="00A37B38" w:rsidRPr="00F53BDD" w:rsidRDefault="00A37B38" w:rsidP="00A37B38">
      <w:pPr>
        <w:pStyle w:val="Heading3"/>
      </w:pPr>
      <w:r w:rsidRPr="00F53BDD">
        <w:t>C2. Position and purchase limits</w:t>
      </w:r>
    </w:p>
    <w:p w:rsidR="00A37B38" w:rsidRPr="00F53BDD" w:rsidRDefault="00A37B38" w:rsidP="00A37B38">
      <w:pPr>
        <w:pStyle w:val="BodyText"/>
      </w:pPr>
      <w:r w:rsidRPr="00F53BDD">
        <w:t xml:space="preserve">This option affects </w:t>
      </w:r>
      <w:r w:rsidR="00F6721D" w:rsidRPr="00F53BDD">
        <w:t xml:space="preserve">NZU </w:t>
      </w:r>
      <w:r w:rsidRPr="00F53BDD">
        <w:t xml:space="preserve">traders, </w:t>
      </w:r>
      <w:r w:rsidR="00F6721D" w:rsidRPr="00F53BDD">
        <w:t xml:space="preserve">NZ ETS </w:t>
      </w:r>
      <w:r w:rsidRPr="00F53BDD">
        <w:t xml:space="preserve">participants </w:t>
      </w:r>
      <w:r w:rsidR="00F6721D" w:rsidRPr="00F53BDD">
        <w:t xml:space="preserve">and </w:t>
      </w:r>
      <w:r w:rsidRPr="00F53BDD">
        <w:t xml:space="preserve">foresters. </w:t>
      </w:r>
      <w:r w:rsidR="001C4099" w:rsidRPr="00F53BDD">
        <w:t>It</w:t>
      </w:r>
      <w:r w:rsidR="00F6721D" w:rsidRPr="00F53BDD">
        <w:t xml:space="preserve"> </w:t>
      </w:r>
      <w:r w:rsidRPr="00F53BDD">
        <w:t xml:space="preserve">would </w:t>
      </w:r>
      <w:r w:rsidR="00F6721D" w:rsidRPr="00F53BDD">
        <w:t xml:space="preserve">also </w:t>
      </w:r>
      <w:r w:rsidRPr="00F53BDD">
        <w:t xml:space="preserve">require a regulator to enforce position and purchase limits. </w:t>
      </w:r>
    </w:p>
    <w:p w:rsidR="001C4099" w:rsidRPr="00F53BDD" w:rsidRDefault="00A16739" w:rsidP="0058670E">
      <w:pPr>
        <w:pStyle w:val="BodyText"/>
      </w:pPr>
      <w:r w:rsidRPr="00F53BDD">
        <w:t xml:space="preserve">Position limits prevent any one </w:t>
      </w:r>
      <w:r w:rsidR="008A36FA" w:rsidRPr="00F53BDD">
        <w:t xml:space="preserve">user </w:t>
      </w:r>
      <w:r w:rsidRPr="00F53BDD">
        <w:t xml:space="preserve">or group from acquiring such a large share of NZUs that they could exercise </w:t>
      </w:r>
      <w:r w:rsidR="00A969A4" w:rsidRPr="00F53BDD">
        <w:t xml:space="preserve">unfair </w:t>
      </w:r>
      <w:r w:rsidRPr="00F53BDD">
        <w:t xml:space="preserve">market power. </w:t>
      </w:r>
    </w:p>
    <w:p w:rsidR="0058670E" w:rsidRPr="00F53BDD" w:rsidRDefault="00A16739" w:rsidP="0058670E">
      <w:pPr>
        <w:pStyle w:val="BodyText"/>
      </w:pPr>
      <w:r w:rsidRPr="00F53BDD">
        <w:t xml:space="preserve">Purchase limits act in a similar </w:t>
      </w:r>
      <w:r w:rsidR="001C4099" w:rsidRPr="00F53BDD">
        <w:t>way,</w:t>
      </w:r>
      <w:r w:rsidR="00394BAA" w:rsidRPr="00F53BDD">
        <w:t xml:space="preserve"> </w:t>
      </w:r>
      <w:r w:rsidR="00DC4FDA" w:rsidRPr="00F53BDD">
        <w:t>but</w:t>
      </w:r>
      <w:r w:rsidRPr="00F53BDD">
        <w:t xml:space="preserve"> restrict the maximum number of units any </w:t>
      </w:r>
      <w:r w:rsidR="007B7F2B" w:rsidRPr="00F53BDD">
        <w:t>user</w:t>
      </w:r>
      <w:r w:rsidRPr="00F53BDD">
        <w:t xml:space="preserve"> can </w:t>
      </w:r>
      <w:r w:rsidR="001C4099" w:rsidRPr="00F53BDD">
        <w:t xml:space="preserve">buy </w:t>
      </w:r>
      <w:r w:rsidRPr="00F53BDD">
        <w:t>when they are initially auctioned.</w:t>
      </w:r>
    </w:p>
    <w:p w:rsidR="00A37B38" w:rsidRPr="00F53BDD" w:rsidRDefault="00A37B38" w:rsidP="006D05E6">
      <w:pPr>
        <w:pStyle w:val="Heading4"/>
        <w:spacing w:after="120"/>
      </w:pPr>
      <w:r w:rsidRPr="00F53BDD">
        <w:t>Benefits</w:t>
      </w:r>
    </w:p>
    <w:p w:rsidR="00A37B38" w:rsidRPr="00F53BDD" w:rsidRDefault="00A969A4" w:rsidP="008A2C31">
      <w:pPr>
        <w:pStyle w:val="Bullet"/>
      </w:pPr>
      <w:r w:rsidRPr="00F53BDD">
        <w:t>P</w:t>
      </w:r>
      <w:r w:rsidR="00A37B38" w:rsidRPr="00F53BDD">
        <w:t>revent</w:t>
      </w:r>
      <w:r w:rsidR="001C4099" w:rsidRPr="00F53BDD">
        <w:t>s</w:t>
      </w:r>
      <w:r w:rsidR="00A37B38" w:rsidRPr="00F53BDD">
        <w:t xml:space="preserve"> </w:t>
      </w:r>
      <w:r w:rsidRPr="00F53BDD">
        <w:t xml:space="preserve">unfair </w:t>
      </w:r>
      <w:r w:rsidR="00A37B38" w:rsidRPr="00F53BDD">
        <w:t xml:space="preserve">dominance of the market by a few </w:t>
      </w:r>
      <w:r w:rsidR="0058670E" w:rsidRPr="00F53BDD">
        <w:t>users</w:t>
      </w:r>
      <w:r w:rsidR="00A37B38" w:rsidRPr="00F53BDD">
        <w:t>.</w:t>
      </w:r>
    </w:p>
    <w:p w:rsidR="007B7F2B" w:rsidRPr="00F53BDD" w:rsidRDefault="00A969A4" w:rsidP="009C2539">
      <w:pPr>
        <w:pStyle w:val="Bullet"/>
      </w:pPr>
      <w:r w:rsidRPr="00F53BDD">
        <w:t>R</w:t>
      </w:r>
      <w:r w:rsidR="007B7F2B" w:rsidRPr="00F53BDD">
        <w:t>educe</w:t>
      </w:r>
      <w:r w:rsidRPr="00F53BDD">
        <w:t>s</w:t>
      </w:r>
      <w:r w:rsidR="007B7F2B" w:rsidRPr="00F53BDD">
        <w:t xml:space="preserve"> the risk of money laundering and financing of terrorism.</w:t>
      </w:r>
    </w:p>
    <w:p w:rsidR="00A37B38" w:rsidRPr="00F53BDD" w:rsidRDefault="00A969A4" w:rsidP="008A2C31">
      <w:pPr>
        <w:pStyle w:val="Bullet"/>
      </w:pPr>
      <w:r w:rsidRPr="00F53BDD">
        <w:t>G</w:t>
      </w:r>
      <w:r w:rsidR="00A37B38" w:rsidRPr="00F53BDD">
        <w:t xml:space="preserve">ives small </w:t>
      </w:r>
      <w:r w:rsidR="0058670E" w:rsidRPr="00F53BDD">
        <w:t>users</w:t>
      </w:r>
      <w:r w:rsidR="00A37B38" w:rsidRPr="00F53BDD">
        <w:t xml:space="preserve"> a fairer chance to compete in the market.</w:t>
      </w:r>
    </w:p>
    <w:p w:rsidR="00A969A4" w:rsidRPr="00F53BDD" w:rsidRDefault="00A969A4" w:rsidP="008A2C31">
      <w:pPr>
        <w:pStyle w:val="Bullet"/>
      </w:pPr>
      <w:r w:rsidRPr="00F53BDD">
        <w:t>A</w:t>
      </w:r>
      <w:r w:rsidR="00A37B38" w:rsidRPr="00F53BDD">
        <w:t>dd</w:t>
      </w:r>
      <w:r w:rsidRPr="00F53BDD">
        <w:t>s</w:t>
      </w:r>
      <w:r w:rsidR="00A37B38" w:rsidRPr="00F53BDD">
        <w:t xml:space="preserve"> to transparency of the </w:t>
      </w:r>
      <w:r w:rsidRPr="00F53BDD">
        <w:t>NZ ETS.</w:t>
      </w:r>
    </w:p>
    <w:p w:rsidR="00A37B38" w:rsidRPr="00F53BDD" w:rsidRDefault="00A969A4" w:rsidP="008A2C31">
      <w:pPr>
        <w:pStyle w:val="Bullet"/>
      </w:pPr>
      <w:r w:rsidRPr="00F53BDD">
        <w:t>R</w:t>
      </w:r>
      <w:r w:rsidR="00A37B38" w:rsidRPr="00F53BDD">
        <w:t>elatively low cost to implement.</w:t>
      </w:r>
    </w:p>
    <w:p w:rsidR="00A37B38" w:rsidRPr="00F53BDD" w:rsidRDefault="00A37B38" w:rsidP="006D05E6">
      <w:pPr>
        <w:pStyle w:val="Heading4"/>
        <w:spacing w:after="120"/>
      </w:pPr>
      <w:r w:rsidRPr="00F53BDD">
        <w:t>Disadvantages</w:t>
      </w:r>
    </w:p>
    <w:p w:rsidR="00A37B38" w:rsidRPr="00F53BDD" w:rsidRDefault="00A969A4" w:rsidP="006D1DCB">
      <w:pPr>
        <w:pStyle w:val="Bullet"/>
        <w:keepNext/>
      </w:pPr>
      <w:r w:rsidRPr="00F53BDD">
        <w:t>Does not prevent insider trading</w:t>
      </w:r>
      <w:r w:rsidR="00A37B38" w:rsidRPr="00F53BDD">
        <w:t xml:space="preserve">. </w:t>
      </w:r>
    </w:p>
    <w:p w:rsidR="00A969A4" w:rsidRPr="00F53BDD" w:rsidRDefault="00A969A4" w:rsidP="008A2C31">
      <w:pPr>
        <w:pStyle w:val="Bullet"/>
      </w:pPr>
      <w:r w:rsidRPr="00F53BDD">
        <w:t>Reduces the opportunity for market misconduct but does not eliminate the risk</w:t>
      </w:r>
      <w:r w:rsidR="00A37B38" w:rsidRPr="00F53BDD">
        <w:t>.</w:t>
      </w:r>
    </w:p>
    <w:p w:rsidR="00A37B38" w:rsidRPr="00F53BDD" w:rsidRDefault="00A969A4" w:rsidP="008A2C31">
      <w:pPr>
        <w:pStyle w:val="Bullet"/>
      </w:pPr>
      <w:r w:rsidRPr="00F53BDD">
        <w:t>Unduly strict position limits might affect participants’ ability to comply with obligations.</w:t>
      </w:r>
    </w:p>
    <w:p w:rsidR="00A37B38" w:rsidRPr="00F53BDD" w:rsidRDefault="00A37B38" w:rsidP="00AD5C0A">
      <w:pPr>
        <w:pStyle w:val="Heading3"/>
        <w:spacing w:before="240"/>
      </w:pPr>
      <w:bookmarkStart w:id="57" w:name="_C3._Price_reporting"/>
      <w:bookmarkEnd w:id="57"/>
      <w:r w:rsidRPr="00F53BDD">
        <w:t xml:space="preserve">C3. </w:t>
      </w:r>
      <w:r w:rsidR="00F04383" w:rsidRPr="00F53BDD">
        <w:t>P</w:t>
      </w:r>
      <w:r w:rsidRPr="00F53BDD">
        <w:t>rice reporting</w:t>
      </w:r>
    </w:p>
    <w:p w:rsidR="00A37B38" w:rsidRPr="00F53BDD" w:rsidRDefault="00A37B38" w:rsidP="00A37B38">
      <w:pPr>
        <w:pStyle w:val="BodyText"/>
      </w:pPr>
      <w:r w:rsidRPr="00F53BDD">
        <w:t xml:space="preserve">This option affects </w:t>
      </w:r>
      <w:r w:rsidR="009818FA" w:rsidRPr="00F53BDD">
        <w:t>all users</w:t>
      </w:r>
      <w:r w:rsidRPr="00F53BDD">
        <w:t>.</w:t>
      </w:r>
    </w:p>
    <w:p w:rsidR="00A37B38" w:rsidRPr="00F53BDD" w:rsidRDefault="003D4663" w:rsidP="00A37B38">
      <w:pPr>
        <w:pStyle w:val="BodyText"/>
      </w:pPr>
      <w:r w:rsidRPr="00F53BDD">
        <w:t>P</w:t>
      </w:r>
      <w:r w:rsidR="00464C2F" w:rsidRPr="00F53BDD">
        <w:t xml:space="preserve">rice </w:t>
      </w:r>
      <w:r w:rsidR="007B7F2B" w:rsidRPr="00F53BDD">
        <w:t xml:space="preserve">reporting </w:t>
      </w:r>
      <w:r w:rsidR="00464C2F" w:rsidRPr="00F53BDD">
        <w:t>involves including an additional field in the Register to allow a user to disclose the price of NZUs traded</w:t>
      </w:r>
      <w:r w:rsidR="007B7F2B" w:rsidRPr="00F53BDD">
        <w:t>.</w:t>
      </w:r>
      <w:r w:rsidR="005E20AF" w:rsidRPr="00F53BDD">
        <w:t xml:space="preserve"> </w:t>
      </w:r>
    </w:p>
    <w:p w:rsidR="00A37B38" w:rsidRPr="00F53BDD" w:rsidRDefault="00A37B38" w:rsidP="005A27AA">
      <w:pPr>
        <w:pStyle w:val="Heading4"/>
        <w:spacing w:after="120"/>
      </w:pPr>
      <w:r w:rsidRPr="00F53BDD">
        <w:t>Benefits</w:t>
      </w:r>
    </w:p>
    <w:p w:rsidR="00A37B38" w:rsidRPr="00F53BDD" w:rsidRDefault="00E837A5" w:rsidP="005A27AA">
      <w:pPr>
        <w:pStyle w:val="Bullet"/>
      </w:pPr>
      <w:r w:rsidRPr="00F53BDD">
        <w:t>L</w:t>
      </w:r>
      <w:r w:rsidR="00D05F64" w:rsidRPr="00F53BDD">
        <w:t>ow cost and effort to users</w:t>
      </w:r>
      <w:r w:rsidR="001C4099" w:rsidRPr="00F53BDD">
        <w:t>, as</w:t>
      </w:r>
      <w:r w:rsidR="00A37B38" w:rsidRPr="00F53BDD">
        <w:t xml:space="preserve"> </w:t>
      </w:r>
      <w:r w:rsidR="00D05F64" w:rsidRPr="00F53BDD">
        <w:t xml:space="preserve">they already report </w:t>
      </w:r>
      <w:r w:rsidR="00A37B38" w:rsidRPr="00F53BDD">
        <w:t xml:space="preserve">volume in the </w:t>
      </w:r>
      <w:r w:rsidR="00D05F64" w:rsidRPr="00F53BDD">
        <w:t>Register</w:t>
      </w:r>
      <w:r w:rsidR="00A37B38" w:rsidRPr="00F53BDD">
        <w:t>.</w:t>
      </w:r>
    </w:p>
    <w:p w:rsidR="00A37B38" w:rsidRPr="00F53BDD" w:rsidRDefault="00394BAA" w:rsidP="005A27AA">
      <w:pPr>
        <w:pStyle w:val="Bullet"/>
      </w:pPr>
      <w:r w:rsidRPr="00F53BDD">
        <w:t xml:space="preserve">Gives </w:t>
      </w:r>
      <w:r w:rsidR="00A37B38" w:rsidRPr="00F53BDD">
        <w:t>a regulator some transparency into market conditions.</w:t>
      </w:r>
    </w:p>
    <w:p w:rsidR="00A37B38" w:rsidRPr="00F53BDD" w:rsidRDefault="00A37B38" w:rsidP="005A27AA">
      <w:pPr>
        <w:pStyle w:val="Heading4"/>
        <w:spacing w:after="120"/>
      </w:pPr>
      <w:r w:rsidRPr="00F53BDD">
        <w:t>Disadvantages</w:t>
      </w:r>
    </w:p>
    <w:p w:rsidR="00A37B38" w:rsidRPr="00F53BDD" w:rsidRDefault="00CC5DC8" w:rsidP="005A27AA">
      <w:pPr>
        <w:pStyle w:val="Bullet"/>
      </w:pPr>
      <w:r w:rsidRPr="00F53BDD">
        <w:t>D</w:t>
      </w:r>
      <w:r w:rsidR="00A37B38" w:rsidRPr="00F53BDD">
        <w:t xml:space="preserve">ifficult to verify because </w:t>
      </w:r>
      <w:r w:rsidRPr="00F53BDD">
        <w:t xml:space="preserve">reporting </w:t>
      </w:r>
      <w:r w:rsidR="00A37B38" w:rsidRPr="00F53BDD">
        <w:t>is based on the negotiated value of NZUs, which may be unrelated to the current market price.</w:t>
      </w:r>
      <w:r w:rsidRPr="00F53BDD">
        <w:t xml:space="preserve"> For example, a forester may sell a forest block and include the NZUs for ‘free’, reporting them at zero price.</w:t>
      </w:r>
    </w:p>
    <w:p w:rsidR="00D06BAC" w:rsidRPr="00F53BDD" w:rsidRDefault="005A1B6A" w:rsidP="005A27AA">
      <w:pPr>
        <w:pStyle w:val="Bullet"/>
      </w:pPr>
      <w:r w:rsidRPr="00F53BDD">
        <w:t>D</w:t>
      </w:r>
      <w:r w:rsidR="00D06BAC" w:rsidRPr="00F53BDD">
        <w:t>oes not support price discovery or efficient markets because the transaction data is only visible to the NZU buyer, seller and the regulator.</w:t>
      </w:r>
    </w:p>
    <w:p w:rsidR="00A37B38" w:rsidRPr="00F53BDD" w:rsidRDefault="00D06BAC" w:rsidP="005A27AA">
      <w:pPr>
        <w:pStyle w:val="BodyText"/>
      </w:pPr>
      <w:r w:rsidRPr="00F53BDD">
        <w:t xml:space="preserve">Overall, self-reporting is unlikely to be effective at addressing concerns </w:t>
      </w:r>
      <w:r w:rsidR="005A1B6A" w:rsidRPr="00F53BDD">
        <w:t xml:space="preserve">about </w:t>
      </w:r>
      <w:r w:rsidRPr="00F53BDD">
        <w:t xml:space="preserve">misconduct and </w:t>
      </w:r>
      <w:r w:rsidR="00394BAA" w:rsidRPr="00F53BDD">
        <w:t>does little</w:t>
      </w:r>
      <w:r w:rsidRPr="00F53BDD">
        <w:t xml:space="preserve"> to </w:t>
      </w:r>
      <w:r w:rsidR="00394BAA" w:rsidRPr="00F53BDD">
        <w:t xml:space="preserve">increase </w:t>
      </w:r>
      <w:r w:rsidRPr="00F53BDD">
        <w:t>price discovery.</w:t>
      </w:r>
      <w:r w:rsidRPr="00F53BDD" w:rsidDel="00CC5DC8">
        <w:t xml:space="preserve"> </w:t>
      </w:r>
    </w:p>
    <w:p w:rsidR="00A37B38" w:rsidRPr="00F53BDD" w:rsidRDefault="00A37B38" w:rsidP="00AD5C0A">
      <w:pPr>
        <w:pStyle w:val="Heading3"/>
        <w:spacing w:before="240"/>
      </w:pPr>
      <w:r w:rsidRPr="00F53BDD">
        <w:t>C4. Full transaction detail reporting</w:t>
      </w:r>
    </w:p>
    <w:p w:rsidR="00A37B38" w:rsidRPr="00F53BDD" w:rsidRDefault="00A37B38" w:rsidP="00A37B38">
      <w:pPr>
        <w:pStyle w:val="BodyText"/>
      </w:pPr>
      <w:r w:rsidRPr="00F53BDD">
        <w:t xml:space="preserve">This option would replicate many prescribed transaction reporting obligations </w:t>
      </w:r>
      <w:r w:rsidR="00D06BAC" w:rsidRPr="00F53BDD">
        <w:t xml:space="preserve">in Part 1 of </w:t>
      </w:r>
      <w:r w:rsidRPr="00F53BDD">
        <w:t>the</w:t>
      </w:r>
      <w:r w:rsidR="005A27AA" w:rsidRPr="00F53BDD">
        <w:t> </w:t>
      </w:r>
      <w:hyperlink r:id="rId39" w:history="1">
        <w:r w:rsidRPr="009A6C3F">
          <w:rPr>
            <w:rStyle w:val="Hyperlink"/>
          </w:rPr>
          <w:t>Anti-Money Laundering and Countering Financing of Terrorism (Prescribed Transactions Reporting) Regulations 2016</w:t>
        </w:r>
      </w:hyperlink>
      <w:r w:rsidRPr="00F53BDD">
        <w:t>.</w:t>
      </w:r>
    </w:p>
    <w:p w:rsidR="00A37B38" w:rsidRPr="00F53BDD" w:rsidRDefault="00AA32A1" w:rsidP="00A37B38">
      <w:pPr>
        <w:pStyle w:val="BodyText"/>
      </w:pPr>
      <w:r w:rsidRPr="00F53BDD">
        <w:t>U</w:t>
      </w:r>
      <w:r w:rsidR="00D06BAC" w:rsidRPr="00F53BDD">
        <w:t>sers could be required to record and provide a comprehensive list of transaction details to the</w:t>
      </w:r>
      <w:r w:rsidR="005A27AA" w:rsidRPr="00F53BDD">
        <w:t> </w:t>
      </w:r>
      <w:r w:rsidR="00D06BAC" w:rsidRPr="00F53BDD">
        <w:t>regulator.</w:t>
      </w:r>
      <w:r w:rsidR="00D06BAC" w:rsidRPr="00F53BDD" w:rsidDel="00D06BAC">
        <w:t xml:space="preserve"> </w:t>
      </w:r>
    </w:p>
    <w:p w:rsidR="00A37B38" w:rsidRPr="00F53BDD" w:rsidRDefault="00D06BAC" w:rsidP="000C4660">
      <w:pPr>
        <w:pStyle w:val="BodyText"/>
      </w:pPr>
      <w:r w:rsidRPr="00F53BDD">
        <w:t>Mandatory f</w:t>
      </w:r>
      <w:r w:rsidR="00A37B38" w:rsidRPr="00F53BDD">
        <w:t>ull transaction reporting attempts to address the limitation of voluntary self-reporting</w:t>
      </w:r>
      <w:r w:rsidR="005A1B6A" w:rsidRPr="00F53BDD">
        <w:t>. It</w:t>
      </w:r>
      <w:r w:rsidR="00A37B38" w:rsidRPr="00F53BDD">
        <w:t xml:space="preserve"> </w:t>
      </w:r>
      <w:r w:rsidR="005A1B6A" w:rsidRPr="00F53BDD">
        <w:t xml:space="preserve">requires all users to </w:t>
      </w:r>
      <w:r w:rsidR="00A37B38" w:rsidRPr="00F53BDD">
        <w:t>report all transaction details, including whether the NZU was</w:t>
      </w:r>
      <w:r w:rsidR="00206B72" w:rsidRPr="00F53BDD">
        <w:t> </w:t>
      </w:r>
      <w:r w:rsidR="00A37B38" w:rsidRPr="00F53BDD">
        <w:t>part of a larger transaction – for example, a land purchase.</w:t>
      </w:r>
    </w:p>
    <w:p w:rsidR="00472880" w:rsidRPr="00F53BDD" w:rsidRDefault="005A1B6A" w:rsidP="00472880">
      <w:pPr>
        <w:pStyle w:val="BodyText"/>
      </w:pPr>
      <w:r w:rsidRPr="00F53BDD">
        <w:t>This option</w:t>
      </w:r>
      <w:r w:rsidR="00472880" w:rsidRPr="00F53BDD">
        <w:t xml:space="preserve"> </w:t>
      </w:r>
      <w:r w:rsidR="00D06BAC" w:rsidRPr="00F53BDD">
        <w:t>could</w:t>
      </w:r>
      <w:r w:rsidR="00472880" w:rsidRPr="00F53BDD">
        <w:t xml:space="preserve"> be complemented with a disclosure framework</w:t>
      </w:r>
      <w:r w:rsidR="00D06BAC" w:rsidRPr="00F53BDD">
        <w:t xml:space="preserve"> that </w:t>
      </w:r>
      <w:r w:rsidR="00472880" w:rsidRPr="00F53BDD">
        <w:t>require</w:t>
      </w:r>
      <w:r w:rsidR="00D06BAC" w:rsidRPr="00F53BDD">
        <w:t>s</w:t>
      </w:r>
      <w:r w:rsidR="00472880" w:rsidRPr="00F53BDD">
        <w:t xml:space="preserve"> a person or </w:t>
      </w:r>
      <w:r w:rsidR="00540C76" w:rsidRPr="00F53BDD">
        <w:t>business</w:t>
      </w:r>
      <w:r w:rsidR="00472880" w:rsidRPr="00F53BDD">
        <w:t xml:space="preserve"> to disclose any new information that might have a material impact on NZU market prices.</w:t>
      </w:r>
      <w:r w:rsidR="00AD2E70" w:rsidRPr="00F53BDD">
        <w:t xml:space="preserve"> For example, a decision to decommission a coal-power electricity plant, or reduce its utilisation rate, might </w:t>
      </w:r>
      <w:r w:rsidR="00540C76" w:rsidRPr="00F53BDD">
        <w:t>reduce demand for NZUs and therefore their market price</w:t>
      </w:r>
      <w:r w:rsidR="00AD2E70" w:rsidRPr="00F53BDD">
        <w:t>.</w:t>
      </w:r>
    </w:p>
    <w:p w:rsidR="00A37B38" w:rsidRPr="00F53BDD" w:rsidRDefault="00A37B38" w:rsidP="005A27AA">
      <w:pPr>
        <w:pStyle w:val="Heading4"/>
        <w:spacing w:after="120"/>
      </w:pPr>
      <w:r w:rsidRPr="00F53BDD">
        <w:t>Benefits</w:t>
      </w:r>
    </w:p>
    <w:p w:rsidR="00A1787F" w:rsidRPr="00F53BDD" w:rsidRDefault="005A1B6A" w:rsidP="00A1787F">
      <w:pPr>
        <w:pStyle w:val="Bullet"/>
        <w:rPr>
          <w:bCs/>
        </w:rPr>
      </w:pPr>
      <w:r w:rsidRPr="00F53BDD">
        <w:rPr>
          <w:bCs/>
        </w:rPr>
        <w:t>R</w:t>
      </w:r>
      <w:r w:rsidR="00A1787F" w:rsidRPr="00F53BDD">
        <w:rPr>
          <w:bCs/>
        </w:rPr>
        <w:t>equir</w:t>
      </w:r>
      <w:r w:rsidR="009C2539" w:rsidRPr="00F53BDD">
        <w:rPr>
          <w:bCs/>
        </w:rPr>
        <w:t>es</w:t>
      </w:r>
      <w:r w:rsidR="00A1787F" w:rsidRPr="00F53BDD">
        <w:rPr>
          <w:bCs/>
        </w:rPr>
        <w:t xml:space="preserve"> </w:t>
      </w:r>
      <w:r w:rsidRPr="00F53BDD">
        <w:rPr>
          <w:bCs/>
        </w:rPr>
        <w:t xml:space="preserve">all users to </w:t>
      </w:r>
      <w:r w:rsidR="00A1787F" w:rsidRPr="00F53BDD">
        <w:rPr>
          <w:bCs/>
        </w:rPr>
        <w:t>report all transaction details</w:t>
      </w:r>
      <w:r w:rsidRPr="00F53BDD">
        <w:rPr>
          <w:bCs/>
        </w:rPr>
        <w:t>,</w:t>
      </w:r>
      <w:r w:rsidR="009C2539" w:rsidRPr="00F53BDD">
        <w:rPr>
          <w:bCs/>
        </w:rPr>
        <w:t xml:space="preserve"> including price</w:t>
      </w:r>
      <w:r w:rsidR="00A1787F" w:rsidRPr="00F53BDD">
        <w:rPr>
          <w:bCs/>
        </w:rPr>
        <w:t>.</w:t>
      </w:r>
    </w:p>
    <w:p w:rsidR="00A1787F" w:rsidRPr="00F53BDD" w:rsidRDefault="005A1B6A" w:rsidP="00A1787F">
      <w:pPr>
        <w:pStyle w:val="Bullet"/>
        <w:rPr>
          <w:bCs/>
        </w:rPr>
      </w:pPr>
      <w:r w:rsidRPr="00F53BDD">
        <w:rPr>
          <w:bCs/>
        </w:rPr>
        <w:t>A</w:t>
      </w:r>
      <w:r w:rsidR="00A1787F" w:rsidRPr="00F53BDD">
        <w:rPr>
          <w:bCs/>
        </w:rPr>
        <w:t xml:space="preserve"> regulator </w:t>
      </w:r>
      <w:r w:rsidRPr="00F53BDD">
        <w:rPr>
          <w:bCs/>
        </w:rPr>
        <w:t xml:space="preserve">is able </w:t>
      </w:r>
      <w:r w:rsidR="00AA32A1" w:rsidRPr="00F53BDD">
        <w:rPr>
          <w:bCs/>
        </w:rPr>
        <w:t xml:space="preserve">to </w:t>
      </w:r>
      <w:r w:rsidR="00A1787F" w:rsidRPr="00F53BDD">
        <w:rPr>
          <w:bCs/>
        </w:rPr>
        <w:t>detect fraudulent activity or price manipulation.</w:t>
      </w:r>
    </w:p>
    <w:p w:rsidR="00A1787F" w:rsidRPr="00F53BDD" w:rsidRDefault="00A1787F" w:rsidP="00A1787F">
      <w:pPr>
        <w:pStyle w:val="Bullet"/>
        <w:rPr>
          <w:bCs/>
        </w:rPr>
      </w:pPr>
      <w:r w:rsidRPr="00F53BDD">
        <w:rPr>
          <w:bCs/>
        </w:rPr>
        <w:t xml:space="preserve">Price and volume details improve price discovery </w:t>
      </w:r>
      <w:r w:rsidR="005E7C2B" w:rsidRPr="00F53BDD">
        <w:rPr>
          <w:bCs/>
        </w:rPr>
        <w:t>for users</w:t>
      </w:r>
      <w:r w:rsidRPr="00F53BDD">
        <w:rPr>
          <w:bCs/>
        </w:rPr>
        <w:t>.</w:t>
      </w:r>
    </w:p>
    <w:p w:rsidR="00A37B38" w:rsidRPr="00F53BDD" w:rsidRDefault="00A37B38" w:rsidP="00EC6896">
      <w:pPr>
        <w:pStyle w:val="Heading4"/>
      </w:pPr>
      <w:r w:rsidRPr="00F53BDD">
        <w:t>Disadvantages</w:t>
      </w:r>
    </w:p>
    <w:p w:rsidR="00AA32A1" w:rsidRPr="00F53BDD" w:rsidRDefault="00E64FDF" w:rsidP="005A27AA">
      <w:pPr>
        <w:pStyle w:val="BodyText"/>
      </w:pPr>
      <w:r w:rsidRPr="00F53BDD">
        <w:t xml:space="preserve">Apart from </w:t>
      </w:r>
      <w:r w:rsidR="00A1787F" w:rsidRPr="00F53BDD">
        <w:t>s</w:t>
      </w:r>
      <w:r w:rsidRPr="00F53BDD">
        <w:t xml:space="preserve">election bias, </w:t>
      </w:r>
      <w:r w:rsidR="00385648" w:rsidRPr="00F53BDD">
        <w:t xml:space="preserve">this option has </w:t>
      </w:r>
      <w:r w:rsidRPr="00F53BDD">
        <w:t xml:space="preserve">all the disadvantages of </w:t>
      </w:r>
      <w:hyperlink w:anchor="_C3._Price_reporting" w:history="1">
        <w:r w:rsidR="00385648" w:rsidRPr="009A6C3F">
          <w:rPr>
            <w:rStyle w:val="Hyperlink"/>
          </w:rPr>
          <w:t xml:space="preserve">option </w:t>
        </w:r>
        <w:r w:rsidRPr="009A6C3F">
          <w:rPr>
            <w:rStyle w:val="Hyperlink"/>
            <w:iCs/>
          </w:rPr>
          <w:t>C3</w:t>
        </w:r>
        <w:r w:rsidR="00AA32A1" w:rsidRPr="009A6C3F">
          <w:rPr>
            <w:rStyle w:val="Hyperlink"/>
            <w:iCs/>
          </w:rPr>
          <w:t xml:space="preserve"> </w:t>
        </w:r>
        <w:r w:rsidR="004C58DC" w:rsidRPr="009A6C3F">
          <w:rPr>
            <w:rStyle w:val="Hyperlink"/>
            <w:iCs/>
          </w:rPr>
          <w:t>(p</w:t>
        </w:r>
        <w:r w:rsidR="00F04383" w:rsidRPr="009A6C3F">
          <w:rPr>
            <w:rStyle w:val="Hyperlink"/>
            <w:iCs/>
          </w:rPr>
          <w:t>rice reporting</w:t>
        </w:r>
        <w:r w:rsidR="004C58DC" w:rsidRPr="009A6C3F">
          <w:rPr>
            <w:rStyle w:val="Hyperlink"/>
            <w:iCs/>
          </w:rPr>
          <w:t>)</w:t>
        </w:r>
      </w:hyperlink>
      <w:r w:rsidR="004C58DC" w:rsidRPr="00F53BDD">
        <w:rPr>
          <w:iCs/>
        </w:rPr>
        <w:t>.</w:t>
      </w:r>
      <w:r w:rsidRPr="00F53BDD">
        <w:t xml:space="preserve"> </w:t>
      </w:r>
    </w:p>
    <w:p w:rsidR="00E64FDF" w:rsidRPr="00F53BDD" w:rsidRDefault="00E64FDF" w:rsidP="005A27AA">
      <w:pPr>
        <w:pStyle w:val="BodyText"/>
      </w:pPr>
      <w:r w:rsidRPr="00F53BDD">
        <w:t>Further disadvantages include:</w:t>
      </w:r>
    </w:p>
    <w:p w:rsidR="00E64FDF" w:rsidRPr="00F53BDD" w:rsidRDefault="008A36FA" w:rsidP="005A27AA">
      <w:pPr>
        <w:pStyle w:val="Bullet"/>
      </w:pPr>
      <w:r w:rsidRPr="00F53BDD">
        <w:t>t</w:t>
      </w:r>
      <w:r w:rsidR="00E64FDF" w:rsidRPr="00F53BDD">
        <w:t xml:space="preserve">he obligation applies equally </w:t>
      </w:r>
      <w:r w:rsidR="00346E39" w:rsidRPr="00F53BDD">
        <w:t>to</w:t>
      </w:r>
      <w:r w:rsidR="00AA32A1" w:rsidRPr="00F53BDD">
        <w:t xml:space="preserve"> </w:t>
      </w:r>
      <w:r w:rsidR="00E64FDF" w:rsidRPr="00F53BDD">
        <w:t>all users</w:t>
      </w:r>
      <w:r w:rsidR="005A7FB9" w:rsidRPr="00F53BDD">
        <w:t>, so the cost and effort may be disproportionate for small foresters and traders, reducing participation in the scheme</w:t>
      </w:r>
    </w:p>
    <w:p w:rsidR="008A36FA" w:rsidRPr="00F53BDD" w:rsidRDefault="00A37B38" w:rsidP="005A27AA">
      <w:pPr>
        <w:pStyle w:val="Bullet"/>
      </w:pPr>
      <w:r w:rsidRPr="00F53BDD">
        <w:t>given limited ability to verify this data, spurious data</w:t>
      </w:r>
      <w:r w:rsidR="009C2539" w:rsidRPr="00F53BDD">
        <w:t xml:space="preserve"> will</w:t>
      </w:r>
      <w:r w:rsidRPr="00F53BDD">
        <w:t xml:space="preserve"> damage the transparency of the scheme, </w:t>
      </w:r>
      <w:r w:rsidR="00346E39" w:rsidRPr="00F53BDD">
        <w:t>undermining</w:t>
      </w:r>
      <w:r w:rsidRPr="00F53BDD">
        <w:t xml:space="preserve"> price discovery</w:t>
      </w:r>
      <w:r w:rsidR="008A36FA" w:rsidRPr="00F53BDD">
        <w:t>.</w:t>
      </w:r>
    </w:p>
    <w:p w:rsidR="00A1787F" w:rsidRPr="00F53BDD" w:rsidRDefault="00346E39" w:rsidP="005A27AA">
      <w:pPr>
        <w:pStyle w:val="BodyText"/>
      </w:pPr>
      <w:r w:rsidRPr="00F53BDD">
        <w:t>This option</w:t>
      </w:r>
      <w:r w:rsidR="008A36FA" w:rsidRPr="00F53BDD">
        <w:t xml:space="preserve"> would likely only </w:t>
      </w:r>
      <w:r w:rsidRPr="00F53BDD">
        <w:t xml:space="preserve">apply </w:t>
      </w:r>
      <w:r w:rsidR="008A36FA" w:rsidRPr="00F53BDD">
        <w:t>under OTC arrangements</w:t>
      </w:r>
      <w:r w:rsidR="009C2539" w:rsidRPr="00F53BDD">
        <w:t>. T</w:t>
      </w:r>
      <w:r w:rsidR="008A36FA" w:rsidRPr="00F53BDD">
        <w:t xml:space="preserve">he same transaction details can be </w:t>
      </w:r>
      <w:r w:rsidR="00344F41" w:rsidRPr="00F53BDD">
        <w:t xml:space="preserve">reported </w:t>
      </w:r>
      <w:r w:rsidR="008A36FA" w:rsidRPr="00F53BDD">
        <w:t>using exchange-based trading.</w:t>
      </w:r>
    </w:p>
    <w:p w:rsidR="0056276C" w:rsidRPr="00F53BDD" w:rsidRDefault="0056276C" w:rsidP="005A27AA">
      <w:pPr>
        <w:pStyle w:val="Heading4"/>
        <w:spacing w:after="120"/>
      </w:pPr>
      <w:r w:rsidRPr="00F53BDD">
        <w:t>Examples of ETS</w:t>
      </w:r>
      <w:r w:rsidR="00346E39" w:rsidRPr="00F53BDD">
        <w:t>s</w:t>
      </w:r>
      <w:r w:rsidRPr="00F53BDD">
        <w:t xml:space="preserve"> </w:t>
      </w:r>
      <w:r w:rsidR="00346E39" w:rsidRPr="00F53BDD">
        <w:t>with</w:t>
      </w:r>
      <w:r w:rsidRPr="00F53BDD">
        <w:t xml:space="preserve"> transaction reporting</w:t>
      </w:r>
    </w:p>
    <w:p w:rsidR="0056276C" w:rsidRPr="00F53BDD" w:rsidRDefault="0056276C" w:rsidP="005A27AA">
      <w:pPr>
        <w:pStyle w:val="Bullet"/>
      </w:pPr>
      <w:r w:rsidRPr="00F53BDD">
        <w:t>To improve transparency for OTC trades</w:t>
      </w:r>
      <w:r w:rsidR="00242BBA" w:rsidRPr="00F53BDD">
        <w:t xml:space="preserve"> in the EU ETS</w:t>
      </w:r>
      <w:r w:rsidRPr="00F53BDD">
        <w:t xml:space="preserve">, the European Commission requires regulated firms </w:t>
      </w:r>
      <w:r w:rsidR="00344F41" w:rsidRPr="00F53BDD">
        <w:t xml:space="preserve">to </w:t>
      </w:r>
      <w:r w:rsidRPr="00F53BDD">
        <w:t>submit a detailed report</w:t>
      </w:r>
      <w:r w:rsidR="00344F41" w:rsidRPr="00F53BDD">
        <w:t xml:space="preserve"> on trades</w:t>
      </w:r>
      <w:r w:rsidRPr="00F53BDD">
        <w:t xml:space="preserve"> of financial instruments, includ</w:t>
      </w:r>
      <w:r w:rsidR="00344F41" w:rsidRPr="00F53BDD">
        <w:t>ing</w:t>
      </w:r>
      <w:r w:rsidRPr="00F53BDD">
        <w:t xml:space="preserve"> carbon market derivat</w:t>
      </w:r>
      <w:r w:rsidR="008A4A01" w:rsidRPr="00F53BDD">
        <w:t>iv</w:t>
      </w:r>
      <w:r w:rsidRPr="00F53BDD">
        <w:t xml:space="preserve">es. </w:t>
      </w:r>
    </w:p>
    <w:p w:rsidR="000B6C92" w:rsidRPr="00F53BDD" w:rsidRDefault="00344F41" w:rsidP="000B6C92">
      <w:pPr>
        <w:pStyle w:val="Bullet"/>
      </w:pPr>
      <w:r w:rsidRPr="00F53BDD">
        <w:t>The WCI</w:t>
      </w:r>
      <w:r w:rsidR="0056276C" w:rsidRPr="00F53BDD">
        <w:t xml:space="preserve"> require</w:t>
      </w:r>
      <w:r w:rsidRPr="00F53BDD">
        <w:t>s</w:t>
      </w:r>
      <w:r w:rsidR="0056276C" w:rsidRPr="00F53BDD">
        <w:t xml:space="preserve"> transaction reporting</w:t>
      </w:r>
      <w:r w:rsidR="00346E39" w:rsidRPr="00F53BDD">
        <w:t>,</w:t>
      </w:r>
      <w:r w:rsidR="0056276C" w:rsidRPr="00F53BDD">
        <w:t xml:space="preserve"> reduc</w:t>
      </w:r>
      <w:r w:rsidRPr="00F53BDD">
        <w:t>ing</w:t>
      </w:r>
      <w:r w:rsidR="0056276C" w:rsidRPr="00F53BDD">
        <w:t xml:space="preserve"> the risk of market </w:t>
      </w:r>
      <w:r w:rsidRPr="00F53BDD">
        <w:t>misconduct</w:t>
      </w:r>
      <w:r w:rsidR="0056276C" w:rsidRPr="00F53BDD">
        <w:t>. Trade</w:t>
      </w:r>
      <w:r w:rsidRPr="00F53BDD">
        <w:t>s</w:t>
      </w:r>
      <w:r w:rsidR="0056276C" w:rsidRPr="00F53BDD">
        <w:t xml:space="preserve"> clearing on a central registry require buyer and seller</w:t>
      </w:r>
      <w:r w:rsidR="00242BBA" w:rsidRPr="00F53BDD">
        <w:t xml:space="preserve"> authentication</w:t>
      </w:r>
      <w:r w:rsidRPr="00F53BDD">
        <w:t xml:space="preserve">, </w:t>
      </w:r>
      <w:r w:rsidR="0056276C" w:rsidRPr="00F53BDD">
        <w:t>protect</w:t>
      </w:r>
      <w:r w:rsidRPr="00F53BDD">
        <w:t>ing</w:t>
      </w:r>
      <w:r w:rsidR="0056276C" w:rsidRPr="00F53BDD">
        <w:t xml:space="preserve"> market participants from theft and market manipulation. The ownership of the unit over time can also be tracked, </w:t>
      </w:r>
      <w:r w:rsidR="00242BBA" w:rsidRPr="00F53BDD">
        <w:t xml:space="preserve">reducing </w:t>
      </w:r>
      <w:r w:rsidR="0056276C" w:rsidRPr="00F53BDD">
        <w:t xml:space="preserve">the </w:t>
      </w:r>
      <w:r w:rsidRPr="00F53BDD">
        <w:t xml:space="preserve">risk of </w:t>
      </w:r>
      <w:r w:rsidR="0056276C" w:rsidRPr="00F53BDD">
        <w:t>money laundering.</w:t>
      </w:r>
    </w:p>
    <w:p w:rsidR="009E3CC1" w:rsidRPr="00F53BDD" w:rsidRDefault="009A6C3F" w:rsidP="00F613FD">
      <w:pPr>
        <w:pStyle w:val="Heading2"/>
        <w:spacing w:after="240"/>
      </w:pPr>
      <w:bookmarkStart w:id="58" w:name="_Toc75250077"/>
      <w:r>
        <w:t>Consultation</w:t>
      </w:r>
      <w:r w:rsidRPr="00F53BDD">
        <w:t xml:space="preserve"> </w:t>
      </w:r>
      <w:r w:rsidR="009E3CC1" w:rsidRPr="00F53BDD">
        <w:t>questions</w:t>
      </w:r>
      <w:bookmarkEnd w:id="58"/>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F613FD" w:rsidRPr="00F53BDD" w:rsidTr="00F613FD">
        <w:tc>
          <w:tcPr>
            <w:tcW w:w="0" w:type="auto"/>
            <w:shd w:val="clear" w:color="auto" w:fill="D2DDE2"/>
          </w:tcPr>
          <w:p w:rsidR="00F613FD" w:rsidRPr="00F53BDD" w:rsidRDefault="00F613FD" w:rsidP="00F613FD">
            <w:pPr>
              <w:pStyle w:val="Blueboxheading"/>
              <w:spacing w:after="120"/>
            </w:pPr>
            <w:r w:rsidRPr="00F53BDD">
              <w:t>Insider trading, price manipulation and money laundering</w:t>
            </w:r>
          </w:p>
          <w:p w:rsidR="00F613FD" w:rsidRPr="00F53BDD" w:rsidRDefault="00F613FD" w:rsidP="00F613FD">
            <w:pPr>
              <w:pStyle w:val="Blueboxnumbered"/>
            </w:pPr>
            <w:r w:rsidRPr="00F53BDD">
              <w:t>To what extent would position and purchase limits protect all users against price manipulation, money laundering</w:t>
            </w:r>
            <w:r w:rsidR="009A6C3F">
              <w:t>,</w:t>
            </w:r>
            <w:r w:rsidRPr="00F53BDD">
              <w:t xml:space="preserve"> and financing of terrorism?</w:t>
            </w:r>
          </w:p>
          <w:p w:rsidR="00F613FD" w:rsidRPr="00F53BDD" w:rsidRDefault="00F613FD" w:rsidP="005D3242">
            <w:pPr>
              <w:pStyle w:val="Blueboxtext"/>
              <w:rPr>
                <w:b/>
                <w:bCs/>
              </w:rPr>
            </w:pPr>
            <w:r w:rsidRPr="00F53BDD">
              <w:rPr>
                <w:b/>
                <w:bCs/>
              </w:rPr>
              <w:t>Full transaction reporting</w:t>
            </w:r>
          </w:p>
          <w:p w:rsidR="00F613FD" w:rsidRPr="00F53BDD" w:rsidRDefault="00F613FD" w:rsidP="00F613FD">
            <w:pPr>
              <w:pStyle w:val="Blueboxnumbered"/>
            </w:pPr>
            <w:r w:rsidRPr="00F53BDD">
              <w:t xml:space="preserve">As a </w:t>
            </w:r>
            <w:r w:rsidR="005E0AB9">
              <w:t xml:space="preserve">NZ ETS </w:t>
            </w:r>
            <w:r w:rsidRPr="00F53BDD">
              <w:t xml:space="preserve">user, what impact would full transaction reporting have on your business or trading activity? </w:t>
            </w:r>
          </w:p>
          <w:p w:rsidR="00F613FD" w:rsidRPr="00F53BDD" w:rsidRDefault="00F613FD" w:rsidP="00F613FD">
            <w:pPr>
              <w:pStyle w:val="Blueboxnumbered"/>
            </w:pPr>
            <w:r w:rsidRPr="00F53BDD">
              <w:t>What information should be disclosed as part of full transaction reporting?</w:t>
            </w:r>
          </w:p>
          <w:p w:rsidR="00F613FD" w:rsidRPr="00F53BDD" w:rsidRDefault="00F613FD" w:rsidP="00F613FD">
            <w:pPr>
              <w:pStyle w:val="Blueboxtext"/>
              <w:rPr>
                <w:b/>
                <w:bCs/>
              </w:rPr>
            </w:pPr>
            <w:r w:rsidRPr="00F53BDD">
              <w:rPr>
                <w:b/>
                <w:bCs/>
              </w:rPr>
              <w:t>Other options</w:t>
            </w:r>
          </w:p>
          <w:p w:rsidR="00F613FD" w:rsidRPr="00F53BDD" w:rsidRDefault="00F613FD" w:rsidP="00F613FD">
            <w:pPr>
              <w:pStyle w:val="Blueboxnumbered"/>
              <w:spacing w:after="240"/>
            </w:pPr>
            <w:r w:rsidRPr="00F53BDD">
              <w:t>What other options could reduce the risk of insider trading, price manipulation, money laundering</w:t>
            </w:r>
            <w:r w:rsidR="009A6C3F">
              <w:t>,</w:t>
            </w:r>
            <w:r w:rsidRPr="00F53BDD">
              <w:t xml:space="preserve"> or financing of terrorism?</w:t>
            </w:r>
          </w:p>
        </w:tc>
      </w:tr>
    </w:tbl>
    <w:p w:rsidR="005A27AA" w:rsidRPr="00F53BDD" w:rsidRDefault="005A27AA" w:rsidP="005A27AA">
      <w:pPr>
        <w:pStyle w:val="BodyText"/>
      </w:pPr>
      <w:bookmarkStart w:id="59" w:name="_Toc71297866"/>
      <w:r w:rsidRPr="00F53BDD">
        <w:br w:type="page"/>
      </w:r>
    </w:p>
    <w:p w:rsidR="00D60931" w:rsidRPr="00F53BDD" w:rsidRDefault="00D60931" w:rsidP="00D60931">
      <w:pPr>
        <w:pStyle w:val="Heading1"/>
      </w:pPr>
      <w:bookmarkStart w:id="60" w:name="_Section_6:_Appointing"/>
      <w:bookmarkStart w:id="61" w:name="_Toc75250078"/>
      <w:bookmarkEnd w:id="60"/>
      <w:r w:rsidRPr="00F53BDD">
        <w:t>Section 6: Appointing a regulator</w:t>
      </w:r>
      <w:bookmarkEnd w:id="61"/>
    </w:p>
    <w:p w:rsidR="00D60931" w:rsidRPr="00F53BDD" w:rsidRDefault="00D60931" w:rsidP="008408ED">
      <w:pPr>
        <w:pStyle w:val="BodyText"/>
      </w:pPr>
      <w:r w:rsidRPr="00F53BDD">
        <w:t xml:space="preserve">The Government is seeking feedback on options </w:t>
      </w:r>
      <w:r w:rsidR="0012461B" w:rsidRPr="00F53BDD">
        <w:t>for</w:t>
      </w:r>
      <w:r w:rsidRPr="00F53BDD">
        <w:t xml:space="preserve"> regulatory oversight of the NZ ETS. A key aspect of any market governance </w:t>
      </w:r>
      <w:r w:rsidR="005A6E4F" w:rsidRPr="00F53BDD">
        <w:t>framework</w:t>
      </w:r>
      <w:r w:rsidRPr="00F53BDD">
        <w:t xml:space="preserve"> is </w:t>
      </w:r>
      <w:r w:rsidR="0012461B" w:rsidRPr="00F53BDD">
        <w:t>selecting</w:t>
      </w:r>
      <w:r w:rsidRPr="00F53BDD">
        <w:t xml:space="preserve"> a market regulator and determining their role and functions. Defining </w:t>
      </w:r>
      <w:r w:rsidR="0012461B" w:rsidRPr="00F53BDD">
        <w:t xml:space="preserve">these </w:t>
      </w:r>
      <w:r w:rsidRPr="00F53BDD">
        <w:t xml:space="preserve">will have a significant impact on existing market operators and </w:t>
      </w:r>
      <w:r w:rsidR="004545FD" w:rsidRPr="00F53BDD">
        <w:t>ETS users</w:t>
      </w:r>
      <w:r w:rsidRPr="00F53BDD">
        <w:t xml:space="preserve">. </w:t>
      </w:r>
    </w:p>
    <w:p w:rsidR="00D60931" w:rsidRPr="00F53BDD" w:rsidRDefault="00D60931" w:rsidP="00D60931">
      <w:pPr>
        <w:pStyle w:val="BodyText"/>
        <w:ind w:left="397" w:hanging="397"/>
      </w:pPr>
      <w:r w:rsidRPr="00F53BDD">
        <w:t xml:space="preserve">The </w:t>
      </w:r>
      <w:r w:rsidR="00937303" w:rsidRPr="00F53BDD">
        <w:t>G</w:t>
      </w:r>
      <w:r w:rsidRPr="00F53BDD">
        <w:t>overnment could consider:</w:t>
      </w:r>
    </w:p>
    <w:p w:rsidR="00D60931" w:rsidRPr="00F53BDD" w:rsidRDefault="00D60931" w:rsidP="008408ED">
      <w:pPr>
        <w:pStyle w:val="Bullet"/>
      </w:pPr>
      <w:r w:rsidRPr="00F53BDD">
        <w:t>appointing an existing public or private agency</w:t>
      </w:r>
      <w:r w:rsidR="00937303" w:rsidRPr="00F53BDD">
        <w:t xml:space="preserve"> to provide oversight</w:t>
      </w:r>
      <w:r w:rsidRPr="00F53BDD">
        <w:t>, or</w:t>
      </w:r>
    </w:p>
    <w:p w:rsidR="00D60931" w:rsidRPr="00F53BDD" w:rsidRDefault="00D60931" w:rsidP="00D60931">
      <w:pPr>
        <w:pStyle w:val="Bullet"/>
      </w:pPr>
      <w:r w:rsidRPr="00F53BDD">
        <w:t>establishing a new agency.</w:t>
      </w:r>
    </w:p>
    <w:p w:rsidR="00D60931" w:rsidRPr="00F53BDD" w:rsidRDefault="00D60931" w:rsidP="008408ED">
      <w:pPr>
        <w:pStyle w:val="BodyText"/>
      </w:pPr>
      <w:r w:rsidRPr="00F53BDD">
        <w:t>To avoid conflating new ETS responsibilities with existing functions</w:t>
      </w:r>
      <w:r w:rsidR="000242C5" w:rsidRPr="00F53BDD">
        <w:t>,</w:t>
      </w:r>
      <w:r w:rsidRPr="00F53BDD">
        <w:t xml:space="preserve"> we are considering options in </w:t>
      </w:r>
      <w:r w:rsidR="002E7966" w:rsidRPr="00F53BDD">
        <w:t xml:space="preserve">the </w:t>
      </w:r>
      <w:r w:rsidRPr="00F53BDD">
        <w:t xml:space="preserve">absence of any </w:t>
      </w:r>
      <w:r w:rsidR="008A4A01" w:rsidRPr="00F53BDD">
        <w:t xml:space="preserve">existing </w:t>
      </w:r>
      <w:r w:rsidRPr="00F53BDD">
        <w:t xml:space="preserve">agency’s </w:t>
      </w:r>
      <w:r w:rsidR="008A4A01" w:rsidRPr="00F53BDD">
        <w:t xml:space="preserve">current </w:t>
      </w:r>
      <w:r w:rsidRPr="00F53BDD">
        <w:t xml:space="preserve">responsibilities. This approach allows fair comparison of public, private </w:t>
      </w:r>
      <w:r w:rsidR="00AF458D" w:rsidRPr="00F53BDD">
        <w:t>and</w:t>
      </w:r>
      <w:r w:rsidRPr="00F53BDD">
        <w:t xml:space="preserve"> new regulator options</w:t>
      </w:r>
      <w:r w:rsidR="00AF458D" w:rsidRPr="00F53BDD">
        <w:t>,</w:t>
      </w:r>
      <w:r w:rsidRPr="00F53BDD">
        <w:t xml:space="preserve"> without preferring one option because it is already established.</w:t>
      </w:r>
    </w:p>
    <w:p w:rsidR="00C16627" w:rsidRPr="00F53BDD" w:rsidRDefault="00C16627" w:rsidP="008408ED">
      <w:pPr>
        <w:pStyle w:val="BodyText"/>
        <w:rPr>
          <w:rFonts w:ascii="Segoe UI" w:hAnsi="Segoe UI"/>
          <w:sz w:val="21"/>
          <w:szCs w:val="21"/>
        </w:rPr>
      </w:pPr>
      <w:r w:rsidRPr="00F53BDD">
        <w:t>The regulatory arrangements would be reviewed as part of wider reviews of the ETS, and depending on the type of regulator appointed, they may be monitored by the Ministry for the</w:t>
      </w:r>
      <w:r w:rsidR="008E00A0" w:rsidRPr="00F53BDD">
        <w:t> </w:t>
      </w:r>
      <w:r w:rsidRPr="00F53BDD">
        <w:t xml:space="preserve">Environment or another department as appropriate. </w:t>
      </w:r>
    </w:p>
    <w:p w:rsidR="00D66A0A" w:rsidRPr="00F53BDD" w:rsidRDefault="00D66A0A" w:rsidP="009250A8">
      <w:pPr>
        <w:pStyle w:val="Heading2"/>
      </w:pPr>
      <w:bookmarkStart w:id="62" w:name="_Toc75250079"/>
      <w:r w:rsidRPr="00F53BDD">
        <w:t>Options</w:t>
      </w:r>
      <w:bookmarkEnd w:id="62"/>
    </w:p>
    <w:p w:rsidR="00D60931" w:rsidRPr="00F53BDD" w:rsidRDefault="00D60931" w:rsidP="008408ED">
      <w:pPr>
        <w:pStyle w:val="Heading3"/>
        <w:spacing w:before="240"/>
      </w:pPr>
      <w:r w:rsidRPr="00F53BDD">
        <w:t>D1. Maintain the status quo</w:t>
      </w:r>
    </w:p>
    <w:p w:rsidR="00D60931" w:rsidRPr="00F53BDD" w:rsidRDefault="002E7966" w:rsidP="00D60931">
      <w:pPr>
        <w:pStyle w:val="BodyText"/>
      </w:pPr>
      <w:r w:rsidRPr="00F53BDD">
        <w:t>This option</w:t>
      </w:r>
      <w:r w:rsidR="00D60931" w:rsidRPr="00F53BDD">
        <w:t xml:space="preserve"> assumes the </w:t>
      </w:r>
      <w:r w:rsidR="00AF458D" w:rsidRPr="00F53BDD">
        <w:t>G</w:t>
      </w:r>
      <w:r w:rsidR="00D60931" w:rsidRPr="00F53BDD">
        <w:t xml:space="preserve">overnment will not establish a new regulator, </w:t>
      </w:r>
      <w:r w:rsidR="004545FD" w:rsidRPr="00F53BDD">
        <w:t>nor assign functions or</w:t>
      </w:r>
      <w:r w:rsidR="008E00A0" w:rsidRPr="00F53BDD">
        <w:t> </w:t>
      </w:r>
      <w:r w:rsidR="004545FD" w:rsidRPr="00F53BDD">
        <w:t>responsibilities to an existing regulator or agency</w:t>
      </w:r>
      <w:r w:rsidR="00D60931" w:rsidRPr="00F53BDD">
        <w:t>.</w:t>
      </w:r>
      <w:r w:rsidR="00937303" w:rsidRPr="00F53BDD">
        <w:t xml:space="preserve"> As outlined in </w:t>
      </w:r>
      <w:hyperlink w:anchor="_Section_2:_Market" w:history="1">
        <w:r w:rsidRPr="00F53BDD">
          <w:rPr>
            <w:rStyle w:val="Hyperlink"/>
          </w:rPr>
          <w:t>s</w:t>
        </w:r>
        <w:r w:rsidR="00937303" w:rsidRPr="00F53BDD">
          <w:rPr>
            <w:rStyle w:val="Hyperlink"/>
          </w:rPr>
          <w:t>ection 2</w:t>
        </w:r>
      </w:hyperlink>
      <w:r w:rsidR="00937303" w:rsidRPr="00F53BDD">
        <w:t xml:space="preserve">, the regulatory framework governing conduct in the ETS </w:t>
      </w:r>
      <w:r w:rsidR="00B27688" w:rsidRPr="00F53BDD">
        <w:t xml:space="preserve">has gaps </w:t>
      </w:r>
      <w:r w:rsidR="00937303" w:rsidRPr="00F53BDD">
        <w:t xml:space="preserve">and </w:t>
      </w:r>
      <w:r w:rsidR="00B27688" w:rsidRPr="00F53BDD">
        <w:t xml:space="preserve">is </w:t>
      </w:r>
      <w:r w:rsidR="00937303" w:rsidRPr="00F53BDD">
        <w:t>incomplete.</w:t>
      </w:r>
    </w:p>
    <w:p w:rsidR="00D60931" w:rsidRPr="00F53BDD" w:rsidRDefault="002E7966" w:rsidP="00D60931">
      <w:pPr>
        <w:pStyle w:val="BodyText"/>
      </w:pPr>
      <w:r w:rsidRPr="00F53BDD">
        <w:t xml:space="preserve">Although </w:t>
      </w:r>
      <w:r w:rsidR="00D60931" w:rsidRPr="00F53BDD">
        <w:t xml:space="preserve">it can be assumed </w:t>
      </w:r>
      <w:r w:rsidR="00054263" w:rsidRPr="00F53BDD">
        <w:t>most</w:t>
      </w:r>
      <w:r w:rsidR="00D60931" w:rsidRPr="00F53BDD">
        <w:t xml:space="preserve"> </w:t>
      </w:r>
      <w:r w:rsidR="004545FD" w:rsidRPr="00F53BDD">
        <w:t>users</w:t>
      </w:r>
      <w:r w:rsidR="00D60931" w:rsidRPr="00F53BDD">
        <w:t xml:space="preserve"> are law</w:t>
      </w:r>
      <w:r w:rsidRPr="00F53BDD">
        <w:t>-</w:t>
      </w:r>
      <w:r w:rsidR="00D60931" w:rsidRPr="00F53BDD">
        <w:t xml:space="preserve">abiding, the financial harm </w:t>
      </w:r>
      <w:r w:rsidRPr="00F53BDD">
        <w:t>from</w:t>
      </w:r>
      <w:r w:rsidR="00D60931" w:rsidRPr="00F53BDD">
        <w:t xml:space="preserve"> poor advice and misconduct makes </w:t>
      </w:r>
      <w:r w:rsidRPr="00F53BDD">
        <w:t>it unlikely that this option will be pursued.</w:t>
      </w:r>
      <w:r w:rsidR="00EF04DA" w:rsidRPr="00F53BDD">
        <w:t xml:space="preserve"> </w:t>
      </w:r>
    </w:p>
    <w:p w:rsidR="00D60931" w:rsidRPr="00F53BDD" w:rsidRDefault="00D60931" w:rsidP="00D60931">
      <w:pPr>
        <w:keepNext/>
        <w:tabs>
          <w:tab w:val="left" w:pos="851"/>
        </w:tabs>
        <w:spacing w:before="360" w:after="0" w:line="240" w:lineRule="auto"/>
        <w:jc w:val="left"/>
        <w:outlineLvl w:val="2"/>
        <w:rPr>
          <w:rFonts w:eastAsiaTheme="majorEastAsia" w:cstheme="majorBidi"/>
          <w:b/>
          <w:bCs/>
          <w:sz w:val="28"/>
        </w:rPr>
      </w:pPr>
      <w:r w:rsidRPr="00F53BDD">
        <w:rPr>
          <w:rFonts w:eastAsiaTheme="majorEastAsia" w:cstheme="majorBidi"/>
          <w:b/>
          <w:bCs/>
          <w:sz w:val="28"/>
        </w:rPr>
        <w:t>D2. Appoint a self-regulating industry body</w:t>
      </w:r>
    </w:p>
    <w:p w:rsidR="00D60931" w:rsidRPr="00F53BDD" w:rsidRDefault="002E7966" w:rsidP="00D60931">
      <w:pPr>
        <w:pStyle w:val="BodyText"/>
      </w:pPr>
      <w:r w:rsidRPr="00F53BDD">
        <w:t xml:space="preserve">This is </w:t>
      </w:r>
      <w:r w:rsidR="0098283E" w:rsidRPr="00F53BDD">
        <w:t xml:space="preserve">the option with </w:t>
      </w:r>
      <w:r w:rsidRPr="00F53BDD">
        <w:t xml:space="preserve">the </w:t>
      </w:r>
      <w:r w:rsidR="0098283E" w:rsidRPr="00F53BDD">
        <w:t>lowest regulatory burden</w:t>
      </w:r>
      <w:r w:rsidR="00D60931" w:rsidRPr="00F53BDD">
        <w:t xml:space="preserve">. </w:t>
      </w:r>
    </w:p>
    <w:p w:rsidR="00D60931" w:rsidRPr="00F53BDD" w:rsidRDefault="00D60931" w:rsidP="008408ED">
      <w:pPr>
        <w:pStyle w:val="Heading4"/>
      </w:pPr>
      <w:r w:rsidRPr="00F53BDD">
        <w:t>Structure</w:t>
      </w:r>
    </w:p>
    <w:p w:rsidR="00D60931" w:rsidRPr="00F53BDD" w:rsidRDefault="00D60931" w:rsidP="004545FD">
      <w:pPr>
        <w:pStyle w:val="BodyText"/>
      </w:pPr>
      <w:r w:rsidRPr="00F53BDD">
        <w:t>Industry self-regulation involves one or a group of members of a</w:t>
      </w:r>
      <w:r w:rsidR="00AF458D" w:rsidRPr="00F53BDD">
        <w:t>n</w:t>
      </w:r>
      <w:r w:rsidRPr="00F53BDD">
        <w:t xml:space="preserve"> industry agree</w:t>
      </w:r>
      <w:r w:rsidR="00937303" w:rsidRPr="00F53BDD">
        <w:t>ing</w:t>
      </w:r>
      <w:r w:rsidRPr="00F53BDD">
        <w:t xml:space="preserve"> to assume the responsibility of overseeing their sector. </w:t>
      </w:r>
    </w:p>
    <w:p w:rsidR="00D60931" w:rsidRPr="00F53BDD" w:rsidRDefault="00D60931" w:rsidP="004545FD">
      <w:pPr>
        <w:pStyle w:val="BodyText"/>
      </w:pPr>
      <w:r w:rsidRPr="00F53BDD">
        <w:t xml:space="preserve">The governing body </w:t>
      </w:r>
      <w:r w:rsidR="00937303" w:rsidRPr="00F53BDD">
        <w:t xml:space="preserve">could </w:t>
      </w:r>
      <w:r w:rsidRPr="00F53BDD">
        <w:t xml:space="preserve">be wholly responsible for </w:t>
      </w:r>
      <w:r w:rsidR="002E7966" w:rsidRPr="00F53BDD">
        <w:t xml:space="preserve">overseeing </w:t>
      </w:r>
      <w:r w:rsidRPr="00F53BDD">
        <w:t>the sector, or they c</w:t>
      </w:r>
      <w:r w:rsidR="002E7966" w:rsidRPr="00F53BDD">
        <w:t>ould</w:t>
      </w:r>
      <w:r w:rsidRPr="00F53BDD">
        <w:t xml:space="preserve"> work with government entities in a co-regulatory capacity.</w:t>
      </w:r>
    </w:p>
    <w:p w:rsidR="00D60931" w:rsidRPr="00F53BDD" w:rsidRDefault="00D60931" w:rsidP="00D60931">
      <w:pPr>
        <w:pStyle w:val="BodyText"/>
      </w:pPr>
      <w:r w:rsidRPr="00F53BDD">
        <w:t>For members governed by the body, membership is often voluntary but could also be required by legislation.</w:t>
      </w:r>
    </w:p>
    <w:p w:rsidR="00D60931" w:rsidRPr="00F53BDD" w:rsidRDefault="00D60931" w:rsidP="00EC6896">
      <w:pPr>
        <w:pStyle w:val="Heading4"/>
      </w:pPr>
      <w:r w:rsidRPr="00F53BDD">
        <w:t>Functions</w:t>
      </w:r>
    </w:p>
    <w:p w:rsidR="00D60931" w:rsidRPr="00F53BDD" w:rsidRDefault="00D60931" w:rsidP="008612B9">
      <w:pPr>
        <w:pStyle w:val="BodyText"/>
        <w:spacing w:before="100" w:after="100"/>
      </w:pPr>
      <w:r w:rsidRPr="00F53BDD">
        <w:t xml:space="preserve">The body may develop a voluntary standard of practice and monitoring. </w:t>
      </w:r>
      <w:r w:rsidR="002E7966" w:rsidRPr="00F53BDD">
        <w:t>It</w:t>
      </w:r>
      <w:r w:rsidRPr="00F53BDD">
        <w:t xml:space="preserve"> may </w:t>
      </w:r>
      <w:r w:rsidR="009D5EB7" w:rsidRPr="00F53BDD">
        <w:t xml:space="preserve">use </w:t>
      </w:r>
      <w:r w:rsidR="004545FD" w:rsidRPr="00F53BDD">
        <w:t>enforcement</w:t>
      </w:r>
      <w:r w:rsidRPr="00F53BDD">
        <w:t>, compliance or disciplinary measures for non-complying entities.</w:t>
      </w:r>
    </w:p>
    <w:p w:rsidR="00D60931" w:rsidRPr="00F53BDD" w:rsidRDefault="00D60931" w:rsidP="008612B9">
      <w:pPr>
        <w:pStyle w:val="BodyText"/>
        <w:spacing w:before="100" w:after="100"/>
      </w:pPr>
      <w:r w:rsidRPr="00F53BDD">
        <w:t xml:space="preserve">Industry self-regulation </w:t>
      </w:r>
      <w:r w:rsidR="00054263" w:rsidRPr="00F53BDD">
        <w:t>is</w:t>
      </w:r>
      <w:r w:rsidRPr="00F53BDD">
        <w:t xml:space="preserve"> </w:t>
      </w:r>
      <w:r w:rsidR="004545FD" w:rsidRPr="00F53BDD">
        <w:t>flexible and</w:t>
      </w:r>
      <w:r w:rsidRPr="00F53BDD">
        <w:t xml:space="preserve"> can involve a myriad of tools to maintain standards. </w:t>
      </w:r>
      <w:r w:rsidR="002E7966" w:rsidRPr="00F53BDD">
        <w:t>Table 5 sets out e</w:t>
      </w:r>
      <w:r w:rsidRPr="00F53BDD">
        <w:t xml:space="preserve">xamples in the NZU </w:t>
      </w:r>
      <w:r w:rsidR="00937303" w:rsidRPr="00F53BDD">
        <w:t>a</w:t>
      </w:r>
      <w:r w:rsidRPr="00F53BDD">
        <w:t>dviser industry</w:t>
      </w:r>
      <w:r w:rsidR="00937303" w:rsidRPr="00F53BDD">
        <w:t>.</w:t>
      </w:r>
    </w:p>
    <w:p w:rsidR="00D60931" w:rsidRPr="00F53BDD" w:rsidRDefault="00D60931" w:rsidP="00D60931">
      <w:pPr>
        <w:pStyle w:val="Tableheading"/>
      </w:pPr>
      <w:bookmarkStart w:id="63" w:name="_Toc75250108"/>
      <w:r w:rsidRPr="00F53BDD">
        <w:t xml:space="preserve">Table </w:t>
      </w:r>
      <w:r w:rsidR="003C49C8">
        <w:rPr>
          <w:noProof/>
        </w:rPr>
        <w:fldChar w:fldCharType="begin"/>
      </w:r>
      <w:r w:rsidR="003C49C8">
        <w:rPr>
          <w:noProof/>
        </w:rPr>
        <w:instrText xml:space="preserve"> SEQ Table \* ARABIC </w:instrText>
      </w:r>
      <w:r w:rsidR="003C49C8">
        <w:rPr>
          <w:noProof/>
        </w:rPr>
        <w:fldChar w:fldCharType="separate"/>
      </w:r>
      <w:r w:rsidR="00F84B55">
        <w:rPr>
          <w:noProof/>
        </w:rPr>
        <w:t>5</w:t>
      </w:r>
      <w:r w:rsidR="003C49C8">
        <w:rPr>
          <w:noProof/>
        </w:rPr>
        <w:fldChar w:fldCharType="end"/>
      </w:r>
      <w:r w:rsidRPr="00F53BDD">
        <w:t xml:space="preserve">: </w:t>
      </w:r>
      <w:r w:rsidR="008408ED" w:rsidRPr="00F53BDD">
        <w:tab/>
      </w:r>
      <w:r w:rsidRPr="00F53BDD">
        <w:t xml:space="preserve">Examples of </w:t>
      </w:r>
      <w:r w:rsidR="00937303" w:rsidRPr="00F53BDD">
        <w:t>s</w:t>
      </w:r>
      <w:r w:rsidRPr="00F53BDD">
        <w:t>elf-</w:t>
      </w:r>
      <w:r w:rsidR="00937303" w:rsidRPr="00F53BDD">
        <w:t>r</w:t>
      </w:r>
      <w:r w:rsidRPr="00F53BDD">
        <w:t>egulation tools for NZU advisers</w:t>
      </w:r>
      <w:r w:rsidR="00CB5D04" w:rsidRPr="00F53BDD">
        <w:t xml:space="preserve"> (adapted from Business</w:t>
      </w:r>
      <w:r w:rsidR="008D65B2" w:rsidRPr="00F53BDD">
        <w:t> </w:t>
      </w:r>
      <w:r w:rsidR="00CB5D04" w:rsidRPr="00F53BDD">
        <w:t>NZ (2006))</w:t>
      </w:r>
      <w:bookmarkEnd w:id="63"/>
    </w:p>
    <w:tbl>
      <w:tblPr>
        <w:tblStyle w:val="LightList-Accent11"/>
        <w:tblW w:w="8505"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CellMar>
          <w:left w:w="85" w:type="dxa"/>
          <w:right w:w="85" w:type="dxa"/>
        </w:tblCellMar>
        <w:tblLook w:val="04A0" w:firstRow="1" w:lastRow="0" w:firstColumn="1" w:lastColumn="0" w:noHBand="0" w:noVBand="1"/>
      </w:tblPr>
      <w:tblGrid>
        <w:gridCol w:w="2112"/>
        <w:gridCol w:w="3254"/>
        <w:gridCol w:w="3139"/>
      </w:tblGrid>
      <w:tr w:rsidR="00206B72" w:rsidRPr="00F53BDD" w:rsidTr="00206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D60931" w:rsidRPr="00F53BDD" w:rsidRDefault="00D60931" w:rsidP="00206B72">
            <w:pPr>
              <w:pStyle w:val="TableTextbold"/>
              <w:spacing w:before="40" w:after="40"/>
              <w:rPr>
                <w:b/>
                <w:bCs w:val="0"/>
              </w:rPr>
            </w:pPr>
            <w:r w:rsidRPr="00F53BDD">
              <w:rPr>
                <w:b/>
                <w:bCs w:val="0"/>
              </w:rPr>
              <w:t>Self-regulatory tools</w:t>
            </w:r>
          </w:p>
        </w:tc>
        <w:tc>
          <w:tcPr>
            <w:tcW w:w="3232" w:type="dxa"/>
          </w:tcPr>
          <w:p w:rsidR="00D60931" w:rsidRPr="00F53BDD" w:rsidRDefault="00D60931" w:rsidP="00206B72">
            <w:pPr>
              <w:pStyle w:val="TableTextbold"/>
              <w:spacing w:before="40" w:after="40"/>
              <w:cnfStyle w:val="100000000000" w:firstRow="1" w:lastRow="0" w:firstColumn="0" w:lastColumn="0" w:oddVBand="0" w:evenVBand="0" w:oddHBand="0" w:evenHBand="0" w:firstRowFirstColumn="0" w:firstRowLastColumn="0" w:lastRowFirstColumn="0" w:lastRowLastColumn="0"/>
              <w:rPr>
                <w:b/>
                <w:bCs w:val="0"/>
              </w:rPr>
            </w:pPr>
            <w:r w:rsidRPr="00F53BDD">
              <w:rPr>
                <w:b/>
                <w:bCs w:val="0"/>
              </w:rPr>
              <w:t>Description</w:t>
            </w:r>
          </w:p>
        </w:tc>
        <w:tc>
          <w:tcPr>
            <w:tcW w:w="3118" w:type="dxa"/>
          </w:tcPr>
          <w:p w:rsidR="00D60931" w:rsidRPr="00F53BDD" w:rsidRDefault="00D60931" w:rsidP="00206B72">
            <w:pPr>
              <w:pStyle w:val="TableTextbold"/>
              <w:spacing w:before="40" w:after="40"/>
              <w:cnfStyle w:val="100000000000" w:firstRow="1" w:lastRow="0" w:firstColumn="0" w:lastColumn="0" w:oddVBand="0" w:evenVBand="0" w:oddHBand="0" w:evenHBand="0" w:firstRowFirstColumn="0" w:firstRowLastColumn="0" w:lastRowFirstColumn="0" w:lastRowLastColumn="0"/>
              <w:rPr>
                <w:b/>
                <w:bCs w:val="0"/>
              </w:rPr>
            </w:pPr>
            <w:r w:rsidRPr="00F53BDD">
              <w:rPr>
                <w:b/>
                <w:bCs w:val="0"/>
              </w:rPr>
              <w:t>Impact</w:t>
            </w:r>
          </w:p>
        </w:tc>
      </w:tr>
      <w:tr w:rsidR="00D60931" w:rsidRPr="00F53BDD" w:rsidTr="00206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none" w:sz="0" w:space="0" w:color="auto"/>
              <w:left w:val="none" w:sz="0" w:space="0" w:color="auto"/>
              <w:bottom w:val="none" w:sz="0" w:space="0" w:color="auto"/>
            </w:tcBorders>
          </w:tcPr>
          <w:p w:rsidR="00D60931" w:rsidRPr="00F53BDD" w:rsidRDefault="00D60931" w:rsidP="00206B72">
            <w:pPr>
              <w:pStyle w:val="TableTextbold"/>
              <w:spacing w:before="40" w:after="40"/>
              <w:rPr>
                <w:b/>
                <w:bCs w:val="0"/>
              </w:rPr>
            </w:pPr>
            <w:r w:rsidRPr="00F53BDD">
              <w:rPr>
                <w:b/>
                <w:bCs w:val="0"/>
              </w:rPr>
              <w:t xml:space="preserve">Aspirational </w:t>
            </w:r>
            <w:r w:rsidR="00722571" w:rsidRPr="00F53BDD">
              <w:rPr>
                <w:b/>
                <w:bCs w:val="0"/>
              </w:rPr>
              <w:t>c</w:t>
            </w:r>
            <w:r w:rsidRPr="00F53BDD">
              <w:rPr>
                <w:b/>
                <w:bCs w:val="0"/>
              </w:rPr>
              <w:t>ode</w:t>
            </w:r>
          </w:p>
        </w:tc>
        <w:tc>
          <w:tcPr>
            <w:tcW w:w="3232" w:type="dxa"/>
            <w:tcBorders>
              <w:top w:val="none" w:sz="0" w:space="0" w:color="auto"/>
              <w:bottom w:val="none" w:sz="0" w:space="0" w:color="auto"/>
            </w:tcBorders>
          </w:tcPr>
          <w:p w:rsidR="00D60931" w:rsidRPr="00F53BDD" w:rsidRDefault="00D60931" w:rsidP="00206B72">
            <w:pPr>
              <w:pStyle w:val="TableText"/>
              <w:spacing w:before="40" w:after="40"/>
              <w:cnfStyle w:val="000000100000" w:firstRow="0" w:lastRow="0" w:firstColumn="0" w:lastColumn="0" w:oddVBand="0" w:evenVBand="0" w:oddHBand="1" w:evenHBand="0" w:firstRowFirstColumn="0" w:firstRowLastColumn="0" w:lastRowFirstColumn="0" w:lastRowLastColumn="0"/>
            </w:pPr>
            <w:r w:rsidRPr="00F53BDD">
              <w:t xml:space="preserve">Industry outlines a voluntary </w:t>
            </w:r>
            <w:r w:rsidR="00722571" w:rsidRPr="00F53BDD">
              <w:t>c</w:t>
            </w:r>
            <w:r w:rsidRPr="00F53BDD">
              <w:t xml:space="preserve">ode of </w:t>
            </w:r>
            <w:r w:rsidR="00722571" w:rsidRPr="00F53BDD">
              <w:t>p</w:t>
            </w:r>
            <w:r w:rsidRPr="00F53BDD">
              <w:t>ractice</w:t>
            </w:r>
          </w:p>
        </w:tc>
        <w:tc>
          <w:tcPr>
            <w:tcW w:w="3118" w:type="dxa"/>
            <w:tcBorders>
              <w:top w:val="none" w:sz="0" w:space="0" w:color="auto"/>
              <w:bottom w:val="none" w:sz="0" w:space="0" w:color="auto"/>
              <w:right w:val="none" w:sz="0" w:space="0" w:color="auto"/>
            </w:tcBorders>
          </w:tcPr>
          <w:p w:rsidR="00D60931" w:rsidRPr="00F53BDD" w:rsidRDefault="00D60931" w:rsidP="00206B72">
            <w:pPr>
              <w:pStyle w:val="TableText"/>
              <w:spacing w:before="40" w:after="40"/>
              <w:cnfStyle w:val="000000100000" w:firstRow="0" w:lastRow="0" w:firstColumn="0" w:lastColumn="0" w:oddVBand="0" w:evenVBand="0" w:oddHBand="1" w:evenHBand="0" w:firstRowFirstColumn="0" w:firstRowLastColumn="0" w:lastRowFirstColumn="0" w:lastRowLastColumn="0"/>
            </w:pPr>
            <w:r w:rsidRPr="00F53BDD">
              <w:t>Intended to raise awareness or promote industry reputation</w:t>
            </w:r>
          </w:p>
        </w:tc>
      </w:tr>
      <w:tr w:rsidR="00D60931" w:rsidRPr="00F53BDD" w:rsidTr="00206B72">
        <w:tc>
          <w:tcPr>
            <w:cnfStyle w:val="001000000000" w:firstRow="0" w:lastRow="0" w:firstColumn="1" w:lastColumn="0" w:oddVBand="0" w:evenVBand="0" w:oddHBand="0" w:evenHBand="0" w:firstRowFirstColumn="0" w:firstRowLastColumn="0" w:lastRowFirstColumn="0" w:lastRowLastColumn="0"/>
            <w:tcW w:w="2098" w:type="dxa"/>
          </w:tcPr>
          <w:p w:rsidR="00D60931" w:rsidRPr="00F53BDD" w:rsidRDefault="00D60931" w:rsidP="00206B72">
            <w:pPr>
              <w:pStyle w:val="TableTextbold"/>
              <w:spacing w:before="40" w:after="40"/>
              <w:rPr>
                <w:b/>
                <w:bCs w:val="0"/>
              </w:rPr>
            </w:pPr>
            <w:r w:rsidRPr="00F53BDD">
              <w:rPr>
                <w:b/>
                <w:bCs w:val="0"/>
              </w:rPr>
              <w:t>Accreditation/quality assurance scheme</w:t>
            </w:r>
          </w:p>
        </w:tc>
        <w:tc>
          <w:tcPr>
            <w:tcW w:w="3232" w:type="dxa"/>
          </w:tcPr>
          <w:p w:rsidR="00D60931" w:rsidRPr="00F53BDD" w:rsidRDefault="00D60931" w:rsidP="00206B72">
            <w:pPr>
              <w:pStyle w:val="TableText"/>
              <w:spacing w:before="40" w:after="40"/>
              <w:cnfStyle w:val="000000000000" w:firstRow="0" w:lastRow="0" w:firstColumn="0" w:lastColumn="0" w:oddVBand="0" w:evenVBand="0" w:oddHBand="0" w:evenHBand="0" w:firstRowFirstColumn="0" w:firstRowLastColumn="0" w:lastRowFirstColumn="0" w:lastRowLastColumn="0"/>
            </w:pPr>
            <w:r w:rsidRPr="00F53BDD">
              <w:t xml:space="preserve">A voluntary scheme where an industry body accredits participants to advertise that they are members of </w:t>
            </w:r>
            <w:r w:rsidR="00722571" w:rsidRPr="00F53BDD">
              <w:t>it,</w:t>
            </w:r>
            <w:r w:rsidRPr="00F53BDD">
              <w:t xml:space="preserve"> or have complied with certain standards</w:t>
            </w:r>
          </w:p>
        </w:tc>
        <w:tc>
          <w:tcPr>
            <w:tcW w:w="3118" w:type="dxa"/>
          </w:tcPr>
          <w:p w:rsidR="00D60931" w:rsidRPr="00F53BDD" w:rsidRDefault="00D60931" w:rsidP="00206B72">
            <w:pPr>
              <w:pStyle w:val="TableText"/>
              <w:spacing w:before="40" w:after="40"/>
              <w:cnfStyle w:val="000000000000" w:firstRow="0" w:lastRow="0" w:firstColumn="0" w:lastColumn="0" w:oddVBand="0" w:evenVBand="0" w:oddHBand="0" w:evenHBand="0" w:firstRowFirstColumn="0" w:firstRowLastColumn="0" w:lastRowFirstColumn="0" w:lastRowLastColumn="0"/>
            </w:pPr>
            <w:r w:rsidRPr="00F53BDD">
              <w:t xml:space="preserve">An industry association has considerable reputation, and accreditation is an advantage for members </w:t>
            </w:r>
          </w:p>
        </w:tc>
      </w:tr>
      <w:tr w:rsidR="00D60931" w:rsidRPr="00F53BDD" w:rsidTr="00206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none" w:sz="0" w:space="0" w:color="auto"/>
              <w:left w:val="none" w:sz="0" w:space="0" w:color="auto"/>
              <w:bottom w:val="none" w:sz="0" w:space="0" w:color="auto"/>
            </w:tcBorders>
          </w:tcPr>
          <w:p w:rsidR="00D60931" w:rsidRPr="00F53BDD" w:rsidRDefault="00D60931" w:rsidP="00206B72">
            <w:pPr>
              <w:pStyle w:val="TableTextbold"/>
              <w:spacing w:before="40" w:after="40"/>
              <w:rPr>
                <w:b/>
                <w:bCs w:val="0"/>
              </w:rPr>
            </w:pPr>
            <w:r w:rsidRPr="00F53BDD">
              <w:rPr>
                <w:b/>
                <w:bCs w:val="0"/>
              </w:rPr>
              <w:t>Model contracts</w:t>
            </w:r>
          </w:p>
        </w:tc>
        <w:tc>
          <w:tcPr>
            <w:tcW w:w="3232" w:type="dxa"/>
            <w:tcBorders>
              <w:top w:val="none" w:sz="0" w:space="0" w:color="auto"/>
              <w:bottom w:val="none" w:sz="0" w:space="0" w:color="auto"/>
            </w:tcBorders>
          </w:tcPr>
          <w:p w:rsidR="00D60931" w:rsidRPr="00F53BDD" w:rsidRDefault="00722571" w:rsidP="00206B72">
            <w:pPr>
              <w:pStyle w:val="TableText"/>
              <w:spacing w:before="40" w:after="40"/>
              <w:cnfStyle w:val="000000100000" w:firstRow="0" w:lastRow="0" w:firstColumn="0" w:lastColumn="0" w:oddVBand="0" w:evenVBand="0" w:oddHBand="1" w:evenHBand="0" w:firstRowFirstColumn="0" w:firstRowLastColumn="0" w:lastRowFirstColumn="0" w:lastRowLastColumn="0"/>
            </w:pPr>
            <w:r w:rsidRPr="00F53BDD">
              <w:t xml:space="preserve">Offer </w:t>
            </w:r>
            <w:r w:rsidR="00D60931" w:rsidRPr="00F53BDD">
              <w:t>industry and consumers more balanced contractual terms and conditions</w:t>
            </w:r>
          </w:p>
        </w:tc>
        <w:tc>
          <w:tcPr>
            <w:tcW w:w="3118" w:type="dxa"/>
            <w:tcBorders>
              <w:top w:val="none" w:sz="0" w:space="0" w:color="auto"/>
              <w:bottom w:val="none" w:sz="0" w:space="0" w:color="auto"/>
              <w:right w:val="none" w:sz="0" w:space="0" w:color="auto"/>
            </w:tcBorders>
          </w:tcPr>
          <w:p w:rsidR="00D60931" w:rsidRPr="00F53BDD" w:rsidRDefault="00D60931" w:rsidP="00206B72">
            <w:pPr>
              <w:pStyle w:val="TableText"/>
              <w:spacing w:before="40" w:after="40"/>
              <w:cnfStyle w:val="000000100000" w:firstRow="0" w:lastRow="0" w:firstColumn="0" w:lastColumn="0" w:oddVBand="0" w:evenVBand="0" w:oddHBand="1" w:evenHBand="0" w:firstRowFirstColumn="0" w:firstRowLastColumn="0" w:lastRowFirstColumn="0" w:lastRowLastColumn="0"/>
            </w:pPr>
            <w:r w:rsidRPr="00F53BDD">
              <w:t xml:space="preserve">Help establish more balanced terms and conditions </w:t>
            </w:r>
            <w:r w:rsidR="00722571" w:rsidRPr="00F53BDD">
              <w:t xml:space="preserve">that </w:t>
            </w:r>
            <w:r w:rsidRPr="00F53BDD">
              <w:t>protect consumers and service providers</w:t>
            </w:r>
          </w:p>
        </w:tc>
      </w:tr>
      <w:tr w:rsidR="00D60931" w:rsidRPr="00F53BDD" w:rsidTr="00206B72">
        <w:tc>
          <w:tcPr>
            <w:cnfStyle w:val="001000000000" w:firstRow="0" w:lastRow="0" w:firstColumn="1" w:lastColumn="0" w:oddVBand="0" w:evenVBand="0" w:oddHBand="0" w:evenHBand="0" w:firstRowFirstColumn="0" w:firstRowLastColumn="0" w:lastRowFirstColumn="0" w:lastRowLastColumn="0"/>
            <w:tcW w:w="2098" w:type="dxa"/>
          </w:tcPr>
          <w:p w:rsidR="00D60931" w:rsidRPr="00F53BDD" w:rsidRDefault="00D60931" w:rsidP="00206B72">
            <w:pPr>
              <w:pStyle w:val="TableTextbold"/>
              <w:spacing w:before="40" w:after="40"/>
              <w:rPr>
                <w:b/>
                <w:bCs w:val="0"/>
              </w:rPr>
            </w:pPr>
            <w:r w:rsidRPr="00F53BDD">
              <w:rPr>
                <w:b/>
                <w:bCs w:val="0"/>
              </w:rPr>
              <w:t>Dispute resolution</w:t>
            </w:r>
          </w:p>
        </w:tc>
        <w:tc>
          <w:tcPr>
            <w:tcW w:w="3232" w:type="dxa"/>
          </w:tcPr>
          <w:p w:rsidR="00D60931" w:rsidRPr="00F53BDD" w:rsidRDefault="00D60931" w:rsidP="00206B72">
            <w:pPr>
              <w:pStyle w:val="TableText"/>
              <w:spacing w:before="40" w:after="40"/>
              <w:cnfStyle w:val="000000000000" w:firstRow="0" w:lastRow="0" w:firstColumn="0" w:lastColumn="0" w:oddVBand="0" w:evenVBand="0" w:oddHBand="0" w:evenHBand="0" w:firstRowFirstColumn="0" w:firstRowLastColumn="0" w:lastRowFirstColumn="0" w:lastRowLastColumn="0"/>
            </w:pPr>
            <w:r w:rsidRPr="00F53BDD">
              <w:t>Establishes an external dispute resolution service for consumers</w:t>
            </w:r>
          </w:p>
        </w:tc>
        <w:tc>
          <w:tcPr>
            <w:tcW w:w="3118" w:type="dxa"/>
          </w:tcPr>
          <w:p w:rsidR="00D60931" w:rsidRPr="00F53BDD" w:rsidRDefault="00D60931" w:rsidP="00206B72">
            <w:pPr>
              <w:pStyle w:val="TableText"/>
              <w:spacing w:before="40" w:after="40"/>
              <w:cnfStyle w:val="000000000000" w:firstRow="0" w:lastRow="0" w:firstColumn="0" w:lastColumn="0" w:oddVBand="0" w:evenVBand="0" w:oddHBand="0" w:evenHBand="0" w:firstRowFirstColumn="0" w:firstRowLastColumn="0" w:lastRowFirstColumn="0" w:lastRowLastColumn="0"/>
            </w:pPr>
            <w:r w:rsidRPr="00F53BDD">
              <w:t>Independent and binding dispute resolution or mediation by an ombudsman</w:t>
            </w:r>
          </w:p>
        </w:tc>
      </w:tr>
      <w:tr w:rsidR="00D60931" w:rsidRPr="00F53BDD" w:rsidTr="00206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none" w:sz="0" w:space="0" w:color="auto"/>
              <w:left w:val="none" w:sz="0" w:space="0" w:color="auto"/>
              <w:bottom w:val="none" w:sz="0" w:space="0" w:color="auto"/>
            </w:tcBorders>
          </w:tcPr>
          <w:p w:rsidR="00D60931" w:rsidRPr="00F53BDD" w:rsidRDefault="00D60931" w:rsidP="00206B72">
            <w:pPr>
              <w:pStyle w:val="TableTextbold"/>
              <w:spacing w:before="40" w:after="40"/>
              <w:rPr>
                <w:b/>
                <w:bCs w:val="0"/>
              </w:rPr>
            </w:pPr>
            <w:r w:rsidRPr="00F53BDD">
              <w:rPr>
                <w:b/>
                <w:bCs w:val="0"/>
              </w:rPr>
              <w:t>Standards</w:t>
            </w:r>
          </w:p>
        </w:tc>
        <w:tc>
          <w:tcPr>
            <w:tcW w:w="3232" w:type="dxa"/>
            <w:tcBorders>
              <w:top w:val="none" w:sz="0" w:space="0" w:color="auto"/>
              <w:bottom w:val="none" w:sz="0" w:space="0" w:color="auto"/>
            </w:tcBorders>
          </w:tcPr>
          <w:p w:rsidR="00D60931" w:rsidRPr="00F53BDD" w:rsidRDefault="009E27BD" w:rsidP="00206B72">
            <w:pPr>
              <w:pStyle w:val="TableText"/>
              <w:spacing w:before="40" w:after="40"/>
              <w:cnfStyle w:val="000000100000" w:firstRow="0" w:lastRow="0" w:firstColumn="0" w:lastColumn="0" w:oddVBand="0" w:evenVBand="0" w:oddHBand="1" w:evenHBand="0" w:firstRowFirstColumn="0" w:firstRowLastColumn="0" w:lastRowFirstColumn="0" w:lastRowLastColumn="0"/>
            </w:pPr>
            <w:r w:rsidRPr="00F53BDD">
              <w:t>Sets</w:t>
            </w:r>
            <w:r w:rsidR="00D60931" w:rsidRPr="00F53BDD">
              <w:t xml:space="preserve"> the minimum performance requirements </w:t>
            </w:r>
            <w:r w:rsidRPr="00F53BDD">
              <w:t>for</w:t>
            </w:r>
            <w:r w:rsidR="00D60931" w:rsidRPr="00F53BDD">
              <w:t xml:space="preserve"> NZU advisers</w:t>
            </w:r>
          </w:p>
        </w:tc>
        <w:tc>
          <w:tcPr>
            <w:tcW w:w="3118" w:type="dxa"/>
            <w:tcBorders>
              <w:top w:val="none" w:sz="0" w:space="0" w:color="auto"/>
              <w:bottom w:val="none" w:sz="0" w:space="0" w:color="auto"/>
              <w:right w:val="none" w:sz="0" w:space="0" w:color="auto"/>
            </w:tcBorders>
          </w:tcPr>
          <w:p w:rsidR="00D60931" w:rsidRPr="00F53BDD" w:rsidRDefault="00D60931" w:rsidP="00206B72">
            <w:pPr>
              <w:pStyle w:val="TableText"/>
              <w:spacing w:before="40" w:after="40"/>
              <w:cnfStyle w:val="000000100000" w:firstRow="0" w:lastRow="0" w:firstColumn="0" w:lastColumn="0" w:oddVBand="0" w:evenVBand="0" w:oddHBand="1" w:evenHBand="0" w:firstRowFirstColumn="0" w:firstRowLastColumn="0" w:lastRowFirstColumn="0" w:lastRowLastColumn="0"/>
            </w:pPr>
            <w:r w:rsidRPr="00F53BDD">
              <w:t>Voluntary, but could have legal force through incorporation in legislation</w:t>
            </w:r>
          </w:p>
        </w:tc>
      </w:tr>
      <w:tr w:rsidR="00D60931" w:rsidRPr="00F53BDD" w:rsidTr="00206B72">
        <w:tc>
          <w:tcPr>
            <w:cnfStyle w:val="001000000000" w:firstRow="0" w:lastRow="0" w:firstColumn="1" w:lastColumn="0" w:oddVBand="0" w:evenVBand="0" w:oddHBand="0" w:evenHBand="0" w:firstRowFirstColumn="0" w:firstRowLastColumn="0" w:lastRowFirstColumn="0" w:lastRowLastColumn="0"/>
            <w:tcW w:w="2098" w:type="dxa"/>
          </w:tcPr>
          <w:p w:rsidR="00D60931" w:rsidRPr="00F53BDD" w:rsidRDefault="00D60931" w:rsidP="00206B72">
            <w:pPr>
              <w:pStyle w:val="TableTextbold"/>
              <w:spacing w:before="40" w:after="40"/>
              <w:rPr>
                <w:b/>
                <w:bCs w:val="0"/>
              </w:rPr>
            </w:pPr>
            <w:r w:rsidRPr="00F53BDD">
              <w:rPr>
                <w:b/>
                <w:bCs w:val="0"/>
              </w:rPr>
              <w:t>Legal codes/</w:t>
            </w:r>
            <w:r w:rsidR="00937303" w:rsidRPr="00F53BDD">
              <w:rPr>
                <w:b/>
                <w:bCs w:val="0"/>
              </w:rPr>
              <w:t>c</w:t>
            </w:r>
            <w:r w:rsidRPr="00F53BDD">
              <w:rPr>
                <w:b/>
                <w:bCs w:val="0"/>
              </w:rPr>
              <w:t>o-regulation</w:t>
            </w:r>
          </w:p>
        </w:tc>
        <w:tc>
          <w:tcPr>
            <w:tcW w:w="3232" w:type="dxa"/>
          </w:tcPr>
          <w:p w:rsidR="00D60931" w:rsidRPr="00F53BDD" w:rsidRDefault="00D60931" w:rsidP="00206B72">
            <w:pPr>
              <w:pStyle w:val="TableText"/>
              <w:spacing w:before="40" w:after="40"/>
              <w:cnfStyle w:val="000000000000" w:firstRow="0" w:lastRow="0" w:firstColumn="0" w:lastColumn="0" w:oddVBand="0" w:evenVBand="0" w:oddHBand="0" w:evenHBand="0" w:firstRowFirstColumn="0" w:firstRowLastColumn="0" w:lastRowFirstColumn="0" w:lastRowLastColumn="0"/>
            </w:pPr>
            <w:r w:rsidRPr="00F53BDD">
              <w:t xml:space="preserve">Codes with some legislative backing; often developed by industry and enforced by </w:t>
            </w:r>
            <w:r w:rsidR="00722571" w:rsidRPr="00F53BDD">
              <w:t>the G</w:t>
            </w:r>
            <w:r w:rsidRPr="00F53BDD">
              <w:t>overnment</w:t>
            </w:r>
          </w:p>
        </w:tc>
        <w:tc>
          <w:tcPr>
            <w:tcW w:w="3118" w:type="dxa"/>
          </w:tcPr>
          <w:p w:rsidR="00D60931" w:rsidRPr="00F53BDD" w:rsidRDefault="00D60931" w:rsidP="00206B72">
            <w:pPr>
              <w:pStyle w:val="TableText"/>
              <w:spacing w:before="40" w:after="40"/>
              <w:cnfStyle w:val="000000000000" w:firstRow="0" w:lastRow="0" w:firstColumn="0" w:lastColumn="0" w:oddVBand="0" w:evenVBand="0" w:oddHBand="0" w:evenHBand="0" w:firstRowFirstColumn="0" w:firstRowLastColumn="0" w:lastRowFirstColumn="0" w:lastRowLastColumn="0"/>
            </w:pPr>
            <w:r w:rsidRPr="00F53BDD">
              <w:t>Can be mandated</w:t>
            </w:r>
            <w:r w:rsidR="006C7297" w:rsidRPr="00F53BDD">
              <w:t>,</w:t>
            </w:r>
            <w:r w:rsidRPr="00F53BDD">
              <w:t xml:space="preserve"> b</w:t>
            </w:r>
            <w:r w:rsidR="00937303" w:rsidRPr="00F53BDD">
              <w:t>u</w:t>
            </w:r>
            <w:r w:rsidR="006C7297" w:rsidRPr="00F53BDD">
              <w:t>t</w:t>
            </w:r>
            <w:r w:rsidRPr="00F53BDD">
              <w:t xml:space="preserve"> often left to industry to develop detailed rules </w:t>
            </w:r>
          </w:p>
        </w:tc>
      </w:tr>
    </w:tbl>
    <w:p w:rsidR="00730663" w:rsidRPr="00F53BDD" w:rsidRDefault="005E20AF" w:rsidP="00206B72">
      <w:pPr>
        <w:pStyle w:val="Heading4"/>
        <w:spacing w:before="320" w:after="120"/>
      </w:pPr>
      <w:r w:rsidRPr="00F53BDD">
        <w:t xml:space="preserve">Advantages </w:t>
      </w:r>
    </w:p>
    <w:p w:rsidR="00D60931" w:rsidRPr="00F53BDD" w:rsidRDefault="009E27BD" w:rsidP="008612B9">
      <w:pPr>
        <w:pStyle w:val="Bullet"/>
        <w:spacing w:after="100"/>
      </w:pPr>
      <w:r w:rsidRPr="00F53BDD">
        <w:t>A</w:t>
      </w:r>
      <w:r w:rsidR="00D60931" w:rsidRPr="00F53BDD">
        <w:t xml:space="preserve">dvisers </w:t>
      </w:r>
      <w:r w:rsidR="005E20AF" w:rsidRPr="00F53BDD">
        <w:t>are</w:t>
      </w:r>
      <w:r w:rsidR="00D60931" w:rsidRPr="00F53BDD">
        <w:t xml:space="preserve"> </w:t>
      </w:r>
      <w:r w:rsidR="00722571" w:rsidRPr="00F53BDD">
        <w:t xml:space="preserve">motivated </w:t>
      </w:r>
      <w:r w:rsidR="00D60931" w:rsidRPr="00F53BDD">
        <w:t xml:space="preserve">to maintain reputation by improving the quality of </w:t>
      </w:r>
      <w:r w:rsidR="00722571" w:rsidRPr="00F53BDD">
        <w:t xml:space="preserve">their </w:t>
      </w:r>
      <w:r w:rsidR="00D60931" w:rsidRPr="00F53BDD">
        <w:t>advice</w:t>
      </w:r>
      <w:r w:rsidR="00054263" w:rsidRPr="00F53BDD">
        <w:t>.</w:t>
      </w:r>
    </w:p>
    <w:p w:rsidR="00D60931" w:rsidRPr="00F53BDD" w:rsidRDefault="009E27BD" w:rsidP="008612B9">
      <w:pPr>
        <w:pStyle w:val="Bullet"/>
        <w:spacing w:after="100"/>
      </w:pPr>
      <w:r w:rsidRPr="00F53BDD">
        <w:t>A</w:t>
      </w:r>
      <w:r w:rsidR="00D60931" w:rsidRPr="00F53BDD">
        <w:t xml:space="preserve">dvisers generally have the best institutional knowledge to regulate themselves. </w:t>
      </w:r>
    </w:p>
    <w:p w:rsidR="00D60931" w:rsidRPr="00F53BDD" w:rsidRDefault="00D60931" w:rsidP="008612B9">
      <w:pPr>
        <w:pStyle w:val="Bullet"/>
        <w:spacing w:after="100"/>
      </w:pPr>
      <w:r w:rsidRPr="00F53BDD">
        <w:t xml:space="preserve">Self-regulation is generally </w:t>
      </w:r>
      <w:r w:rsidR="00722571" w:rsidRPr="00F53BDD">
        <w:t xml:space="preserve">a </w:t>
      </w:r>
      <w:r w:rsidRPr="00F53BDD">
        <w:t xml:space="preserve">lower cost for </w:t>
      </w:r>
      <w:r w:rsidR="00722571" w:rsidRPr="00F53BDD">
        <w:t>the G</w:t>
      </w:r>
      <w:r w:rsidRPr="00F53BDD">
        <w:t>overnment</w:t>
      </w:r>
      <w:r w:rsidR="00FA471B" w:rsidRPr="00F53BDD">
        <w:t xml:space="preserve"> and </w:t>
      </w:r>
      <w:r w:rsidR="004545FD" w:rsidRPr="00F53BDD">
        <w:t xml:space="preserve">will </w:t>
      </w:r>
      <w:r w:rsidRPr="00F53BDD">
        <w:t>fall on the industry</w:t>
      </w:r>
      <w:r w:rsidR="009E27BD" w:rsidRPr="00F53BDD">
        <w:t>, which</w:t>
      </w:r>
      <w:r w:rsidRPr="00F53BDD">
        <w:t xml:space="preserve"> </w:t>
      </w:r>
      <w:r w:rsidR="004545FD" w:rsidRPr="00F53BDD">
        <w:t>will be</w:t>
      </w:r>
      <w:r w:rsidRPr="00F53BDD">
        <w:t xml:space="preserve"> </w:t>
      </w:r>
      <w:r w:rsidR="00722571" w:rsidRPr="00F53BDD">
        <w:t xml:space="preserve">motivated </w:t>
      </w:r>
      <w:r w:rsidRPr="00F53BDD">
        <w:t xml:space="preserve">to </w:t>
      </w:r>
      <w:r w:rsidR="009E27BD" w:rsidRPr="00F53BDD">
        <w:t>keep costs down</w:t>
      </w:r>
      <w:r w:rsidRPr="00F53BDD">
        <w:t xml:space="preserve">. </w:t>
      </w:r>
    </w:p>
    <w:p w:rsidR="00D60931" w:rsidRPr="00F53BDD" w:rsidRDefault="00054263" w:rsidP="008612B9">
      <w:pPr>
        <w:pStyle w:val="Bullet"/>
        <w:spacing w:after="100"/>
      </w:pPr>
      <w:r w:rsidRPr="00F53BDD">
        <w:t>We expect</w:t>
      </w:r>
      <w:r w:rsidR="00D60931" w:rsidRPr="00F53BDD">
        <w:t xml:space="preserve"> advisers </w:t>
      </w:r>
      <w:r w:rsidRPr="00F53BDD">
        <w:t xml:space="preserve">would </w:t>
      </w:r>
      <w:r w:rsidR="00D60931" w:rsidRPr="00F53BDD">
        <w:t>prefer self-regulation</w:t>
      </w:r>
      <w:r w:rsidR="00722571" w:rsidRPr="00F53BDD">
        <w:t>,</w:t>
      </w:r>
      <w:r w:rsidRPr="00F53BDD">
        <w:t xml:space="preserve"> due to flexibility and more </w:t>
      </w:r>
      <w:r w:rsidR="00D60931" w:rsidRPr="00F53BDD">
        <w:t xml:space="preserve">choice of </w:t>
      </w:r>
      <w:r w:rsidRPr="00F53BDD">
        <w:t>how they are regulated</w:t>
      </w:r>
      <w:r w:rsidR="00D60931" w:rsidRPr="00F53BDD">
        <w:t>.</w:t>
      </w:r>
    </w:p>
    <w:p w:rsidR="00D60931" w:rsidRPr="00F53BDD" w:rsidRDefault="00D60931" w:rsidP="00206B72">
      <w:pPr>
        <w:pStyle w:val="Heading4"/>
        <w:spacing w:before="200" w:after="120"/>
      </w:pPr>
      <w:r w:rsidRPr="00F53BDD">
        <w:t xml:space="preserve">Disadvantages </w:t>
      </w:r>
    </w:p>
    <w:p w:rsidR="00D60931" w:rsidRPr="00F53BDD" w:rsidRDefault="00722571" w:rsidP="008612B9">
      <w:pPr>
        <w:pStyle w:val="Bullet"/>
        <w:spacing w:after="100"/>
      </w:pPr>
      <w:r w:rsidRPr="00F53BDD">
        <w:t>H</w:t>
      </w:r>
      <w:r w:rsidR="00D60931" w:rsidRPr="00F53BDD">
        <w:t xml:space="preserve">as an inherent conflict of interest by asking a participant-funded body to govern themselves. </w:t>
      </w:r>
    </w:p>
    <w:p w:rsidR="00D60931" w:rsidRPr="00F53BDD" w:rsidRDefault="009E27BD" w:rsidP="008612B9">
      <w:pPr>
        <w:pStyle w:val="Bullet"/>
        <w:spacing w:after="100"/>
      </w:pPr>
      <w:r w:rsidRPr="00F53BDD">
        <w:t>A</w:t>
      </w:r>
      <w:r w:rsidR="00D60931" w:rsidRPr="00F53BDD">
        <w:t xml:space="preserve">dvisers who </w:t>
      </w:r>
      <w:r w:rsidR="00722571" w:rsidRPr="00F53BDD">
        <w:t xml:space="preserve">give </w:t>
      </w:r>
      <w:r w:rsidR="00D60931" w:rsidRPr="00F53BDD">
        <w:t xml:space="preserve">poor advice are likely to withdraw from any voluntary frameworks. Therefore, the option fails to protect consumers from exposure to misleading, </w:t>
      </w:r>
      <w:r w:rsidR="00054263" w:rsidRPr="00F53BDD">
        <w:t>poor</w:t>
      </w:r>
      <w:r w:rsidR="00D60931" w:rsidRPr="00F53BDD">
        <w:t xml:space="preserve"> or false</w:t>
      </w:r>
      <w:r w:rsidR="00820B7D" w:rsidRPr="00F53BDD">
        <w:t> </w:t>
      </w:r>
      <w:r w:rsidR="00D60931" w:rsidRPr="00F53BDD">
        <w:t>advice.</w:t>
      </w:r>
    </w:p>
    <w:p w:rsidR="00D60931" w:rsidRPr="00F53BDD" w:rsidRDefault="00722571" w:rsidP="008612B9">
      <w:pPr>
        <w:pStyle w:val="Bullet"/>
        <w:spacing w:after="100"/>
      </w:pPr>
      <w:r w:rsidRPr="00F53BDD">
        <w:t>L</w:t>
      </w:r>
      <w:r w:rsidR="00D60931" w:rsidRPr="00F53BDD">
        <w:t xml:space="preserve">acks any oversight or powers to investigate ETS risks associated with transparency, </w:t>
      </w:r>
      <w:r w:rsidR="003A2F93" w:rsidRPr="00F53BDD">
        <w:t>c</w:t>
      </w:r>
      <w:r w:rsidR="00D60931" w:rsidRPr="00F53BDD">
        <w:t xml:space="preserve">redit and </w:t>
      </w:r>
      <w:r w:rsidR="001E0B58" w:rsidRPr="00F53BDD">
        <w:t>counter-party</w:t>
      </w:r>
      <w:r w:rsidR="00D60931" w:rsidRPr="00F53BDD">
        <w:t xml:space="preserve"> risk, </w:t>
      </w:r>
      <w:r w:rsidR="003A2F93" w:rsidRPr="00F53BDD">
        <w:t>p</w:t>
      </w:r>
      <w:r w:rsidR="00D60931" w:rsidRPr="00F53BDD">
        <w:t xml:space="preserve">rice manipulation, </w:t>
      </w:r>
      <w:r w:rsidR="003A2F93" w:rsidRPr="00F53BDD">
        <w:t>i</w:t>
      </w:r>
      <w:r w:rsidR="00D60931" w:rsidRPr="00F53BDD">
        <w:t xml:space="preserve">nsider </w:t>
      </w:r>
      <w:r w:rsidR="003A2F93" w:rsidRPr="00F53BDD">
        <w:t>t</w:t>
      </w:r>
      <w:r w:rsidR="00D60931" w:rsidRPr="00F53BDD">
        <w:t xml:space="preserve">rading, </w:t>
      </w:r>
      <w:r w:rsidR="003A2F93" w:rsidRPr="00F53BDD">
        <w:t>m</w:t>
      </w:r>
      <w:r w:rsidR="00D60931" w:rsidRPr="00F53BDD">
        <w:t>oney laundering</w:t>
      </w:r>
      <w:r w:rsidR="009B372D">
        <w:t>,</w:t>
      </w:r>
      <w:r w:rsidR="00D60931" w:rsidRPr="00F53BDD">
        <w:t xml:space="preserve"> </w:t>
      </w:r>
      <w:r w:rsidRPr="00F53BDD">
        <w:t xml:space="preserve">or </w:t>
      </w:r>
      <w:r w:rsidR="00D60931" w:rsidRPr="00F53BDD">
        <w:t>financing of terrorism.</w:t>
      </w:r>
    </w:p>
    <w:p w:rsidR="00D60931" w:rsidRPr="00F53BDD" w:rsidRDefault="00722571" w:rsidP="008612B9">
      <w:pPr>
        <w:pStyle w:val="Bullet"/>
        <w:spacing w:after="100"/>
      </w:pPr>
      <w:r w:rsidRPr="00F53BDD">
        <w:t>With</w:t>
      </w:r>
      <w:r w:rsidR="00D60931" w:rsidRPr="00F53BDD">
        <w:t xml:space="preserve"> no information-collecting or investigatory powers it cannot address NZU trading risks.</w:t>
      </w:r>
    </w:p>
    <w:p w:rsidR="00D60931" w:rsidRPr="00F53BDD" w:rsidRDefault="00D60931" w:rsidP="00D60931">
      <w:pPr>
        <w:pStyle w:val="Bullet"/>
      </w:pPr>
      <w:r w:rsidRPr="00F53BDD">
        <w:t>The nature of misconduct means the perpetrators seeks to hide their behaviour from both an oversight body and other NZU traders. With lack of enforcement</w:t>
      </w:r>
      <w:r w:rsidR="00722571" w:rsidRPr="00F53BDD">
        <w:t>,</w:t>
      </w:r>
      <w:r w:rsidRPr="00F53BDD">
        <w:t xml:space="preserve"> risks to misconduct cannot be addressed.</w:t>
      </w:r>
    </w:p>
    <w:p w:rsidR="00D60931" w:rsidRPr="00F53BDD" w:rsidRDefault="00D60931" w:rsidP="00D60931">
      <w:pPr>
        <w:pStyle w:val="Heading3"/>
      </w:pPr>
      <w:r w:rsidRPr="00F53BDD">
        <w:t xml:space="preserve">D3. Appoint an advisory regulator </w:t>
      </w:r>
    </w:p>
    <w:p w:rsidR="00E72F20" w:rsidRPr="00F53BDD" w:rsidRDefault="0040463D" w:rsidP="00E72F20">
      <w:pPr>
        <w:pStyle w:val="BodyText"/>
      </w:pPr>
      <w:r w:rsidRPr="00F53BDD">
        <w:t>To distinguish this role</w:t>
      </w:r>
      <w:r w:rsidR="00E72F20" w:rsidRPr="00F53BDD">
        <w:t xml:space="preserve">, we refer to </w:t>
      </w:r>
      <w:r w:rsidRPr="00F53BDD">
        <w:t xml:space="preserve">it </w:t>
      </w:r>
      <w:r w:rsidR="00E72F20" w:rsidRPr="00F53BDD">
        <w:t>as ‘advisory regulator’.</w:t>
      </w:r>
    </w:p>
    <w:p w:rsidR="00D60931" w:rsidRPr="00F53BDD" w:rsidRDefault="00D60931" w:rsidP="00EC6896">
      <w:pPr>
        <w:pStyle w:val="Heading4"/>
      </w:pPr>
      <w:r w:rsidRPr="00F53BDD">
        <w:t>Structure</w:t>
      </w:r>
    </w:p>
    <w:p w:rsidR="00D60931" w:rsidRPr="00F53BDD" w:rsidRDefault="00D60931" w:rsidP="00D60931">
      <w:pPr>
        <w:pStyle w:val="BodyText"/>
      </w:pPr>
      <w:r w:rsidRPr="00F53BDD">
        <w:t xml:space="preserve">The advisory regulator would </w:t>
      </w:r>
      <w:r w:rsidR="00357F69" w:rsidRPr="00F53BDD">
        <w:t>have</w:t>
      </w:r>
      <w:r w:rsidRPr="00F53BDD">
        <w:t xml:space="preserve"> a clear role to </w:t>
      </w:r>
      <w:r w:rsidR="00357F69" w:rsidRPr="00F53BDD">
        <w:t xml:space="preserve">give </w:t>
      </w:r>
      <w:r w:rsidRPr="00F53BDD">
        <w:t xml:space="preserve">independent, expert advice to </w:t>
      </w:r>
      <w:r w:rsidR="00050E0E" w:rsidRPr="00F53BDD">
        <w:t>the G</w:t>
      </w:r>
      <w:r w:rsidRPr="00F53BDD">
        <w:t>overnment on the ETS.</w:t>
      </w:r>
    </w:p>
    <w:p w:rsidR="00D60931" w:rsidRPr="00F53BDD" w:rsidRDefault="00937303" w:rsidP="00820B7D">
      <w:pPr>
        <w:pStyle w:val="BodyText"/>
      </w:pPr>
      <w:r w:rsidRPr="00F53BDD">
        <w:t>This option</w:t>
      </w:r>
      <w:r w:rsidR="00D60931" w:rsidRPr="00F53BDD">
        <w:t xml:space="preserve"> may involve either </w:t>
      </w:r>
      <w:r w:rsidR="00050E0E" w:rsidRPr="00F53BDD">
        <w:t xml:space="preserve">granting </w:t>
      </w:r>
      <w:r w:rsidR="00D60931" w:rsidRPr="00F53BDD">
        <w:t>additional oversight to an existing agency</w:t>
      </w:r>
      <w:r w:rsidR="00050E0E" w:rsidRPr="00F53BDD">
        <w:t>,</w:t>
      </w:r>
      <w:r w:rsidR="00D60931" w:rsidRPr="00F53BDD">
        <w:t xml:space="preserve"> or establishing a new agency.</w:t>
      </w:r>
    </w:p>
    <w:p w:rsidR="00D60931" w:rsidRPr="00F53BDD" w:rsidRDefault="00D60931" w:rsidP="00EC6896">
      <w:pPr>
        <w:pStyle w:val="Heading4"/>
      </w:pPr>
      <w:r w:rsidRPr="00F53BDD">
        <w:t>Functions and powers</w:t>
      </w:r>
    </w:p>
    <w:p w:rsidR="00D60931" w:rsidRPr="00F53BDD" w:rsidRDefault="00D60931" w:rsidP="00D60931">
      <w:pPr>
        <w:pStyle w:val="BodyText"/>
      </w:pPr>
      <w:r w:rsidRPr="00F53BDD">
        <w:t xml:space="preserve">The purpose of the independent advisory regulator would be to improve the </w:t>
      </w:r>
      <w:r w:rsidR="00050E0E" w:rsidRPr="00F53BDD">
        <w:t xml:space="preserve">scheme’s </w:t>
      </w:r>
      <w:r w:rsidRPr="00F53BDD">
        <w:t>long-term performance by:</w:t>
      </w:r>
    </w:p>
    <w:p w:rsidR="00D60931" w:rsidRPr="00F53BDD" w:rsidRDefault="0098283E" w:rsidP="00D60931">
      <w:pPr>
        <w:pStyle w:val="Bullet"/>
      </w:pPr>
      <w:r w:rsidRPr="00F53BDD">
        <w:t>a</w:t>
      </w:r>
      <w:r w:rsidR="00D60931" w:rsidRPr="00F53BDD">
        <w:t>dvising on quality of advice given to NZU traders</w:t>
      </w:r>
    </w:p>
    <w:p w:rsidR="00D60931" w:rsidRPr="00F53BDD" w:rsidRDefault="0098283E" w:rsidP="00D60931">
      <w:pPr>
        <w:pStyle w:val="Bullet"/>
      </w:pPr>
      <w:r w:rsidRPr="00F53BDD">
        <w:t>a</w:t>
      </w:r>
      <w:r w:rsidR="00D60931" w:rsidRPr="00F53BDD">
        <w:t>dvis</w:t>
      </w:r>
      <w:r w:rsidRPr="00F53BDD">
        <w:t>ing</w:t>
      </w:r>
      <w:r w:rsidR="00D60931" w:rsidRPr="00F53BDD">
        <w:t xml:space="preserve"> </w:t>
      </w:r>
      <w:r w:rsidR="00357F69" w:rsidRPr="00F53BDD">
        <w:t>the G</w:t>
      </w:r>
      <w:r w:rsidR="00D60931" w:rsidRPr="00F53BDD">
        <w:t>overnment on the current state of the ETS and any emerging issues from industry</w:t>
      </w:r>
    </w:p>
    <w:p w:rsidR="00D60931" w:rsidRPr="00F53BDD" w:rsidRDefault="00357F69" w:rsidP="00D60931">
      <w:pPr>
        <w:pStyle w:val="Bullet"/>
      </w:pPr>
      <w:r w:rsidRPr="00F53BDD">
        <w:t>giving the G</w:t>
      </w:r>
      <w:r w:rsidR="00D60931" w:rsidRPr="00F53BDD">
        <w:t>overnment independent advice on a long-term strategy</w:t>
      </w:r>
    </w:p>
    <w:p w:rsidR="00D60931" w:rsidRPr="00F53BDD" w:rsidRDefault="0098283E" w:rsidP="00D60931">
      <w:pPr>
        <w:pStyle w:val="Bullet"/>
      </w:pPr>
      <w:r w:rsidRPr="00F53BDD">
        <w:t>p</w:t>
      </w:r>
      <w:r w:rsidR="00D60931" w:rsidRPr="00F53BDD">
        <w:t>roduc</w:t>
      </w:r>
      <w:r w:rsidRPr="00F53BDD">
        <w:t>ing</w:t>
      </w:r>
      <w:r w:rsidR="00D60931" w:rsidRPr="00F53BDD">
        <w:t xml:space="preserve"> independent reports on </w:t>
      </w:r>
      <w:r w:rsidR="00050E0E" w:rsidRPr="00F53BDD">
        <w:t xml:space="preserve">the </w:t>
      </w:r>
      <w:r w:rsidR="00D60931" w:rsidRPr="00F53BDD">
        <w:t>ETS</w:t>
      </w:r>
      <w:r w:rsidR="00357F69" w:rsidRPr="00F53BDD">
        <w:t>,</w:t>
      </w:r>
      <w:r w:rsidR="00D60931" w:rsidRPr="00F53BDD">
        <w:t xml:space="preserve"> industry performance and emerging issues.</w:t>
      </w:r>
    </w:p>
    <w:p w:rsidR="00D60931" w:rsidRPr="00F53BDD" w:rsidRDefault="00D60931" w:rsidP="00D60931">
      <w:pPr>
        <w:pStyle w:val="BodyText"/>
      </w:pPr>
      <w:r w:rsidRPr="00F53BDD">
        <w:t>The advisory regulator will provide:</w:t>
      </w:r>
    </w:p>
    <w:p w:rsidR="00D60931" w:rsidRPr="00F53BDD" w:rsidRDefault="00D60931" w:rsidP="00820B7D">
      <w:pPr>
        <w:pStyle w:val="Bullet"/>
      </w:pPr>
      <w:r w:rsidRPr="00F53BDD">
        <w:rPr>
          <w:b/>
          <w:bCs/>
        </w:rPr>
        <w:t>Strategic insight</w:t>
      </w:r>
      <w:r w:rsidR="001B658D" w:rsidRPr="009B372D">
        <w:t xml:space="preserve"> –</w:t>
      </w:r>
      <w:r w:rsidR="00050E0E" w:rsidRPr="009B372D">
        <w:t xml:space="preserve"> </w:t>
      </w:r>
      <w:r w:rsidRPr="00F53BDD">
        <w:t>provid</w:t>
      </w:r>
      <w:r w:rsidR="001B658D" w:rsidRPr="00F53BDD">
        <w:t>ing</w:t>
      </w:r>
      <w:r w:rsidRPr="00F53BDD">
        <w:t xml:space="preserve"> strategic </w:t>
      </w:r>
      <w:r w:rsidR="00937303" w:rsidRPr="00F53BDD">
        <w:t>in</w:t>
      </w:r>
      <w:r w:rsidRPr="00F53BDD">
        <w:t>sight into the ETS, and report</w:t>
      </w:r>
      <w:r w:rsidR="001B658D" w:rsidRPr="00F53BDD">
        <w:t>ing</w:t>
      </w:r>
      <w:r w:rsidRPr="00F53BDD">
        <w:t xml:space="preserve"> on market developments. </w:t>
      </w:r>
    </w:p>
    <w:p w:rsidR="00D60931" w:rsidRPr="00F53BDD" w:rsidRDefault="00D60931" w:rsidP="00D60931">
      <w:pPr>
        <w:pStyle w:val="Bullet"/>
      </w:pPr>
      <w:r w:rsidRPr="00F53BDD">
        <w:rPr>
          <w:b/>
          <w:bCs/>
        </w:rPr>
        <w:t>Information and knowledge</w:t>
      </w:r>
      <w:r w:rsidR="00050E0E" w:rsidRPr="009B372D">
        <w:t xml:space="preserve"> </w:t>
      </w:r>
      <w:r w:rsidR="00050E0E" w:rsidRPr="00F53BDD">
        <w:t>–</w:t>
      </w:r>
      <w:r w:rsidRPr="00F53BDD">
        <w:t xml:space="preserve"> proactive</w:t>
      </w:r>
      <w:r w:rsidR="001B658D" w:rsidRPr="00F53BDD">
        <w:t xml:space="preserve">ly </w:t>
      </w:r>
      <w:r w:rsidRPr="00F53BDD">
        <w:t xml:space="preserve">informing both </w:t>
      </w:r>
      <w:r w:rsidR="001B658D" w:rsidRPr="00F53BDD">
        <w:t>the G</w:t>
      </w:r>
      <w:r w:rsidRPr="00F53BDD">
        <w:t xml:space="preserve">overnment and industry </w:t>
      </w:r>
      <w:r w:rsidR="00050E0E" w:rsidRPr="00F53BDD">
        <w:t xml:space="preserve">about </w:t>
      </w:r>
      <w:r w:rsidRPr="00F53BDD">
        <w:t>the functioning of the ETS.</w:t>
      </w:r>
    </w:p>
    <w:p w:rsidR="00D60931" w:rsidRPr="00F53BDD" w:rsidRDefault="00D60931" w:rsidP="00D60931">
      <w:pPr>
        <w:pStyle w:val="Bullet"/>
      </w:pPr>
      <w:r w:rsidRPr="00F53BDD">
        <w:rPr>
          <w:b/>
          <w:bCs/>
        </w:rPr>
        <w:t>Central coordinator</w:t>
      </w:r>
      <w:r w:rsidR="001B658D" w:rsidRPr="00F53BDD">
        <w:t xml:space="preserve"> – serving</w:t>
      </w:r>
      <w:r w:rsidRPr="00F53BDD">
        <w:t xml:space="preserve"> as a conduit </w:t>
      </w:r>
      <w:r w:rsidR="001B658D" w:rsidRPr="00F53BDD">
        <w:t xml:space="preserve">for </w:t>
      </w:r>
      <w:r w:rsidRPr="00F53BDD">
        <w:t xml:space="preserve">consumers, </w:t>
      </w:r>
      <w:r w:rsidR="00054263" w:rsidRPr="00F53BDD">
        <w:t>industry</w:t>
      </w:r>
      <w:r w:rsidRPr="00F53BDD">
        <w:t xml:space="preserve"> and </w:t>
      </w:r>
      <w:r w:rsidR="001B658D" w:rsidRPr="00F53BDD">
        <w:t>the G</w:t>
      </w:r>
      <w:r w:rsidRPr="00F53BDD">
        <w:t xml:space="preserve">overnment. </w:t>
      </w:r>
    </w:p>
    <w:p w:rsidR="00D60931" w:rsidRPr="00F53BDD" w:rsidRDefault="001B658D" w:rsidP="00820B7D">
      <w:pPr>
        <w:pStyle w:val="Heading4"/>
        <w:spacing w:after="120"/>
      </w:pPr>
      <w:r w:rsidRPr="00F53BDD">
        <w:t>Benefits</w:t>
      </w:r>
    </w:p>
    <w:p w:rsidR="00D60931" w:rsidRPr="00F53BDD" w:rsidRDefault="00D60931" w:rsidP="00D60931">
      <w:pPr>
        <w:pStyle w:val="Bullet"/>
      </w:pPr>
      <w:r w:rsidRPr="00F53BDD">
        <w:rPr>
          <w:b/>
        </w:rPr>
        <w:t>Sets expectations.</w:t>
      </w:r>
      <w:r w:rsidRPr="00F53BDD">
        <w:t xml:space="preserve"> Establishing </w:t>
      </w:r>
      <w:r w:rsidR="00054263" w:rsidRPr="00F53BDD">
        <w:t>an independent</w:t>
      </w:r>
      <w:r w:rsidRPr="00F53BDD">
        <w:t xml:space="preserve"> regulator signal</w:t>
      </w:r>
      <w:r w:rsidR="006B6C59" w:rsidRPr="00F53BDD">
        <w:t>s</w:t>
      </w:r>
      <w:r w:rsidRPr="00F53BDD">
        <w:t xml:space="preserve"> </w:t>
      </w:r>
      <w:r w:rsidR="001B658D" w:rsidRPr="00F53BDD">
        <w:t>the G</w:t>
      </w:r>
      <w:r w:rsidRPr="00F53BDD">
        <w:t>overnment</w:t>
      </w:r>
      <w:r w:rsidR="006B6C59" w:rsidRPr="00F53BDD">
        <w:t xml:space="preserve">’s </w:t>
      </w:r>
      <w:r w:rsidRPr="00F53BDD">
        <w:t>expectations of regulated entities.</w:t>
      </w:r>
    </w:p>
    <w:p w:rsidR="00D60931" w:rsidRPr="00F53BDD" w:rsidRDefault="00D60931" w:rsidP="00D60931">
      <w:pPr>
        <w:pStyle w:val="Bullet"/>
      </w:pPr>
      <w:r w:rsidRPr="00F53BDD">
        <w:rPr>
          <w:b/>
        </w:rPr>
        <w:t>Unbiased advice.</w:t>
      </w:r>
      <w:r w:rsidRPr="00F53BDD">
        <w:t xml:space="preserve"> Financial independence from industry guards the regulator from </w:t>
      </w:r>
      <w:r w:rsidR="00054263" w:rsidRPr="00F53BDD">
        <w:t>inappropriate influences</w:t>
      </w:r>
      <w:r w:rsidRPr="00F53BDD">
        <w:t xml:space="preserve"> from industry and any conflicting interests.</w:t>
      </w:r>
    </w:p>
    <w:p w:rsidR="00D60931" w:rsidRPr="00F53BDD" w:rsidRDefault="00D60931" w:rsidP="008A2C31">
      <w:pPr>
        <w:pStyle w:val="Bullet"/>
      </w:pPr>
      <w:r w:rsidRPr="00F53BDD">
        <w:rPr>
          <w:b/>
        </w:rPr>
        <w:t xml:space="preserve">Independence from </w:t>
      </w:r>
      <w:r w:rsidR="001B658D" w:rsidRPr="00F53BDD">
        <w:rPr>
          <w:b/>
        </w:rPr>
        <w:t>the G</w:t>
      </w:r>
      <w:r w:rsidR="00054263" w:rsidRPr="00F53BDD">
        <w:rPr>
          <w:b/>
        </w:rPr>
        <w:t>overnment.</w:t>
      </w:r>
      <w:r w:rsidR="00054263" w:rsidRPr="00F53BDD">
        <w:t xml:space="preserve"> The</w:t>
      </w:r>
      <w:r w:rsidRPr="00F53BDD">
        <w:t xml:space="preserve"> public and industry will have confidence that the sector governance is impartial and objective, increasing trust in the market.</w:t>
      </w:r>
    </w:p>
    <w:p w:rsidR="00D60931" w:rsidRPr="00F53BDD" w:rsidRDefault="00D60931" w:rsidP="007D52FE">
      <w:pPr>
        <w:pStyle w:val="Bullet"/>
      </w:pPr>
      <w:r w:rsidRPr="00F53BDD">
        <w:rPr>
          <w:b/>
        </w:rPr>
        <w:t xml:space="preserve">Specialist advice to </w:t>
      </w:r>
      <w:r w:rsidR="001B658D" w:rsidRPr="00F53BDD">
        <w:rPr>
          <w:b/>
        </w:rPr>
        <w:t>the G</w:t>
      </w:r>
      <w:r w:rsidRPr="00F53BDD">
        <w:rPr>
          <w:b/>
        </w:rPr>
        <w:t>overnment</w:t>
      </w:r>
      <w:r w:rsidR="00AB5271" w:rsidRPr="00F53BDD">
        <w:rPr>
          <w:b/>
        </w:rPr>
        <w:t xml:space="preserve">. </w:t>
      </w:r>
      <w:r w:rsidR="00AB5271" w:rsidRPr="00F53BDD">
        <w:rPr>
          <w:bCs/>
        </w:rPr>
        <w:t>T</w:t>
      </w:r>
      <w:r w:rsidRPr="00F53BDD">
        <w:t xml:space="preserve">he </w:t>
      </w:r>
      <w:r w:rsidR="001B658D" w:rsidRPr="00F53BDD">
        <w:t xml:space="preserve">advisory </w:t>
      </w:r>
      <w:r w:rsidRPr="00F53BDD">
        <w:t xml:space="preserve">regulator as an independent specialist can objectively advise on particular ‘stress points’ in the ETS, which </w:t>
      </w:r>
      <w:r w:rsidR="001B658D" w:rsidRPr="00F53BDD">
        <w:t>the G</w:t>
      </w:r>
      <w:r w:rsidRPr="00F53BDD">
        <w:t xml:space="preserve">overnment </w:t>
      </w:r>
      <w:r w:rsidR="00054263" w:rsidRPr="00F53BDD">
        <w:t xml:space="preserve">can </w:t>
      </w:r>
      <w:r w:rsidR="00AB5271" w:rsidRPr="00F53BDD">
        <w:t xml:space="preserve">then </w:t>
      </w:r>
      <w:r w:rsidR="00054263" w:rsidRPr="00F53BDD">
        <w:t>act</w:t>
      </w:r>
      <w:r w:rsidRPr="00F53BDD">
        <w:t xml:space="preserve"> on</w:t>
      </w:r>
      <w:r w:rsidR="00AB5271" w:rsidRPr="00F53BDD">
        <w:t>.</w:t>
      </w:r>
    </w:p>
    <w:p w:rsidR="00D60931" w:rsidRPr="00F53BDD" w:rsidRDefault="00D60931" w:rsidP="00820B7D">
      <w:pPr>
        <w:pStyle w:val="Heading4"/>
        <w:spacing w:after="100" w:afterAutospacing="1"/>
      </w:pPr>
      <w:r w:rsidRPr="00F53BDD">
        <w:t>Disadvantages</w:t>
      </w:r>
    </w:p>
    <w:p w:rsidR="00D60931" w:rsidRPr="00F53BDD" w:rsidRDefault="00D60931" w:rsidP="00D60931">
      <w:pPr>
        <w:pStyle w:val="Bullet"/>
      </w:pPr>
      <w:r w:rsidRPr="00F53BDD">
        <w:rPr>
          <w:b/>
        </w:rPr>
        <w:t xml:space="preserve">Lack of compliance and </w:t>
      </w:r>
      <w:r w:rsidR="00054263" w:rsidRPr="00F53BDD">
        <w:rPr>
          <w:b/>
        </w:rPr>
        <w:t>enforcement.</w:t>
      </w:r>
      <w:r w:rsidR="00054263" w:rsidRPr="00F53BDD">
        <w:t xml:space="preserve"> The</w:t>
      </w:r>
      <w:r w:rsidRPr="00F53BDD">
        <w:t xml:space="preserve"> inability to act on their advice means that </w:t>
      </w:r>
      <w:r w:rsidR="006B6C59" w:rsidRPr="00F53BDD">
        <w:t xml:space="preserve">users </w:t>
      </w:r>
      <w:r w:rsidRPr="00F53BDD">
        <w:t>are not fully protected from risks.</w:t>
      </w:r>
    </w:p>
    <w:p w:rsidR="00D60931" w:rsidRPr="00F53BDD" w:rsidRDefault="00D60931" w:rsidP="00D60931">
      <w:pPr>
        <w:pStyle w:val="Bullet"/>
      </w:pPr>
      <w:r w:rsidRPr="00F53BDD">
        <w:rPr>
          <w:b/>
        </w:rPr>
        <w:t>Lack of data collection powers.</w:t>
      </w:r>
      <w:r w:rsidRPr="00F53BDD">
        <w:t xml:space="preserve"> The regulator may have limited</w:t>
      </w:r>
      <w:r w:rsidR="001B658D" w:rsidRPr="00F53BDD">
        <w:t xml:space="preserve"> powers to collect information or investigate,</w:t>
      </w:r>
      <w:r w:rsidRPr="00F53BDD">
        <w:t xml:space="preserve"> and therefore</w:t>
      </w:r>
      <w:r w:rsidR="00050E0E" w:rsidRPr="00F53BDD">
        <w:t xml:space="preserve"> </w:t>
      </w:r>
      <w:r w:rsidR="001B658D" w:rsidRPr="00F53BDD">
        <w:t>would be</w:t>
      </w:r>
      <w:r w:rsidRPr="00F53BDD">
        <w:t xml:space="preserve"> restricted to </w:t>
      </w:r>
      <w:r w:rsidR="001B658D" w:rsidRPr="00F53BDD">
        <w:t xml:space="preserve">mainly </w:t>
      </w:r>
      <w:r w:rsidRPr="00F53BDD">
        <w:t xml:space="preserve">public information. </w:t>
      </w:r>
    </w:p>
    <w:p w:rsidR="00D60931" w:rsidRPr="00F53BDD" w:rsidRDefault="00D60931" w:rsidP="00D60931">
      <w:pPr>
        <w:pStyle w:val="Heading3"/>
      </w:pPr>
      <w:r w:rsidRPr="00F53BDD">
        <w:t xml:space="preserve">D4. Appoint a market monitoring </w:t>
      </w:r>
      <w:r w:rsidR="00937303" w:rsidRPr="00F53BDD">
        <w:t>regulator</w:t>
      </w:r>
    </w:p>
    <w:p w:rsidR="00D60931" w:rsidRPr="00F53BDD" w:rsidRDefault="00D60931" w:rsidP="001E771A">
      <w:pPr>
        <w:pStyle w:val="BodyText"/>
      </w:pPr>
      <w:r w:rsidRPr="00F53BDD">
        <w:t xml:space="preserve">The </w:t>
      </w:r>
      <w:r w:rsidR="009B372D">
        <w:t>G</w:t>
      </w:r>
      <w:r w:rsidRPr="00F53BDD">
        <w:t xml:space="preserve">overnment could consider appointing or establishing a regulator </w:t>
      </w:r>
      <w:r w:rsidR="00050E0E" w:rsidRPr="00F53BDD">
        <w:t xml:space="preserve">that </w:t>
      </w:r>
      <w:r w:rsidRPr="00F53BDD">
        <w:t>has information collection powers and an investigatory role. For this option, we will refer to the agency as a ‘market monitor’.</w:t>
      </w:r>
    </w:p>
    <w:p w:rsidR="00D60931" w:rsidRPr="00F53BDD" w:rsidRDefault="00D60931" w:rsidP="00EC6896">
      <w:pPr>
        <w:pStyle w:val="Heading4"/>
      </w:pPr>
      <w:r w:rsidRPr="00F53BDD">
        <w:t>Structure</w:t>
      </w:r>
    </w:p>
    <w:p w:rsidR="00D60931" w:rsidRPr="00F53BDD" w:rsidRDefault="00D60931" w:rsidP="00D60931">
      <w:pPr>
        <w:pStyle w:val="BodyText"/>
      </w:pPr>
      <w:r w:rsidRPr="00F53BDD">
        <w:t xml:space="preserve">The </w:t>
      </w:r>
      <w:r w:rsidR="00937303" w:rsidRPr="00F53BDD">
        <w:t>market monitor</w:t>
      </w:r>
      <w:r w:rsidRPr="00F53BDD">
        <w:t xml:space="preserve"> would build on the advisory regulator role</w:t>
      </w:r>
      <w:r w:rsidR="00E72F20" w:rsidRPr="00F53BDD">
        <w:t xml:space="preserve"> (D3)</w:t>
      </w:r>
      <w:r w:rsidRPr="00F53BDD">
        <w:t xml:space="preserve">, providing independent, expert and evidence-based advice to </w:t>
      </w:r>
      <w:r w:rsidR="001B658D" w:rsidRPr="00F53BDD">
        <w:t xml:space="preserve">the </w:t>
      </w:r>
      <w:r w:rsidRPr="00F53BDD">
        <w:t xml:space="preserve">Government </w:t>
      </w:r>
      <w:r w:rsidR="001B658D" w:rsidRPr="00F53BDD">
        <w:t xml:space="preserve">on </w:t>
      </w:r>
      <w:r w:rsidRPr="00F53BDD">
        <w:t xml:space="preserve">the operation of the ETS. </w:t>
      </w:r>
    </w:p>
    <w:p w:rsidR="00D60931" w:rsidRPr="00F53BDD" w:rsidRDefault="00D60931" w:rsidP="00D60931">
      <w:pPr>
        <w:pStyle w:val="BodyText"/>
      </w:pPr>
      <w:r w:rsidRPr="00F53BDD">
        <w:t>A market monitor will have information collection powers that:</w:t>
      </w:r>
    </w:p>
    <w:p w:rsidR="00D60931" w:rsidRPr="00F53BDD" w:rsidRDefault="0098283E" w:rsidP="00D60931">
      <w:pPr>
        <w:pStyle w:val="Bullet"/>
        <w:tabs>
          <w:tab w:val="left" w:pos="397"/>
        </w:tabs>
      </w:pPr>
      <w:r w:rsidRPr="00F53BDD">
        <w:t>e</w:t>
      </w:r>
      <w:r w:rsidR="00D60931" w:rsidRPr="00F53BDD">
        <w:t>xpose misconduct, such as insider trading or price manipulation</w:t>
      </w:r>
    </w:p>
    <w:p w:rsidR="00D60931" w:rsidRPr="00F53BDD" w:rsidRDefault="0098283E" w:rsidP="00D60931">
      <w:pPr>
        <w:pStyle w:val="Bullet"/>
        <w:tabs>
          <w:tab w:val="left" w:pos="397"/>
        </w:tabs>
      </w:pPr>
      <w:r w:rsidRPr="00F53BDD">
        <w:t>p</w:t>
      </w:r>
      <w:r w:rsidR="00D60931" w:rsidRPr="00F53BDD">
        <w:t xml:space="preserve">rovide data to help </w:t>
      </w:r>
      <w:r w:rsidR="001B658D" w:rsidRPr="00F53BDD">
        <w:t>the G</w:t>
      </w:r>
      <w:r w:rsidR="00D60931" w:rsidRPr="00F53BDD">
        <w:t xml:space="preserve">overnment make evidence-based decisions. </w:t>
      </w:r>
    </w:p>
    <w:p w:rsidR="00D60931" w:rsidRPr="00F53BDD" w:rsidRDefault="00D60931" w:rsidP="001E771A">
      <w:pPr>
        <w:pStyle w:val="Heading4"/>
      </w:pPr>
      <w:r w:rsidRPr="00F53BDD">
        <w:t xml:space="preserve">Functions </w:t>
      </w:r>
    </w:p>
    <w:p w:rsidR="00D60931" w:rsidRPr="00F53BDD" w:rsidRDefault="00D60931" w:rsidP="001E771A">
      <w:pPr>
        <w:pStyle w:val="BodyText"/>
      </w:pPr>
      <w:r w:rsidRPr="00F53BDD">
        <w:t>Market monitoring typically covers two functions:</w:t>
      </w:r>
    </w:p>
    <w:p w:rsidR="00D60931" w:rsidRPr="00F53BDD" w:rsidRDefault="0098283E" w:rsidP="00D60931">
      <w:pPr>
        <w:pStyle w:val="Bullet"/>
        <w:tabs>
          <w:tab w:val="left" w:pos="397"/>
        </w:tabs>
      </w:pPr>
      <w:r w:rsidRPr="00F53BDD">
        <w:t>m</w:t>
      </w:r>
      <w:r w:rsidR="00D60931" w:rsidRPr="00F53BDD">
        <w:t xml:space="preserve">arket surveillance, which includes identifying </w:t>
      </w:r>
      <w:r w:rsidR="00D60931" w:rsidRPr="00F53BDD">
        <w:rPr>
          <w:rFonts w:eastAsiaTheme="minorEastAsia" w:cstheme="minorBidi"/>
          <w:szCs w:val="22"/>
        </w:rPr>
        <w:t>any misconduct</w:t>
      </w:r>
    </w:p>
    <w:p w:rsidR="00D60931" w:rsidRPr="00F53BDD" w:rsidRDefault="0098283E" w:rsidP="00D60931">
      <w:pPr>
        <w:pStyle w:val="Bullet"/>
        <w:tabs>
          <w:tab w:val="left" w:pos="397"/>
        </w:tabs>
      </w:pPr>
      <w:r w:rsidRPr="00F53BDD">
        <w:t>m</w:t>
      </w:r>
      <w:r w:rsidR="00D60931" w:rsidRPr="00F53BDD">
        <w:t>arket performance, which includes examining and reporting on the efficient functioning of the market.</w:t>
      </w:r>
    </w:p>
    <w:p w:rsidR="00D60931" w:rsidRPr="00F53BDD" w:rsidRDefault="00D60931" w:rsidP="001E771A">
      <w:pPr>
        <w:pStyle w:val="BodyText"/>
      </w:pPr>
      <w:r w:rsidRPr="00F53BDD">
        <w:t>At a high</w:t>
      </w:r>
      <w:r w:rsidR="00D97D66" w:rsidRPr="00F53BDD">
        <w:t xml:space="preserve"> l</w:t>
      </w:r>
      <w:r w:rsidRPr="00F53BDD">
        <w:t>evel, the market monitor would require additional monitoring and investigation powers. To enact these, primary legislation would need to be amended</w:t>
      </w:r>
      <w:r w:rsidR="00E72F20" w:rsidRPr="00F53BDD">
        <w:t xml:space="preserve"> to</w:t>
      </w:r>
      <w:r w:rsidRPr="00F53BDD">
        <w:t>:</w:t>
      </w:r>
    </w:p>
    <w:p w:rsidR="00D60931" w:rsidRPr="00F53BDD" w:rsidRDefault="00CB5D04" w:rsidP="00D60931">
      <w:pPr>
        <w:pStyle w:val="Bullet"/>
        <w:tabs>
          <w:tab w:val="left" w:pos="397"/>
        </w:tabs>
      </w:pPr>
      <w:r w:rsidRPr="00F53BDD">
        <w:t xml:space="preserve">require participants to </w:t>
      </w:r>
      <w:r w:rsidR="0098283E" w:rsidRPr="00F53BDD">
        <w:t>p</w:t>
      </w:r>
      <w:r w:rsidR="00D60931" w:rsidRPr="00F53BDD">
        <w:t xml:space="preserve">rovide information, such as papers, recording or documentation to the regulator </w:t>
      </w:r>
    </w:p>
    <w:p w:rsidR="00D60931" w:rsidRPr="00F53BDD" w:rsidRDefault="00CB5D04" w:rsidP="00D60931">
      <w:pPr>
        <w:pStyle w:val="Bullet"/>
        <w:tabs>
          <w:tab w:val="left" w:pos="397"/>
        </w:tabs>
      </w:pPr>
      <w:r w:rsidRPr="00F53BDD">
        <w:t xml:space="preserve">allow the regulator to </w:t>
      </w:r>
      <w:r w:rsidR="0098283E" w:rsidRPr="00F53BDD">
        <w:t>t</w:t>
      </w:r>
      <w:r w:rsidR="00D60931" w:rsidRPr="00F53BDD">
        <w:t>ake statement</w:t>
      </w:r>
      <w:r w:rsidRPr="00F53BDD">
        <w:t>s</w:t>
      </w:r>
      <w:r w:rsidR="00D60931" w:rsidRPr="00F53BDD">
        <w:t xml:space="preserve"> from officers or employees of the regulated entities</w:t>
      </w:r>
    </w:p>
    <w:p w:rsidR="00D60931" w:rsidRPr="00F53BDD" w:rsidRDefault="00CB5D04" w:rsidP="00D60931">
      <w:pPr>
        <w:pStyle w:val="Bullet"/>
        <w:tabs>
          <w:tab w:val="left" w:pos="397"/>
        </w:tabs>
      </w:pPr>
      <w:r w:rsidRPr="00F53BDD">
        <w:t xml:space="preserve">require participants to </w:t>
      </w:r>
      <w:r w:rsidR="0098283E" w:rsidRPr="00F53BDD">
        <w:t>p</w:t>
      </w:r>
      <w:r w:rsidR="00D60931" w:rsidRPr="00F53BDD">
        <w:t xml:space="preserve">rovide reasonable and necessary assistance </w:t>
      </w:r>
      <w:r w:rsidR="0075759F" w:rsidRPr="00F53BDD">
        <w:t>so that</w:t>
      </w:r>
      <w:r w:rsidR="00D60931" w:rsidRPr="00F53BDD">
        <w:t xml:space="preserve"> the regulator </w:t>
      </w:r>
      <w:r w:rsidR="0075759F" w:rsidRPr="00F53BDD">
        <w:t xml:space="preserve">can </w:t>
      </w:r>
      <w:r w:rsidR="00D60931" w:rsidRPr="00F53BDD">
        <w:t xml:space="preserve">carry out </w:t>
      </w:r>
      <w:r w:rsidR="00054263" w:rsidRPr="00F53BDD">
        <w:t>its</w:t>
      </w:r>
      <w:r w:rsidR="00D60931" w:rsidRPr="00F53BDD">
        <w:t xml:space="preserve"> functions.</w:t>
      </w:r>
    </w:p>
    <w:p w:rsidR="00D60931" w:rsidRPr="00F53BDD" w:rsidRDefault="00D60931" w:rsidP="001E771A">
      <w:pPr>
        <w:pStyle w:val="BodyText"/>
      </w:pPr>
      <w:r w:rsidRPr="00F53BDD">
        <w:t>The</w:t>
      </w:r>
      <w:r w:rsidR="0075759F" w:rsidRPr="00F53BDD">
        <w:t xml:space="preserve"> market monitor would use the </w:t>
      </w:r>
      <w:r w:rsidRPr="00F53BDD">
        <w:t>information</w:t>
      </w:r>
      <w:r w:rsidR="0075759F" w:rsidRPr="00F53BDD">
        <w:t>-</w:t>
      </w:r>
      <w:r w:rsidRPr="00F53BDD">
        <w:t xml:space="preserve">collection powers to benchmark surveillance and performance against NZ ETS statutory objectives, </w:t>
      </w:r>
      <w:r w:rsidR="0075759F" w:rsidRPr="00F53BDD">
        <w:t>set</w:t>
      </w:r>
      <w:r w:rsidR="00E72F20" w:rsidRPr="00F53BDD">
        <w:t xml:space="preserve"> </w:t>
      </w:r>
      <w:r w:rsidRPr="00F53BDD">
        <w:t>in primary legislation.</w:t>
      </w:r>
    </w:p>
    <w:p w:rsidR="00D60931" w:rsidRPr="00F53BDD" w:rsidRDefault="00D60931" w:rsidP="001E771A">
      <w:pPr>
        <w:pStyle w:val="BodyText"/>
      </w:pPr>
      <w:r w:rsidRPr="00F53BDD">
        <w:t xml:space="preserve">In terms of surveillance, the presence of a market monitor is crucial to ensuring the market functions as intended. </w:t>
      </w:r>
    </w:p>
    <w:p w:rsidR="00D60931" w:rsidRPr="00F53BDD" w:rsidRDefault="00BB1A07" w:rsidP="001E771A">
      <w:pPr>
        <w:pStyle w:val="BodyText"/>
      </w:pPr>
      <w:r w:rsidRPr="00F53BDD">
        <w:t>T</w:t>
      </w:r>
      <w:r w:rsidR="00D60931" w:rsidRPr="00F53BDD">
        <w:t xml:space="preserve">he market monitor could </w:t>
      </w:r>
      <w:r w:rsidRPr="00F53BDD">
        <w:t xml:space="preserve">also </w:t>
      </w:r>
      <w:r w:rsidR="00D60931" w:rsidRPr="00F53BDD">
        <w:t xml:space="preserve">collect, </w:t>
      </w:r>
      <w:r w:rsidR="00054263" w:rsidRPr="00F53BDD">
        <w:t>aggregate</w:t>
      </w:r>
      <w:r w:rsidR="00D60931" w:rsidRPr="00F53BDD">
        <w:t xml:space="preserve"> and publish information </w:t>
      </w:r>
      <w:r w:rsidR="0075759F" w:rsidRPr="00F53BDD">
        <w:t>on</w:t>
      </w:r>
      <w:r w:rsidR="00D60931" w:rsidRPr="00F53BDD">
        <w:t xml:space="preserve"> market performance. </w:t>
      </w:r>
    </w:p>
    <w:p w:rsidR="00D60931" w:rsidRPr="00F53BDD" w:rsidRDefault="00D60931" w:rsidP="001E771A">
      <w:pPr>
        <w:pStyle w:val="Heading4"/>
        <w:spacing w:after="120"/>
      </w:pPr>
      <w:r w:rsidRPr="00F53BDD">
        <w:t>Benefits</w:t>
      </w:r>
    </w:p>
    <w:p w:rsidR="00D60931" w:rsidRPr="00F53BDD" w:rsidRDefault="00D60931" w:rsidP="001E771A">
      <w:pPr>
        <w:pStyle w:val="Bullet"/>
      </w:pPr>
      <w:r w:rsidRPr="00F53BDD">
        <w:rPr>
          <w:b/>
        </w:rPr>
        <w:t>Monitoring and oversight.</w:t>
      </w:r>
      <w:r w:rsidRPr="00F53BDD">
        <w:t xml:space="preserve"> The market monitor has powers to collect data and </w:t>
      </w:r>
      <w:r w:rsidR="00E72F20" w:rsidRPr="00F53BDD">
        <w:t>oversee</w:t>
      </w:r>
      <w:r w:rsidRPr="00F53BDD">
        <w:t xml:space="preserve"> trades in the ETS market. </w:t>
      </w:r>
    </w:p>
    <w:p w:rsidR="00D60931" w:rsidRPr="00F53BDD" w:rsidRDefault="00D60931" w:rsidP="001E771A">
      <w:pPr>
        <w:pStyle w:val="Bullet"/>
      </w:pPr>
      <w:r w:rsidRPr="00F53BDD">
        <w:rPr>
          <w:b/>
        </w:rPr>
        <w:t>Evidence.</w:t>
      </w:r>
      <w:r w:rsidRPr="00F53BDD">
        <w:t xml:space="preserve"> Access </w:t>
      </w:r>
      <w:r w:rsidR="00054263" w:rsidRPr="00F53BDD">
        <w:t>to data</w:t>
      </w:r>
      <w:r w:rsidRPr="00F53BDD">
        <w:t xml:space="preserve"> enables analysis </w:t>
      </w:r>
      <w:r w:rsidR="00F25D7A" w:rsidRPr="00F53BDD">
        <w:t>and evidence</w:t>
      </w:r>
      <w:r w:rsidRPr="00F53BDD">
        <w:t xml:space="preserve"> of any misconduct.</w:t>
      </w:r>
    </w:p>
    <w:p w:rsidR="00D60931" w:rsidRPr="00F53BDD" w:rsidRDefault="00D60931" w:rsidP="001E771A">
      <w:pPr>
        <w:pStyle w:val="Bullet"/>
      </w:pPr>
      <w:r w:rsidRPr="00F53BDD">
        <w:rPr>
          <w:b/>
        </w:rPr>
        <w:t>Initiate policy reviews.</w:t>
      </w:r>
      <w:r w:rsidRPr="00F53BDD">
        <w:t xml:space="preserve"> Evidence can lead to investigation by policy teams</w:t>
      </w:r>
      <w:r w:rsidR="000010C9" w:rsidRPr="00F53BDD">
        <w:t>,</w:t>
      </w:r>
      <w:r w:rsidRPr="00F53BDD">
        <w:t xml:space="preserve"> and a review of</w:t>
      </w:r>
      <w:r w:rsidR="008E00A0" w:rsidRPr="00F53BDD">
        <w:t> </w:t>
      </w:r>
      <w:r w:rsidRPr="00F53BDD">
        <w:t xml:space="preserve">the ETS market policy. </w:t>
      </w:r>
    </w:p>
    <w:p w:rsidR="00D60931" w:rsidRPr="00F53BDD" w:rsidRDefault="00D60931" w:rsidP="001E771A">
      <w:pPr>
        <w:pStyle w:val="Heading4"/>
        <w:spacing w:after="120"/>
      </w:pPr>
      <w:r w:rsidRPr="00F53BDD">
        <w:t>Disadvantages</w:t>
      </w:r>
    </w:p>
    <w:p w:rsidR="00D60931" w:rsidRPr="00F53BDD" w:rsidRDefault="00D60931" w:rsidP="001E771A">
      <w:pPr>
        <w:pStyle w:val="Bullet"/>
      </w:pPr>
      <w:r w:rsidRPr="00F53BDD">
        <w:rPr>
          <w:b/>
        </w:rPr>
        <w:t>Lack of investigative powers.</w:t>
      </w:r>
      <w:r w:rsidRPr="00F53BDD">
        <w:t xml:space="preserve"> </w:t>
      </w:r>
      <w:r w:rsidR="000010C9" w:rsidRPr="00F53BDD">
        <w:t xml:space="preserve">Although </w:t>
      </w:r>
      <w:r w:rsidRPr="00F53BDD">
        <w:t xml:space="preserve">a market monitor has access or powers to collect market data, </w:t>
      </w:r>
      <w:r w:rsidR="000010C9" w:rsidRPr="00F53BDD">
        <w:t>it</w:t>
      </w:r>
      <w:r w:rsidRPr="00F53BDD">
        <w:t xml:space="preserve"> could not further investigate suspicious activity.</w:t>
      </w:r>
    </w:p>
    <w:p w:rsidR="00D60931" w:rsidRPr="00F53BDD" w:rsidRDefault="00D60931" w:rsidP="001E771A">
      <w:pPr>
        <w:pStyle w:val="Bullet"/>
      </w:pPr>
      <w:r w:rsidRPr="00F53BDD">
        <w:rPr>
          <w:b/>
        </w:rPr>
        <w:t>Slow process to improve market.</w:t>
      </w:r>
      <w:r w:rsidRPr="00F53BDD">
        <w:t xml:space="preserve"> This regulator could inform the policy agency of misconduct, </w:t>
      </w:r>
      <w:r w:rsidR="000010C9" w:rsidRPr="00F53BDD">
        <w:t xml:space="preserve">but </w:t>
      </w:r>
      <w:r w:rsidRPr="00F53BDD">
        <w:t>th</w:t>
      </w:r>
      <w:r w:rsidR="000010C9" w:rsidRPr="00F53BDD">
        <w:t>is</w:t>
      </w:r>
      <w:r w:rsidR="00BB1A07" w:rsidRPr="00F53BDD">
        <w:t xml:space="preserve"> would</w:t>
      </w:r>
      <w:r w:rsidRPr="00F53BDD">
        <w:t xml:space="preserve"> be ineffective against bad behavio</w:t>
      </w:r>
      <w:r w:rsidR="000010C9" w:rsidRPr="00F53BDD">
        <w:t>u</w:t>
      </w:r>
      <w:r w:rsidRPr="00F53BDD">
        <w:t xml:space="preserve">r in the short term. </w:t>
      </w:r>
    </w:p>
    <w:p w:rsidR="00D60931" w:rsidRPr="00F53BDD" w:rsidRDefault="00D60931" w:rsidP="001E771A">
      <w:pPr>
        <w:pStyle w:val="Bullet"/>
      </w:pPr>
      <w:r w:rsidRPr="00F53BDD">
        <w:rPr>
          <w:b/>
        </w:rPr>
        <w:t>Lack of enforcement.</w:t>
      </w:r>
      <w:r w:rsidRPr="00F53BDD">
        <w:t xml:space="preserve"> </w:t>
      </w:r>
      <w:r w:rsidR="000010C9" w:rsidRPr="00F53BDD">
        <w:t xml:space="preserve">A lack of </w:t>
      </w:r>
      <w:r w:rsidRPr="00F53BDD">
        <w:t>a clear and efficient penalty for misconduct may not deter bad behavio</w:t>
      </w:r>
      <w:r w:rsidR="000010C9" w:rsidRPr="00F53BDD">
        <w:t>u</w:t>
      </w:r>
      <w:r w:rsidRPr="00F53BDD">
        <w:t xml:space="preserve">r. </w:t>
      </w:r>
    </w:p>
    <w:p w:rsidR="00D60931" w:rsidRPr="00F53BDD" w:rsidRDefault="00D60931" w:rsidP="00D60931">
      <w:pPr>
        <w:pStyle w:val="Heading3"/>
      </w:pPr>
      <w:r w:rsidRPr="00F53BDD">
        <w:t>D5. Appoint a market compliance regulator</w:t>
      </w:r>
    </w:p>
    <w:p w:rsidR="00D60931" w:rsidRPr="00F53BDD" w:rsidRDefault="00D60931" w:rsidP="001E771A">
      <w:pPr>
        <w:pStyle w:val="BodyText"/>
      </w:pPr>
      <w:r w:rsidRPr="00F53BDD">
        <w:t xml:space="preserve">The </w:t>
      </w:r>
      <w:r w:rsidR="001767AA" w:rsidRPr="00F53BDD">
        <w:t>G</w:t>
      </w:r>
      <w:r w:rsidRPr="00F53BDD">
        <w:t xml:space="preserve">overnment could consider appointing or establishing a regulator which has information collection powers, an investigatory role and additional </w:t>
      </w:r>
      <w:r w:rsidR="000010C9" w:rsidRPr="00F53BDD">
        <w:t xml:space="preserve">powers of </w:t>
      </w:r>
      <w:r w:rsidRPr="00F53BDD">
        <w:t>enforcement and compliance. Th</w:t>
      </w:r>
      <w:r w:rsidR="001767AA" w:rsidRPr="00F53BDD">
        <w:t xml:space="preserve">e role would include supervising behaviour </w:t>
      </w:r>
      <w:r w:rsidRPr="00F53BDD">
        <w:t>in the ETS.</w:t>
      </w:r>
    </w:p>
    <w:p w:rsidR="00D60931" w:rsidRPr="00F53BDD" w:rsidRDefault="00D60931" w:rsidP="00EC6896">
      <w:pPr>
        <w:pStyle w:val="Heading4"/>
      </w:pPr>
      <w:r w:rsidRPr="00F53BDD">
        <w:t>Structure</w:t>
      </w:r>
    </w:p>
    <w:p w:rsidR="00D60931" w:rsidRPr="00F53BDD" w:rsidRDefault="00D60931" w:rsidP="00D60931">
      <w:pPr>
        <w:pStyle w:val="BodyText"/>
      </w:pPr>
      <w:r w:rsidRPr="00F53BDD">
        <w:t>Th</w:t>
      </w:r>
      <w:r w:rsidR="000010C9" w:rsidRPr="00F53BDD">
        <w:t>is</w:t>
      </w:r>
      <w:r w:rsidRPr="00F53BDD">
        <w:t xml:space="preserve"> role would build on th</w:t>
      </w:r>
      <w:r w:rsidR="00406E90" w:rsidRPr="00F53BDD">
        <w:t>at of th</w:t>
      </w:r>
      <w:r w:rsidRPr="00F53BDD">
        <w:t xml:space="preserve">e </w:t>
      </w:r>
      <w:r w:rsidR="00937303" w:rsidRPr="00F53BDD">
        <w:t>market monitor</w:t>
      </w:r>
      <w:r w:rsidR="00406E90" w:rsidRPr="00F53BDD">
        <w:t xml:space="preserve"> (D4)</w:t>
      </w:r>
      <w:r w:rsidRPr="00F53BDD">
        <w:t xml:space="preserve">, </w:t>
      </w:r>
      <w:r w:rsidR="000010C9" w:rsidRPr="00F53BDD">
        <w:t xml:space="preserve">giving </w:t>
      </w:r>
      <w:r w:rsidRPr="00F53BDD">
        <w:t xml:space="preserve">independent, expert and well-informed advice to </w:t>
      </w:r>
      <w:r w:rsidR="000010C9" w:rsidRPr="00F53BDD">
        <w:t xml:space="preserve">the </w:t>
      </w:r>
      <w:r w:rsidRPr="00F53BDD">
        <w:t xml:space="preserve">Government </w:t>
      </w:r>
      <w:r w:rsidR="000010C9" w:rsidRPr="00F53BDD">
        <w:t xml:space="preserve">on </w:t>
      </w:r>
      <w:r w:rsidRPr="00F53BDD">
        <w:t xml:space="preserve">the operation of the </w:t>
      </w:r>
      <w:r w:rsidR="00406E90" w:rsidRPr="00F53BDD">
        <w:t>scheme</w:t>
      </w:r>
      <w:r w:rsidRPr="00F53BDD">
        <w:t xml:space="preserve">. </w:t>
      </w:r>
    </w:p>
    <w:p w:rsidR="00D60931" w:rsidRPr="00F53BDD" w:rsidRDefault="00D60931" w:rsidP="00D60931">
      <w:pPr>
        <w:pStyle w:val="BodyText"/>
      </w:pPr>
      <w:r w:rsidRPr="00F53BDD">
        <w:t xml:space="preserve">A market compliance regulator also </w:t>
      </w:r>
      <w:r w:rsidR="00102B9F" w:rsidRPr="00F53BDD">
        <w:t xml:space="preserve">plays </w:t>
      </w:r>
      <w:r w:rsidRPr="00F53BDD">
        <w:t>a key role in evidence-based decision</w:t>
      </w:r>
      <w:r w:rsidR="00102B9F" w:rsidRPr="00F53BDD">
        <w:t>-</w:t>
      </w:r>
      <w:r w:rsidR="00406E90" w:rsidRPr="00F53BDD">
        <w:t>m</w:t>
      </w:r>
      <w:r w:rsidRPr="00F53BDD">
        <w:t xml:space="preserve">aking </w:t>
      </w:r>
      <w:r w:rsidR="00102B9F" w:rsidRPr="00F53BDD">
        <w:t>on</w:t>
      </w:r>
      <w:r w:rsidRPr="00F53BDD">
        <w:t xml:space="preserve"> ETS governance</w:t>
      </w:r>
      <w:r w:rsidR="00102B9F" w:rsidRPr="00F53BDD">
        <w:t>. T</w:t>
      </w:r>
      <w:r w:rsidRPr="00F53BDD">
        <w:t>heir information collection powers help</w:t>
      </w:r>
      <w:r w:rsidR="00102B9F" w:rsidRPr="00F53BDD">
        <w:t xml:space="preserve"> to</w:t>
      </w:r>
      <w:r w:rsidRPr="00F53BDD">
        <w:t>:</w:t>
      </w:r>
    </w:p>
    <w:p w:rsidR="00D60931" w:rsidRPr="00F53BDD" w:rsidRDefault="00DF62DF" w:rsidP="001E771A">
      <w:pPr>
        <w:pStyle w:val="Bullet"/>
      </w:pPr>
      <w:r w:rsidRPr="00F53BDD">
        <w:t>e</w:t>
      </w:r>
      <w:r w:rsidR="00D60931" w:rsidRPr="00F53BDD">
        <w:t>xpose misconduct, such as insider trading or price manipulation</w:t>
      </w:r>
    </w:p>
    <w:p w:rsidR="00D60931" w:rsidRPr="00F53BDD" w:rsidRDefault="00DF62DF" w:rsidP="001E771A">
      <w:pPr>
        <w:pStyle w:val="Bullet"/>
      </w:pPr>
      <w:r w:rsidRPr="00F53BDD">
        <w:t>e</w:t>
      </w:r>
      <w:r w:rsidR="00D60931" w:rsidRPr="00F53BDD">
        <w:t xml:space="preserve">stablish objective facts to help </w:t>
      </w:r>
      <w:r w:rsidR="00102B9F" w:rsidRPr="00F53BDD">
        <w:t>the G</w:t>
      </w:r>
      <w:r w:rsidR="00D60931" w:rsidRPr="00F53BDD">
        <w:t>overnment make evidence-based decision</w:t>
      </w:r>
      <w:r w:rsidR="00BB1A07" w:rsidRPr="00F53BDD">
        <w:t>s</w:t>
      </w:r>
    </w:p>
    <w:p w:rsidR="00D60931" w:rsidRPr="00F53BDD" w:rsidRDefault="00DF62DF" w:rsidP="001E771A">
      <w:pPr>
        <w:pStyle w:val="Bullet"/>
      </w:pPr>
      <w:r w:rsidRPr="00F53BDD">
        <w:t>e</w:t>
      </w:r>
      <w:r w:rsidR="00D60931" w:rsidRPr="00F53BDD">
        <w:t xml:space="preserve">nsure compliance with the </w:t>
      </w:r>
      <w:r w:rsidR="00BB1A07" w:rsidRPr="00F53BDD">
        <w:t xml:space="preserve">market </w:t>
      </w:r>
      <w:r w:rsidR="00D60931" w:rsidRPr="00F53BDD">
        <w:t>rules set in primary legislation or regulations by:</w:t>
      </w:r>
    </w:p>
    <w:p w:rsidR="00D60931" w:rsidRPr="00F53BDD" w:rsidRDefault="00DF62DF" w:rsidP="001E771A">
      <w:pPr>
        <w:pStyle w:val="Sub-list"/>
      </w:pPr>
      <w:r w:rsidRPr="00F53BDD">
        <w:t>m</w:t>
      </w:r>
      <w:r w:rsidR="00D60931" w:rsidRPr="00F53BDD">
        <w:t xml:space="preserve">onitoring </w:t>
      </w:r>
      <w:r w:rsidR="00102B9F" w:rsidRPr="00F53BDD">
        <w:t xml:space="preserve">the behaviour of </w:t>
      </w:r>
      <w:r w:rsidR="00D60931" w:rsidRPr="00F53BDD">
        <w:t>regulated entities</w:t>
      </w:r>
    </w:p>
    <w:p w:rsidR="00D60931" w:rsidRPr="00F53BDD" w:rsidRDefault="00DF62DF" w:rsidP="001E771A">
      <w:pPr>
        <w:pStyle w:val="Sub-list"/>
      </w:pPr>
      <w:r w:rsidRPr="00F53BDD">
        <w:t>i</w:t>
      </w:r>
      <w:r w:rsidR="00D60931" w:rsidRPr="00F53BDD">
        <w:t>nvestigat</w:t>
      </w:r>
      <w:r w:rsidR="00E14467" w:rsidRPr="00F53BDD">
        <w:t>ing</w:t>
      </w:r>
      <w:r w:rsidR="00D60931" w:rsidRPr="00F53BDD">
        <w:t xml:space="preserve"> and enforc</w:t>
      </w:r>
      <w:r w:rsidR="00E14467" w:rsidRPr="00F53BDD">
        <w:t>ing</w:t>
      </w:r>
      <w:r w:rsidR="00D60931" w:rsidRPr="00F53BDD">
        <w:t xml:space="preserve"> compliance.</w:t>
      </w:r>
      <w:r w:rsidR="00F32DB4" w:rsidRPr="00F53BDD">
        <w:t xml:space="preserve"> </w:t>
      </w:r>
    </w:p>
    <w:p w:rsidR="00D60931" w:rsidRPr="00F53BDD" w:rsidRDefault="00D60931" w:rsidP="00EC6896">
      <w:pPr>
        <w:pStyle w:val="Heading4"/>
      </w:pPr>
      <w:r w:rsidRPr="00F53BDD">
        <w:t>Functions</w:t>
      </w:r>
    </w:p>
    <w:p w:rsidR="00D60931" w:rsidRPr="00F53BDD" w:rsidRDefault="00BF4E19" w:rsidP="00D60931">
      <w:pPr>
        <w:pStyle w:val="BodyText"/>
      </w:pPr>
      <w:r w:rsidRPr="00F53BDD">
        <w:t>T</w:t>
      </w:r>
      <w:r w:rsidR="00D60931" w:rsidRPr="00F53BDD">
        <w:t xml:space="preserve">he market compliance regulator </w:t>
      </w:r>
      <w:r w:rsidR="00BB1A07" w:rsidRPr="00F53BDD">
        <w:t>would</w:t>
      </w:r>
      <w:r w:rsidR="00D60931" w:rsidRPr="00F53BDD">
        <w:t xml:space="preserve"> require all the powers and functions of the </w:t>
      </w:r>
      <w:r w:rsidR="00937303" w:rsidRPr="00F53BDD">
        <w:t>market monitor</w:t>
      </w:r>
      <w:r w:rsidR="00D60931" w:rsidRPr="00F53BDD">
        <w:t xml:space="preserve">, but with an enforcement and compliance </w:t>
      </w:r>
      <w:r w:rsidRPr="00F53BDD">
        <w:t>role</w:t>
      </w:r>
      <w:r w:rsidR="00D60931" w:rsidRPr="00F53BDD">
        <w:t xml:space="preserve">. </w:t>
      </w:r>
      <w:r w:rsidRPr="00F53BDD">
        <w:t>P</w:t>
      </w:r>
      <w:r w:rsidR="00C01DC1" w:rsidRPr="00F53BDD">
        <w:t xml:space="preserve">rimary legislation would need to be amended </w:t>
      </w:r>
      <w:r w:rsidRPr="00F53BDD">
        <w:t xml:space="preserve">so that </w:t>
      </w:r>
      <w:r w:rsidR="00C01DC1" w:rsidRPr="00F53BDD">
        <w:t>the regulator</w:t>
      </w:r>
      <w:r w:rsidRPr="00F53BDD">
        <w:t xml:space="preserve"> could</w:t>
      </w:r>
      <w:r w:rsidR="00C01DC1" w:rsidRPr="00F53BDD">
        <w:t xml:space="preserve"> request</w:t>
      </w:r>
      <w:r w:rsidR="00D60931" w:rsidRPr="00F53BDD">
        <w:t>:</w:t>
      </w:r>
    </w:p>
    <w:p w:rsidR="00D60931" w:rsidRPr="00F53BDD" w:rsidRDefault="00D60931" w:rsidP="001E771A">
      <w:pPr>
        <w:pStyle w:val="Bullet"/>
      </w:pPr>
      <w:r w:rsidRPr="00F53BDD">
        <w:t xml:space="preserve">written statements </w:t>
      </w:r>
      <w:r w:rsidR="00BB1A07" w:rsidRPr="00F53BDD">
        <w:t xml:space="preserve">on </w:t>
      </w:r>
      <w:r w:rsidRPr="00F53BDD">
        <w:t xml:space="preserve">whether </w:t>
      </w:r>
      <w:r w:rsidR="0040463D" w:rsidRPr="00F53BDD">
        <w:t>an entity has</w:t>
      </w:r>
      <w:r w:rsidR="00E14467" w:rsidRPr="00F53BDD">
        <w:t xml:space="preserve"> </w:t>
      </w:r>
      <w:r w:rsidRPr="00F53BDD">
        <w:t>compli</w:t>
      </w:r>
      <w:r w:rsidR="00054263" w:rsidRPr="00F53BDD">
        <w:t>ed</w:t>
      </w:r>
      <w:r w:rsidRPr="00F53BDD">
        <w:t xml:space="preserve"> with the legislation or regulation</w:t>
      </w:r>
    </w:p>
    <w:p w:rsidR="00D60931" w:rsidRPr="00F53BDD" w:rsidRDefault="001767AA" w:rsidP="001E771A">
      <w:pPr>
        <w:pStyle w:val="Bullet"/>
      </w:pPr>
      <w:r w:rsidRPr="00F53BDD">
        <w:t>enough</w:t>
      </w:r>
      <w:r w:rsidR="00D60931" w:rsidRPr="00F53BDD">
        <w:t xml:space="preserve"> information to determine whether the</w:t>
      </w:r>
      <w:r w:rsidR="00BF4E19" w:rsidRPr="00F53BDD">
        <w:t xml:space="preserve">y have complied with </w:t>
      </w:r>
      <w:r w:rsidR="00D60931" w:rsidRPr="00F53BDD">
        <w:t xml:space="preserve">legislation or </w:t>
      </w:r>
      <w:r w:rsidRPr="00F53BDD">
        <w:t xml:space="preserve">breached it. </w:t>
      </w:r>
    </w:p>
    <w:p w:rsidR="00D60931" w:rsidRPr="00F53BDD" w:rsidRDefault="00D60931" w:rsidP="001E771A">
      <w:pPr>
        <w:pStyle w:val="BodyText"/>
      </w:pPr>
      <w:r w:rsidRPr="00F53BDD">
        <w:t>Th</w:t>
      </w:r>
      <w:r w:rsidR="00BF4E19" w:rsidRPr="00F53BDD">
        <w:t>is</w:t>
      </w:r>
      <w:r w:rsidRPr="00F53BDD">
        <w:t xml:space="preserve"> regulator could </w:t>
      </w:r>
      <w:r w:rsidR="00BF4E19" w:rsidRPr="00F53BDD">
        <w:t>also have the</w:t>
      </w:r>
      <w:r w:rsidRPr="00F53BDD">
        <w:t xml:space="preserve"> power to require a regulated entity to pay a penalty to the Crown or fine for breach of legislation or regulation</w:t>
      </w:r>
      <w:r w:rsidR="00BF4E19" w:rsidRPr="00F53BDD">
        <w:t>. Legislation would clearly define</w:t>
      </w:r>
      <w:r w:rsidR="001767AA" w:rsidRPr="00F53BDD">
        <w:t xml:space="preserve"> t</w:t>
      </w:r>
      <w:r w:rsidRPr="00F53BDD">
        <w:t>he method and maximum penalties.</w:t>
      </w:r>
    </w:p>
    <w:p w:rsidR="00D60931" w:rsidRPr="00F53BDD" w:rsidRDefault="00D60931" w:rsidP="001E771A">
      <w:pPr>
        <w:pStyle w:val="Heading4"/>
        <w:spacing w:after="120"/>
      </w:pPr>
      <w:r w:rsidRPr="00F53BDD">
        <w:t>Benefits</w:t>
      </w:r>
    </w:p>
    <w:p w:rsidR="00D60931" w:rsidRPr="00F53BDD" w:rsidRDefault="00D60931" w:rsidP="001E771A">
      <w:pPr>
        <w:pStyle w:val="Bullet"/>
      </w:pPr>
      <w:r w:rsidRPr="00F53BDD">
        <w:rPr>
          <w:b/>
        </w:rPr>
        <w:t>Enforcement powers.</w:t>
      </w:r>
      <w:r w:rsidRPr="00F53BDD">
        <w:t xml:space="preserve"> In addition to the benefits of a market monitoring regulator (D4), a compliance regulator has the authority to issue penalties </w:t>
      </w:r>
      <w:r w:rsidR="00BF4E19" w:rsidRPr="00F53BDD">
        <w:t xml:space="preserve">for </w:t>
      </w:r>
      <w:r w:rsidRPr="00F53BDD">
        <w:t>misconduct in the market. This c</w:t>
      </w:r>
      <w:r w:rsidR="00DF62DF" w:rsidRPr="00F53BDD">
        <w:t>ould</w:t>
      </w:r>
      <w:r w:rsidRPr="00F53BDD">
        <w:t xml:space="preserve"> </w:t>
      </w:r>
      <w:r w:rsidR="00BF4E19" w:rsidRPr="00F53BDD">
        <w:t xml:space="preserve">be an effective </w:t>
      </w:r>
      <w:r w:rsidRPr="00F53BDD">
        <w:t>deter</w:t>
      </w:r>
      <w:r w:rsidR="00BF4E19" w:rsidRPr="00F53BDD">
        <w:t>rent</w:t>
      </w:r>
      <w:r w:rsidRPr="00F53BDD">
        <w:t>.</w:t>
      </w:r>
    </w:p>
    <w:p w:rsidR="00D60931" w:rsidRPr="00F53BDD" w:rsidRDefault="00D60931" w:rsidP="00224D72">
      <w:pPr>
        <w:pStyle w:val="Heading4"/>
        <w:spacing w:after="100" w:afterAutospacing="1"/>
      </w:pPr>
      <w:r w:rsidRPr="00F53BDD">
        <w:t>Disadvantages</w:t>
      </w:r>
    </w:p>
    <w:p w:rsidR="00D60931" w:rsidRPr="00F53BDD" w:rsidRDefault="00D60931" w:rsidP="001E771A">
      <w:pPr>
        <w:pStyle w:val="Bullet"/>
      </w:pPr>
      <w:r w:rsidRPr="00F53BDD">
        <w:rPr>
          <w:b/>
        </w:rPr>
        <w:t>Lack</w:t>
      </w:r>
      <w:r w:rsidR="00BB1A07" w:rsidRPr="00F53BDD">
        <w:rPr>
          <w:b/>
        </w:rPr>
        <w:t xml:space="preserve"> of </w:t>
      </w:r>
      <w:r w:rsidRPr="00F53BDD">
        <w:rPr>
          <w:b/>
        </w:rPr>
        <w:t xml:space="preserve">powers to </w:t>
      </w:r>
      <w:r w:rsidR="00BF4E19" w:rsidRPr="00F53BDD">
        <w:rPr>
          <w:b/>
        </w:rPr>
        <w:t xml:space="preserve">set </w:t>
      </w:r>
      <w:r w:rsidR="00BB1A07" w:rsidRPr="00F53BDD">
        <w:rPr>
          <w:b/>
        </w:rPr>
        <w:t>market rules</w:t>
      </w:r>
      <w:r w:rsidRPr="00F53BDD">
        <w:rPr>
          <w:b/>
        </w:rPr>
        <w:t>.</w:t>
      </w:r>
      <w:r w:rsidRPr="00F53BDD">
        <w:t xml:space="preserve"> A compliance regulator cannot update </w:t>
      </w:r>
      <w:r w:rsidR="00BB1A07" w:rsidRPr="00F53BDD">
        <w:t xml:space="preserve">market rules </w:t>
      </w:r>
      <w:r w:rsidRPr="00F53BDD">
        <w:t>if</w:t>
      </w:r>
      <w:r w:rsidR="00EF7243" w:rsidRPr="00F53BDD">
        <w:t> </w:t>
      </w:r>
      <w:r w:rsidR="00BB1A07" w:rsidRPr="00F53BDD">
        <w:t xml:space="preserve">they are </w:t>
      </w:r>
      <w:r w:rsidRPr="00F53BDD">
        <w:t xml:space="preserve">no longer fit for </w:t>
      </w:r>
      <w:r w:rsidR="00054263" w:rsidRPr="00F53BDD">
        <w:t>purpose</w:t>
      </w:r>
      <w:r w:rsidR="00BF4E19" w:rsidRPr="00F53BDD">
        <w:t>,</w:t>
      </w:r>
      <w:r w:rsidR="00054263" w:rsidRPr="00F53BDD">
        <w:t xml:space="preserve"> and</w:t>
      </w:r>
      <w:r w:rsidRPr="00F53BDD">
        <w:t xml:space="preserve"> must rely on the policy department to </w:t>
      </w:r>
      <w:r w:rsidR="00BF4E19" w:rsidRPr="00F53BDD">
        <w:t xml:space="preserve">review </w:t>
      </w:r>
      <w:r w:rsidRPr="00F53BDD">
        <w:t>policy.</w:t>
      </w:r>
    </w:p>
    <w:p w:rsidR="00D60931" w:rsidRPr="00F53BDD" w:rsidRDefault="00D60931" w:rsidP="001E771A">
      <w:pPr>
        <w:pStyle w:val="Bullet"/>
      </w:pPr>
      <w:r w:rsidRPr="00F53BDD">
        <w:rPr>
          <w:b/>
        </w:rPr>
        <w:t>High costs.</w:t>
      </w:r>
      <w:r w:rsidRPr="00F53BDD">
        <w:t xml:space="preserve"> Depending on the complexity of the </w:t>
      </w:r>
      <w:r w:rsidR="00BF4E19" w:rsidRPr="00F53BDD">
        <w:t xml:space="preserve">regulator’s </w:t>
      </w:r>
      <w:r w:rsidRPr="00F53BDD">
        <w:t xml:space="preserve">functions, this </w:t>
      </w:r>
      <w:r w:rsidR="00BF4E19" w:rsidRPr="00F53BDD">
        <w:t>option</w:t>
      </w:r>
      <w:r w:rsidRPr="00F53BDD">
        <w:t xml:space="preserve"> could be expensive to implement.</w:t>
      </w:r>
    </w:p>
    <w:p w:rsidR="00D60931" w:rsidRPr="00F53BDD" w:rsidRDefault="00D60931" w:rsidP="00D60931">
      <w:pPr>
        <w:pStyle w:val="Heading3"/>
      </w:pPr>
      <w:r w:rsidRPr="00F53BDD">
        <w:t>D6. Appoint a market design regulator</w:t>
      </w:r>
    </w:p>
    <w:p w:rsidR="001767AA" w:rsidRPr="00F53BDD" w:rsidRDefault="00D60931" w:rsidP="001E771A">
      <w:pPr>
        <w:pStyle w:val="BodyText"/>
      </w:pPr>
      <w:r w:rsidRPr="00F53BDD">
        <w:t xml:space="preserve">The Government could appoint a market </w:t>
      </w:r>
      <w:r w:rsidR="00BF4E19" w:rsidRPr="00F53BDD">
        <w:t xml:space="preserve">design </w:t>
      </w:r>
      <w:r w:rsidRPr="00F53BDD">
        <w:t>regulator with powers to create or amend (or</w:t>
      </w:r>
      <w:r w:rsidR="001E771A" w:rsidRPr="00F53BDD">
        <w:t> </w:t>
      </w:r>
      <w:r w:rsidRPr="00F53BDD">
        <w:t xml:space="preserve">recommend </w:t>
      </w:r>
      <w:r w:rsidR="00BF4E19" w:rsidRPr="00F53BDD">
        <w:t xml:space="preserve">that </w:t>
      </w:r>
      <w:r w:rsidRPr="00F53BDD">
        <w:t>the Minister creat</w:t>
      </w:r>
      <w:r w:rsidR="008D30E1" w:rsidRPr="00F53BDD">
        <w:t>e</w:t>
      </w:r>
      <w:r w:rsidRPr="00F53BDD">
        <w:t xml:space="preserve"> or amend) market </w:t>
      </w:r>
      <w:r w:rsidR="006B6C59" w:rsidRPr="00F53BDD">
        <w:t xml:space="preserve">rules, </w:t>
      </w:r>
      <w:r w:rsidRPr="00F53BDD">
        <w:t xml:space="preserve">regulations or other secondary legislation. </w:t>
      </w:r>
    </w:p>
    <w:p w:rsidR="008A2C31" w:rsidRPr="00F53BDD" w:rsidRDefault="00BF4E19" w:rsidP="001E771A">
      <w:pPr>
        <w:pStyle w:val="BodyText"/>
      </w:pPr>
      <w:r w:rsidRPr="00F53BDD">
        <w:t xml:space="preserve">Of the options here, this </w:t>
      </w:r>
      <w:r w:rsidR="00DE3B5E" w:rsidRPr="00F53BDD">
        <w:t xml:space="preserve">regulator </w:t>
      </w:r>
      <w:r w:rsidR="00D60931" w:rsidRPr="00F53BDD">
        <w:t>would have the most influence on the ETS.</w:t>
      </w:r>
      <w:r w:rsidR="001767AA" w:rsidRPr="00F53BDD">
        <w:t xml:space="preserve"> </w:t>
      </w:r>
    </w:p>
    <w:p w:rsidR="00D60931" w:rsidRPr="00F53BDD" w:rsidRDefault="00D60931" w:rsidP="001E771A">
      <w:pPr>
        <w:pStyle w:val="Heading4"/>
        <w:rPr>
          <w:rFonts w:eastAsia="Times New Roman"/>
        </w:rPr>
      </w:pPr>
      <w:r w:rsidRPr="00F53BDD">
        <w:rPr>
          <w:rFonts w:eastAsia="Times New Roman"/>
        </w:rPr>
        <w:t xml:space="preserve">Structure </w:t>
      </w:r>
    </w:p>
    <w:p w:rsidR="001774EA" w:rsidRPr="00F53BDD" w:rsidRDefault="00D60931" w:rsidP="001E771A">
      <w:pPr>
        <w:pStyle w:val="BodyText"/>
      </w:pPr>
      <w:r w:rsidRPr="00F53BDD">
        <w:t xml:space="preserve">As well as </w:t>
      </w:r>
      <w:r w:rsidR="00BF4E19" w:rsidRPr="00F53BDD">
        <w:t>performing the same role as</w:t>
      </w:r>
      <w:r w:rsidRPr="00F53BDD">
        <w:t xml:space="preserve"> the compliance regulator</w:t>
      </w:r>
      <w:r w:rsidR="001774EA" w:rsidRPr="00F53BDD">
        <w:t xml:space="preserve"> (D5)</w:t>
      </w:r>
      <w:r w:rsidRPr="00F53BDD">
        <w:t xml:space="preserve">, this regulator </w:t>
      </w:r>
      <w:r w:rsidR="004958A4" w:rsidRPr="00F53BDD">
        <w:t>could</w:t>
      </w:r>
      <w:r w:rsidR="001E771A" w:rsidRPr="00F53BDD">
        <w:t> </w:t>
      </w:r>
      <w:r w:rsidRPr="00F53BDD">
        <w:t xml:space="preserve">design policy, </w:t>
      </w:r>
      <w:r w:rsidR="001774EA" w:rsidRPr="00F53BDD">
        <w:t xml:space="preserve">and </w:t>
      </w:r>
      <w:r w:rsidRPr="00F53BDD">
        <w:t xml:space="preserve">consult and make </w:t>
      </w:r>
      <w:r w:rsidR="006B6C59" w:rsidRPr="00F53BDD">
        <w:t>market rules</w:t>
      </w:r>
      <w:r w:rsidRPr="00F53BDD">
        <w:t xml:space="preserve"> independent of other departments or</w:t>
      </w:r>
      <w:r w:rsidR="001E771A" w:rsidRPr="00F53BDD">
        <w:t> </w:t>
      </w:r>
      <w:r w:rsidRPr="00F53BDD">
        <w:t xml:space="preserve">ministries. </w:t>
      </w:r>
    </w:p>
    <w:p w:rsidR="00D60931" w:rsidRPr="00F53BDD" w:rsidRDefault="00D60931" w:rsidP="001E771A">
      <w:pPr>
        <w:pStyle w:val="BodyText"/>
      </w:pPr>
      <w:r w:rsidRPr="00F53BDD">
        <w:t xml:space="preserve">Whereas the </w:t>
      </w:r>
      <w:r w:rsidR="004958A4" w:rsidRPr="00F53BDD">
        <w:t xml:space="preserve">other proposed </w:t>
      </w:r>
      <w:r w:rsidRPr="00F53BDD">
        <w:t xml:space="preserve">regulators </w:t>
      </w:r>
      <w:r w:rsidR="001774EA" w:rsidRPr="00F53BDD">
        <w:t xml:space="preserve">only </w:t>
      </w:r>
      <w:r w:rsidR="004958A4" w:rsidRPr="00F53BDD">
        <w:t xml:space="preserve">give </w:t>
      </w:r>
      <w:r w:rsidRPr="00F53BDD">
        <w:t>expert advice</w:t>
      </w:r>
      <w:r w:rsidR="001774EA" w:rsidRPr="00F53BDD">
        <w:t xml:space="preserve"> to others</w:t>
      </w:r>
      <w:r w:rsidRPr="00F53BDD">
        <w:t xml:space="preserve">, a market design regulator can </w:t>
      </w:r>
      <w:r w:rsidR="001774EA" w:rsidRPr="00F53BDD">
        <w:t xml:space="preserve">also </w:t>
      </w:r>
      <w:r w:rsidRPr="00F53BDD">
        <w:t>act on its own advice.</w:t>
      </w:r>
    </w:p>
    <w:p w:rsidR="00D60931" w:rsidRPr="00F53BDD" w:rsidRDefault="00D60931" w:rsidP="001E771A">
      <w:pPr>
        <w:pStyle w:val="Heading4"/>
      </w:pPr>
      <w:r w:rsidRPr="00F53BDD">
        <w:rPr>
          <w:rFonts w:eastAsia="Times New Roman"/>
        </w:rPr>
        <w:t>Functions</w:t>
      </w:r>
      <w:r w:rsidRPr="00F53BDD">
        <w:t xml:space="preserve"> </w:t>
      </w:r>
    </w:p>
    <w:p w:rsidR="00D60931" w:rsidRPr="00F53BDD" w:rsidRDefault="00D60931" w:rsidP="001E771A">
      <w:pPr>
        <w:pStyle w:val="BodyText"/>
      </w:pPr>
      <w:r w:rsidRPr="00F53BDD">
        <w:t>A market design regulator would have:</w:t>
      </w:r>
    </w:p>
    <w:p w:rsidR="00D60931" w:rsidRPr="00F53BDD" w:rsidRDefault="00D60931" w:rsidP="001E771A">
      <w:pPr>
        <w:pStyle w:val="Bullet"/>
      </w:pPr>
      <w:r w:rsidRPr="00F53BDD">
        <w:t>investigatory powers to collect information from industry participants</w:t>
      </w:r>
    </w:p>
    <w:p w:rsidR="00D60931" w:rsidRPr="00F53BDD" w:rsidRDefault="00D60931" w:rsidP="001E771A">
      <w:pPr>
        <w:pStyle w:val="Bullet"/>
      </w:pPr>
      <w:r w:rsidRPr="00F53BDD">
        <w:t>power to monitor compliance with existing acts and regulations</w:t>
      </w:r>
    </w:p>
    <w:p w:rsidR="00D60931" w:rsidRPr="00F53BDD" w:rsidRDefault="00D60931" w:rsidP="001E771A">
      <w:pPr>
        <w:pStyle w:val="Bullet"/>
      </w:pPr>
      <w:r w:rsidRPr="00F53BDD">
        <w:t xml:space="preserve">power to enforce compliance </w:t>
      </w:r>
    </w:p>
    <w:p w:rsidR="00D60931" w:rsidRPr="00F53BDD" w:rsidRDefault="00D60931" w:rsidP="001E771A">
      <w:pPr>
        <w:pStyle w:val="Bullet"/>
      </w:pPr>
      <w:r w:rsidRPr="00F53BDD">
        <w:t xml:space="preserve">delegated authority to </w:t>
      </w:r>
      <w:r w:rsidR="00CB5D04" w:rsidRPr="00F53BDD">
        <w:t>administer market design regulation</w:t>
      </w:r>
      <w:r w:rsidRPr="00F53BDD">
        <w:t>.</w:t>
      </w:r>
    </w:p>
    <w:p w:rsidR="00D60931" w:rsidRPr="00F53BDD" w:rsidRDefault="00D60931" w:rsidP="001E771A">
      <w:pPr>
        <w:pStyle w:val="Heading4"/>
        <w:spacing w:after="120"/>
        <w:rPr>
          <w:rFonts w:eastAsia="Times New Roman"/>
        </w:rPr>
      </w:pPr>
      <w:r w:rsidRPr="00F53BDD">
        <w:rPr>
          <w:rFonts w:eastAsia="Times New Roman"/>
        </w:rPr>
        <w:t xml:space="preserve">Benefits </w:t>
      </w:r>
    </w:p>
    <w:p w:rsidR="00D60931" w:rsidRPr="00F53BDD" w:rsidRDefault="00D60931" w:rsidP="001E771A">
      <w:pPr>
        <w:pStyle w:val="Bullet"/>
      </w:pPr>
      <w:r w:rsidRPr="00F53BDD">
        <w:rPr>
          <w:b/>
        </w:rPr>
        <w:t>Efficiency</w:t>
      </w:r>
      <w:r w:rsidRPr="00F53BDD">
        <w:rPr>
          <w:b/>
          <w:bCs/>
        </w:rPr>
        <w:t>.</w:t>
      </w:r>
      <w:r w:rsidRPr="00F53BDD">
        <w:t xml:space="preserve"> </w:t>
      </w:r>
      <w:r w:rsidR="00DE3B5E" w:rsidRPr="00F53BDD">
        <w:t xml:space="preserve">Can </w:t>
      </w:r>
      <w:r w:rsidRPr="00F53BDD">
        <w:t>act on their findings about issues in the market</w:t>
      </w:r>
      <w:r w:rsidR="00CB5D04" w:rsidRPr="00F53BDD">
        <w:t>.</w:t>
      </w:r>
    </w:p>
    <w:p w:rsidR="00D60931" w:rsidRPr="00F53BDD" w:rsidRDefault="00054263" w:rsidP="00526B0D">
      <w:pPr>
        <w:pStyle w:val="Bullet"/>
      </w:pPr>
      <w:r w:rsidRPr="00F53BDD">
        <w:rPr>
          <w:b/>
        </w:rPr>
        <w:t>Speciali</w:t>
      </w:r>
      <w:r w:rsidR="001367FB" w:rsidRPr="00F53BDD">
        <w:rPr>
          <w:b/>
        </w:rPr>
        <w:t>s</w:t>
      </w:r>
      <w:r w:rsidRPr="00F53BDD">
        <w:rPr>
          <w:b/>
        </w:rPr>
        <w:t>ed</w:t>
      </w:r>
      <w:r w:rsidR="00D60931" w:rsidRPr="00F53BDD">
        <w:rPr>
          <w:b/>
        </w:rPr>
        <w:t xml:space="preserve"> expertise.</w:t>
      </w:r>
      <w:r w:rsidR="00D60931" w:rsidRPr="00F53BDD">
        <w:t xml:space="preserve"> </w:t>
      </w:r>
      <w:r w:rsidR="001367FB" w:rsidRPr="00F53BDD">
        <w:t>W</w:t>
      </w:r>
      <w:r w:rsidR="00D60931" w:rsidRPr="00F53BDD">
        <w:t xml:space="preserve">ould develop a high level of </w:t>
      </w:r>
      <w:r w:rsidRPr="00F53BDD">
        <w:t>expertise.</w:t>
      </w:r>
    </w:p>
    <w:p w:rsidR="00D60931" w:rsidRPr="00F53BDD" w:rsidRDefault="00D60931" w:rsidP="001E771A">
      <w:pPr>
        <w:pStyle w:val="Heading4"/>
        <w:spacing w:after="120"/>
      </w:pPr>
      <w:r w:rsidRPr="00F53BDD">
        <w:rPr>
          <w:rFonts w:eastAsia="Times New Roman"/>
        </w:rPr>
        <w:t xml:space="preserve">Disadvantages </w:t>
      </w:r>
    </w:p>
    <w:p w:rsidR="00D60931" w:rsidRPr="00F53BDD" w:rsidRDefault="00D60931" w:rsidP="00526B0D">
      <w:pPr>
        <w:pStyle w:val="Bullet"/>
      </w:pPr>
      <w:r w:rsidRPr="00F53BDD">
        <w:rPr>
          <w:b/>
        </w:rPr>
        <w:t>Perception of excessive regulation.</w:t>
      </w:r>
      <w:r w:rsidRPr="00F53BDD">
        <w:t xml:space="preserve"> The perception of increasing and burdensome regulation may be daunting for affected </w:t>
      </w:r>
      <w:r w:rsidR="00054263" w:rsidRPr="00F53BDD">
        <w:t>parties and</w:t>
      </w:r>
      <w:r w:rsidRPr="00F53BDD">
        <w:t xml:space="preserve"> discourage participation in the</w:t>
      </w:r>
      <w:r w:rsidR="001E771A" w:rsidRPr="00F53BDD">
        <w:t> </w:t>
      </w:r>
      <w:r w:rsidRPr="00F53BDD">
        <w:t>market.</w:t>
      </w:r>
    </w:p>
    <w:p w:rsidR="00D60931" w:rsidRPr="00F53BDD" w:rsidRDefault="001367FB" w:rsidP="00526B0D">
      <w:pPr>
        <w:pStyle w:val="Bullet"/>
      </w:pPr>
      <w:r w:rsidRPr="00F53BDD">
        <w:rPr>
          <w:b/>
        </w:rPr>
        <w:t xml:space="preserve">Greater </w:t>
      </w:r>
      <w:r w:rsidR="00D60931" w:rsidRPr="00F53BDD">
        <w:rPr>
          <w:b/>
        </w:rPr>
        <w:t>regulatory power and lack of accountability</w:t>
      </w:r>
      <w:r w:rsidR="00D60931" w:rsidRPr="00812A66">
        <w:rPr>
          <w:b/>
          <w:bCs/>
        </w:rPr>
        <w:t>.</w:t>
      </w:r>
      <w:r w:rsidR="00D60931" w:rsidRPr="00F53BDD">
        <w:t xml:space="preserve"> Affected parties may be concerned about instability if a regulator has powers to amend </w:t>
      </w:r>
      <w:r w:rsidR="003B5262" w:rsidRPr="00F53BDD">
        <w:t>market rules</w:t>
      </w:r>
      <w:r w:rsidR="00D60931" w:rsidRPr="00F53BDD">
        <w:t>, even if this is enacted in consultation with industry</w:t>
      </w:r>
      <w:r w:rsidR="008D30E1" w:rsidRPr="00F53BDD">
        <w:t>.</w:t>
      </w:r>
    </w:p>
    <w:p w:rsidR="005F75E9" w:rsidRPr="00F53BDD" w:rsidRDefault="00054263" w:rsidP="00D60931">
      <w:pPr>
        <w:pStyle w:val="Bullet"/>
        <w:rPr>
          <w:rFonts w:eastAsiaTheme="majorEastAsia"/>
        </w:rPr>
      </w:pPr>
      <w:r w:rsidRPr="00F53BDD">
        <w:rPr>
          <w:b/>
        </w:rPr>
        <w:t>High costs</w:t>
      </w:r>
      <w:r w:rsidR="00D60931" w:rsidRPr="00F53BDD">
        <w:rPr>
          <w:b/>
        </w:rPr>
        <w:t>.</w:t>
      </w:r>
      <w:r w:rsidR="00D60931" w:rsidRPr="00F53BDD">
        <w:t xml:space="preserve"> </w:t>
      </w:r>
      <w:r w:rsidR="001367FB" w:rsidRPr="00F53BDD">
        <w:t>W</w:t>
      </w:r>
      <w:r w:rsidR="00BB1A07" w:rsidRPr="00F53BDD">
        <w:t>ould</w:t>
      </w:r>
      <w:r w:rsidR="006B6C59" w:rsidRPr="00F53BDD">
        <w:t xml:space="preserve"> likely </w:t>
      </w:r>
      <w:r w:rsidR="00DE3B5E" w:rsidRPr="00F53BDD">
        <w:t xml:space="preserve">impose high </w:t>
      </w:r>
      <w:r w:rsidR="00D60931" w:rsidRPr="00F53BDD">
        <w:t xml:space="preserve">administrative costs or effort on affected parties. </w:t>
      </w:r>
      <w:r w:rsidR="001367FB" w:rsidRPr="00F53BDD">
        <w:t>T</w:t>
      </w:r>
      <w:r w:rsidR="00D60931" w:rsidRPr="00F53BDD">
        <w:t xml:space="preserve">his option </w:t>
      </w:r>
      <w:r w:rsidR="00DE3B5E" w:rsidRPr="00F53BDD">
        <w:t xml:space="preserve">could </w:t>
      </w:r>
      <w:r w:rsidR="001367FB" w:rsidRPr="00F53BDD">
        <w:t xml:space="preserve">also </w:t>
      </w:r>
      <w:r w:rsidR="00DE3B5E" w:rsidRPr="00F53BDD">
        <w:t>be expensive to implement</w:t>
      </w:r>
      <w:r w:rsidR="00D60931" w:rsidRPr="00F53BDD">
        <w:t>.</w:t>
      </w:r>
      <w:bookmarkStart w:id="64" w:name="_Toc69724773"/>
      <w:bookmarkStart w:id="65" w:name="_Toc68698886"/>
      <w:bookmarkEnd w:id="59"/>
    </w:p>
    <w:p w:rsidR="005C5249" w:rsidRPr="00F53BDD" w:rsidRDefault="00F4662A" w:rsidP="00084330">
      <w:pPr>
        <w:pStyle w:val="Heading3"/>
      </w:pPr>
      <w:r w:rsidRPr="00F53BDD">
        <w:t>Estimated cost of appointing a regulator</w:t>
      </w:r>
    </w:p>
    <w:p w:rsidR="00F4662A" w:rsidRPr="00F53BDD" w:rsidRDefault="00F4662A" w:rsidP="00084330">
      <w:pPr>
        <w:pStyle w:val="BodyText"/>
        <w:rPr>
          <w:rFonts w:ascii="Segoe UI" w:hAnsi="Segoe UI"/>
          <w:sz w:val="21"/>
          <w:szCs w:val="21"/>
        </w:rPr>
      </w:pPr>
      <w:r w:rsidRPr="00F53BDD">
        <w:t>The cost of establishing a regulator depends on whether the magnitude of the market governance risks require a new regulator or can be addressed by extending the functioning of</w:t>
      </w:r>
      <w:r w:rsidR="00084330" w:rsidRPr="00F53BDD">
        <w:t> </w:t>
      </w:r>
      <w:r w:rsidRPr="00F53BDD">
        <w:t>an existing regulator.</w:t>
      </w:r>
    </w:p>
    <w:p w:rsidR="00F4662A" w:rsidRPr="00F53BDD" w:rsidRDefault="00F4662A" w:rsidP="00084330">
      <w:pPr>
        <w:pStyle w:val="BodyText"/>
      </w:pPr>
      <w:r w:rsidRPr="00F53BDD">
        <w:t>We expect the median operating cost of a new regulator will align with the cost of existing government agencies. A survey of 2020 annual reports for 20 agencies</w:t>
      </w:r>
      <w:r w:rsidRPr="00F53BDD">
        <w:rPr>
          <w:rStyle w:val="FootnoteReference"/>
          <w:rFonts w:cs="Segoe UI"/>
        </w:rPr>
        <w:footnoteReference w:id="13"/>
      </w:r>
      <w:r w:rsidRPr="00F53BDD">
        <w:t xml:space="preserve"> indicates the median</w:t>
      </w:r>
      <w:r w:rsidR="00084330" w:rsidRPr="00F53BDD">
        <w:t> </w:t>
      </w:r>
      <w:r w:rsidRPr="00F53BDD">
        <w:t xml:space="preserve"> operating cost is about $6.5 million per annum, but ranged from $1.4 million to $122.8</w:t>
      </w:r>
      <w:r w:rsidR="00084330" w:rsidRPr="00F53BDD">
        <w:t> </w:t>
      </w:r>
      <w:r w:rsidRPr="00F53BDD">
        <w:t>million per annum. The actual cost of an NZ ETS regulator will depend on the magnitude of governance risks, the number of parties they regulate</w:t>
      </w:r>
      <w:r w:rsidR="00AD5C0A">
        <w:t>,</w:t>
      </w:r>
      <w:r w:rsidRPr="00F53BDD">
        <w:t xml:space="preserve"> and the type of regulator</w:t>
      </w:r>
      <w:r w:rsidR="00CB1961">
        <w:t> </w:t>
      </w:r>
      <w:r w:rsidRPr="00F53BDD">
        <w:t>required.</w:t>
      </w:r>
    </w:p>
    <w:p w:rsidR="00F4662A" w:rsidRPr="00F53BDD" w:rsidRDefault="00F4662A" w:rsidP="00084330">
      <w:pPr>
        <w:pStyle w:val="BodyText"/>
      </w:pPr>
      <w:r w:rsidRPr="00F53BDD">
        <w:t>The cost of establishing an NZ ETS regulator can be significantly reduced by extending the functions and role of an existing regulator. Expanding the role of an existing regulator might require a new personnel to monitor the NZ ETS, but we expect the costs to be between $1</w:t>
      </w:r>
      <w:r w:rsidR="00084330" w:rsidRPr="00F53BDD">
        <w:t> </w:t>
      </w:r>
      <w:r w:rsidRPr="00F53BDD">
        <w:t xml:space="preserve">million to $5 million. </w:t>
      </w:r>
    </w:p>
    <w:p w:rsidR="005701BC" w:rsidRPr="00F53BDD" w:rsidRDefault="005701BC" w:rsidP="00084330">
      <w:pPr>
        <w:pStyle w:val="BodyText"/>
      </w:pPr>
      <w:r w:rsidRPr="00F53BDD">
        <w:t xml:space="preserve">The costs of establishing a new regulator and any new regulations could be recovered or partially recovered from market participants, through licensing and registration fees or other cost recovery mechanisms. Further consultation on any cost-recovery mechanisms </w:t>
      </w:r>
      <w:r w:rsidR="005A3371" w:rsidRPr="00F53BDD">
        <w:t>would</w:t>
      </w:r>
      <w:r w:rsidRPr="00F53BDD">
        <w:t xml:space="preserve"> be undertaken in due course.</w:t>
      </w:r>
      <w:r w:rsidR="00EF04DA" w:rsidRPr="00F53BDD">
        <w:t xml:space="preserve"> </w:t>
      </w:r>
    </w:p>
    <w:p w:rsidR="00AB631F" w:rsidRPr="00F53BDD" w:rsidRDefault="00AB631F" w:rsidP="00AD5C0A">
      <w:pPr>
        <w:pStyle w:val="Heading3"/>
        <w:spacing w:before="240"/>
      </w:pPr>
      <w:r w:rsidRPr="00F53BDD">
        <w:t>Estimated timeframes for each option</w:t>
      </w:r>
    </w:p>
    <w:p w:rsidR="00AB631F" w:rsidRDefault="00AB631F" w:rsidP="00CB1961">
      <w:pPr>
        <w:pStyle w:val="BodyText"/>
        <w:rPr>
          <w:rFonts w:eastAsia="Times New Roman"/>
        </w:rPr>
      </w:pPr>
      <w:r w:rsidRPr="00F53BDD">
        <w:rPr>
          <w:rFonts w:eastAsia="Times New Roman"/>
        </w:rPr>
        <w:t>Implementation of each regulatory option requires the establishment of a regulator in the first instance. Setting up a regulator whether self-regulating body, advisory regulator, market monitoring regulator, market compliance regulator or market design regulator c</w:t>
      </w:r>
      <w:r w:rsidR="00D8465B">
        <w:rPr>
          <w:rFonts w:eastAsia="Times New Roman"/>
        </w:rPr>
        <w:t>ould</w:t>
      </w:r>
      <w:r w:rsidRPr="00F53BDD">
        <w:rPr>
          <w:rFonts w:eastAsia="Times New Roman"/>
        </w:rPr>
        <w:t xml:space="preserve"> take around 12 months. Implementing each further option will require additional time after the appropriate regulator is set up. </w:t>
      </w:r>
    </w:p>
    <w:p w:rsidR="00D8465B" w:rsidRPr="00812A66" w:rsidRDefault="00D8465B" w:rsidP="00CB1961">
      <w:pPr>
        <w:pStyle w:val="BodyText"/>
        <w:rPr>
          <w:rFonts w:eastAsia="Times New Roman"/>
          <w:b/>
          <w:sz w:val="20"/>
          <w:szCs w:val="20"/>
        </w:rPr>
      </w:pPr>
      <w:r w:rsidRPr="00812A66">
        <w:rPr>
          <w:b/>
          <w:sz w:val="20"/>
          <w:szCs w:val="20"/>
        </w:rPr>
        <w:t>Table 6:</w:t>
      </w:r>
      <w:r>
        <w:rPr>
          <w:b/>
          <w:sz w:val="20"/>
          <w:szCs w:val="20"/>
        </w:rPr>
        <w:t xml:space="preserve"> Estimated time to implement options after a regulator is set up</w:t>
      </w:r>
    </w:p>
    <w:tbl>
      <w:tblPr>
        <w:tblW w:w="8505"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CellMar>
          <w:left w:w="0" w:type="dxa"/>
          <w:right w:w="0" w:type="dxa"/>
        </w:tblCellMar>
        <w:tblLook w:val="04A0" w:firstRow="1" w:lastRow="0" w:firstColumn="1" w:lastColumn="0" w:noHBand="0" w:noVBand="1"/>
      </w:tblPr>
      <w:tblGrid>
        <w:gridCol w:w="3402"/>
        <w:gridCol w:w="5103"/>
      </w:tblGrid>
      <w:tr w:rsidR="00AF510A" w:rsidRPr="00F53BDD" w:rsidTr="00AD5C0A">
        <w:trPr>
          <w:tblHeader/>
        </w:trPr>
        <w:tc>
          <w:tcPr>
            <w:tcW w:w="3402" w:type="dxa"/>
            <w:tcBorders>
              <w:bottom w:val="single" w:sz="4" w:space="0" w:color="1C556C" w:themeColor="accent1"/>
            </w:tcBorders>
            <w:shd w:val="clear" w:color="auto" w:fill="1C556C" w:themeFill="accent1"/>
            <w:noWrap/>
            <w:tcMar>
              <w:top w:w="0" w:type="dxa"/>
              <w:left w:w="108" w:type="dxa"/>
              <w:bottom w:w="0" w:type="dxa"/>
              <w:right w:w="108" w:type="dxa"/>
            </w:tcMar>
            <w:hideMark/>
          </w:tcPr>
          <w:p w:rsidR="00AB631F" w:rsidRPr="00F53BDD" w:rsidRDefault="00AB631F" w:rsidP="00CB1961">
            <w:pPr>
              <w:pStyle w:val="TableTextbold"/>
              <w:spacing w:before="40" w:after="40"/>
              <w:rPr>
                <w:color w:val="FFFFFF" w:themeColor="background1"/>
              </w:rPr>
            </w:pPr>
            <w:r w:rsidRPr="00F53BDD">
              <w:rPr>
                <w:color w:val="FFFFFF" w:themeColor="background1"/>
              </w:rPr>
              <w:t>Option</w:t>
            </w:r>
          </w:p>
        </w:tc>
        <w:tc>
          <w:tcPr>
            <w:tcW w:w="5103" w:type="dxa"/>
            <w:tcBorders>
              <w:bottom w:val="single" w:sz="4" w:space="0" w:color="1C556C" w:themeColor="accent1"/>
            </w:tcBorders>
            <w:shd w:val="clear" w:color="auto" w:fill="1C556C" w:themeFill="accent1"/>
            <w:tcMar>
              <w:top w:w="0" w:type="dxa"/>
              <w:left w:w="108" w:type="dxa"/>
              <w:bottom w:w="0" w:type="dxa"/>
              <w:right w:w="108" w:type="dxa"/>
            </w:tcMar>
            <w:hideMark/>
          </w:tcPr>
          <w:p w:rsidR="00AB631F" w:rsidRPr="00F53BDD" w:rsidRDefault="00AB631F" w:rsidP="00CB1961">
            <w:pPr>
              <w:pStyle w:val="TableTextbold"/>
              <w:spacing w:before="40" w:after="40"/>
              <w:rPr>
                <w:color w:val="FFFFFF" w:themeColor="background1"/>
              </w:rPr>
            </w:pPr>
            <w:r w:rsidRPr="00F53BDD">
              <w:rPr>
                <w:color w:val="FFFFFF" w:themeColor="background1"/>
              </w:rPr>
              <w:t xml:space="preserve">Time to implement after regulator is set up </w:t>
            </w:r>
          </w:p>
        </w:tc>
      </w:tr>
      <w:tr w:rsidR="00AB631F" w:rsidRPr="00F53BDD" w:rsidTr="003A7D8A">
        <w:tc>
          <w:tcPr>
            <w:tcW w:w="8505" w:type="dxa"/>
            <w:gridSpan w:val="2"/>
            <w:shd w:val="clear" w:color="auto" w:fill="D2DDE2" w:themeFill="accent3"/>
            <w:noWrap/>
            <w:tcMar>
              <w:top w:w="0" w:type="dxa"/>
              <w:left w:w="108" w:type="dxa"/>
              <w:bottom w:w="0" w:type="dxa"/>
              <w:right w:w="108" w:type="dxa"/>
            </w:tcMar>
            <w:hideMark/>
          </w:tcPr>
          <w:p w:rsidR="00AB631F" w:rsidRPr="00F53BDD" w:rsidRDefault="00AB631F" w:rsidP="00CB1961">
            <w:pPr>
              <w:pStyle w:val="TableTextbold"/>
              <w:spacing w:before="40" w:after="40"/>
            </w:pPr>
            <w:r w:rsidRPr="00F53BDD">
              <w:t>Governance of advice options</w:t>
            </w:r>
          </w:p>
        </w:tc>
      </w:tr>
      <w:tr w:rsidR="00AB631F" w:rsidRPr="00F53BDD" w:rsidTr="00AD5C0A">
        <w:tc>
          <w:tcPr>
            <w:tcW w:w="3402"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Education campaign and information pack*</w:t>
            </w:r>
          </w:p>
        </w:tc>
        <w:tc>
          <w:tcPr>
            <w:tcW w:w="5103"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6 months</w:t>
            </w:r>
          </w:p>
        </w:tc>
      </w:tr>
      <w:tr w:rsidR="00AB631F" w:rsidRPr="00F53BDD" w:rsidTr="00AD5C0A">
        <w:tc>
          <w:tcPr>
            <w:tcW w:w="3402" w:type="dxa"/>
            <w:tcMar>
              <w:top w:w="0" w:type="dxa"/>
              <w:left w:w="108" w:type="dxa"/>
              <w:bottom w:w="0" w:type="dxa"/>
              <w:right w:w="108" w:type="dxa"/>
            </w:tcMar>
            <w:hideMark/>
          </w:tcPr>
          <w:p w:rsidR="00AB631F" w:rsidRPr="00F53BDD" w:rsidRDefault="00AB631F" w:rsidP="00CB1961">
            <w:pPr>
              <w:pStyle w:val="TableText"/>
              <w:spacing w:before="40" w:after="40"/>
            </w:pPr>
            <w:r w:rsidRPr="00F53BDD">
              <w:t>Sector guidelines for NZU advisers*</w:t>
            </w:r>
          </w:p>
        </w:tc>
        <w:tc>
          <w:tcPr>
            <w:tcW w:w="5103" w:type="dxa"/>
            <w:tcMar>
              <w:top w:w="0" w:type="dxa"/>
              <w:left w:w="108" w:type="dxa"/>
              <w:bottom w:w="0" w:type="dxa"/>
              <w:right w:w="108" w:type="dxa"/>
            </w:tcMar>
            <w:hideMark/>
          </w:tcPr>
          <w:p w:rsidR="00AB631F" w:rsidRPr="00F53BDD" w:rsidRDefault="00AB631F" w:rsidP="00CB1961">
            <w:pPr>
              <w:pStyle w:val="TableText"/>
              <w:spacing w:before="40" w:after="40"/>
            </w:pPr>
            <w:r w:rsidRPr="00F53BDD">
              <w:t xml:space="preserve">12 months depending on detail and who is responsible for these </w:t>
            </w:r>
          </w:p>
        </w:tc>
      </w:tr>
      <w:tr w:rsidR="00AB631F" w:rsidRPr="00F53BDD" w:rsidTr="00AD5C0A">
        <w:tc>
          <w:tcPr>
            <w:tcW w:w="3402" w:type="dxa"/>
            <w:tcBorders>
              <w:bottom w:val="single" w:sz="4" w:space="0" w:color="1C556C" w:themeColor="accent1"/>
            </w:tcBorders>
            <w:tcMar>
              <w:top w:w="0" w:type="dxa"/>
              <w:left w:w="108" w:type="dxa"/>
              <w:bottom w:w="0" w:type="dxa"/>
              <w:right w:w="108" w:type="dxa"/>
            </w:tcMar>
            <w:hideMark/>
          </w:tcPr>
          <w:p w:rsidR="00AB631F" w:rsidRPr="00F53BDD" w:rsidRDefault="00AB631F" w:rsidP="00CB1961">
            <w:pPr>
              <w:pStyle w:val="TableText"/>
              <w:spacing w:before="40" w:after="40"/>
            </w:pPr>
            <w:r w:rsidRPr="00F53BDD">
              <w:t>Code of conduct, licensing, and registration of NZU advisers</w:t>
            </w:r>
          </w:p>
        </w:tc>
        <w:tc>
          <w:tcPr>
            <w:tcW w:w="5103" w:type="dxa"/>
            <w:tcBorders>
              <w:bottom w:val="single" w:sz="4" w:space="0" w:color="1C556C" w:themeColor="accent1"/>
            </w:tcBorders>
            <w:tcMar>
              <w:top w:w="0" w:type="dxa"/>
              <w:left w:w="108" w:type="dxa"/>
              <w:bottom w:w="0" w:type="dxa"/>
              <w:right w:w="108" w:type="dxa"/>
            </w:tcMar>
            <w:hideMark/>
          </w:tcPr>
          <w:p w:rsidR="00AB631F" w:rsidRPr="00F53BDD" w:rsidRDefault="00AB631F" w:rsidP="00CB1961">
            <w:pPr>
              <w:pStyle w:val="TableText"/>
              <w:spacing w:before="40" w:after="40"/>
            </w:pPr>
            <w:r w:rsidRPr="00F53BDD">
              <w:t>18 months depending on detail required, licencing etc.</w:t>
            </w:r>
          </w:p>
        </w:tc>
      </w:tr>
      <w:tr w:rsidR="00AB631F" w:rsidRPr="00F53BDD" w:rsidTr="003A7D8A">
        <w:tc>
          <w:tcPr>
            <w:tcW w:w="8505" w:type="dxa"/>
            <w:gridSpan w:val="2"/>
            <w:shd w:val="clear" w:color="auto" w:fill="D2DDE2" w:themeFill="accent3"/>
            <w:noWrap/>
            <w:tcMar>
              <w:top w:w="0" w:type="dxa"/>
              <w:left w:w="108" w:type="dxa"/>
              <w:bottom w:w="0" w:type="dxa"/>
              <w:right w:w="108" w:type="dxa"/>
            </w:tcMar>
            <w:hideMark/>
          </w:tcPr>
          <w:p w:rsidR="00AB631F" w:rsidRPr="00F53BDD" w:rsidRDefault="00AB631F" w:rsidP="00CB1961">
            <w:pPr>
              <w:pStyle w:val="TableTextbold"/>
              <w:spacing w:before="40" w:after="40"/>
            </w:pPr>
            <w:r w:rsidRPr="00F53BDD">
              <w:t>Governance of trading options</w:t>
            </w:r>
          </w:p>
        </w:tc>
      </w:tr>
      <w:tr w:rsidR="00AB631F" w:rsidRPr="00F53BDD" w:rsidTr="00AD5C0A">
        <w:tc>
          <w:tcPr>
            <w:tcW w:w="3402"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Voluntary reporting of trades</w:t>
            </w:r>
          </w:p>
        </w:tc>
        <w:tc>
          <w:tcPr>
            <w:tcW w:w="5103"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6 months</w:t>
            </w:r>
          </w:p>
        </w:tc>
      </w:tr>
      <w:tr w:rsidR="00AB631F" w:rsidRPr="00F53BDD" w:rsidTr="00AD5C0A">
        <w:tc>
          <w:tcPr>
            <w:tcW w:w="3402"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Participant position reporting</w:t>
            </w:r>
          </w:p>
        </w:tc>
        <w:tc>
          <w:tcPr>
            <w:tcW w:w="5103"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6 months</w:t>
            </w:r>
          </w:p>
        </w:tc>
      </w:tr>
      <w:tr w:rsidR="00AB631F" w:rsidRPr="00F53BDD" w:rsidTr="00AD5C0A">
        <w:tc>
          <w:tcPr>
            <w:tcW w:w="3402" w:type="dxa"/>
            <w:tcBorders>
              <w:bottom w:val="single" w:sz="4" w:space="0" w:color="1C556C" w:themeColor="accent1"/>
            </w:tcBorders>
            <w:noWrap/>
            <w:tcMar>
              <w:top w:w="0" w:type="dxa"/>
              <w:left w:w="108" w:type="dxa"/>
              <w:bottom w:w="0" w:type="dxa"/>
              <w:right w:w="108" w:type="dxa"/>
            </w:tcMar>
            <w:hideMark/>
          </w:tcPr>
          <w:p w:rsidR="00AB631F" w:rsidRPr="00F53BDD" w:rsidRDefault="00AB631F" w:rsidP="00CB1961">
            <w:pPr>
              <w:pStyle w:val="TableText"/>
              <w:spacing w:before="40" w:after="40"/>
            </w:pPr>
            <w:r w:rsidRPr="00F53BDD">
              <w:t>Exchange-based trading</w:t>
            </w:r>
          </w:p>
        </w:tc>
        <w:tc>
          <w:tcPr>
            <w:tcW w:w="5103" w:type="dxa"/>
            <w:tcBorders>
              <w:bottom w:val="single" w:sz="4" w:space="0" w:color="1C556C" w:themeColor="accent1"/>
            </w:tcBorders>
            <w:tcMar>
              <w:top w:w="0" w:type="dxa"/>
              <w:left w:w="108" w:type="dxa"/>
              <w:bottom w:w="0" w:type="dxa"/>
              <w:right w:w="108" w:type="dxa"/>
            </w:tcMar>
            <w:hideMark/>
          </w:tcPr>
          <w:p w:rsidR="00AB631F" w:rsidRPr="00F53BDD" w:rsidRDefault="00AB631F" w:rsidP="00CB1961">
            <w:pPr>
              <w:pStyle w:val="TableText"/>
              <w:spacing w:before="40" w:after="40"/>
            </w:pPr>
            <w:r w:rsidRPr="00F53BDD">
              <w:t>18 months to set up the platform</w:t>
            </w:r>
          </w:p>
        </w:tc>
      </w:tr>
      <w:tr w:rsidR="00AB631F" w:rsidRPr="00F53BDD" w:rsidTr="003A7D8A">
        <w:tc>
          <w:tcPr>
            <w:tcW w:w="8505" w:type="dxa"/>
            <w:gridSpan w:val="2"/>
            <w:shd w:val="clear" w:color="auto" w:fill="D2DDE2" w:themeFill="accent3"/>
            <w:noWrap/>
            <w:tcMar>
              <w:top w:w="0" w:type="dxa"/>
              <w:left w:w="108" w:type="dxa"/>
              <w:bottom w:w="0" w:type="dxa"/>
              <w:right w:w="108" w:type="dxa"/>
            </w:tcMar>
            <w:hideMark/>
          </w:tcPr>
          <w:p w:rsidR="00AB631F" w:rsidRPr="00F53BDD" w:rsidRDefault="00AB631F" w:rsidP="00CB1961">
            <w:pPr>
              <w:pStyle w:val="TableTextbold"/>
              <w:spacing w:before="40" w:after="40"/>
            </w:pPr>
            <w:r w:rsidRPr="00F53BDD">
              <w:t>Governance of market conduct options</w:t>
            </w:r>
          </w:p>
        </w:tc>
      </w:tr>
      <w:tr w:rsidR="00AB631F" w:rsidRPr="00F53BDD" w:rsidTr="00AD5C0A">
        <w:tc>
          <w:tcPr>
            <w:tcW w:w="3402"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Position and purchase limits</w:t>
            </w:r>
          </w:p>
        </w:tc>
        <w:tc>
          <w:tcPr>
            <w:tcW w:w="5103"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6 months</w:t>
            </w:r>
          </w:p>
        </w:tc>
      </w:tr>
      <w:tr w:rsidR="00AB631F" w:rsidRPr="00F53BDD" w:rsidTr="00AD5C0A">
        <w:tc>
          <w:tcPr>
            <w:tcW w:w="3402"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Price reporting</w:t>
            </w:r>
          </w:p>
        </w:tc>
        <w:tc>
          <w:tcPr>
            <w:tcW w:w="5103"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6 months</w:t>
            </w:r>
          </w:p>
        </w:tc>
      </w:tr>
      <w:tr w:rsidR="00AB631F" w:rsidRPr="00F53BDD" w:rsidTr="00AD5C0A">
        <w:tc>
          <w:tcPr>
            <w:tcW w:w="3402"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Full transaction detail reporting</w:t>
            </w:r>
          </w:p>
        </w:tc>
        <w:tc>
          <w:tcPr>
            <w:tcW w:w="5103" w:type="dxa"/>
            <w:noWrap/>
            <w:tcMar>
              <w:top w:w="0" w:type="dxa"/>
              <w:left w:w="108" w:type="dxa"/>
              <w:bottom w:w="0" w:type="dxa"/>
              <w:right w:w="108" w:type="dxa"/>
            </w:tcMar>
            <w:hideMark/>
          </w:tcPr>
          <w:p w:rsidR="00AB631F" w:rsidRPr="00F53BDD" w:rsidRDefault="00AB631F" w:rsidP="00CB1961">
            <w:pPr>
              <w:pStyle w:val="TableText"/>
              <w:spacing w:before="40" w:after="40"/>
            </w:pPr>
            <w:r w:rsidRPr="00F53BDD">
              <w:t>6 months</w:t>
            </w:r>
          </w:p>
        </w:tc>
      </w:tr>
    </w:tbl>
    <w:p w:rsidR="00F4662A" w:rsidRPr="00F53BDD" w:rsidRDefault="00AB631F" w:rsidP="00EF7243">
      <w:pPr>
        <w:pStyle w:val="Note"/>
        <w:spacing w:before="60" w:after="0"/>
        <w:rPr>
          <w:rFonts w:eastAsiaTheme="minorHAnsi"/>
          <w:szCs w:val="20"/>
        </w:rPr>
      </w:pPr>
      <w:r w:rsidRPr="00F53BDD">
        <w:t>* Non-regulatory option that does not require regulator set up</w:t>
      </w:r>
    </w:p>
    <w:p w:rsidR="00AA185C" w:rsidRPr="00F53BDD" w:rsidRDefault="00AA185C" w:rsidP="009851A5">
      <w:pPr>
        <w:pStyle w:val="Heading3"/>
      </w:pPr>
      <w:r w:rsidRPr="00F53BDD">
        <w:t>Announc</w:t>
      </w:r>
      <w:r w:rsidR="005261CA" w:rsidRPr="00F53BDD">
        <w:t>ing</w:t>
      </w:r>
      <w:r w:rsidRPr="00F53BDD">
        <w:t xml:space="preserve"> </w:t>
      </w:r>
      <w:r w:rsidR="005261CA" w:rsidRPr="00F53BDD">
        <w:t xml:space="preserve">ETS </w:t>
      </w:r>
      <w:r w:rsidRPr="00F53BDD">
        <w:t>policy</w:t>
      </w:r>
      <w:r w:rsidR="00EF04DA" w:rsidRPr="00F53BDD">
        <w:t xml:space="preserve"> </w:t>
      </w:r>
    </w:p>
    <w:p w:rsidR="00AA185C" w:rsidRPr="00F53BDD" w:rsidRDefault="00A313F5" w:rsidP="00AF510A">
      <w:pPr>
        <w:pStyle w:val="BodyText"/>
      </w:pPr>
      <w:r w:rsidRPr="00F53BDD">
        <w:t>The Government wants all users</w:t>
      </w:r>
      <w:r w:rsidR="001367FB" w:rsidRPr="00F53BDD">
        <w:t xml:space="preserve"> to</w:t>
      </w:r>
      <w:r w:rsidRPr="00F53BDD">
        <w:t xml:space="preserve"> have fair access to information </w:t>
      </w:r>
      <w:r w:rsidR="001367FB" w:rsidRPr="00F53BDD">
        <w:t>about</w:t>
      </w:r>
      <w:r w:rsidRPr="00F53BDD">
        <w:t xml:space="preserve"> </w:t>
      </w:r>
      <w:r w:rsidR="00AA185C" w:rsidRPr="00F53BDD">
        <w:t>potential or actual change</w:t>
      </w:r>
      <w:r w:rsidRPr="00F53BDD">
        <w:t>s</w:t>
      </w:r>
      <w:r w:rsidR="00AA185C" w:rsidRPr="00F53BDD">
        <w:t xml:space="preserve"> to policy that may </w:t>
      </w:r>
      <w:r w:rsidR="001367FB" w:rsidRPr="00F53BDD">
        <w:t xml:space="preserve">affect </w:t>
      </w:r>
      <w:r w:rsidR="00AA185C" w:rsidRPr="00F53BDD">
        <w:t>NZU</w:t>
      </w:r>
      <w:r w:rsidR="00EC3C78" w:rsidRPr="00F53BDD">
        <w:t xml:space="preserve"> prices</w:t>
      </w:r>
      <w:r w:rsidR="00AA185C" w:rsidRPr="00F53BDD">
        <w:t xml:space="preserve">. </w:t>
      </w:r>
    </w:p>
    <w:p w:rsidR="00366B20" w:rsidRPr="00F53BDD" w:rsidRDefault="00366B20" w:rsidP="00AF510A">
      <w:pPr>
        <w:pStyle w:val="Heading3"/>
      </w:pPr>
      <w:r w:rsidRPr="00F53BDD">
        <w:t>Material information</w:t>
      </w:r>
    </w:p>
    <w:p w:rsidR="00AA185C" w:rsidRPr="00F53BDD" w:rsidRDefault="00A313F5" w:rsidP="00AF510A">
      <w:pPr>
        <w:pStyle w:val="BodyText"/>
      </w:pPr>
      <w:r w:rsidRPr="00F53BDD">
        <w:t>D</w:t>
      </w:r>
      <w:r w:rsidR="00AA185C" w:rsidRPr="00F53BDD">
        <w:t>uring the ETS reform process, the Ministry for the Environment implemented procedures t</w:t>
      </w:r>
      <w:r w:rsidR="00CA4768">
        <w:t>o</w:t>
      </w:r>
      <w:r w:rsidR="00F53BDD" w:rsidRPr="00F53BDD">
        <w:t xml:space="preserve"> </w:t>
      </w:r>
      <w:r w:rsidR="00AA185C" w:rsidRPr="00F53BDD">
        <w:t xml:space="preserve">manage the announcement of </w:t>
      </w:r>
      <w:r w:rsidR="00E83A25" w:rsidRPr="00F53BDD">
        <w:t xml:space="preserve">material information on </w:t>
      </w:r>
      <w:r w:rsidR="00AA185C" w:rsidRPr="00F53BDD">
        <w:t xml:space="preserve">key policy decisions </w:t>
      </w:r>
      <w:r w:rsidR="001367FB" w:rsidRPr="00F53BDD">
        <w:t>on</w:t>
      </w:r>
      <w:r w:rsidR="00AA185C" w:rsidRPr="00F53BDD">
        <w:t xml:space="preserve"> the ETS</w:t>
      </w:r>
      <w:r w:rsidR="00EC3C78" w:rsidRPr="00F53BDD">
        <w:t xml:space="preserve">. </w:t>
      </w:r>
      <w:r w:rsidR="00E83A25" w:rsidRPr="00F53BDD">
        <w:t>We</w:t>
      </w:r>
      <w:r w:rsidR="00EF7243" w:rsidRPr="00F53BDD">
        <w:t> </w:t>
      </w:r>
      <w:r w:rsidR="00E83A25" w:rsidRPr="00F53BDD">
        <w:t xml:space="preserve">consider information to be ‘material’ if a reasonable person would expect it to have a significant effect on the price of NZUs if it were publicly available. </w:t>
      </w:r>
      <w:r w:rsidRPr="00F53BDD">
        <w:t xml:space="preserve">For example, </w:t>
      </w:r>
      <w:r w:rsidR="00AA185C" w:rsidRPr="00F53BDD">
        <w:t>changes to New</w:t>
      </w:r>
      <w:r w:rsidR="00AF510A" w:rsidRPr="00F53BDD">
        <w:t> </w:t>
      </w:r>
      <w:r w:rsidR="00AA185C" w:rsidRPr="00F53BDD">
        <w:t>Zealand’s domestic emissions budgets</w:t>
      </w:r>
      <w:r w:rsidR="001367FB" w:rsidRPr="00F53BDD">
        <w:t>,</w:t>
      </w:r>
      <w:r w:rsidRPr="00F53BDD">
        <w:t xml:space="preserve"> or </w:t>
      </w:r>
      <w:r w:rsidR="00AA185C" w:rsidRPr="00F53BDD">
        <w:t>how many NZUs will be sold at auction</w:t>
      </w:r>
      <w:r w:rsidRPr="00F53BDD">
        <w:t>.</w:t>
      </w:r>
    </w:p>
    <w:p w:rsidR="00366B20" w:rsidRPr="00F53BDD" w:rsidRDefault="00366B20" w:rsidP="00AF510A">
      <w:pPr>
        <w:pStyle w:val="Heading3"/>
      </w:pPr>
      <w:r w:rsidRPr="00F53BDD">
        <w:t>Announcement process</w:t>
      </w:r>
    </w:p>
    <w:p w:rsidR="00AA185C" w:rsidRPr="00F53BDD" w:rsidRDefault="00AA185C" w:rsidP="00AF510A">
      <w:pPr>
        <w:pStyle w:val="BodyText"/>
      </w:pPr>
      <w:r w:rsidRPr="00F53BDD">
        <w:t>The process includes a pre</w:t>
      </w:r>
      <w:r w:rsidR="00CA4768">
        <w:t>-</w:t>
      </w:r>
      <w:r w:rsidRPr="00F53BDD">
        <w:t xml:space="preserve">announcement </w:t>
      </w:r>
      <w:r w:rsidR="00683E05" w:rsidRPr="00F53BDD">
        <w:t xml:space="preserve">and then an </w:t>
      </w:r>
      <w:r w:rsidRPr="00F53BDD">
        <w:t>announcement</w:t>
      </w:r>
      <w:r w:rsidR="00EC3C78" w:rsidRPr="00F53BDD">
        <w:t>:</w:t>
      </w:r>
    </w:p>
    <w:p w:rsidR="00AA185C" w:rsidRPr="00F53BDD" w:rsidRDefault="005261CA" w:rsidP="00AF510A">
      <w:pPr>
        <w:pStyle w:val="Bullet"/>
      </w:pPr>
      <w:r w:rsidRPr="00F53BDD">
        <w:t>A</w:t>
      </w:r>
      <w:r w:rsidR="00683E05" w:rsidRPr="00F53BDD">
        <w:t xml:space="preserve"> </w:t>
      </w:r>
      <w:r w:rsidRPr="00F53BDD">
        <w:t>p</w:t>
      </w:r>
      <w:r w:rsidR="00AA185C" w:rsidRPr="00F53BDD">
        <w:t>re</w:t>
      </w:r>
      <w:r w:rsidR="00CA4768">
        <w:t>-</w:t>
      </w:r>
      <w:r w:rsidR="00AA185C" w:rsidRPr="00F53BDD">
        <w:t>announcement</w:t>
      </w:r>
      <w:r w:rsidR="00EC3C78" w:rsidRPr="00F53BDD">
        <w:t xml:space="preserve"> is </w:t>
      </w:r>
      <w:r w:rsidR="00AA185C" w:rsidRPr="00F53BDD">
        <w:t xml:space="preserve">a statement </w:t>
      </w:r>
      <w:r w:rsidR="00EC3C78" w:rsidRPr="00F53BDD">
        <w:t xml:space="preserve">made </w:t>
      </w:r>
      <w:r w:rsidR="00AA185C" w:rsidRPr="00F53BDD">
        <w:t xml:space="preserve">one or two days </w:t>
      </w:r>
      <w:r w:rsidR="00EC3C78" w:rsidRPr="00F53BDD">
        <w:t>early</w:t>
      </w:r>
      <w:r w:rsidRPr="00F53BDD">
        <w:t>.</w:t>
      </w:r>
      <w:r w:rsidR="00EF04DA" w:rsidRPr="00F53BDD">
        <w:t xml:space="preserve"> </w:t>
      </w:r>
      <w:r w:rsidRPr="00F53BDD">
        <w:t>It states</w:t>
      </w:r>
      <w:r w:rsidR="00EC3C78" w:rsidRPr="00F53BDD">
        <w:t xml:space="preserve"> when </w:t>
      </w:r>
      <w:r w:rsidRPr="00F53BDD">
        <w:t xml:space="preserve">an </w:t>
      </w:r>
      <w:r w:rsidR="00AA185C" w:rsidRPr="00F53BDD">
        <w:t>announcement is due</w:t>
      </w:r>
      <w:r w:rsidRPr="00F53BDD">
        <w:t>,</w:t>
      </w:r>
      <w:r w:rsidR="00EC3C78" w:rsidRPr="00F53BDD">
        <w:t xml:space="preserve"> and </w:t>
      </w:r>
      <w:r w:rsidR="00AA185C" w:rsidRPr="00F53BDD">
        <w:t>that officials will not be answering questions until that time.</w:t>
      </w:r>
      <w:r w:rsidR="00FE11CD" w:rsidRPr="00F53BDD">
        <w:t> </w:t>
      </w:r>
      <w:r w:rsidR="00EC3C78" w:rsidRPr="00F53BDD">
        <w:t>In</w:t>
      </w:r>
      <w:r w:rsidR="00FE11CD" w:rsidRPr="00F53BDD">
        <w:t> </w:t>
      </w:r>
      <w:r w:rsidR="00EC3C78" w:rsidRPr="00F53BDD">
        <w:t>some cases, information may be released without a pre</w:t>
      </w:r>
      <w:r w:rsidR="00CA4768">
        <w:t>-</w:t>
      </w:r>
      <w:r w:rsidR="00EC3C78" w:rsidRPr="00F53BDD">
        <w:t>announcement.</w:t>
      </w:r>
    </w:p>
    <w:p w:rsidR="00EC3C78" w:rsidRPr="00F53BDD" w:rsidRDefault="00AA185C">
      <w:pPr>
        <w:pStyle w:val="Bullet"/>
      </w:pPr>
      <w:r w:rsidRPr="00F53BDD">
        <w:t>Announcement</w:t>
      </w:r>
      <w:r w:rsidR="00EC3C78" w:rsidRPr="00F53BDD">
        <w:t>s are:</w:t>
      </w:r>
    </w:p>
    <w:p w:rsidR="00EC3C78" w:rsidRPr="00F53BDD" w:rsidRDefault="00EC3C78" w:rsidP="00AF510A">
      <w:pPr>
        <w:pStyle w:val="Sub-list"/>
      </w:pPr>
      <w:r w:rsidRPr="00F53BDD">
        <w:t xml:space="preserve">made </w:t>
      </w:r>
      <w:r w:rsidR="00AA185C" w:rsidRPr="00F53BDD">
        <w:t xml:space="preserve">outside ETS market trading hours </w:t>
      </w:r>
    </w:p>
    <w:p w:rsidR="00EC3C78" w:rsidRPr="00F53BDD" w:rsidRDefault="00AA185C" w:rsidP="00AF510A">
      <w:pPr>
        <w:pStyle w:val="Sub-list"/>
      </w:pPr>
      <w:r w:rsidRPr="00F53BDD">
        <w:t xml:space="preserve">on the date and as close to the announcement time as practicable </w:t>
      </w:r>
    </w:p>
    <w:p w:rsidR="00EC3C78" w:rsidRPr="00F53BDD" w:rsidRDefault="00AA185C" w:rsidP="00AF510A">
      <w:pPr>
        <w:pStyle w:val="Sub-list"/>
      </w:pPr>
      <w:r w:rsidRPr="00F53BDD">
        <w:t>disclosed to the market on a public website</w:t>
      </w:r>
    </w:p>
    <w:p w:rsidR="00AA185C" w:rsidRPr="00F53BDD" w:rsidRDefault="00AA185C" w:rsidP="00AF510A">
      <w:pPr>
        <w:pStyle w:val="Sub-list"/>
      </w:pPr>
      <w:r w:rsidRPr="00F53BDD">
        <w:t>followed by emails to all ETS account holders and stakeholders.</w:t>
      </w:r>
    </w:p>
    <w:p w:rsidR="00AA185C" w:rsidRPr="00F53BDD" w:rsidRDefault="00AA185C" w:rsidP="00AF510A">
      <w:pPr>
        <w:pStyle w:val="BodyText"/>
      </w:pPr>
      <w:r w:rsidRPr="00F53BDD">
        <w:t xml:space="preserve">There is currently no requirement for the </w:t>
      </w:r>
      <w:r w:rsidR="005261CA" w:rsidRPr="00F53BDD">
        <w:t>G</w:t>
      </w:r>
      <w:r w:rsidRPr="00F53BDD">
        <w:t xml:space="preserve">overnment to follow </w:t>
      </w:r>
      <w:r w:rsidR="005261CA" w:rsidRPr="00F53BDD">
        <w:t xml:space="preserve">such </w:t>
      </w:r>
      <w:r w:rsidRPr="00F53BDD">
        <w:t>processes, but as the lead policy agency for the ETS</w:t>
      </w:r>
      <w:r w:rsidR="005261CA" w:rsidRPr="00F53BDD">
        <w:t>,</w:t>
      </w:r>
      <w:r w:rsidRPr="00F53BDD">
        <w:t xml:space="preserve"> </w:t>
      </w:r>
      <w:r w:rsidR="00A313F5" w:rsidRPr="00F53BDD">
        <w:t>the Ministry for the Environment</w:t>
      </w:r>
      <w:r w:rsidR="00CA4768">
        <w:t>,</w:t>
      </w:r>
      <w:r w:rsidRPr="00F53BDD">
        <w:t xml:space="preserve"> considers this good practice.</w:t>
      </w:r>
      <w:r w:rsidR="00EF04DA" w:rsidRPr="00F53BDD">
        <w:t xml:space="preserve"> </w:t>
      </w:r>
    </w:p>
    <w:p w:rsidR="005F75E9" w:rsidRPr="00F53BDD" w:rsidRDefault="00CA4768" w:rsidP="00460FAC">
      <w:pPr>
        <w:pStyle w:val="Heading2"/>
        <w:spacing w:after="240"/>
      </w:pPr>
      <w:bookmarkStart w:id="66" w:name="_Toc75250080"/>
      <w:r>
        <w:t>Consultation</w:t>
      </w:r>
      <w:r w:rsidRPr="00F53BDD">
        <w:t xml:space="preserve"> </w:t>
      </w:r>
      <w:r w:rsidR="005F75E9" w:rsidRPr="00F53BDD">
        <w:t>questions</w:t>
      </w:r>
      <w:bookmarkEnd w:id="66"/>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460FAC" w:rsidRPr="00F53BDD" w:rsidTr="00460FAC">
        <w:tc>
          <w:tcPr>
            <w:tcW w:w="0" w:type="auto"/>
            <w:shd w:val="clear" w:color="auto" w:fill="D2DDE2"/>
          </w:tcPr>
          <w:p w:rsidR="00812A66" w:rsidRPr="00812A66" w:rsidRDefault="00812A66" w:rsidP="00812A66">
            <w:pPr>
              <w:pStyle w:val="Blueboxnumbered"/>
              <w:numPr>
                <w:ilvl w:val="0"/>
                <w:numId w:val="0"/>
              </w:numPr>
              <w:spacing w:before="240"/>
              <w:ind w:left="680" w:hanging="396"/>
              <w:rPr>
                <w:b/>
              </w:rPr>
            </w:pPr>
            <w:r w:rsidRPr="00812A66">
              <w:rPr>
                <w:b/>
              </w:rPr>
              <w:t xml:space="preserve">Appointing a regulator </w:t>
            </w:r>
          </w:p>
          <w:p w:rsidR="00026F8A" w:rsidRPr="00F53BDD" w:rsidRDefault="00026F8A" w:rsidP="00AD5C0A">
            <w:pPr>
              <w:pStyle w:val="Blueboxnumbered"/>
              <w:ind w:left="681" w:hanging="397"/>
            </w:pPr>
            <w:r w:rsidRPr="00F53BDD">
              <w:t>To what extent would appointing a regulator improve trust, efficiency and confidence in the ETS?</w:t>
            </w:r>
          </w:p>
          <w:p w:rsidR="00460FAC" w:rsidRDefault="00026F8A" w:rsidP="00BD090F">
            <w:pPr>
              <w:pStyle w:val="Blueboxnumbered"/>
            </w:pPr>
            <w:r w:rsidRPr="00F53BDD">
              <w:t>What functions and powers would a regulator require to improve trust, efficiency and confidence in the ETS?</w:t>
            </w:r>
          </w:p>
          <w:p w:rsidR="00812A66" w:rsidRPr="00812A66" w:rsidRDefault="00812A66" w:rsidP="00812A66">
            <w:pPr>
              <w:pStyle w:val="Blueboxnumbered"/>
              <w:numPr>
                <w:ilvl w:val="0"/>
                <w:numId w:val="0"/>
              </w:numPr>
              <w:ind w:left="284"/>
              <w:rPr>
                <w:b/>
              </w:rPr>
            </w:pPr>
            <w:r w:rsidRPr="00812A66">
              <w:rPr>
                <w:b/>
              </w:rPr>
              <w:t>Material information</w:t>
            </w:r>
          </w:p>
          <w:p w:rsidR="00026F8A" w:rsidRPr="00F53BDD" w:rsidRDefault="00026F8A" w:rsidP="00BD090F">
            <w:pPr>
              <w:pStyle w:val="Blueboxnumbered"/>
            </w:pPr>
            <w:r w:rsidRPr="00F53BDD">
              <w:t>Do you agree with the definition of ‘material information’ as it relates to NZUs?</w:t>
            </w:r>
          </w:p>
          <w:p w:rsidR="00026F8A" w:rsidRPr="00F53BDD" w:rsidRDefault="00026F8A" w:rsidP="00BD090F">
            <w:pPr>
              <w:pStyle w:val="Blueboxnumbered"/>
            </w:pPr>
            <w:r w:rsidRPr="00F53BDD">
              <w:t>Do you agree that the Government should be required to disclose ‘material information’ about NZUs to the market in a way that encourages equal access to information?</w:t>
            </w:r>
          </w:p>
          <w:p w:rsidR="00026F8A" w:rsidRPr="00F53BDD" w:rsidRDefault="00026F8A" w:rsidP="00026F8A">
            <w:pPr>
              <w:pStyle w:val="Blueboxtext"/>
              <w:rPr>
                <w:b/>
                <w:bCs/>
              </w:rPr>
            </w:pPr>
            <w:r w:rsidRPr="00F53BDD">
              <w:rPr>
                <w:b/>
                <w:bCs/>
              </w:rPr>
              <w:t>Other options</w:t>
            </w:r>
          </w:p>
          <w:p w:rsidR="00026F8A" w:rsidRPr="00F53BDD" w:rsidRDefault="00026F8A" w:rsidP="00BD090F">
            <w:pPr>
              <w:pStyle w:val="Blueboxnumbered"/>
              <w:spacing w:after="240"/>
            </w:pPr>
            <w:r w:rsidRPr="00F53BDD">
              <w:t>What other types of regulator could the Government consider appointing?</w:t>
            </w:r>
          </w:p>
        </w:tc>
      </w:tr>
    </w:tbl>
    <w:p w:rsidR="00142B67" w:rsidRPr="00F53BDD" w:rsidRDefault="00142B67" w:rsidP="00026F8A">
      <w:pPr>
        <w:pStyle w:val="BodyText"/>
      </w:pPr>
      <w:bookmarkStart w:id="67" w:name="_Toc73546760"/>
      <w:r w:rsidRPr="00F53BDD">
        <w:br w:type="page"/>
      </w:r>
    </w:p>
    <w:p w:rsidR="00142B67" w:rsidRPr="00F53BDD" w:rsidRDefault="00B92FA9" w:rsidP="00F16D1F">
      <w:pPr>
        <w:pStyle w:val="Heading1"/>
      </w:pPr>
      <w:bookmarkStart w:id="68" w:name="_Toc75250081"/>
      <w:r w:rsidRPr="00F53BDD">
        <w:t xml:space="preserve">Section 7: </w:t>
      </w:r>
      <w:bookmarkStart w:id="69" w:name="_Hlk74911258"/>
      <w:bookmarkEnd w:id="67"/>
      <w:r w:rsidRPr="00F53BDD">
        <w:t>Analysis of options</w:t>
      </w:r>
      <w:bookmarkEnd w:id="68"/>
      <w:bookmarkEnd w:id="69"/>
    </w:p>
    <w:p w:rsidR="00B92FA9" w:rsidRPr="00F53BDD" w:rsidRDefault="00B92FA9" w:rsidP="00587034">
      <w:pPr>
        <w:pStyle w:val="BodyText"/>
        <w:spacing w:before="100" w:after="100"/>
      </w:pPr>
      <w:r w:rsidRPr="00F53BDD">
        <w:t>This section has two parts:</w:t>
      </w:r>
    </w:p>
    <w:p w:rsidR="00B92FA9" w:rsidRPr="00F53BDD" w:rsidRDefault="00B92FA9" w:rsidP="00812A66">
      <w:pPr>
        <w:pStyle w:val="Bullet"/>
        <w:numPr>
          <w:ilvl w:val="0"/>
          <w:numId w:val="27"/>
        </w:numPr>
        <w:spacing w:after="100"/>
      </w:pPr>
      <w:r w:rsidRPr="00F53BDD">
        <w:t xml:space="preserve">a </w:t>
      </w:r>
      <w:r w:rsidRPr="00F53BDD">
        <w:rPr>
          <w:b/>
          <w:bCs/>
        </w:rPr>
        <w:t>risk coverage analysis:</w:t>
      </w:r>
      <w:r w:rsidRPr="00F53BDD">
        <w:t xml:space="preserve"> considers how well each option in sections 3 to 6 addresses the market governance risks</w:t>
      </w:r>
    </w:p>
    <w:p w:rsidR="00B92FA9" w:rsidRPr="00F53BDD" w:rsidRDefault="00B92FA9" w:rsidP="00812A66">
      <w:pPr>
        <w:pStyle w:val="Bullet"/>
        <w:numPr>
          <w:ilvl w:val="0"/>
          <w:numId w:val="27"/>
        </w:numPr>
        <w:spacing w:after="100"/>
      </w:pPr>
      <w:r w:rsidRPr="00F53BDD">
        <w:t xml:space="preserve">an </w:t>
      </w:r>
      <w:r w:rsidRPr="00F53BDD">
        <w:rPr>
          <w:b/>
          <w:bCs/>
        </w:rPr>
        <w:t>impact analysis:</w:t>
      </w:r>
      <w:r w:rsidRPr="00F53BDD">
        <w:t xml:space="preserve"> considers each option in sections 3 to 6 against five criteria.</w:t>
      </w:r>
    </w:p>
    <w:p w:rsidR="00B92FA9" w:rsidRPr="00F53BDD" w:rsidRDefault="00B92FA9" w:rsidP="00AF510A">
      <w:pPr>
        <w:pStyle w:val="Heading2"/>
        <w:spacing w:before="280"/>
      </w:pPr>
      <w:bookmarkStart w:id="70" w:name="_Toc73546761"/>
      <w:bookmarkStart w:id="71" w:name="_Toc75250082"/>
      <w:r w:rsidRPr="00F53BDD">
        <w:t>Analysis</w:t>
      </w:r>
      <w:bookmarkEnd w:id="70"/>
      <w:r w:rsidRPr="00F53BDD">
        <w:t xml:space="preserve"> of risk coverage</w:t>
      </w:r>
      <w:bookmarkEnd w:id="71"/>
    </w:p>
    <w:p w:rsidR="00B92FA9" w:rsidRPr="00F53BDD" w:rsidRDefault="00B92FA9" w:rsidP="00587034">
      <w:pPr>
        <w:pStyle w:val="BodyText"/>
        <w:spacing w:after="100"/>
      </w:pPr>
      <w:r w:rsidRPr="00F53BDD">
        <w:t xml:space="preserve">The following paragraphs provide a qualitative risk coverage analysis of how each option addresses each of the seven market governance risks. </w:t>
      </w:r>
    </w:p>
    <w:p w:rsidR="00B92FA9" w:rsidRPr="00F53BDD" w:rsidRDefault="00B92FA9" w:rsidP="00587034">
      <w:pPr>
        <w:pStyle w:val="BodyText"/>
        <w:spacing w:after="100"/>
      </w:pPr>
      <w:r w:rsidRPr="00F53BDD">
        <w:t>For accessibility, the risk coverage analysis is grouped into the governance themes:</w:t>
      </w:r>
    </w:p>
    <w:p w:rsidR="00B92FA9" w:rsidRPr="00F53BDD" w:rsidRDefault="00B92FA9" w:rsidP="00587034">
      <w:pPr>
        <w:pStyle w:val="Bullet"/>
        <w:spacing w:after="100"/>
      </w:pPr>
      <w:r w:rsidRPr="00F53BDD">
        <w:t>Governance of advice options</w:t>
      </w:r>
    </w:p>
    <w:p w:rsidR="00B92FA9" w:rsidRPr="00F53BDD" w:rsidRDefault="00B92FA9" w:rsidP="00587034">
      <w:pPr>
        <w:pStyle w:val="Bullet"/>
        <w:spacing w:after="100"/>
      </w:pPr>
      <w:r w:rsidRPr="00F53BDD">
        <w:t>Governance of trading options</w:t>
      </w:r>
    </w:p>
    <w:p w:rsidR="00B92FA9" w:rsidRPr="00F53BDD" w:rsidRDefault="00B92FA9" w:rsidP="00587034">
      <w:pPr>
        <w:pStyle w:val="Bullet"/>
        <w:spacing w:after="100"/>
      </w:pPr>
      <w:r w:rsidRPr="00F53BDD">
        <w:t xml:space="preserve">Governance of market </w:t>
      </w:r>
      <w:r w:rsidR="00372CC7">
        <w:t>c</w:t>
      </w:r>
      <w:r w:rsidR="00372CC7" w:rsidRPr="00F53BDD">
        <w:t xml:space="preserve">onduct </w:t>
      </w:r>
      <w:r w:rsidRPr="00F53BDD">
        <w:t>options</w:t>
      </w:r>
    </w:p>
    <w:p w:rsidR="00B92FA9" w:rsidRPr="00F53BDD" w:rsidRDefault="00B92FA9" w:rsidP="00587034">
      <w:pPr>
        <w:pStyle w:val="Bullet"/>
        <w:spacing w:after="100"/>
      </w:pPr>
      <w:r w:rsidRPr="00F53BDD">
        <w:t>Appointing a regulator.</w:t>
      </w:r>
    </w:p>
    <w:p w:rsidR="00B92FA9" w:rsidRPr="00F53BDD" w:rsidRDefault="00B92FA9" w:rsidP="00AF510A">
      <w:pPr>
        <w:pStyle w:val="Heading3"/>
        <w:spacing w:before="280"/>
      </w:pPr>
      <w:r w:rsidRPr="00F53BDD">
        <w:t xml:space="preserve">Governance </w:t>
      </w:r>
      <w:r w:rsidR="00372CC7">
        <w:t>r</w:t>
      </w:r>
      <w:r w:rsidR="00372CC7" w:rsidRPr="00F53BDD">
        <w:t>isks</w:t>
      </w:r>
    </w:p>
    <w:p w:rsidR="00B92FA9" w:rsidRPr="00F53BDD" w:rsidRDefault="00B92FA9" w:rsidP="00587034">
      <w:pPr>
        <w:pStyle w:val="BodyText"/>
        <w:spacing w:before="100" w:after="100"/>
      </w:pPr>
      <w:r w:rsidRPr="00F53BDD">
        <w:t xml:space="preserve">The initial analysis considers each options’ ability to adequately deal with the governance theme’s main risks described in </w:t>
      </w:r>
      <w:hyperlink w:anchor="table2" w:history="1">
        <w:r w:rsidR="0065052B" w:rsidRPr="00F53BDD">
          <w:rPr>
            <w:rStyle w:val="Hyperlink"/>
          </w:rPr>
          <w:t>t</w:t>
        </w:r>
        <w:r w:rsidRPr="00F53BDD">
          <w:rPr>
            <w:rStyle w:val="Hyperlink"/>
          </w:rPr>
          <w:t>able 2</w:t>
        </w:r>
      </w:hyperlink>
      <w:r w:rsidRPr="00F53BDD">
        <w:t xml:space="preserve">. </w:t>
      </w:r>
    </w:p>
    <w:p w:rsidR="00B92FA9" w:rsidRPr="00F53BDD" w:rsidRDefault="00B92FA9" w:rsidP="00AF510A">
      <w:pPr>
        <w:pStyle w:val="Heading3"/>
        <w:spacing w:before="280"/>
      </w:pPr>
      <w:r w:rsidRPr="00F53BDD">
        <w:t>Approach to assessing risk coverage</w:t>
      </w:r>
    </w:p>
    <w:p w:rsidR="00B92FA9" w:rsidRPr="00F53BDD" w:rsidRDefault="00B92FA9" w:rsidP="00587034">
      <w:pPr>
        <w:pStyle w:val="BodyText"/>
        <w:spacing w:before="100" w:after="100"/>
      </w:pPr>
      <w:r w:rsidRPr="00F53BDD">
        <w:fldChar w:fldCharType="begin"/>
      </w:r>
      <w:r w:rsidRPr="00F53BDD">
        <w:instrText xml:space="preserve"> REF _Ref72491548 \h  \* MERGEFORMAT </w:instrText>
      </w:r>
      <w:r w:rsidRPr="00F53BDD">
        <w:fldChar w:fldCharType="separate"/>
      </w:r>
      <w:r w:rsidR="00F84B55" w:rsidRPr="00F53BDD">
        <w:t xml:space="preserve">Table </w:t>
      </w:r>
      <w:r w:rsidR="00D8465B">
        <w:t>7</w:t>
      </w:r>
      <w:r w:rsidRPr="00F53BDD">
        <w:fldChar w:fldCharType="end"/>
      </w:r>
      <w:r w:rsidRPr="00F53BDD">
        <w:t xml:space="preserve"> shows the operational criteria used for assessing options for NZ ETS governance risk</w:t>
      </w:r>
      <w:r w:rsidR="003A7D8A" w:rsidRPr="00F53BDD">
        <w:t> </w:t>
      </w:r>
      <w:r w:rsidRPr="00F53BDD">
        <w:t>coverage.</w:t>
      </w:r>
    </w:p>
    <w:p w:rsidR="00B92FA9" w:rsidRPr="00F53BDD" w:rsidRDefault="00B92FA9" w:rsidP="00B92FA9">
      <w:pPr>
        <w:pStyle w:val="Tableheading"/>
      </w:pPr>
      <w:bookmarkStart w:id="72" w:name="_Ref72491548"/>
      <w:bookmarkStart w:id="73" w:name="_Toc73545663"/>
      <w:bookmarkStart w:id="74" w:name="_Toc75250109"/>
      <w:r w:rsidRPr="00F53BDD">
        <w:t xml:space="preserve">Table </w:t>
      </w:r>
      <w:bookmarkEnd w:id="72"/>
      <w:r w:rsidR="00D8465B">
        <w:t>7</w:t>
      </w:r>
      <w:r w:rsidRPr="00F53BDD">
        <w:t xml:space="preserve">: </w:t>
      </w:r>
      <w:r w:rsidR="00AF510A" w:rsidRPr="00F53BDD">
        <w:tab/>
      </w:r>
      <w:r w:rsidRPr="00F53BDD">
        <w:t>Notation for risk coverage assessment</w:t>
      </w:r>
      <w:bookmarkEnd w:id="73"/>
      <w:bookmarkEnd w:id="74"/>
    </w:p>
    <w:tbl>
      <w:tblPr>
        <w:tblStyle w:val="TableGrid"/>
        <w:tblW w:w="8505" w:type="dxa"/>
        <w:tblBorders>
          <w:top w:val="none" w:sz="0" w:space="0" w:color="auto"/>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344"/>
        <w:gridCol w:w="2868"/>
        <w:gridCol w:w="1343"/>
        <w:gridCol w:w="2950"/>
      </w:tblGrid>
      <w:tr w:rsidR="00B92FA9" w:rsidRPr="00F53BDD" w:rsidTr="00AF510A">
        <w:tc>
          <w:tcPr>
            <w:tcW w:w="0" w:type="auto"/>
            <w:shd w:val="clear" w:color="auto" w:fill="1C556C" w:themeFill="accent1"/>
          </w:tcPr>
          <w:p w:rsidR="00B92FA9" w:rsidRPr="00F53BDD" w:rsidRDefault="00B92FA9" w:rsidP="00587034">
            <w:pPr>
              <w:pStyle w:val="TableText"/>
              <w:spacing w:before="40" w:after="40"/>
              <w:rPr>
                <w:b/>
                <w:bCs/>
                <w:color w:val="FFFFFF" w:themeColor="background1"/>
                <w:szCs w:val="18"/>
              </w:rPr>
            </w:pPr>
            <w:r w:rsidRPr="00F53BDD">
              <w:rPr>
                <w:b/>
                <w:bCs/>
                <w:color w:val="FFFFFF" w:themeColor="background1"/>
                <w:szCs w:val="18"/>
              </w:rPr>
              <w:t>Notation</w:t>
            </w:r>
          </w:p>
        </w:tc>
        <w:tc>
          <w:tcPr>
            <w:tcW w:w="0" w:type="auto"/>
            <w:shd w:val="clear" w:color="auto" w:fill="1C556C" w:themeFill="accent1"/>
          </w:tcPr>
          <w:p w:rsidR="00B92FA9" w:rsidRPr="00F53BDD" w:rsidRDefault="00B92FA9" w:rsidP="00587034">
            <w:pPr>
              <w:pStyle w:val="TableText"/>
              <w:spacing w:before="40" w:after="40"/>
              <w:rPr>
                <w:b/>
                <w:bCs/>
                <w:color w:val="FFFFFF" w:themeColor="background1"/>
                <w:szCs w:val="18"/>
              </w:rPr>
            </w:pPr>
            <w:r w:rsidRPr="00F53BDD">
              <w:rPr>
                <w:b/>
                <w:bCs/>
                <w:color w:val="FFFFFF" w:themeColor="background1"/>
                <w:szCs w:val="18"/>
              </w:rPr>
              <w:t>Description</w:t>
            </w:r>
          </w:p>
        </w:tc>
        <w:tc>
          <w:tcPr>
            <w:tcW w:w="0" w:type="auto"/>
            <w:shd w:val="clear" w:color="auto" w:fill="1C556C" w:themeFill="accent1"/>
          </w:tcPr>
          <w:p w:rsidR="00B92FA9" w:rsidRPr="00F53BDD" w:rsidRDefault="00B92FA9" w:rsidP="00587034">
            <w:pPr>
              <w:pStyle w:val="TableText"/>
              <w:spacing w:before="40" w:after="40"/>
              <w:jc w:val="center"/>
              <w:rPr>
                <w:b/>
                <w:bCs/>
                <w:color w:val="FFFFFF" w:themeColor="background1"/>
                <w:szCs w:val="18"/>
              </w:rPr>
            </w:pPr>
            <w:r w:rsidRPr="00F53BDD">
              <w:rPr>
                <w:b/>
                <w:bCs/>
                <w:color w:val="FFFFFF" w:themeColor="background1"/>
                <w:szCs w:val="18"/>
              </w:rPr>
              <w:t>Notation</w:t>
            </w:r>
          </w:p>
        </w:tc>
        <w:tc>
          <w:tcPr>
            <w:tcW w:w="0" w:type="auto"/>
            <w:shd w:val="clear" w:color="auto" w:fill="1C556C" w:themeFill="accent1"/>
          </w:tcPr>
          <w:p w:rsidR="00B92FA9" w:rsidRPr="00F53BDD" w:rsidRDefault="00B92FA9" w:rsidP="00587034">
            <w:pPr>
              <w:pStyle w:val="TableText"/>
              <w:spacing w:before="40" w:after="40"/>
              <w:rPr>
                <w:b/>
                <w:bCs/>
                <w:color w:val="FFFFFF" w:themeColor="background1"/>
                <w:szCs w:val="18"/>
              </w:rPr>
            </w:pPr>
            <w:r w:rsidRPr="00F53BDD">
              <w:rPr>
                <w:b/>
                <w:bCs/>
                <w:color w:val="FFFFFF" w:themeColor="background1"/>
                <w:szCs w:val="18"/>
              </w:rPr>
              <w:t>Description</w:t>
            </w:r>
          </w:p>
        </w:tc>
      </w:tr>
      <w:tr w:rsidR="00B92FA9" w:rsidRPr="00F53BDD" w:rsidTr="00372CC7">
        <w:tc>
          <w:tcPr>
            <w:tcW w:w="0" w:type="auto"/>
            <w:shd w:val="clear" w:color="auto" w:fill="auto"/>
          </w:tcPr>
          <w:p w:rsidR="00B92FA9" w:rsidRPr="00F53BDD" w:rsidRDefault="00E13EDA" w:rsidP="00587034">
            <w:pPr>
              <w:pStyle w:val="TableText"/>
              <w:spacing w:before="40" w:after="40"/>
              <w:rPr>
                <w:b/>
                <w:bCs/>
                <w:szCs w:val="18"/>
              </w:rPr>
            </w:pPr>
            <w:r w:rsidRPr="00F53BDD">
              <w:rPr>
                <w:rFonts w:ascii="Segoe UI Symbol" w:hAnsi="Segoe UI Symbol" w:cs="Segoe UI Symbol"/>
                <w:sz w:val="17"/>
                <w:szCs w:val="17"/>
                <w:shd w:val="clear" w:color="auto" w:fill="57A3A4"/>
              </w:rPr>
              <w:t>✓✓✓</w:t>
            </w:r>
          </w:p>
        </w:tc>
        <w:tc>
          <w:tcPr>
            <w:tcW w:w="0" w:type="auto"/>
          </w:tcPr>
          <w:p w:rsidR="00B92FA9" w:rsidRPr="00F53BDD" w:rsidRDefault="00B92FA9" w:rsidP="00587034">
            <w:pPr>
              <w:pStyle w:val="TableText"/>
              <w:spacing w:before="40" w:after="40"/>
              <w:rPr>
                <w:szCs w:val="18"/>
              </w:rPr>
            </w:pPr>
            <w:r w:rsidRPr="00F53BDD">
              <w:rPr>
                <w:rFonts w:asciiTheme="minorHAnsi" w:hAnsiTheme="minorHAnsi" w:cstheme="minorHAnsi"/>
                <w:szCs w:val="18"/>
              </w:rPr>
              <w:t>Strongly addresses risk</w:t>
            </w:r>
          </w:p>
        </w:tc>
        <w:tc>
          <w:tcPr>
            <w:tcW w:w="0" w:type="auto"/>
          </w:tcPr>
          <w:p w:rsidR="00B92FA9" w:rsidRPr="00F53BDD" w:rsidRDefault="00B92FA9" w:rsidP="00587034">
            <w:pPr>
              <w:pStyle w:val="TableText"/>
              <w:spacing w:before="40" w:after="40"/>
              <w:jc w:val="center"/>
              <w:rPr>
                <w:rFonts w:eastAsia="Times New Roman"/>
                <w:szCs w:val="18"/>
              </w:rPr>
            </w:pPr>
            <w:r w:rsidRPr="00F53BDD">
              <w:rPr>
                <w:rFonts w:eastAsia="Times New Roman"/>
                <w:szCs w:val="18"/>
              </w:rPr>
              <w:t>O</w:t>
            </w:r>
          </w:p>
        </w:tc>
        <w:tc>
          <w:tcPr>
            <w:tcW w:w="0" w:type="auto"/>
          </w:tcPr>
          <w:p w:rsidR="00B92FA9" w:rsidRPr="00F53BDD" w:rsidRDefault="00B92FA9" w:rsidP="00587034">
            <w:pPr>
              <w:pStyle w:val="TableText"/>
              <w:spacing w:before="40" w:after="40"/>
              <w:rPr>
                <w:rFonts w:eastAsia="Times New Roman"/>
                <w:szCs w:val="18"/>
              </w:rPr>
            </w:pPr>
            <w:r w:rsidRPr="00F53BDD">
              <w:rPr>
                <w:rFonts w:eastAsia="Times New Roman"/>
                <w:szCs w:val="18"/>
              </w:rPr>
              <w:t>Neutral</w:t>
            </w:r>
          </w:p>
        </w:tc>
      </w:tr>
      <w:tr w:rsidR="00B92FA9" w:rsidRPr="00F53BDD" w:rsidTr="00AF510A">
        <w:tc>
          <w:tcPr>
            <w:tcW w:w="0" w:type="auto"/>
          </w:tcPr>
          <w:p w:rsidR="00B92FA9" w:rsidRPr="00F53BDD" w:rsidRDefault="00E13EDA" w:rsidP="00587034">
            <w:pPr>
              <w:pStyle w:val="TableText"/>
              <w:spacing w:before="40" w:after="40"/>
              <w:rPr>
                <w:b/>
                <w:bCs/>
                <w:szCs w:val="18"/>
              </w:rPr>
            </w:pPr>
            <w:r w:rsidRPr="00F53BDD">
              <w:rPr>
                <w:rFonts w:ascii="Segoe UI Symbol" w:hAnsi="Segoe UI Symbol" w:cs="Segoe UI Symbol"/>
                <w:sz w:val="17"/>
                <w:szCs w:val="17"/>
                <w:shd w:val="clear" w:color="auto" w:fill="87BDBE"/>
              </w:rPr>
              <w:t>✓✓</w:t>
            </w:r>
          </w:p>
        </w:tc>
        <w:tc>
          <w:tcPr>
            <w:tcW w:w="0" w:type="auto"/>
          </w:tcPr>
          <w:p w:rsidR="00B92FA9" w:rsidRPr="00F53BDD" w:rsidRDefault="00B92FA9" w:rsidP="00587034">
            <w:pPr>
              <w:pStyle w:val="TableText"/>
              <w:spacing w:before="40" w:after="40"/>
              <w:rPr>
                <w:szCs w:val="18"/>
              </w:rPr>
            </w:pPr>
            <w:r w:rsidRPr="00F53BDD">
              <w:rPr>
                <w:rFonts w:asciiTheme="minorHAnsi" w:hAnsiTheme="minorHAnsi" w:cstheme="minorHAnsi"/>
                <w:szCs w:val="18"/>
              </w:rPr>
              <w:t>Addresses risk</w:t>
            </w:r>
          </w:p>
        </w:tc>
        <w:tc>
          <w:tcPr>
            <w:tcW w:w="0" w:type="auto"/>
          </w:tcPr>
          <w:p w:rsidR="00B92FA9" w:rsidRPr="00F53BDD" w:rsidRDefault="00E13EDA" w:rsidP="00587034">
            <w:pPr>
              <w:pStyle w:val="TableText"/>
              <w:spacing w:before="40" w:after="40"/>
              <w:jc w:val="center"/>
              <w:rPr>
                <w:rFonts w:eastAsia="Times New Roman"/>
                <w:szCs w:val="18"/>
              </w:rPr>
            </w:pPr>
            <w:r w:rsidRPr="00F53BDD">
              <w:rPr>
                <w:rFonts w:cs="Segoe UI Symbol"/>
                <w:sz w:val="17"/>
                <w:szCs w:val="17"/>
                <w:shd w:val="clear" w:color="auto" w:fill="EDB097"/>
              </w:rPr>
              <w:t>x</w:t>
            </w:r>
          </w:p>
        </w:tc>
        <w:tc>
          <w:tcPr>
            <w:tcW w:w="0" w:type="auto"/>
          </w:tcPr>
          <w:p w:rsidR="00B92FA9" w:rsidRPr="00F53BDD" w:rsidRDefault="00B92FA9" w:rsidP="00587034">
            <w:pPr>
              <w:pStyle w:val="TableText"/>
              <w:spacing w:before="40" w:after="40"/>
              <w:rPr>
                <w:rFonts w:eastAsia="Times New Roman"/>
                <w:szCs w:val="18"/>
              </w:rPr>
            </w:pPr>
            <w:r w:rsidRPr="00F53BDD">
              <w:rPr>
                <w:rFonts w:asciiTheme="minorHAnsi" w:hAnsiTheme="minorHAnsi" w:cstheme="minorHAnsi"/>
                <w:szCs w:val="18"/>
              </w:rPr>
              <w:t>Does not addresses risk</w:t>
            </w:r>
          </w:p>
        </w:tc>
      </w:tr>
      <w:tr w:rsidR="00B92FA9" w:rsidRPr="00F53BDD" w:rsidTr="00AF510A">
        <w:tc>
          <w:tcPr>
            <w:tcW w:w="0" w:type="auto"/>
          </w:tcPr>
          <w:p w:rsidR="00B92FA9" w:rsidRPr="00F53BDD" w:rsidRDefault="00E13EDA" w:rsidP="00587034">
            <w:pPr>
              <w:pStyle w:val="TableText"/>
              <w:spacing w:before="40" w:after="40"/>
              <w:rPr>
                <w:b/>
                <w:bCs/>
                <w:szCs w:val="18"/>
              </w:rPr>
            </w:pPr>
            <w:r w:rsidRPr="00F53BDD">
              <w:rPr>
                <w:rFonts w:ascii="Segoe UI Symbol" w:hAnsi="Segoe UI Symbol" w:cs="Segoe UI Symbol"/>
                <w:sz w:val="17"/>
                <w:szCs w:val="17"/>
                <w:shd w:val="clear" w:color="auto" w:fill="CFE5E5"/>
              </w:rPr>
              <w:t>✓</w:t>
            </w:r>
          </w:p>
        </w:tc>
        <w:tc>
          <w:tcPr>
            <w:tcW w:w="0" w:type="auto"/>
          </w:tcPr>
          <w:p w:rsidR="00B92FA9" w:rsidRPr="00F53BDD" w:rsidRDefault="00B92FA9" w:rsidP="00587034">
            <w:pPr>
              <w:pStyle w:val="TableText"/>
              <w:spacing w:before="40" w:after="40"/>
              <w:rPr>
                <w:szCs w:val="18"/>
              </w:rPr>
            </w:pPr>
            <w:r w:rsidRPr="00F53BDD">
              <w:rPr>
                <w:rFonts w:asciiTheme="minorHAnsi" w:hAnsiTheme="minorHAnsi" w:cstheme="minorHAnsi"/>
                <w:szCs w:val="18"/>
              </w:rPr>
              <w:t>Partially addresses risk</w:t>
            </w:r>
          </w:p>
        </w:tc>
        <w:tc>
          <w:tcPr>
            <w:tcW w:w="0" w:type="auto"/>
          </w:tcPr>
          <w:p w:rsidR="00B92FA9" w:rsidRPr="00F53BDD" w:rsidRDefault="00B92FA9" w:rsidP="00587034">
            <w:pPr>
              <w:pStyle w:val="TableText"/>
              <w:spacing w:before="40" w:after="40"/>
              <w:jc w:val="center"/>
              <w:rPr>
                <w:rFonts w:eastAsia="Times New Roman"/>
                <w:szCs w:val="18"/>
              </w:rPr>
            </w:pPr>
          </w:p>
        </w:tc>
        <w:tc>
          <w:tcPr>
            <w:tcW w:w="0" w:type="auto"/>
          </w:tcPr>
          <w:p w:rsidR="00B92FA9" w:rsidRPr="00F53BDD" w:rsidRDefault="00B92FA9" w:rsidP="00587034">
            <w:pPr>
              <w:pStyle w:val="TableText"/>
              <w:spacing w:before="40" w:after="40"/>
              <w:rPr>
                <w:rFonts w:eastAsia="Times New Roman"/>
                <w:szCs w:val="18"/>
              </w:rPr>
            </w:pPr>
          </w:p>
        </w:tc>
      </w:tr>
    </w:tbl>
    <w:p w:rsidR="00B92FA9" w:rsidRPr="00F53BDD" w:rsidRDefault="00B92FA9" w:rsidP="00587034">
      <w:pPr>
        <w:pStyle w:val="BodyText"/>
        <w:spacing w:before="240" w:after="100"/>
      </w:pPr>
      <w:r w:rsidRPr="00F53BDD">
        <w:t>This approach is intended to enable stakeholders to comment on our understanding of the market governance risk, our assessment options in terms of risk coverage, and provide further information we should consider as part of the risk coverage analysis. This feedback is a very important source of information that will help the Government understand the impacts of each</w:t>
      </w:r>
      <w:r w:rsidR="00AF510A" w:rsidRPr="00F53BDD">
        <w:t> </w:t>
      </w:r>
      <w:r w:rsidRPr="00F53BDD">
        <w:t>option.</w:t>
      </w:r>
    </w:p>
    <w:p w:rsidR="00B92FA9" w:rsidRPr="00F53BDD" w:rsidRDefault="00B92FA9" w:rsidP="00587034">
      <w:pPr>
        <w:pStyle w:val="Heading3"/>
        <w:spacing w:before="280"/>
      </w:pPr>
      <w:r w:rsidRPr="00F53BDD">
        <w:t>Results</w:t>
      </w:r>
    </w:p>
    <w:p w:rsidR="00037B95" w:rsidRPr="00F53BDD" w:rsidRDefault="00037B95" w:rsidP="00587034">
      <w:pPr>
        <w:pStyle w:val="BodyText"/>
        <w:spacing w:after="100"/>
      </w:pPr>
      <w:r w:rsidRPr="00F53BDD">
        <w:t xml:space="preserve">For a detailed analysis, see </w:t>
      </w:r>
      <w:hyperlink w:anchor="_Appendix_B:_Risk" w:history="1">
        <w:r w:rsidRPr="00F53BDD">
          <w:rPr>
            <w:rStyle w:val="Hyperlink"/>
          </w:rPr>
          <w:t>appendix B</w:t>
        </w:r>
      </w:hyperlink>
      <w:r w:rsidRPr="00F53BDD">
        <w:t xml:space="preserve">. </w:t>
      </w:r>
    </w:p>
    <w:p w:rsidR="00037B95" w:rsidRPr="00F53BDD" w:rsidRDefault="00037B95" w:rsidP="00587034">
      <w:pPr>
        <w:pStyle w:val="BodyText"/>
        <w:spacing w:after="100"/>
      </w:pPr>
      <w:r w:rsidRPr="00F53BDD">
        <w:t>We found that:</w:t>
      </w:r>
    </w:p>
    <w:p w:rsidR="00037B95" w:rsidRPr="00F53BDD" w:rsidRDefault="00037B95" w:rsidP="00587034">
      <w:pPr>
        <w:pStyle w:val="Bullet"/>
        <w:spacing w:after="100"/>
      </w:pPr>
      <w:r w:rsidRPr="00F53BDD">
        <w:t>the options requiring regulation have the best risk coverage</w:t>
      </w:r>
    </w:p>
    <w:p w:rsidR="00037B95" w:rsidRPr="00F53BDD" w:rsidRDefault="00037B95" w:rsidP="00037B95">
      <w:pPr>
        <w:pStyle w:val="Bullet"/>
      </w:pPr>
      <w:r w:rsidRPr="00F53BDD">
        <w:t>some options bring co-benefits, addressing other risks across the governance themes.</w:t>
      </w:r>
    </w:p>
    <w:p w:rsidR="00037B95" w:rsidRPr="00F53BDD" w:rsidRDefault="00037B95" w:rsidP="00587034">
      <w:pPr>
        <w:pStyle w:val="Heading3"/>
      </w:pPr>
      <w:r w:rsidRPr="00F53BDD">
        <w:t>Status quo</w:t>
      </w:r>
    </w:p>
    <w:p w:rsidR="00037B95" w:rsidRPr="00F53BDD" w:rsidRDefault="00037B95" w:rsidP="00037B95">
      <w:pPr>
        <w:pStyle w:val="BodyText"/>
      </w:pPr>
      <w:r w:rsidRPr="00F53BDD">
        <w:t>The status quo options (A1, B1, C1 and D1) do not adequately address any of the market governance risks. For this reason, these are unlikely to be progressed as viable options.</w:t>
      </w:r>
    </w:p>
    <w:p w:rsidR="00037B95" w:rsidRPr="00F53BDD" w:rsidRDefault="00037B95" w:rsidP="00037B95">
      <w:pPr>
        <w:pStyle w:val="BodyText"/>
      </w:pPr>
      <w:r w:rsidRPr="00F53BDD">
        <w:t xml:space="preserve">Set out below, the analysis looks at: </w:t>
      </w:r>
    </w:p>
    <w:p w:rsidR="00037B95" w:rsidRPr="00F53BDD" w:rsidRDefault="00037B95" w:rsidP="00037B95">
      <w:pPr>
        <w:pStyle w:val="Bullet"/>
      </w:pPr>
      <w:r w:rsidRPr="00F53BDD">
        <w:t xml:space="preserve">the governance of advice, trading and market conduct </w:t>
      </w:r>
    </w:p>
    <w:p w:rsidR="00037B95" w:rsidRPr="00F53BDD" w:rsidRDefault="00037B95" w:rsidP="00037B95">
      <w:pPr>
        <w:pStyle w:val="Bullet"/>
      </w:pPr>
      <w:r w:rsidRPr="00F53BDD">
        <w:t>appointing a regulator.</w:t>
      </w:r>
    </w:p>
    <w:p w:rsidR="00037B95" w:rsidRPr="00F53BDD" w:rsidRDefault="00037B95" w:rsidP="00DE226E">
      <w:pPr>
        <w:pStyle w:val="Heading3"/>
        <w:spacing w:before="280"/>
      </w:pPr>
      <w:r w:rsidRPr="00F53BDD">
        <w:t xml:space="preserve">Governance of advice </w:t>
      </w:r>
    </w:p>
    <w:p w:rsidR="00037B95" w:rsidRPr="00F53BDD" w:rsidRDefault="00037B95" w:rsidP="00CA003F">
      <w:pPr>
        <w:pStyle w:val="BodyText"/>
      </w:pPr>
      <w:r w:rsidRPr="00F53BDD">
        <w:t>Best risk coverage –</w:t>
      </w:r>
      <w:r w:rsidRPr="00F53BDD">
        <w:rPr>
          <w:b/>
          <w:bCs/>
        </w:rPr>
        <w:t xml:space="preserve"> </w:t>
      </w:r>
      <w:r w:rsidRPr="00F53BDD">
        <w:t>Option A4: Code of conduct, licensing and registration of NZU.</w:t>
      </w:r>
    </w:p>
    <w:p w:rsidR="00037B95" w:rsidRPr="00F53BDD" w:rsidRDefault="00037B95" w:rsidP="00037B95">
      <w:pPr>
        <w:pStyle w:val="BodyText"/>
      </w:pPr>
      <w:r w:rsidRPr="00F53BDD">
        <w:t>We expect Option A4:</w:t>
      </w:r>
    </w:p>
    <w:p w:rsidR="00037B95" w:rsidRPr="00F53BDD" w:rsidRDefault="00037B95" w:rsidP="00CA003F">
      <w:pPr>
        <w:pStyle w:val="Bullet"/>
      </w:pPr>
      <w:r w:rsidRPr="00F53BDD">
        <w:t>will perform strongly against poor advice and conflicts of interest risks, by regulating the minimum standards of advice and expectations of an NZU adviser</w:t>
      </w:r>
    </w:p>
    <w:p w:rsidR="00037B95" w:rsidRPr="00F53BDD" w:rsidRDefault="00037B95" w:rsidP="00CA003F">
      <w:pPr>
        <w:pStyle w:val="Bullet"/>
      </w:pPr>
      <w:r w:rsidRPr="00F53BDD">
        <w:t>could bring co-benefits, by:</w:t>
      </w:r>
    </w:p>
    <w:p w:rsidR="00037B95" w:rsidRPr="00F53BDD" w:rsidRDefault="00037B95" w:rsidP="00CA003F">
      <w:pPr>
        <w:pStyle w:val="Sub-list"/>
      </w:pPr>
      <w:r w:rsidRPr="00F53BDD">
        <w:t>requiring advisers to check for money laundering and funding of terrorism, and to report suspicious activities to a regulator</w:t>
      </w:r>
    </w:p>
    <w:p w:rsidR="00037B95" w:rsidRPr="00F53BDD" w:rsidRDefault="00037B95" w:rsidP="00CA003F">
      <w:pPr>
        <w:pStyle w:val="Sub-list"/>
      </w:pPr>
      <w:r w:rsidRPr="00F53BDD">
        <w:t>informing users, especially smaller ones who are likely to use advisers, about credit and counter-party risks of trading NZUs.</w:t>
      </w:r>
    </w:p>
    <w:p w:rsidR="00037B95" w:rsidRPr="00F53BDD" w:rsidRDefault="00037B95" w:rsidP="00DE226E">
      <w:pPr>
        <w:pStyle w:val="Heading3"/>
        <w:spacing w:before="280"/>
      </w:pPr>
      <w:r w:rsidRPr="00F53BDD">
        <w:t xml:space="preserve">Governance of trading </w:t>
      </w:r>
    </w:p>
    <w:p w:rsidR="00037B95" w:rsidRPr="00F53BDD" w:rsidRDefault="00037B95" w:rsidP="00CA003F">
      <w:pPr>
        <w:pStyle w:val="BodyText"/>
      </w:pPr>
      <w:r w:rsidRPr="00F53BDD">
        <w:t>Best risk coverage – Option B4: Requiring exchange-based trading.</w:t>
      </w:r>
      <w:r w:rsidR="00EF04DA" w:rsidRPr="00F53BDD">
        <w:t xml:space="preserve"> </w:t>
      </w:r>
    </w:p>
    <w:p w:rsidR="00037B95" w:rsidRPr="00F53BDD" w:rsidRDefault="00037B95" w:rsidP="00CA003F">
      <w:pPr>
        <w:pStyle w:val="BodyText"/>
      </w:pPr>
      <w:r w:rsidRPr="00F53BDD">
        <w:t>We expect option B4 will:</w:t>
      </w:r>
    </w:p>
    <w:p w:rsidR="00037B95" w:rsidRPr="00F53BDD" w:rsidRDefault="00037B95" w:rsidP="00CA003F">
      <w:pPr>
        <w:pStyle w:val="Bullet"/>
      </w:pPr>
      <w:r w:rsidRPr="00F53BDD">
        <w:t>give the best protection against credit and counter-party risk, by requiring users to maintain an acceptable credit rating, secure a guarantor or post collateral to trade NZUs via an exchange. This protects all users against risky trades</w:t>
      </w:r>
    </w:p>
    <w:p w:rsidR="00037B95" w:rsidRPr="00F53BDD" w:rsidRDefault="00037B95" w:rsidP="00037B95">
      <w:pPr>
        <w:pStyle w:val="Bullet"/>
      </w:pPr>
      <w:r w:rsidRPr="00F53BDD">
        <w:t>offer the greatest market transparency and improve a regulator’s ability to monitor trades through regular reporting.</w:t>
      </w:r>
    </w:p>
    <w:p w:rsidR="00037B95" w:rsidRPr="00F53BDD" w:rsidRDefault="00037B95" w:rsidP="00CA003F">
      <w:pPr>
        <w:pStyle w:val="BodyText"/>
      </w:pPr>
      <w:r w:rsidRPr="00F53BDD">
        <w:t xml:space="preserve">Exchange-based trading can also reduce the risk of misconduct. Greater transparency and reporting allow a regulator to monitor trades and detect unusual activity that could indicate price manipulation, insider trading, and money laundering or financing of terrorism. </w:t>
      </w:r>
    </w:p>
    <w:p w:rsidR="00037B95" w:rsidRPr="00F53BDD" w:rsidRDefault="00037B95" w:rsidP="00DE226E">
      <w:pPr>
        <w:pStyle w:val="Heading3"/>
        <w:spacing w:before="280"/>
      </w:pPr>
      <w:r w:rsidRPr="00F53BDD">
        <w:t xml:space="preserve">Governance of market conduct </w:t>
      </w:r>
    </w:p>
    <w:p w:rsidR="00037B95" w:rsidRPr="00F53BDD" w:rsidRDefault="00037B95" w:rsidP="00CA003F">
      <w:pPr>
        <w:pStyle w:val="BodyText"/>
      </w:pPr>
      <w:r w:rsidRPr="00F53BDD">
        <w:t>No options thoroughly address market conduct risks.</w:t>
      </w:r>
    </w:p>
    <w:p w:rsidR="00037B95" w:rsidRPr="00F53BDD" w:rsidRDefault="00037B95" w:rsidP="00CA003F">
      <w:pPr>
        <w:pStyle w:val="BodyText"/>
      </w:pPr>
      <w:r w:rsidRPr="00F53BDD">
        <w:t xml:space="preserve">Some risk coverage: </w:t>
      </w:r>
    </w:p>
    <w:p w:rsidR="00037B95" w:rsidRPr="00F53BDD" w:rsidRDefault="00037B95" w:rsidP="00CA003F">
      <w:pPr>
        <w:pStyle w:val="Bullet"/>
      </w:pPr>
      <w:r w:rsidRPr="00F53BDD">
        <w:t xml:space="preserve">Option C3: Price reporting </w:t>
      </w:r>
    </w:p>
    <w:p w:rsidR="00037B95" w:rsidRPr="00F53BDD" w:rsidRDefault="00037B95" w:rsidP="00CA003F">
      <w:pPr>
        <w:pStyle w:val="Bullet"/>
      </w:pPr>
      <w:r w:rsidRPr="00F53BDD">
        <w:t>Option C4: Full transaction detail reporting.</w:t>
      </w:r>
    </w:p>
    <w:p w:rsidR="00037B95" w:rsidRPr="00F53BDD" w:rsidRDefault="00037B95" w:rsidP="00CA003F">
      <w:pPr>
        <w:pStyle w:val="BodyText"/>
      </w:pPr>
      <w:r w:rsidRPr="00F53BDD">
        <w:t>C3 and C4 require self-reporting to a regulator, which would require an extra validation step. This approach is likely to be onerous for users.</w:t>
      </w:r>
    </w:p>
    <w:p w:rsidR="00037B95" w:rsidRPr="00F53BDD" w:rsidRDefault="00037B95" w:rsidP="00CA003F">
      <w:pPr>
        <w:pStyle w:val="Heading3"/>
      </w:pPr>
      <w:r w:rsidRPr="00F53BDD">
        <w:t>Appointing a regulator</w:t>
      </w:r>
    </w:p>
    <w:p w:rsidR="00037B95" w:rsidRPr="00F53BDD" w:rsidRDefault="00037B95" w:rsidP="000353E8">
      <w:pPr>
        <w:pStyle w:val="BodyText"/>
        <w:spacing w:before="100" w:after="100"/>
      </w:pPr>
      <w:r w:rsidRPr="00F53BDD">
        <w:t xml:space="preserve">Best risk coverage – Option D6: Market design regulator. </w:t>
      </w:r>
    </w:p>
    <w:p w:rsidR="00037B95" w:rsidRPr="00F53BDD" w:rsidRDefault="00037B95" w:rsidP="00DE226E">
      <w:pPr>
        <w:pStyle w:val="BodyText"/>
        <w:spacing w:before="0" w:after="100"/>
      </w:pPr>
      <w:r w:rsidRPr="00F53BDD">
        <w:t>Good risk coverage – Option D5: Market compliance regulator – can enforce existing rules in</w:t>
      </w:r>
      <w:r w:rsidR="00402EC0" w:rsidRPr="00F53BDD">
        <w:t> </w:t>
      </w:r>
      <w:r w:rsidRPr="00F53BDD">
        <w:t>legislation.</w:t>
      </w:r>
    </w:p>
    <w:p w:rsidR="00B92FA9" w:rsidRPr="00F53BDD" w:rsidRDefault="00B92FA9" w:rsidP="000353E8">
      <w:pPr>
        <w:pStyle w:val="Heading2"/>
        <w:spacing w:before="280"/>
      </w:pPr>
      <w:bookmarkStart w:id="75" w:name="_Toc73546762"/>
      <w:bookmarkStart w:id="76" w:name="_Toc75250083"/>
      <w:r w:rsidRPr="00F53BDD">
        <w:t>Impact analysis</w:t>
      </w:r>
      <w:bookmarkEnd w:id="75"/>
      <w:bookmarkEnd w:id="76"/>
    </w:p>
    <w:p w:rsidR="00B92FA9" w:rsidRPr="00F53BDD" w:rsidRDefault="00B92FA9" w:rsidP="000353E8">
      <w:pPr>
        <w:pStyle w:val="BodyText"/>
        <w:spacing w:before="100" w:after="100"/>
      </w:pPr>
      <w:r w:rsidRPr="00F53BDD">
        <w:t xml:space="preserve">The following paragraphs provide a qualitative impact analysis of how each option performs against the five NZ ETS criteria. </w:t>
      </w:r>
    </w:p>
    <w:p w:rsidR="00B92FA9" w:rsidRPr="00F53BDD" w:rsidRDefault="00B92FA9" w:rsidP="00CA003F">
      <w:pPr>
        <w:pStyle w:val="Heading3"/>
        <w:spacing w:before="280"/>
      </w:pPr>
      <w:r w:rsidRPr="00F53BDD">
        <w:t>Operational criteria</w:t>
      </w:r>
    </w:p>
    <w:p w:rsidR="00B92FA9" w:rsidRPr="00F53BDD" w:rsidRDefault="00B92FA9" w:rsidP="000353E8">
      <w:pPr>
        <w:pStyle w:val="BodyText"/>
        <w:spacing w:before="100" w:after="100"/>
      </w:pPr>
      <w:r w:rsidRPr="00F53BDD">
        <w:t xml:space="preserve">A set of operational criteria are used to assess the options in this document (see </w:t>
      </w:r>
      <w:r w:rsidR="0070328A">
        <w:t>table 8</w:t>
      </w:r>
      <w:r w:rsidRPr="00F53BDD">
        <w:t>). These criteria were drawn from the 2015</w:t>
      </w:r>
      <w:r w:rsidR="00CA003F" w:rsidRPr="00F53BDD">
        <w:t>–</w:t>
      </w:r>
      <w:r w:rsidRPr="00F53BDD">
        <w:t>16 review of the NZ ETS. These criteria have underpinned the policy decisions made throughout the NZ ETS reform. We have decided to continue using these criteria because the establishment of a market governance framework is</w:t>
      </w:r>
      <w:r w:rsidR="00CA003F" w:rsidRPr="00F53BDD">
        <w:t> </w:t>
      </w:r>
      <w:r w:rsidRPr="00F53BDD">
        <w:t>a</w:t>
      </w:r>
      <w:r w:rsidR="00CA003F" w:rsidRPr="00F53BDD">
        <w:t> </w:t>
      </w:r>
      <w:r w:rsidRPr="00F53BDD">
        <w:t xml:space="preserve">key part of the NZ ETS reform and is being designed with the same objectives in mind. </w:t>
      </w:r>
    </w:p>
    <w:p w:rsidR="00B92FA9" w:rsidRPr="00F53BDD" w:rsidRDefault="00B92FA9" w:rsidP="000353E8">
      <w:pPr>
        <w:pStyle w:val="BodyText"/>
        <w:spacing w:before="100" w:after="100"/>
      </w:pPr>
      <w:r w:rsidRPr="00F53BDD">
        <w:t xml:space="preserve">Table </w:t>
      </w:r>
      <w:r w:rsidR="00D8465B">
        <w:t>9</w:t>
      </w:r>
      <w:r w:rsidRPr="00F53BDD">
        <w:t xml:space="preserve"> shows the operational criteria used for assessing options to improve market governance in the NZ ETS.</w:t>
      </w:r>
    </w:p>
    <w:p w:rsidR="00B92FA9" w:rsidRPr="00F53BDD" w:rsidRDefault="00B92FA9" w:rsidP="00CA003F">
      <w:pPr>
        <w:pStyle w:val="Heading3"/>
        <w:spacing w:before="280"/>
      </w:pPr>
      <w:r w:rsidRPr="00F53BDD">
        <w:t>Approach to assessing options</w:t>
      </w:r>
    </w:p>
    <w:p w:rsidR="00B92FA9" w:rsidRPr="00F53BDD" w:rsidRDefault="00B92FA9" w:rsidP="000353E8">
      <w:pPr>
        <w:pStyle w:val="BodyText"/>
        <w:spacing w:before="100" w:after="100"/>
      </w:pPr>
      <w:r w:rsidRPr="00F53BDD">
        <w:t xml:space="preserve">The impact analysis provides </w:t>
      </w:r>
      <w:r w:rsidR="0070328A">
        <w:t>our</w:t>
      </w:r>
      <w:r w:rsidR="0070328A" w:rsidRPr="00F53BDD">
        <w:t xml:space="preserve"> </w:t>
      </w:r>
      <w:r w:rsidRPr="00F53BDD">
        <w:t xml:space="preserve">judgment to what extent we think each option meets the NZ ETS assessment criteria. Table </w:t>
      </w:r>
      <w:r w:rsidR="00D8465B">
        <w:t>8</w:t>
      </w:r>
      <w:r w:rsidRPr="00F53BDD">
        <w:t xml:space="preserve"> shows the notation used in the impact assessment.</w:t>
      </w:r>
    </w:p>
    <w:p w:rsidR="00B92FA9" w:rsidRPr="00F53BDD" w:rsidRDefault="00B92FA9" w:rsidP="00B92FA9">
      <w:pPr>
        <w:pStyle w:val="Tableheading"/>
      </w:pPr>
      <w:bookmarkStart w:id="77" w:name="_Ref72418531"/>
      <w:bookmarkStart w:id="78" w:name="_Toc73545664"/>
      <w:bookmarkStart w:id="79" w:name="_Toc75250110"/>
      <w:r w:rsidRPr="00F53BDD">
        <w:t xml:space="preserve">Table </w:t>
      </w:r>
      <w:bookmarkEnd w:id="77"/>
      <w:r w:rsidR="00D8465B">
        <w:t>8</w:t>
      </w:r>
      <w:r w:rsidRPr="00F53BDD">
        <w:t xml:space="preserve">: </w:t>
      </w:r>
      <w:r w:rsidR="00CA003F" w:rsidRPr="00F53BDD">
        <w:tab/>
      </w:r>
      <w:r w:rsidRPr="00F53BDD">
        <w:t>Notation for impact assessment</w:t>
      </w:r>
      <w:bookmarkEnd w:id="78"/>
      <w:bookmarkEnd w:id="79"/>
    </w:p>
    <w:tbl>
      <w:tblPr>
        <w:tblStyle w:val="TableGrid"/>
        <w:tblW w:w="8505" w:type="dxa"/>
        <w:tblBorders>
          <w:top w:val="none" w:sz="0" w:space="0" w:color="auto"/>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365"/>
        <w:gridCol w:w="2900"/>
        <w:gridCol w:w="1366"/>
        <w:gridCol w:w="2874"/>
      </w:tblGrid>
      <w:tr w:rsidR="00B92FA9" w:rsidRPr="00F53BDD" w:rsidTr="00CA003F">
        <w:tc>
          <w:tcPr>
            <w:tcW w:w="0" w:type="auto"/>
            <w:shd w:val="clear" w:color="auto" w:fill="1C556C" w:themeFill="accent1"/>
          </w:tcPr>
          <w:p w:rsidR="00B92FA9" w:rsidRPr="00F53BDD" w:rsidRDefault="00B92FA9" w:rsidP="00854EB0">
            <w:pPr>
              <w:pStyle w:val="TableText"/>
              <w:rPr>
                <w:b/>
                <w:bCs/>
                <w:color w:val="FFFFFF" w:themeColor="background1"/>
                <w:szCs w:val="18"/>
              </w:rPr>
            </w:pPr>
            <w:r w:rsidRPr="00F53BDD">
              <w:rPr>
                <w:b/>
                <w:bCs/>
                <w:color w:val="FFFFFF" w:themeColor="background1"/>
                <w:szCs w:val="18"/>
              </w:rPr>
              <w:t>Notation</w:t>
            </w:r>
          </w:p>
        </w:tc>
        <w:tc>
          <w:tcPr>
            <w:tcW w:w="0" w:type="auto"/>
            <w:shd w:val="clear" w:color="auto" w:fill="1C556C" w:themeFill="accent1"/>
          </w:tcPr>
          <w:p w:rsidR="00B92FA9" w:rsidRPr="00F53BDD" w:rsidRDefault="00B92FA9" w:rsidP="00854EB0">
            <w:pPr>
              <w:pStyle w:val="TableText"/>
              <w:rPr>
                <w:b/>
                <w:bCs/>
                <w:color w:val="FFFFFF" w:themeColor="background1"/>
                <w:szCs w:val="18"/>
              </w:rPr>
            </w:pPr>
            <w:r w:rsidRPr="00F53BDD">
              <w:rPr>
                <w:b/>
                <w:bCs/>
                <w:color w:val="FFFFFF" w:themeColor="background1"/>
                <w:szCs w:val="18"/>
              </w:rPr>
              <w:t>Description</w:t>
            </w:r>
          </w:p>
        </w:tc>
        <w:tc>
          <w:tcPr>
            <w:tcW w:w="0" w:type="auto"/>
            <w:shd w:val="clear" w:color="auto" w:fill="1C556C" w:themeFill="accent1"/>
          </w:tcPr>
          <w:p w:rsidR="00B92FA9" w:rsidRPr="00F53BDD" w:rsidRDefault="00B92FA9" w:rsidP="003A7D8A">
            <w:pPr>
              <w:pStyle w:val="TableText"/>
              <w:jc w:val="center"/>
              <w:rPr>
                <w:b/>
                <w:bCs/>
                <w:color w:val="FFFFFF" w:themeColor="background1"/>
                <w:szCs w:val="18"/>
              </w:rPr>
            </w:pPr>
            <w:r w:rsidRPr="00F53BDD">
              <w:rPr>
                <w:b/>
                <w:bCs/>
                <w:color w:val="FFFFFF" w:themeColor="background1"/>
                <w:szCs w:val="18"/>
              </w:rPr>
              <w:t>Notation</w:t>
            </w:r>
          </w:p>
        </w:tc>
        <w:tc>
          <w:tcPr>
            <w:tcW w:w="0" w:type="auto"/>
            <w:shd w:val="clear" w:color="auto" w:fill="1C556C" w:themeFill="accent1"/>
          </w:tcPr>
          <w:p w:rsidR="00B92FA9" w:rsidRPr="00F53BDD" w:rsidRDefault="00B92FA9" w:rsidP="00854EB0">
            <w:pPr>
              <w:pStyle w:val="TableText"/>
              <w:rPr>
                <w:b/>
                <w:bCs/>
                <w:color w:val="FFFFFF" w:themeColor="background1"/>
                <w:szCs w:val="18"/>
              </w:rPr>
            </w:pPr>
            <w:r w:rsidRPr="00F53BDD">
              <w:rPr>
                <w:b/>
                <w:bCs/>
                <w:color w:val="FFFFFF" w:themeColor="background1"/>
                <w:szCs w:val="18"/>
              </w:rPr>
              <w:t>Description</w:t>
            </w:r>
          </w:p>
        </w:tc>
      </w:tr>
      <w:tr w:rsidR="00B92FA9" w:rsidRPr="00F53BDD" w:rsidTr="00CA003F">
        <w:tc>
          <w:tcPr>
            <w:tcW w:w="0" w:type="auto"/>
          </w:tcPr>
          <w:p w:rsidR="00B92FA9" w:rsidRPr="00F53BDD" w:rsidRDefault="00E13EDA" w:rsidP="00CA003F">
            <w:pPr>
              <w:pStyle w:val="TableText"/>
              <w:spacing w:before="40" w:after="40"/>
              <w:rPr>
                <w:b/>
                <w:bCs/>
                <w:szCs w:val="18"/>
              </w:rPr>
            </w:pPr>
            <w:r w:rsidRPr="00F53BDD">
              <w:rPr>
                <w:rFonts w:ascii="Segoe UI Symbol" w:hAnsi="Segoe UI Symbol" w:cs="Segoe UI Symbol"/>
                <w:sz w:val="17"/>
                <w:szCs w:val="17"/>
                <w:shd w:val="clear" w:color="auto" w:fill="57A3A4"/>
              </w:rPr>
              <w:t>✓✓✓</w:t>
            </w:r>
          </w:p>
        </w:tc>
        <w:tc>
          <w:tcPr>
            <w:tcW w:w="0" w:type="auto"/>
          </w:tcPr>
          <w:p w:rsidR="00B92FA9" w:rsidRPr="00F53BDD" w:rsidRDefault="00B92FA9" w:rsidP="00CA003F">
            <w:pPr>
              <w:pStyle w:val="TableText"/>
              <w:spacing w:before="40" w:after="40"/>
              <w:rPr>
                <w:szCs w:val="18"/>
              </w:rPr>
            </w:pPr>
            <w:r w:rsidRPr="00F53BDD">
              <w:rPr>
                <w:rFonts w:eastAsia="Times New Roman"/>
                <w:szCs w:val="18"/>
              </w:rPr>
              <w:t>Strongly meets criteria</w:t>
            </w:r>
          </w:p>
        </w:tc>
        <w:tc>
          <w:tcPr>
            <w:tcW w:w="0" w:type="auto"/>
          </w:tcPr>
          <w:p w:rsidR="00B92FA9" w:rsidRPr="00F53BDD" w:rsidRDefault="00B92FA9" w:rsidP="003A7D8A">
            <w:pPr>
              <w:pStyle w:val="TableText"/>
              <w:spacing w:before="40" w:after="40"/>
              <w:jc w:val="center"/>
              <w:rPr>
                <w:rFonts w:eastAsia="Times New Roman"/>
                <w:szCs w:val="18"/>
              </w:rPr>
            </w:pPr>
            <w:r w:rsidRPr="00F53BDD">
              <w:rPr>
                <w:rFonts w:eastAsia="Times New Roman"/>
                <w:szCs w:val="18"/>
              </w:rPr>
              <w:t>O</w:t>
            </w:r>
          </w:p>
        </w:tc>
        <w:tc>
          <w:tcPr>
            <w:tcW w:w="0" w:type="auto"/>
          </w:tcPr>
          <w:p w:rsidR="00B92FA9" w:rsidRPr="00F53BDD" w:rsidRDefault="00B92FA9" w:rsidP="00CA003F">
            <w:pPr>
              <w:pStyle w:val="TableText"/>
              <w:spacing w:before="40" w:after="40"/>
              <w:rPr>
                <w:rFonts w:eastAsia="Times New Roman"/>
                <w:szCs w:val="18"/>
              </w:rPr>
            </w:pPr>
            <w:r w:rsidRPr="00F53BDD">
              <w:rPr>
                <w:rFonts w:eastAsia="Times New Roman"/>
                <w:szCs w:val="18"/>
              </w:rPr>
              <w:t>Not applicable</w:t>
            </w:r>
          </w:p>
        </w:tc>
      </w:tr>
      <w:tr w:rsidR="00B92FA9" w:rsidRPr="00F53BDD" w:rsidTr="00CA003F">
        <w:tc>
          <w:tcPr>
            <w:tcW w:w="0" w:type="auto"/>
          </w:tcPr>
          <w:p w:rsidR="00B92FA9" w:rsidRPr="00F53BDD" w:rsidRDefault="00E13EDA" w:rsidP="00CA003F">
            <w:pPr>
              <w:pStyle w:val="TableText"/>
              <w:spacing w:before="40" w:after="40"/>
              <w:rPr>
                <w:b/>
                <w:bCs/>
                <w:szCs w:val="18"/>
              </w:rPr>
            </w:pPr>
            <w:r w:rsidRPr="00F53BDD">
              <w:rPr>
                <w:rFonts w:ascii="Segoe UI Symbol" w:hAnsi="Segoe UI Symbol" w:cs="Segoe UI Symbol"/>
                <w:sz w:val="17"/>
                <w:szCs w:val="17"/>
                <w:shd w:val="clear" w:color="auto" w:fill="87BDBE"/>
              </w:rPr>
              <w:t>✓✓</w:t>
            </w:r>
            <w:r w:rsidR="00EF04DA" w:rsidRPr="00F53BDD">
              <w:rPr>
                <w:rFonts w:eastAsia="Times New Roman"/>
                <w:szCs w:val="18"/>
              </w:rPr>
              <w:t xml:space="preserve"> </w:t>
            </w:r>
          </w:p>
        </w:tc>
        <w:tc>
          <w:tcPr>
            <w:tcW w:w="0" w:type="auto"/>
          </w:tcPr>
          <w:p w:rsidR="00B92FA9" w:rsidRPr="00F53BDD" w:rsidRDefault="00B92FA9" w:rsidP="00CA003F">
            <w:pPr>
              <w:pStyle w:val="TableText"/>
              <w:spacing w:before="40" w:after="40"/>
              <w:rPr>
                <w:szCs w:val="18"/>
              </w:rPr>
            </w:pPr>
            <w:r w:rsidRPr="00F53BDD">
              <w:rPr>
                <w:rFonts w:eastAsia="Times New Roman"/>
                <w:szCs w:val="18"/>
              </w:rPr>
              <w:t>Meets criteria</w:t>
            </w:r>
          </w:p>
        </w:tc>
        <w:tc>
          <w:tcPr>
            <w:tcW w:w="0" w:type="auto"/>
          </w:tcPr>
          <w:p w:rsidR="00B92FA9" w:rsidRPr="00F53BDD" w:rsidRDefault="00E13EDA" w:rsidP="003A7D8A">
            <w:pPr>
              <w:pStyle w:val="TableText"/>
              <w:spacing w:before="40" w:after="40"/>
              <w:jc w:val="center"/>
              <w:rPr>
                <w:rFonts w:eastAsia="Times New Roman"/>
                <w:szCs w:val="18"/>
              </w:rPr>
            </w:pPr>
            <w:r w:rsidRPr="00F53BDD">
              <w:rPr>
                <w:rFonts w:cs="Segoe UI Symbol"/>
                <w:sz w:val="17"/>
                <w:szCs w:val="17"/>
                <w:shd w:val="clear" w:color="auto" w:fill="EDB097"/>
              </w:rPr>
              <w:t>x</w:t>
            </w:r>
          </w:p>
        </w:tc>
        <w:tc>
          <w:tcPr>
            <w:tcW w:w="0" w:type="auto"/>
          </w:tcPr>
          <w:p w:rsidR="00B92FA9" w:rsidRPr="00F53BDD" w:rsidRDefault="00B92FA9" w:rsidP="00CA003F">
            <w:pPr>
              <w:pStyle w:val="TableText"/>
              <w:spacing w:before="40" w:after="40"/>
              <w:rPr>
                <w:rFonts w:eastAsia="Times New Roman"/>
                <w:szCs w:val="18"/>
              </w:rPr>
            </w:pPr>
            <w:r w:rsidRPr="00F53BDD">
              <w:rPr>
                <w:rFonts w:eastAsia="Times New Roman"/>
                <w:szCs w:val="18"/>
              </w:rPr>
              <w:t>Does not meet criteria</w:t>
            </w:r>
          </w:p>
        </w:tc>
      </w:tr>
      <w:tr w:rsidR="00B92FA9" w:rsidRPr="00F53BDD" w:rsidTr="00CA003F">
        <w:tc>
          <w:tcPr>
            <w:tcW w:w="0" w:type="auto"/>
          </w:tcPr>
          <w:p w:rsidR="00B92FA9" w:rsidRPr="00F53BDD" w:rsidRDefault="00E13EDA" w:rsidP="00CA003F">
            <w:pPr>
              <w:pStyle w:val="TableText"/>
              <w:spacing w:before="40" w:after="40"/>
              <w:rPr>
                <w:b/>
                <w:bCs/>
                <w:szCs w:val="18"/>
              </w:rPr>
            </w:pPr>
            <w:r w:rsidRPr="00F53BDD">
              <w:rPr>
                <w:rFonts w:ascii="Segoe UI Symbol" w:hAnsi="Segoe UI Symbol" w:cs="Segoe UI Symbol"/>
                <w:sz w:val="17"/>
                <w:szCs w:val="17"/>
                <w:shd w:val="clear" w:color="auto" w:fill="CFE5E5"/>
              </w:rPr>
              <w:t>✓</w:t>
            </w:r>
            <w:r w:rsidR="00EF04DA" w:rsidRPr="00F53BDD">
              <w:rPr>
                <w:rFonts w:eastAsia="Times New Roman"/>
                <w:szCs w:val="18"/>
              </w:rPr>
              <w:t xml:space="preserve"> </w:t>
            </w:r>
          </w:p>
        </w:tc>
        <w:tc>
          <w:tcPr>
            <w:tcW w:w="0" w:type="auto"/>
          </w:tcPr>
          <w:p w:rsidR="00B92FA9" w:rsidRPr="00F53BDD" w:rsidRDefault="00B92FA9" w:rsidP="00CA003F">
            <w:pPr>
              <w:pStyle w:val="TableText"/>
              <w:spacing w:before="40" w:after="40"/>
              <w:rPr>
                <w:szCs w:val="18"/>
              </w:rPr>
            </w:pPr>
            <w:r w:rsidRPr="00F53BDD">
              <w:rPr>
                <w:rFonts w:eastAsia="Times New Roman"/>
                <w:szCs w:val="18"/>
              </w:rPr>
              <w:t>Partially meets criteria</w:t>
            </w:r>
          </w:p>
        </w:tc>
        <w:tc>
          <w:tcPr>
            <w:tcW w:w="0" w:type="auto"/>
          </w:tcPr>
          <w:p w:rsidR="00B92FA9" w:rsidRPr="00F53BDD" w:rsidRDefault="00B92FA9" w:rsidP="00CA003F">
            <w:pPr>
              <w:pStyle w:val="TableText"/>
              <w:spacing w:before="40" w:after="40"/>
              <w:rPr>
                <w:rFonts w:eastAsia="Times New Roman"/>
                <w:szCs w:val="18"/>
              </w:rPr>
            </w:pPr>
          </w:p>
        </w:tc>
        <w:tc>
          <w:tcPr>
            <w:tcW w:w="0" w:type="auto"/>
          </w:tcPr>
          <w:p w:rsidR="00B92FA9" w:rsidRPr="00F53BDD" w:rsidRDefault="00B92FA9" w:rsidP="00CA003F">
            <w:pPr>
              <w:pStyle w:val="TableText"/>
              <w:spacing w:before="40" w:after="40"/>
              <w:rPr>
                <w:rFonts w:eastAsia="Times New Roman"/>
                <w:szCs w:val="18"/>
              </w:rPr>
            </w:pPr>
          </w:p>
        </w:tc>
      </w:tr>
    </w:tbl>
    <w:p w:rsidR="00B92FA9" w:rsidRPr="00F53BDD" w:rsidRDefault="00B92FA9" w:rsidP="00CA003F">
      <w:pPr>
        <w:pStyle w:val="BodyText"/>
        <w:spacing w:before="240"/>
      </w:pPr>
      <w:r w:rsidRPr="00F53BDD">
        <w:t>Similar to the risk analysis, this approach is intended to enable stakeholders to comment on our understanding of the market governance risk, our assessment of options, and provide further information we should consider as part of the analysis. This feedback is a very important source of evidence that helps the Government to strengthen proposals and understand their impacts.</w:t>
      </w:r>
    </w:p>
    <w:p w:rsidR="00702249" w:rsidRDefault="00702249">
      <w:pPr>
        <w:spacing w:before="0" w:after="200" w:line="276" w:lineRule="auto"/>
        <w:jc w:val="left"/>
        <w:rPr>
          <w:b/>
          <w:sz w:val="20"/>
        </w:rPr>
      </w:pPr>
      <w:r>
        <w:br w:type="page"/>
      </w:r>
    </w:p>
    <w:p w:rsidR="00B92FA9" w:rsidRPr="00F53BDD" w:rsidRDefault="00B92FA9" w:rsidP="00B92FA9">
      <w:pPr>
        <w:pStyle w:val="Tableheading"/>
      </w:pPr>
      <w:bookmarkStart w:id="80" w:name="_Toc75250111"/>
      <w:r w:rsidRPr="00F53BDD">
        <w:t xml:space="preserve">Table </w:t>
      </w:r>
      <w:r w:rsidR="00D8465B">
        <w:t>9</w:t>
      </w:r>
      <w:r w:rsidRPr="00F53BDD">
        <w:t xml:space="preserve">: </w:t>
      </w:r>
      <w:r w:rsidR="00CA003F" w:rsidRPr="00F53BDD">
        <w:tab/>
      </w:r>
      <w:r w:rsidRPr="00F53BDD">
        <w:t xml:space="preserve">Option </w:t>
      </w:r>
      <w:r w:rsidR="0070328A">
        <w:t>s</w:t>
      </w:r>
      <w:r w:rsidR="0070328A" w:rsidRPr="00F53BDD">
        <w:t xml:space="preserve">election </w:t>
      </w:r>
      <w:r w:rsidR="0070328A">
        <w:t>c</w:t>
      </w:r>
      <w:r w:rsidR="0070328A" w:rsidRPr="00F53BDD">
        <w:t>riteria</w:t>
      </w:r>
      <w:bookmarkEnd w:id="80"/>
    </w:p>
    <w:tbl>
      <w:tblPr>
        <w:tblStyle w:val="TableGrid"/>
        <w:tblW w:w="0" w:type="auto"/>
        <w:tblBorders>
          <w:top w:val="none" w:sz="0" w:space="0" w:color="auto"/>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CellMar>
          <w:left w:w="85" w:type="dxa"/>
          <w:right w:w="85" w:type="dxa"/>
        </w:tblCellMar>
        <w:tblLook w:val="04A0" w:firstRow="1" w:lastRow="0" w:firstColumn="1" w:lastColumn="0" w:noHBand="0" w:noVBand="1"/>
      </w:tblPr>
      <w:tblGrid>
        <w:gridCol w:w="1985"/>
        <w:gridCol w:w="6520"/>
      </w:tblGrid>
      <w:tr w:rsidR="00B92FA9" w:rsidRPr="00F53BDD" w:rsidTr="00DE226E">
        <w:trPr>
          <w:tblHeader/>
        </w:trPr>
        <w:tc>
          <w:tcPr>
            <w:tcW w:w="1985" w:type="dxa"/>
            <w:shd w:val="clear" w:color="auto" w:fill="1C556C" w:themeFill="accent1"/>
            <w:vAlign w:val="bottom"/>
          </w:tcPr>
          <w:p w:rsidR="00B92FA9" w:rsidRPr="00F53BDD" w:rsidRDefault="00B92FA9" w:rsidP="00854EB0">
            <w:pPr>
              <w:pStyle w:val="TableText"/>
              <w:spacing w:line="240" w:lineRule="auto"/>
              <w:rPr>
                <w:b/>
                <w:bCs/>
                <w:color w:val="FFFFFF" w:themeColor="background1"/>
              </w:rPr>
            </w:pPr>
            <w:r w:rsidRPr="00F53BDD">
              <w:rPr>
                <w:b/>
                <w:bCs/>
                <w:color w:val="FFFFFF" w:themeColor="background1"/>
              </w:rPr>
              <w:t xml:space="preserve">Operational </w:t>
            </w:r>
            <w:r w:rsidR="00E95A03">
              <w:rPr>
                <w:b/>
                <w:bCs/>
                <w:color w:val="FFFFFF" w:themeColor="background1"/>
              </w:rPr>
              <w:t>c</w:t>
            </w:r>
            <w:r w:rsidRPr="00F53BDD">
              <w:rPr>
                <w:b/>
                <w:bCs/>
                <w:color w:val="FFFFFF" w:themeColor="background1"/>
              </w:rPr>
              <w:t>riterion</w:t>
            </w:r>
          </w:p>
        </w:tc>
        <w:tc>
          <w:tcPr>
            <w:tcW w:w="6520" w:type="dxa"/>
            <w:shd w:val="clear" w:color="auto" w:fill="1C556C" w:themeFill="accent1"/>
            <w:vAlign w:val="bottom"/>
          </w:tcPr>
          <w:p w:rsidR="00B92FA9" w:rsidRPr="00F53BDD" w:rsidRDefault="00B92FA9" w:rsidP="00854EB0">
            <w:pPr>
              <w:pStyle w:val="TableText"/>
              <w:spacing w:line="240" w:lineRule="auto"/>
              <w:rPr>
                <w:b/>
                <w:bCs/>
                <w:color w:val="FFFFFF" w:themeColor="background1"/>
              </w:rPr>
            </w:pPr>
            <w:r w:rsidRPr="00F53BDD">
              <w:rPr>
                <w:b/>
                <w:bCs/>
                <w:color w:val="FFFFFF" w:themeColor="background1"/>
              </w:rPr>
              <w:t>Description</w:t>
            </w:r>
          </w:p>
        </w:tc>
      </w:tr>
      <w:tr w:rsidR="00B92FA9" w:rsidRPr="00F53BDD" w:rsidTr="00DE226E">
        <w:tc>
          <w:tcPr>
            <w:tcW w:w="1985" w:type="dxa"/>
          </w:tcPr>
          <w:p w:rsidR="00B92FA9" w:rsidRPr="00F53BDD" w:rsidRDefault="00B92FA9" w:rsidP="000353E8">
            <w:pPr>
              <w:pStyle w:val="TableTextbold"/>
              <w:spacing w:before="40" w:after="40"/>
            </w:pPr>
            <w:r w:rsidRPr="00F53BDD">
              <w:t>Integrity</w:t>
            </w:r>
          </w:p>
        </w:tc>
        <w:tc>
          <w:tcPr>
            <w:tcW w:w="6520" w:type="dxa"/>
          </w:tcPr>
          <w:p w:rsidR="00B92FA9" w:rsidRPr="00F53BDD" w:rsidRDefault="00B92FA9" w:rsidP="000353E8">
            <w:pPr>
              <w:pStyle w:val="TableText"/>
              <w:spacing w:before="40" w:after="40"/>
            </w:pPr>
            <w:r w:rsidRPr="00F53BDD">
              <w:t>Integrity means ensuring that the NZ ETS market operates with integrity at all times and through all trading markets (primary auctioning market, secondary trading market</w:t>
            </w:r>
            <w:r w:rsidR="00E95A03">
              <w:t>,</w:t>
            </w:r>
            <w:r w:rsidRPr="00F53BDD">
              <w:t xml:space="preserve"> and the derivatives market).</w:t>
            </w:r>
          </w:p>
          <w:p w:rsidR="00B92FA9" w:rsidRPr="00F53BDD" w:rsidRDefault="00B92FA9" w:rsidP="000353E8">
            <w:pPr>
              <w:pStyle w:val="TableText"/>
              <w:spacing w:before="40" w:after="40"/>
            </w:pPr>
            <w:r w:rsidRPr="00F53BDD">
              <w:t>Integrity also means being consistent with the overall NZ ETS objectives of helping New</w:t>
            </w:r>
            <w:r w:rsidR="00DE226E" w:rsidRPr="00F53BDD">
              <w:t> </w:t>
            </w:r>
            <w:r w:rsidRPr="00F53BDD">
              <w:t>Zealand meet emissions reduction targets and reduce net emissions below business-as-usual levels.</w:t>
            </w:r>
          </w:p>
          <w:p w:rsidR="00B92FA9" w:rsidRPr="00F53BDD" w:rsidRDefault="00B92FA9" w:rsidP="000353E8">
            <w:pPr>
              <w:pStyle w:val="TableText"/>
              <w:spacing w:before="40" w:after="40"/>
            </w:pPr>
            <w:r w:rsidRPr="00F53BDD">
              <w:t>In practical terms, this means preserving the environmental integrity of the NZ ETS, as well as encouraging compliance and enabling enforcement of the scheme’s rules. It also includes minimising opportunities for collusion or market manipulation, and avoiding perverse incentives or unintended consequences</w:t>
            </w:r>
          </w:p>
        </w:tc>
      </w:tr>
      <w:tr w:rsidR="00B92FA9" w:rsidRPr="00F53BDD" w:rsidTr="00DE226E">
        <w:tc>
          <w:tcPr>
            <w:tcW w:w="1985" w:type="dxa"/>
          </w:tcPr>
          <w:p w:rsidR="00B92FA9" w:rsidRPr="00F53BDD" w:rsidRDefault="00B92FA9" w:rsidP="00854EB0">
            <w:pPr>
              <w:pStyle w:val="TableText"/>
              <w:spacing w:line="240" w:lineRule="auto"/>
              <w:rPr>
                <w:b/>
                <w:bCs/>
              </w:rPr>
            </w:pPr>
            <w:r w:rsidRPr="00F53BDD">
              <w:rPr>
                <w:b/>
                <w:bCs/>
              </w:rPr>
              <w:t>Minimal complexity and administrative cost</w:t>
            </w:r>
          </w:p>
        </w:tc>
        <w:tc>
          <w:tcPr>
            <w:tcW w:w="6520" w:type="dxa"/>
          </w:tcPr>
          <w:p w:rsidR="00B92FA9" w:rsidRPr="00F53BDD" w:rsidRDefault="00B92FA9" w:rsidP="000353E8">
            <w:pPr>
              <w:pStyle w:val="TableText"/>
            </w:pPr>
            <w:r w:rsidRPr="00F53BDD">
              <w:t>This relates to ensuring implementation is as straightforward as possible, so administration and transaction costs for both participants and the Government are</w:t>
            </w:r>
            <w:r w:rsidR="00DE226E" w:rsidRPr="00F53BDD">
              <w:t> </w:t>
            </w:r>
            <w:r w:rsidRPr="00F53BDD">
              <w:t>manageable.</w:t>
            </w:r>
          </w:p>
          <w:p w:rsidR="00B92FA9" w:rsidRPr="00F53BDD" w:rsidRDefault="00B92FA9" w:rsidP="000353E8">
            <w:pPr>
              <w:pStyle w:val="TableText"/>
            </w:pPr>
            <w:r w:rsidRPr="00F53BDD">
              <w:t>Wherever possible, the costs of participating in the market are minimised for participants and traders. All rules, regulations and legislation are as simple and understandable as possible. In particular, how the NZ ETS market is governed has clear regard for the impacts on market participation of key intermediaries, traders, and other parties.</w:t>
            </w:r>
          </w:p>
          <w:p w:rsidR="00B92FA9" w:rsidRPr="00F53BDD" w:rsidRDefault="00B92FA9" w:rsidP="000353E8">
            <w:pPr>
              <w:pStyle w:val="TableText"/>
            </w:pPr>
            <w:r w:rsidRPr="00F53BDD">
              <w:t>There may be trade-offs between costs for the Government and simplicity for participants, and in these cases a balance should be struck to minimise the overall administrative burden.</w:t>
            </w:r>
          </w:p>
        </w:tc>
      </w:tr>
      <w:tr w:rsidR="00B92FA9" w:rsidRPr="00F53BDD" w:rsidTr="00DE226E">
        <w:tc>
          <w:tcPr>
            <w:tcW w:w="1985" w:type="dxa"/>
          </w:tcPr>
          <w:p w:rsidR="00B92FA9" w:rsidRPr="00F53BDD" w:rsidRDefault="00B92FA9" w:rsidP="00854EB0">
            <w:pPr>
              <w:pStyle w:val="TableText"/>
              <w:spacing w:line="240" w:lineRule="auto"/>
              <w:rPr>
                <w:b/>
                <w:bCs/>
              </w:rPr>
            </w:pPr>
            <w:r w:rsidRPr="00F53BDD">
              <w:rPr>
                <w:b/>
                <w:bCs/>
              </w:rPr>
              <w:t>Consistency and proportionality</w:t>
            </w:r>
          </w:p>
        </w:tc>
        <w:tc>
          <w:tcPr>
            <w:tcW w:w="6520" w:type="dxa"/>
          </w:tcPr>
          <w:p w:rsidR="00B92FA9" w:rsidRPr="00F53BDD" w:rsidRDefault="00B92FA9" w:rsidP="000353E8">
            <w:pPr>
              <w:pStyle w:val="TableText"/>
            </w:pPr>
            <w:r w:rsidRPr="00F53BDD">
              <w:t xml:space="preserve">Implementation should treat participants consistently and similarly, to avoid advantaging some participants over others. </w:t>
            </w:r>
          </w:p>
          <w:p w:rsidR="00B92FA9" w:rsidRPr="00F53BDD" w:rsidRDefault="00B92FA9" w:rsidP="000353E8">
            <w:pPr>
              <w:pStyle w:val="TableText"/>
            </w:pPr>
            <w:r w:rsidRPr="00F53BDD">
              <w:t>Wherever possible, the same solutions are used to apply to the primary auctioning market, secondary trading market and the derivatives market. In addition, the solutions are consistent with similar solutions used in other similar contexts and they are proportional to the risk at issue.</w:t>
            </w:r>
          </w:p>
          <w:p w:rsidR="00B92FA9" w:rsidRPr="00F53BDD" w:rsidRDefault="00B92FA9" w:rsidP="000353E8">
            <w:pPr>
              <w:pStyle w:val="TableText"/>
            </w:pPr>
            <w:r w:rsidRPr="00F53BDD">
              <w:t>Proportionality means interventions, for example, compliance actions, are appropriately scaled to address the problem or achieve the outcome sought.</w:t>
            </w:r>
          </w:p>
        </w:tc>
      </w:tr>
      <w:tr w:rsidR="00B92FA9" w:rsidRPr="00F53BDD" w:rsidTr="00DE226E">
        <w:tc>
          <w:tcPr>
            <w:tcW w:w="1985" w:type="dxa"/>
          </w:tcPr>
          <w:p w:rsidR="00B92FA9" w:rsidRPr="00F53BDD" w:rsidRDefault="00B92FA9" w:rsidP="00854EB0">
            <w:pPr>
              <w:pStyle w:val="TableText"/>
              <w:spacing w:line="240" w:lineRule="auto"/>
              <w:rPr>
                <w:b/>
                <w:bCs/>
              </w:rPr>
            </w:pPr>
            <w:r w:rsidRPr="00F53BDD">
              <w:rPr>
                <w:b/>
                <w:bCs/>
              </w:rPr>
              <w:t>Clarity and transparency</w:t>
            </w:r>
          </w:p>
        </w:tc>
        <w:tc>
          <w:tcPr>
            <w:tcW w:w="6520" w:type="dxa"/>
          </w:tcPr>
          <w:p w:rsidR="00B92FA9" w:rsidRPr="00F53BDD" w:rsidRDefault="00B92FA9" w:rsidP="000353E8">
            <w:pPr>
              <w:pStyle w:val="TableText"/>
            </w:pPr>
            <w:r w:rsidRPr="00F53BDD">
              <w:t xml:space="preserve">Policies and operational processes should be understandable and unambiguous. Transparency also includes ensuring that appropriate market information is made publicly available in a timely manner (this may need to be balanced with confidentiality where required and for managing integrity risks). The risk of collusion due to too much transparency is also considered. </w:t>
            </w:r>
          </w:p>
          <w:p w:rsidR="00B92FA9" w:rsidRPr="00F53BDD" w:rsidRDefault="00B92FA9" w:rsidP="000353E8">
            <w:pPr>
              <w:pStyle w:val="TableText"/>
            </w:pPr>
            <w:r w:rsidRPr="00F53BDD">
              <w:t>All rules, regulations and legislation are clearly explained so that market participants, traders and other intermediaries understand their obligations and what type of conduct is expected of them.</w:t>
            </w:r>
          </w:p>
        </w:tc>
      </w:tr>
      <w:tr w:rsidR="00B92FA9" w:rsidRPr="00F53BDD" w:rsidTr="00DE226E">
        <w:tc>
          <w:tcPr>
            <w:tcW w:w="1985" w:type="dxa"/>
          </w:tcPr>
          <w:p w:rsidR="00B92FA9" w:rsidRPr="00F53BDD" w:rsidRDefault="00B92FA9" w:rsidP="00854EB0">
            <w:pPr>
              <w:pStyle w:val="TableText"/>
              <w:spacing w:line="240" w:lineRule="auto"/>
              <w:rPr>
                <w:b/>
                <w:bCs/>
              </w:rPr>
            </w:pPr>
            <w:r w:rsidRPr="00F53BDD">
              <w:rPr>
                <w:b/>
                <w:bCs/>
              </w:rPr>
              <w:t>Market efficiency</w:t>
            </w:r>
          </w:p>
        </w:tc>
        <w:tc>
          <w:tcPr>
            <w:tcW w:w="6520" w:type="dxa"/>
          </w:tcPr>
          <w:p w:rsidR="00B92FA9" w:rsidRPr="00F53BDD" w:rsidRDefault="00B92FA9" w:rsidP="000353E8">
            <w:pPr>
              <w:pStyle w:val="TableText"/>
            </w:pPr>
            <w:r w:rsidRPr="00F53BDD">
              <w:t>An ETS market is efficient when it achieves allocative efficiency and delivers efficient price discovery.</w:t>
            </w:r>
          </w:p>
          <w:p w:rsidR="00B92FA9" w:rsidRPr="00F53BDD" w:rsidRDefault="00B92FA9" w:rsidP="000353E8">
            <w:pPr>
              <w:pStyle w:val="TableBullet"/>
            </w:pPr>
            <w:r w:rsidRPr="00F53BDD">
              <w:t>Allocative efficiency is the market’s capacity to channel resources, in this case, NZUs – to their highest value uses. That is, emissions are reduced by those best placed to abate, at the best time.</w:t>
            </w:r>
          </w:p>
          <w:p w:rsidR="00B92FA9" w:rsidRPr="00F53BDD" w:rsidRDefault="00B92FA9" w:rsidP="000353E8">
            <w:pPr>
              <w:pStyle w:val="TableBullet"/>
            </w:pPr>
            <w:r w:rsidRPr="00F53BDD">
              <w:t>Efficient price discovery means, for NZUs to flow to their highest value uses, the carbon price needs to reflect all available information. Provision of relevant market information and predictable policy will help participants and others to identify and understand the overall supply and demand conditions for permits, facilitating efficient price discovery. This will produce a reliable price signal that informs investment decisions, while minimising the cost impact of the carbon price.</w:t>
            </w:r>
          </w:p>
          <w:p w:rsidR="00B92FA9" w:rsidRPr="00F53BDD" w:rsidRDefault="00B92FA9" w:rsidP="000353E8">
            <w:pPr>
              <w:pStyle w:val="TableText"/>
            </w:pPr>
            <w:r w:rsidRPr="00F53BDD">
              <w:t>To ensure market efficiency, there need to be adequate rules and oversight in place to guard against the risks of manipulation of the price, insider trading and anti-competitive conduct.</w:t>
            </w:r>
          </w:p>
        </w:tc>
      </w:tr>
    </w:tbl>
    <w:p w:rsidR="00B92FA9" w:rsidRPr="00F53BDD" w:rsidRDefault="00B92FA9" w:rsidP="00CA003F">
      <w:pPr>
        <w:pStyle w:val="Heading3"/>
        <w:spacing w:before="400"/>
      </w:pPr>
      <w:r w:rsidRPr="00F53BDD">
        <w:t>Results</w:t>
      </w:r>
    </w:p>
    <w:p w:rsidR="00037B95" w:rsidRPr="00F53BDD" w:rsidRDefault="00037B95" w:rsidP="00037B95">
      <w:pPr>
        <w:pStyle w:val="BodyText"/>
      </w:pPr>
      <w:r w:rsidRPr="00F53BDD">
        <w:t xml:space="preserve">For a detailed analysis, see </w:t>
      </w:r>
      <w:hyperlink w:anchor="_Appendix_C:_Impact" w:history="1">
        <w:r w:rsidRPr="00F53BDD">
          <w:rPr>
            <w:rStyle w:val="Hyperlink"/>
          </w:rPr>
          <w:t>appendix C</w:t>
        </w:r>
      </w:hyperlink>
      <w:r w:rsidRPr="00F53BDD">
        <w:t xml:space="preserve">. </w:t>
      </w:r>
    </w:p>
    <w:p w:rsidR="00037B95" w:rsidRPr="00F53BDD" w:rsidRDefault="00037B95" w:rsidP="00037B95">
      <w:pPr>
        <w:pStyle w:val="BodyText"/>
      </w:pPr>
      <w:r w:rsidRPr="00F53BDD">
        <w:t>We found that a combination of non-regulatory and regulatory options might fit together to form an effective market governance framework.</w:t>
      </w:r>
    </w:p>
    <w:p w:rsidR="00037B95" w:rsidRPr="00F53BDD" w:rsidRDefault="00037B95" w:rsidP="00CA003F">
      <w:pPr>
        <w:pStyle w:val="Heading4"/>
      </w:pPr>
      <w:r w:rsidRPr="00F53BDD">
        <w:t>Status quo</w:t>
      </w:r>
    </w:p>
    <w:p w:rsidR="00037B95" w:rsidRPr="00F53BDD" w:rsidRDefault="00037B95" w:rsidP="00037B95">
      <w:pPr>
        <w:pStyle w:val="BodyText"/>
      </w:pPr>
      <w:r w:rsidRPr="00F53BDD">
        <w:t xml:space="preserve">The status quo options (A1, B1, C1 and D1) do not adequately meet our criteria. Although keeping the status quo appears to be the least expensive option, it fails on all the other criteria – integrity, consistency and proportionality, clarity and transparency, and market efficiency. </w:t>
      </w:r>
    </w:p>
    <w:p w:rsidR="00037B95" w:rsidRPr="00F53BDD" w:rsidRDefault="00037B95" w:rsidP="00CA003F">
      <w:pPr>
        <w:pStyle w:val="Heading4"/>
      </w:pPr>
      <w:r w:rsidRPr="00F53BDD">
        <w:t xml:space="preserve">Governance of advice </w:t>
      </w:r>
    </w:p>
    <w:p w:rsidR="00037B95" w:rsidRPr="00F53BDD" w:rsidRDefault="00037B95" w:rsidP="00CA003F">
      <w:pPr>
        <w:pStyle w:val="BodyText"/>
        <w:spacing w:after="100"/>
      </w:pPr>
      <w:r w:rsidRPr="00F53BDD">
        <w:t xml:space="preserve">The most viable options are: </w:t>
      </w:r>
    </w:p>
    <w:p w:rsidR="00037B95" w:rsidRPr="00F53BDD" w:rsidRDefault="00037B95" w:rsidP="00CA003F">
      <w:pPr>
        <w:pStyle w:val="Bullet"/>
        <w:spacing w:after="100"/>
      </w:pPr>
      <w:r w:rsidRPr="00F53BDD">
        <w:t xml:space="preserve">A3: Sector guidelines for NZU advisers. </w:t>
      </w:r>
    </w:p>
    <w:p w:rsidR="00037B95" w:rsidRPr="00F53BDD" w:rsidRDefault="00037B95" w:rsidP="00CA003F">
      <w:pPr>
        <w:pStyle w:val="Bullet"/>
        <w:spacing w:after="100"/>
      </w:pPr>
      <w:r w:rsidRPr="00F53BDD">
        <w:t>A2: Education campaign and information pack.</w:t>
      </w:r>
    </w:p>
    <w:p w:rsidR="00037B95" w:rsidRPr="00F53BDD" w:rsidRDefault="00037B95" w:rsidP="00CA003F">
      <w:pPr>
        <w:pStyle w:val="BodyText"/>
        <w:spacing w:after="100"/>
      </w:pPr>
      <w:r w:rsidRPr="00F53BDD">
        <w:t>A3 scored better on integrity, and consistency and proportionality. It can be combined with</w:t>
      </w:r>
      <w:r w:rsidR="00CA003F" w:rsidRPr="00F53BDD">
        <w:t> </w:t>
      </w:r>
      <w:r w:rsidRPr="00F53BDD">
        <w:t>co</w:t>
      </w:r>
      <w:r w:rsidR="00CA003F" w:rsidRPr="00F53BDD">
        <w:noBreakHyphen/>
      </w:r>
      <w:r w:rsidRPr="00F53BDD">
        <w:t>regulation to make the sector guidelines enforceable, significantly increasing the integrity score.</w:t>
      </w:r>
    </w:p>
    <w:p w:rsidR="00037B95" w:rsidRPr="00F53BDD" w:rsidRDefault="00037B95" w:rsidP="00CA003F">
      <w:pPr>
        <w:pStyle w:val="Heading4"/>
      </w:pPr>
      <w:r w:rsidRPr="00F53BDD">
        <w:t>Governance of trading</w:t>
      </w:r>
    </w:p>
    <w:p w:rsidR="00037B95" w:rsidRPr="00F53BDD" w:rsidRDefault="00037B95" w:rsidP="00CA003F">
      <w:pPr>
        <w:pStyle w:val="BodyText"/>
        <w:spacing w:before="100" w:after="100"/>
      </w:pPr>
      <w:r w:rsidRPr="00F53BDD">
        <w:t xml:space="preserve">Best option: B4: Requiring exchange-based trading. </w:t>
      </w:r>
    </w:p>
    <w:p w:rsidR="00037B95" w:rsidRPr="00F53BDD" w:rsidRDefault="00037B95" w:rsidP="00CA003F">
      <w:pPr>
        <w:pStyle w:val="BodyText"/>
        <w:spacing w:before="100" w:after="100"/>
      </w:pPr>
      <w:r w:rsidRPr="00F53BDD">
        <w:t xml:space="preserve">This meets or strongly meets all criteria, offering the most integrity, transparency and market efficiency. The trade-off is that setting up and maintaining an exchange would be a significant cost to the licensed operators. There would also be set-up and trading costs for users. </w:t>
      </w:r>
    </w:p>
    <w:p w:rsidR="00037B95" w:rsidRPr="00F53BDD" w:rsidRDefault="00037B95" w:rsidP="00CA003F">
      <w:pPr>
        <w:pStyle w:val="BodyText"/>
        <w:spacing w:before="100" w:after="100"/>
      </w:pPr>
      <w:r w:rsidRPr="00F53BDD">
        <w:t>Although B2 and B3 meet and partially meet criteria, a lack of independent data validation means lower integrity of reported data and market efficiency.</w:t>
      </w:r>
    </w:p>
    <w:p w:rsidR="00037B95" w:rsidRPr="00F53BDD" w:rsidRDefault="00037B95" w:rsidP="00CA003F">
      <w:pPr>
        <w:pStyle w:val="Heading4"/>
      </w:pPr>
      <w:r w:rsidRPr="00F53BDD">
        <w:t>Governance of market conduct</w:t>
      </w:r>
    </w:p>
    <w:p w:rsidR="00037B95" w:rsidRPr="00F53BDD" w:rsidRDefault="00037B95" w:rsidP="00CA003F">
      <w:pPr>
        <w:pStyle w:val="BodyText"/>
        <w:spacing w:before="100" w:after="100"/>
      </w:pPr>
      <w:r w:rsidRPr="00F53BDD">
        <w:rPr>
          <w:bCs/>
        </w:rPr>
        <w:t xml:space="preserve">Best option – </w:t>
      </w:r>
      <w:r w:rsidRPr="00F53BDD">
        <w:t>C2: Position and purchase limits.</w:t>
      </w:r>
      <w:r w:rsidRPr="00F53BDD">
        <w:rPr>
          <w:i/>
          <w:iCs/>
        </w:rPr>
        <w:t xml:space="preserve"> </w:t>
      </w:r>
      <w:r w:rsidRPr="00F53BDD">
        <w:t>This scored well overall and met all criteria, including a relatively low implementation cost to the Government and traders.</w:t>
      </w:r>
    </w:p>
    <w:p w:rsidR="00037B95" w:rsidRPr="00F53BDD" w:rsidRDefault="00037B95" w:rsidP="00CA003F">
      <w:pPr>
        <w:pStyle w:val="Heading4"/>
      </w:pPr>
      <w:r w:rsidRPr="00F53BDD">
        <w:t>Appointing a regulator</w:t>
      </w:r>
    </w:p>
    <w:p w:rsidR="00037B95" w:rsidRPr="00F53BDD" w:rsidRDefault="00037B95" w:rsidP="00CA003F">
      <w:pPr>
        <w:pStyle w:val="BodyText"/>
        <w:spacing w:before="100" w:after="100"/>
      </w:pPr>
      <w:r w:rsidRPr="00F53BDD">
        <w:t>To set up and enforce each option, we need to</w:t>
      </w:r>
      <w:r w:rsidRPr="00F53BDD">
        <w:rPr>
          <w:b/>
        </w:rPr>
        <w:t xml:space="preserve"> </w:t>
      </w:r>
      <w:r w:rsidRPr="00F53BDD">
        <w:rPr>
          <w:bCs/>
        </w:rPr>
        <w:t>appoint a regulator</w:t>
      </w:r>
      <w:r w:rsidRPr="00F53BDD">
        <w:rPr>
          <w:b/>
        </w:rPr>
        <w:t xml:space="preserve"> </w:t>
      </w:r>
      <w:r w:rsidRPr="00F53BDD">
        <w:t xml:space="preserve">with the regulatory function to govern the market. </w:t>
      </w:r>
    </w:p>
    <w:p w:rsidR="00037B95" w:rsidRPr="00F53BDD" w:rsidRDefault="00037B95" w:rsidP="00CA003F">
      <w:pPr>
        <w:pStyle w:val="BodyText"/>
        <w:spacing w:before="100" w:after="100"/>
      </w:pPr>
      <w:r w:rsidRPr="00F53BDD">
        <w:t>Best balance – D5: Market compliance regulator. This offers the best balance across the criteria. A compliance function is critical to implement and enforce rules for the market. The</w:t>
      </w:r>
      <w:r w:rsidR="00CA003F" w:rsidRPr="00F53BDD">
        <w:t> </w:t>
      </w:r>
      <w:r w:rsidRPr="00F53BDD">
        <w:t>trade-off for better regulatory function is the set-up cost to the Government.</w:t>
      </w:r>
    </w:p>
    <w:p w:rsidR="00B92FA9" w:rsidRPr="00F53BDD" w:rsidRDefault="00B92FA9" w:rsidP="00CA003F">
      <w:pPr>
        <w:pStyle w:val="Heading3"/>
      </w:pPr>
      <w:r w:rsidRPr="00F53BDD">
        <w:t>Impacts on Māori and Te Tiriti o Waitangi implications</w:t>
      </w:r>
    </w:p>
    <w:p w:rsidR="00B92FA9" w:rsidRPr="00F53BDD" w:rsidRDefault="00B92FA9" w:rsidP="001F09A6">
      <w:pPr>
        <w:pStyle w:val="BodyText"/>
        <w:spacing w:after="100"/>
      </w:pPr>
      <w:r w:rsidRPr="00F53BDD">
        <w:t>Iwi and Māori have significant stake in climate policy as climate change threatens the loss</w:t>
      </w:r>
      <w:r w:rsidR="00CA003F" w:rsidRPr="00F53BDD">
        <w:t> </w:t>
      </w:r>
      <w:r w:rsidRPr="00F53BDD">
        <w:t>of</w:t>
      </w:r>
      <w:r w:rsidR="00CA003F" w:rsidRPr="00F53BDD">
        <w:t> </w:t>
      </w:r>
      <w:r w:rsidRPr="00F53BDD">
        <w:t>culturally significant land, taonga species</w:t>
      </w:r>
      <w:r w:rsidR="00C04B1A">
        <w:t>,</w:t>
      </w:r>
      <w:r w:rsidRPr="00F53BDD">
        <w:t xml:space="preserve"> and resources affecting mātauranga and tikanga</w:t>
      </w:r>
      <w:r w:rsidR="00CA003F" w:rsidRPr="00F53BDD">
        <w:t> </w:t>
      </w:r>
      <w:r w:rsidRPr="00F53BDD">
        <w:t>Māori.</w:t>
      </w:r>
    </w:p>
    <w:p w:rsidR="00B92FA9" w:rsidRPr="00F53BDD" w:rsidRDefault="00B92FA9" w:rsidP="001F09A6">
      <w:pPr>
        <w:pStyle w:val="BodyText"/>
        <w:spacing w:after="100"/>
      </w:pPr>
      <w:r w:rsidRPr="00F53BDD">
        <w:t xml:space="preserve">There is a strong Tiriti and Māori interest in NZ ETS. This is driven by a commitment in </w:t>
      </w:r>
      <w:r w:rsidR="00C04B1A">
        <w:t>t</w:t>
      </w:r>
      <w:r w:rsidR="00C04B1A" w:rsidRPr="00F53BDD">
        <w:t xml:space="preserve">e </w:t>
      </w:r>
      <w:r w:rsidR="00C04B1A">
        <w:t>a</w:t>
      </w:r>
      <w:r w:rsidR="00C04B1A" w:rsidRPr="00F53BDD">
        <w:t xml:space="preserve">o </w:t>
      </w:r>
      <w:r w:rsidRPr="00F53BDD">
        <w:t>Māori to reduce emissions and address climate change, and the potential impacts of emissions pricing on Māori involvement in forestry and agriculture – particularly as these sectors dominate Māori economic development and employment.</w:t>
      </w:r>
    </w:p>
    <w:p w:rsidR="00B92FA9" w:rsidRPr="00F53BDD" w:rsidRDefault="00B92FA9" w:rsidP="001F09A6">
      <w:pPr>
        <w:pStyle w:val="BodyText"/>
        <w:spacing w:after="100"/>
      </w:pPr>
      <w:r w:rsidRPr="00F53BDD">
        <w:t xml:space="preserve">The market governance proposals in this </w:t>
      </w:r>
      <w:r w:rsidR="00C04B1A">
        <w:t>document</w:t>
      </w:r>
      <w:r w:rsidR="00C04B1A" w:rsidRPr="00F53BDD">
        <w:t xml:space="preserve"> </w:t>
      </w:r>
      <w:r w:rsidRPr="00F53BDD">
        <w:t>will affect iwi and Māori differently, depending on the specific option proposed and what role iwi and Māori have engaging with the NZ ETS. For example, Māori landowners seeking investment in forestry may experience financial benefit from the proposals aimed to improve the quality of financial and technical NZ ETS advice. An additional consequence may be that greater regulation of NZ ETS advice providers results in a higher cost for engaging an NZU advisor. However, higher quality advice will reduce the likelihood of the NZ ETS user experiencing financial harm when compared to the status quo, which currently disproportionately impacts smaller landowners, including iwi and Māori.</w:t>
      </w:r>
    </w:p>
    <w:p w:rsidR="00B92FA9" w:rsidRPr="00F53BDD" w:rsidRDefault="00B92FA9" w:rsidP="00B92FA9">
      <w:pPr>
        <w:pStyle w:val="BodyText"/>
      </w:pPr>
      <w:r w:rsidRPr="00F53BDD">
        <w:t>The proposal to introduce exchange</w:t>
      </w:r>
      <w:r w:rsidR="00C04B1A">
        <w:t>-</w:t>
      </w:r>
      <w:r w:rsidRPr="00F53BDD">
        <w:t>based trading could have similarly complex impacts on iwi and Māori. For example, exchange</w:t>
      </w:r>
      <w:r w:rsidR="00C04B1A">
        <w:t>-</w:t>
      </w:r>
      <w:r w:rsidRPr="00F53BDD">
        <w:t>based trading would reduce the risk of financial harm from price manipulation, insider trading</w:t>
      </w:r>
      <w:r w:rsidR="00C04B1A">
        <w:t>,</w:t>
      </w:r>
      <w:r w:rsidRPr="00F53BDD">
        <w:t xml:space="preserve"> and credit and counter party risk. However, the cost of using the exchange may disproportionately impact smaller NZ ETS users including iwi and Māori who can currently trade bilaterally with minimal administrative cost. </w:t>
      </w:r>
    </w:p>
    <w:p w:rsidR="00B92FA9" w:rsidRPr="00F53BDD" w:rsidRDefault="00B92FA9" w:rsidP="00B92FA9">
      <w:pPr>
        <w:pStyle w:val="BodyText"/>
      </w:pPr>
      <w:r w:rsidRPr="00F53BDD">
        <w:t xml:space="preserve">The proposals in this document are high-level policy options that the Government is seeking feedback on. To inform further policy analysis, the Government wants to hear from iwi and Māori about their particular interests and how these proposals could impact them. The details for targeted engagement with iwi and Māori </w:t>
      </w:r>
      <w:r w:rsidR="00A209D1">
        <w:t xml:space="preserve">will be </w:t>
      </w:r>
      <w:r w:rsidRPr="00F53BDD">
        <w:t xml:space="preserve">provided </w:t>
      </w:r>
      <w:r w:rsidR="00FB05B5">
        <w:t>at</w:t>
      </w:r>
      <w:r w:rsidR="00F83CD4">
        <w:t xml:space="preserve"> </w:t>
      </w:r>
      <w:hyperlink r:id="rId40" w:history="1">
        <w:r w:rsidR="00F83CD4" w:rsidRPr="00BF6240">
          <w:rPr>
            <w:rStyle w:val="Hyperlink"/>
          </w:rPr>
          <w:t>https://consult.environment.govt.nz/climate/designing-a-governance-framework-for-the-nz-ets</w:t>
        </w:r>
      </w:hyperlink>
      <w:r w:rsidR="00F27CCD">
        <w:rPr>
          <w:rStyle w:val="Hyperlink"/>
        </w:rPr>
        <w:t>.</w:t>
      </w:r>
      <w:r w:rsidRPr="00F53BDD">
        <w:t xml:space="preserve"> Information shared through targeted engagement and submissions from iwi and Māori will be used by the Ministry to undertake a full Te Tiriti o Waitangi analysis.</w:t>
      </w:r>
    </w:p>
    <w:p w:rsidR="00B92FA9" w:rsidRPr="00F53BDD" w:rsidRDefault="00CA4768" w:rsidP="00FB3C2F">
      <w:pPr>
        <w:pStyle w:val="Heading2"/>
        <w:spacing w:after="240"/>
      </w:pPr>
      <w:bookmarkStart w:id="81" w:name="_Toc73546763"/>
      <w:bookmarkStart w:id="82" w:name="_Toc75250084"/>
      <w:r>
        <w:t>Consultation</w:t>
      </w:r>
      <w:r w:rsidRPr="00F53BDD">
        <w:t xml:space="preserve"> </w:t>
      </w:r>
      <w:r w:rsidR="00B92FA9" w:rsidRPr="00F53BDD">
        <w:t>questions</w:t>
      </w:r>
      <w:bookmarkEnd w:id="81"/>
      <w:bookmarkEnd w:id="82"/>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FB3C2F" w:rsidRPr="00F53BDD" w:rsidTr="00FB3C2F">
        <w:tc>
          <w:tcPr>
            <w:tcW w:w="0" w:type="auto"/>
            <w:shd w:val="clear" w:color="auto" w:fill="D2DDE2"/>
          </w:tcPr>
          <w:p w:rsidR="00FB3C2F" w:rsidRPr="00F53BDD" w:rsidRDefault="00FB3C2F" w:rsidP="00B529A4">
            <w:pPr>
              <w:pStyle w:val="Blueboxheading"/>
              <w:keepNext w:val="0"/>
              <w:spacing w:after="120"/>
            </w:pPr>
            <w:r w:rsidRPr="00F53BDD">
              <w:t>Risk coverage analysis</w:t>
            </w:r>
          </w:p>
          <w:p w:rsidR="00FB3C2F" w:rsidRPr="00F53BDD" w:rsidRDefault="00FB3C2F" w:rsidP="00FB3C2F">
            <w:pPr>
              <w:pStyle w:val="Blueboxnumbered"/>
            </w:pPr>
            <w:r w:rsidRPr="00F53BDD">
              <w:t>Do you agree with the Government’s approach to assessing risk coverage analysis? If not, please provide your assessment of the risks.</w:t>
            </w:r>
          </w:p>
          <w:p w:rsidR="00FB3C2F" w:rsidRPr="00F53BDD" w:rsidRDefault="00FB3C2F" w:rsidP="005D3242">
            <w:pPr>
              <w:pStyle w:val="Blueboxtext"/>
              <w:rPr>
                <w:b/>
                <w:bCs/>
              </w:rPr>
            </w:pPr>
            <w:r w:rsidRPr="00F53BDD">
              <w:rPr>
                <w:b/>
                <w:bCs/>
              </w:rPr>
              <w:t>Impact analysis</w:t>
            </w:r>
          </w:p>
          <w:p w:rsidR="00FB3C2F" w:rsidRPr="00F53BDD" w:rsidRDefault="00FB3C2F" w:rsidP="00FB3C2F">
            <w:pPr>
              <w:pStyle w:val="Blueboxnumbered"/>
            </w:pPr>
            <w:r w:rsidRPr="00F53BDD">
              <w:t>Do you agree with the Government’s approach to assessing impact analysis? If</w:t>
            </w:r>
            <w:r w:rsidR="003A7D8A" w:rsidRPr="00F53BDD">
              <w:t> </w:t>
            </w:r>
            <w:r w:rsidRPr="00F53BDD">
              <w:t>not, please provide your assessment of the impact.</w:t>
            </w:r>
          </w:p>
          <w:p w:rsidR="00FB3C2F" w:rsidRPr="00F53BDD" w:rsidRDefault="00FB3C2F" w:rsidP="005D3242">
            <w:pPr>
              <w:pStyle w:val="Blueboxtext"/>
              <w:rPr>
                <w:b/>
                <w:bCs/>
              </w:rPr>
            </w:pPr>
            <w:r w:rsidRPr="00F53BDD">
              <w:rPr>
                <w:b/>
                <w:bCs/>
              </w:rPr>
              <w:t>Other options</w:t>
            </w:r>
          </w:p>
          <w:p w:rsidR="00FB3C2F" w:rsidRPr="00F53BDD" w:rsidRDefault="00FB3C2F" w:rsidP="00FB3C2F">
            <w:pPr>
              <w:pStyle w:val="Blueboxnumbered"/>
            </w:pPr>
            <w:r w:rsidRPr="00F53BDD">
              <w:t xml:space="preserve">What </w:t>
            </w:r>
            <w:r w:rsidR="00162FF5" w:rsidRPr="00F53BDD">
              <w:t>other factors</w:t>
            </w:r>
            <w:r w:rsidR="00162FF5">
              <w:t xml:space="preserve">, </w:t>
            </w:r>
            <w:r w:rsidRPr="00F53BDD">
              <w:t>if any, should the Government consider in its decision</w:t>
            </w:r>
            <w:r w:rsidR="00162FF5">
              <w:t>-</w:t>
            </w:r>
            <w:r w:rsidRPr="00F53BDD">
              <w:t xml:space="preserve">making? </w:t>
            </w:r>
          </w:p>
          <w:p w:rsidR="00FB3C2F" w:rsidRPr="00F53BDD" w:rsidRDefault="00FB3C2F" w:rsidP="00FB3C2F">
            <w:pPr>
              <w:pStyle w:val="Blueboxnumbered"/>
              <w:spacing w:after="240"/>
            </w:pPr>
            <w:r w:rsidRPr="00F53BDD">
              <w:t>What impacts do you see these proposals having on iwi or Māori in particular?</w:t>
            </w:r>
          </w:p>
        </w:tc>
      </w:tr>
    </w:tbl>
    <w:p w:rsidR="00B529A4" w:rsidRPr="00B529A4" w:rsidRDefault="00B529A4" w:rsidP="00B529A4">
      <w:pPr>
        <w:pStyle w:val="BodyText"/>
      </w:pPr>
      <w:bookmarkStart w:id="83" w:name="_Section_8:_Scenarios"/>
      <w:bookmarkStart w:id="84" w:name="_Toc75250085"/>
      <w:bookmarkEnd w:id="64"/>
      <w:bookmarkEnd w:id="65"/>
      <w:bookmarkEnd w:id="83"/>
      <w:r w:rsidRPr="00B529A4">
        <w:br w:type="page"/>
      </w:r>
    </w:p>
    <w:p w:rsidR="00153536" w:rsidRPr="00F53BDD" w:rsidRDefault="00153536" w:rsidP="00153536">
      <w:pPr>
        <w:pStyle w:val="Heading1"/>
      </w:pPr>
      <w:r w:rsidRPr="00F53BDD">
        <w:t>Section 8: Scenarios for ETS market governance</w:t>
      </w:r>
      <w:bookmarkEnd w:id="84"/>
    </w:p>
    <w:p w:rsidR="00153536" w:rsidRPr="00F53BDD" w:rsidRDefault="00142B67" w:rsidP="007D4CF7">
      <w:pPr>
        <w:pStyle w:val="BodyText"/>
      </w:pPr>
      <w:r w:rsidRPr="00F53BDD">
        <w:t>This section sets out three scenarios, made up of different combinations of the options set out above. They are: a low regulatory scenario, a balanced scenario</w:t>
      </w:r>
      <w:r w:rsidR="00162FF5">
        <w:t>,</w:t>
      </w:r>
      <w:r w:rsidRPr="00F53BDD">
        <w:t xml:space="preserve"> and a risk-mitigation scenario. These are not proposals. They help visualise how options would work together in practice.</w:t>
      </w:r>
    </w:p>
    <w:p w:rsidR="00207816" w:rsidRPr="00F53BDD" w:rsidRDefault="00207816" w:rsidP="00207816">
      <w:pPr>
        <w:pStyle w:val="Heading2"/>
      </w:pPr>
      <w:bookmarkStart w:id="85" w:name="_Toc75250086"/>
      <w:bookmarkStart w:id="86" w:name="_Toc73546765"/>
      <w:r w:rsidRPr="00F53BDD">
        <w:t>Low regulatory scenario</w:t>
      </w:r>
      <w:bookmarkEnd w:id="85"/>
    </w:p>
    <w:p w:rsidR="00207816" w:rsidRPr="00F53BDD" w:rsidRDefault="00207816" w:rsidP="007D4CF7">
      <w:pPr>
        <w:pStyle w:val="BodyText"/>
      </w:pPr>
      <w:r w:rsidRPr="00F53BDD">
        <w:rPr>
          <w:rFonts w:asciiTheme="minorHAnsi" w:hAnsiTheme="minorHAnsi"/>
        </w:rPr>
        <w:t xml:space="preserve">This scenario </w:t>
      </w:r>
      <w:r w:rsidRPr="00F53BDD">
        <w:t xml:space="preserve">presents a combination of options for a low regulatory market governance framework. </w:t>
      </w:r>
    </w:p>
    <w:p w:rsidR="00207816" w:rsidRPr="00F53BDD" w:rsidRDefault="00207816" w:rsidP="007D4CF7">
      <w:pPr>
        <w:pStyle w:val="BodyText"/>
      </w:pPr>
      <w:r w:rsidRPr="00F53BDD">
        <w:t>Although it has low administrative cost, it is less comprehensive, and poorly addresses the seven market governance risks (</w:t>
      </w:r>
      <w:hyperlink w:anchor="table2" w:history="1">
        <w:r w:rsidRPr="00F53BDD">
          <w:rPr>
            <w:rStyle w:val="Hyperlink"/>
          </w:rPr>
          <w:t>table 2</w:t>
        </w:r>
      </w:hyperlink>
      <w:r w:rsidRPr="00F53BDD">
        <w:t>). For this reason, the Government is unlikely to consider progressing this scenario.</w:t>
      </w:r>
    </w:p>
    <w:p w:rsidR="00207816" w:rsidRPr="00F53BDD" w:rsidRDefault="00207816" w:rsidP="007D4CF7">
      <w:pPr>
        <w:pStyle w:val="BodyText"/>
        <w:rPr>
          <w:rFonts w:eastAsia="Times New Roman"/>
        </w:rPr>
      </w:pPr>
      <w:r w:rsidRPr="00F53BDD">
        <w:rPr>
          <w:rFonts w:eastAsia="Times New Roman"/>
        </w:rPr>
        <w:t>This scenario uses the following combination of options:</w:t>
      </w:r>
    </w:p>
    <w:p w:rsidR="00207816" w:rsidRPr="00812A66" w:rsidRDefault="00207816" w:rsidP="007D4CF7">
      <w:pPr>
        <w:pStyle w:val="Bullet"/>
        <w:rPr>
          <w:rFonts w:eastAsia="Calibri"/>
        </w:rPr>
      </w:pPr>
      <w:r w:rsidRPr="00812A66">
        <w:rPr>
          <w:rFonts w:eastAsia="Calibri"/>
        </w:rPr>
        <w:t>A2: Education campaign and information pack</w:t>
      </w:r>
    </w:p>
    <w:p w:rsidR="00207816" w:rsidRPr="00812A66" w:rsidRDefault="00207816" w:rsidP="007D4CF7">
      <w:pPr>
        <w:pStyle w:val="Bullet"/>
        <w:rPr>
          <w:rFonts w:eastAsia="Calibri"/>
        </w:rPr>
      </w:pPr>
      <w:r w:rsidRPr="00812A66">
        <w:rPr>
          <w:rFonts w:eastAsia="Calibri"/>
        </w:rPr>
        <w:t xml:space="preserve">A3: </w:t>
      </w:r>
      <w:r w:rsidR="006218BD">
        <w:rPr>
          <w:rFonts w:eastAsia="Calibri"/>
        </w:rPr>
        <w:t>S</w:t>
      </w:r>
      <w:r w:rsidRPr="00812A66">
        <w:rPr>
          <w:rFonts w:eastAsia="Calibri"/>
        </w:rPr>
        <w:t>ector guidelines for NZU advisers</w:t>
      </w:r>
      <w:r w:rsidRPr="00812A66" w:rsidDel="00BC25F1">
        <w:rPr>
          <w:rFonts w:eastAsia="Calibri"/>
        </w:rPr>
        <w:t xml:space="preserve"> </w:t>
      </w:r>
    </w:p>
    <w:p w:rsidR="00207816" w:rsidRPr="00812A66" w:rsidRDefault="00207816" w:rsidP="007D4CF7">
      <w:pPr>
        <w:pStyle w:val="Bullet"/>
        <w:rPr>
          <w:rFonts w:eastAsia="Calibri"/>
        </w:rPr>
      </w:pPr>
      <w:r w:rsidRPr="00812A66">
        <w:rPr>
          <w:rFonts w:eastAsia="Calibri"/>
        </w:rPr>
        <w:t>B2: Voluntary reporting of trades</w:t>
      </w:r>
    </w:p>
    <w:p w:rsidR="00207816" w:rsidRPr="00812A66" w:rsidRDefault="00207816" w:rsidP="007D4CF7">
      <w:pPr>
        <w:pStyle w:val="Bullet"/>
        <w:rPr>
          <w:rFonts w:eastAsia="Calibri"/>
        </w:rPr>
      </w:pPr>
      <w:r w:rsidRPr="00812A66">
        <w:rPr>
          <w:rFonts w:eastAsia="Calibri"/>
        </w:rPr>
        <w:t>C3: Price reporting</w:t>
      </w:r>
    </w:p>
    <w:p w:rsidR="00207816" w:rsidRPr="00812A66" w:rsidRDefault="00207816" w:rsidP="007D4CF7">
      <w:pPr>
        <w:pStyle w:val="Bullet"/>
        <w:rPr>
          <w:rFonts w:eastAsia="Calibri"/>
        </w:rPr>
      </w:pPr>
      <w:r w:rsidRPr="00812A66">
        <w:rPr>
          <w:rFonts w:eastAsia="Calibri"/>
        </w:rPr>
        <w:t>D3: Appointing an advisory regulator</w:t>
      </w:r>
      <w:r w:rsidR="00162FF5" w:rsidRPr="00812A66">
        <w:rPr>
          <w:rFonts w:eastAsia="Calibri"/>
        </w:rPr>
        <w:t>.</w:t>
      </w:r>
      <w:r w:rsidRPr="00812A66">
        <w:rPr>
          <w:rFonts w:eastAsia="Calibri"/>
        </w:rPr>
        <w:t xml:space="preserve"> </w:t>
      </w:r>
    </w:p>
    <w:p w:rsidR="00207816" w:rsidRPr="00F53BDD" w:rsidRDefault="00207816" w:rsidP="007D4CF7">
      <w:pPr>
        <w:pStyle w:val="Heading3"/>
        <w:rPr>
          <w:rFonts w:asciiTheme="majorHAnsi" w:hAnsiTheme="majorHAnsi" w:cstheme="majorHAnsi"/>
          <w:color w:val="0E2A36" w:themeColor="accent1" w:themeShade="80"/>
        </w:rPr>
      </w:pPr>
      <w:r w:rsidRPr="00F53BDD">
        <w:rPr>
          <w:rFonts w:eastAsia="Calibri"/>
        </w:rPr>
        <w:t xml:space="preserve">Applying the low-regulatory scenario </w:t>
      </w:r>
    </w:p>
    <w:p w:rsidR="00207816" w:rsidRPr="00F53BDD" w:rsidRDefault="00207816" w:rsidP="007D4CF7">
      <w:pPr>
        <w:pStyle w:val="Heading4"/>
      </w:pPr>
      <w:r w:rsidRPr="00F53BDD">
        <w:t>Governance of advice: Education campaign and information pack, and sector guidelines for advisers</w:t>
      </w:r>
    </w:p>
    <w:p w:rsidR="00207816" w:rsidRPr="00F53BDD" w:rsidRDefault="00207816" w:rsidP="007D4CF7">
      <w:pPr>
        <w:pStyle w:val="BodyText"/>
      </w:pPr>
      <w:r w:rsidRPr="00F53BDD">
        <w:t>This scenario could reduce risk of poor advice, and NZU advisers having a conflict of interest.</w:t>
      </w:r>
      <w:r w:rsidR="00EF04DA" w:rsidRPr="00F53BDD">
        <w:t xml:space="preserve"> </w:t>
      </w:r>
      <w:r w:rsidRPr="00F53BDD">
        <w:t xml:space="preserve">However, it would not entirely address the issue. </w:t>
      </w:r>
    </w:p>
    <w:p w:rsidR="00207816" w:rsidRPr="00F53BDD" w:rsidRDefault="00207816" w:rsidP="007D4CF7">
      <w:pPr>
        <w:pStyle w:val="BodyText"/>
      </w:pPr>
      <w:r w:rsidRPr="00F53BDD">
        <w:t>Raised awareness about conflicts of interest, and informative guidelines for advisers may improve the quality of advice and could help participants do their due diligence. However, a</w:t>
      </w:r>
      <w:r w:rsidR="007D4CF7" w:rsidRPr="00F53BDD">
        <w:t> </w:t>
      </w:r>
      <w:r w:rsidRPr="00F53BDD">
        <w:t>lack of regulation of advisers or their advice means there would be no enforceable repercussions for failure to meet the guidelines. This may mean there is not a strong enough</w:t>
      </w:r>
      <w:r w:rsidR="007D4CF7" w:rsidRPr="00F53BDD">
        <w:t> </w:t>
      </w:r>
      <w:r w:rsidRPr="00F53BDD">
        <w:t xml:space="preserve">deterrent for negative behaviour. </w:t>
      </w:r>
    </w:p>
    <w:p w:rsidR="00207816" w:rsidRPr="00F53BDD" w:rsidRDefault="00207816" w:rsidP="007D4CF7">
      <w:pPr>
        <w:pStyle w:val="Heading4"/>
      </w:pPr>
      <w:r w:rsidRPr="00F53BDD">
        <w:t>Governance of trades: Voluntary reporting of trades</w:t>
      </w:r>
    </w:p>
    <w:p w:rsidR="00207816" w:rsidRPr="00F53BDD" w:rsidRDefault="00207816" w:rsidP="00207816">
      <w:pPr>
        <w:pStyle w:val="BodyText"/>
        <w:rPr>
          <w:b/>
          <w:bCs/>
        </w:rPr>
      </w:pPr>
      <w:r w:rsidRPr="00F53BDD">
        <w:t>This would allow users to voluntarily report any details of the trade, including type of funds, reporting entity and customer details, price and volume. This would give users some post-trade transparency. However, it is unlikely any users who engage in price manipulation, insider trading, money laundering</w:t>
      </w:r>
      <w:r w:rsidR="00162FF5">
        <w:t>,</w:t>
      </w:r>
      <w:r w:rsidRPr="00F53BDD">
        <w:t xml:space="preserve"> or financing of terrorism would voluntarily report details of their trades. Reporting bias could lead to an inaccurate representation of trades in the market, undermining true transparency. </w:t>
      </w:r>
    </w:p>
    <w:p w:rsidR="00207816" w:rsidRPr="00F53BDD" w:rsidRDefault="00207816" w:rsidP="007D4CF7">
      <w:pPr>
        <w:pStyle w:val="Heading4"/>
      </w:pPr>
      <w:r w:rsidRPr="00F53BDD">
        <w:t>Governance of market conduct: Price reporting</w:t>
      </w:r>
    </w:p>
    <w:p w:rsidR="00207816" w:rsidRPr="00F53BDD" w:rsidRDefault="00207816" w:rsidP="00207816">
      <w:pPr>
        <w:pStyle w:val="BodyText"/>
      </w:pPr>
      <w:r w:rsidRPr="00F53BDD">
        <w:t xml:space="preserve">Price reporting could be made mandatory by adding a field to the Register (NZ ETR), without requiring regulatory change. With this, and the existing information the Register receives about trade volume, a regulator could receive transparent trade information at low administrative cost. However, detecting and discouraging market manipulation and insider trading would require a regulator with a monitoring and compliance role. </w:t>
      </w:r>
    </w:p>
    <w:p w:rsidR="00207816" w:rsidRPr="00F53BDD" w:rsidRDefault="00207816" w:rsidP="007D4CF7">
      <w:pPr>
        <w:pStyle w:val="Heading4"/>
      </w:pPr>
      <w:r w:rsidRPr="00F53BDD">
        <w:t xml:space="preserve">Appointing a regulator: Advisory regulator </w:t>
      </w:r>
    </w:p>
    <w:p w:rsidR="00207816" w:rsidRPr="00F53BDD" w:rsidRDefault="00207816" w:rsidP="00F16D1F">
      <w:pPr>
        <w:pStyle w:val="BodyText"/>
      </w:pPr>
      <w:r w:rsidRPr="00F53BDD">
        <w:t>An advisory regulator could set voluntary industry standards for quality advice and trading conduct. However, this role would lack the monitoring and enforcement powers to adequately reduce bad behaviour. Because of the regulator’s limited oversight and inability to act, users</w:t>
      </w:r>
      <w:r w:rsidR="007D4CF7" w:rsidRPr="00F53BDD">
        <w:t> </w:t>
      </w:r>
      <w:r w:rsidRPr="00F53BDD">
        <w:t>would not be properly protected from the risks. Therefore</w:t>
      </w:r>
      <w:r w:rsidR="008C00BF">
        <w:t>,</w:t>
      </w:r>
      <w:r w:rsidRPr="00F53BDD">
        <w:t xml:space="preserve"> this measure does not meet</w:t>
      </w:r>
      <w:r w:rsidR="007D4CF7" w:rsidRPr="00F53BDD">
        <w:t> </w:t>
      </w:r>
      <w:r w:rsidRPr="00F53BDD">
        <w:t>the objectives.</w:t>
      </w:r>
      <w:bookmarkEnd w:id="86"/>
    </w:p>
    <w:p w:rsidR="00207816" w:rsidRPr="00F53BDD" w:rsidRDefault="008C00BF" w:rsidP="005337E4">
      <w:pPr>
        <w:pStyle w:val="Heading2"/>
        <w:spacing w:after="240"/>
      </w:pPr>
      <w:bookmarkStart w:id="87" w:name="_Toc75250087"/>
      <w:r>
        <w:t>Consultation</w:t>
      </w:r>
      <w:r w:rsidRPr="00F53BDD">
        <w:t xml:space="preserve"> </w:t>
      </w:r>
      <w:r w:rsidR="00207816" w:rsidRPr="00F53BDD">
        <w:t>questions</w:t>
      </w:r>
      <w:bookmarkEnd w:id="87"/>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5337E4" w:rsidRPr="00F53BDD" w:rsidTr="005337E4">
        <w:tc>
          <w:tcPr>
            <w:tcW w:w="0" w:type="auto"/>
            <w:shd w:val="clear" w:color="auto" w:fill="D2DDE2"/>
          </w:tcPr>
          <w:p w:rsidR="00FB05B5" w:rsidRDefault="00FB05B5" w:rsidP="00812A66">
            <w:pPr>
              <w:pStyle w:val="Blueboxheading"/>
              <w:spacing w:after="120"/>
            </w:pPr>
            <w:r>
              <w:t>The low-regulatory scenario</w:t>
            </w:r>
          </w:p>
          <w:p w:rsidR="005337E4" w:rsidRPr="00F53BDD" w:rsidRDefault="00812A66" w:rsidP="00AD5C0A">
            <w:pPr>
              <w:pStyle w:val="Blueboxnumbered"/>
              <w:ind w:left="681" w:hanging="397"/>
            </w:pPr>
            <w:r>
              <w:t>To what extent would the low</w:t>
            </w:r>
            <w:r w:rsidR="005337E4" w:rsidRPr="00F53BDD">
              <w:t>-regulatory scenario address the market governance risks?</w:t>
            </w:r>
          </w:p>
          <w:p w:rsidR="005337E4" w:rsidRPr="00F53BDD" w:rsidRDefault="005337E4" w:rsidP="005337E4">
            <w:pPr>
              <w:pStyle w:val="Blueboxnumbered"/>
              <w:spacing w:after="240"/>
            </w:pPr>
            <w:r w:rsidRPr="00F53BDD">
              <w:t>What other non-regulatory options could be considered in this scenario?</w:t>
            </w:r>
          </w:p>
        </w:tc>
      </w:tr>
    </w:tbl>
    <w:p w:rsidR="00207816" w:rsidRPr="00F53BDD" w:rsidRDefault="00207816" w:rsidP="00CF2DCB">
      <w:pPr>
        <w:pStyle w:val="Heading2"/>
        <w:spacing w:before="440"/>
      </w:pPr>
      <w:bookmarkStart w:id="88" w:name="_Toc75250088"/>
      <w:bookmarkStart w:id="89" w:name="_Hlk74918178"/>
      <w:bookmarkStart w:id="90" w:name="_Toc73546766"/>
      <w:r w:rsidRPr="00F53BDD">
        <w:t>The balanced scenario</w:t>
      </w:r>
      <w:bookmarkEnd w:id="88"/>
    </w:p>
    <w:p w:rsidR="00207816" w:rsidRPr="00F53BDD" w:rsidRDefault="00207816" w:rsidP="00207816">
      <w:pPr>
        <w:jc w:val="left"/>
        <w:rPr>
          <w:rFonts w:eastAsia="Calibri" w:cs="Times New Roman"/>
          <w:lang w:eastAsia="en-US"/>
        </w:rPr>
      </w:pPr>
      <w:r w:rsidRPr="00F53BDD">
        <w:rPr>
          <w:rFonts w:eastAsia="Calibri" w:cs="Times New Roman"/>
          <w:lang w:eastAsia="en-US"/>
        </w:rPr>
        <w:t xml:space="preserve">This scenario balances risk mitigation, cost and proportionality of response. </w:t>
      </w:r>
    </w:p>
    <w:p w:rsidR="00207816" w:rsidRPr="00F53BDD" w:rsidRDefault="00207816" w:rsidP="00207816">
      <w:pPr>
        <w:jc w:val="left"/>
        <w:rPr>
          <w:rFonts w:eastAsia="Times New Roman" w:cs="Times New Roman"/>
        </w:rPr>
      </w:pPr>
      <w:r w:rsidRPr="00F53BDD">
        <w:rPr>
          <w:rFonts w:eastAsia="Times New Roman" w:cs="Times New Roman"/>
        </w:rPr>
        <w:t>It includes the following combination of options:</w:t>
      </w:r>
    </w:p>
    <w:p w:rsidR="00207816" w:rsidRPr="00812A66" w:rsidRDefault="00207816" w:rsidP="007D4CF7">
      <w:pPr>
        <w:pStyle w:val="Bullet"/>
        <w:rPr>
          <w:rFonts w:eastAsia="Calibri"/>
        </w:rPr>
      </w:pPr>
      <w:r w:rsidRPr="00812A66">
        <w:rPr>
          <w:rFonts w:eastAsia="Calibri"/>
          <w:lang w:eastAsia="en-US"/>
        </w:rPr>
        <w:t xml:space="preserve">A3: </w:t>
      </w:r>
      <w:r w:rsidRPr="00812A66">
        <w:rPr>
          <w:rFonts w:eastAsia="Calibri"/>
        </w:rPr>
        <w:t>Guidelines for advisers (and co-regulation)</w:t>
      </w:r>
    </w:p>
    <w:p w:rsidR="00207816" w:rsidRPr="00812A66" w:rsidRDefault="00207816" w:rsidP="007D4CF7">
      <w:pPr>
        <w:pStyle w:val="Bullet"/>
        <w:rPr>
          <w:rFonts w:eastAsia="Calibri"/>
        </w:rPr>
      </w:pPr>
      <w:r w:rsidRPr="00812A66">
        <w:rPr>
          <w:rFonts w:eastAsia="Calibri"/>
        </w:rPr>
        <w:t xml:space="preserve">B4: Requiring exchange-based trading </w:t>
      </w:r>
    </w:p>
    <w:p w:rsidR="00207816" w:rsidRPr="00812A66" w:rsidRDefault="00207816" w:rsidP="007D4CF7">
      <w:pPr>
        <w:pStyle w:val="Bullet"/>
        <w:rPr>
          <w:rFonts w:eastAsia="Calibri"/>
        </w:rPr>
      </w:pPr>
      <w:r w:rsidRPr="00812A66">
        <w:rPr>
          <w:rFonts w:eastAsia="Calibri"/>
        </w:rPr>
        <w:t xml:space="preserve">C2: Position and purchase limits </w:t>
      </w:r>
    </w:p>
    <w:p w:rsidR="00207816" w:rsidRPr="00812A66" w:rsidRDefault="00207816" w:rsidP="007D4CF7">
      <w:pPr>
        <w:pStyle w:val="Bullet"/>
        <w:rPr>
          <w:rFonts w:eastAsia="Calibri"/>
          <w:lang w:eastAsia="en-US"/>
        </w:rPr>
      </w:pPr>
      <w:r w:rsidRPr="00812A66">
        <w:rPr>
          <w:rFonts w:eastAsia="Calibri"/>
        </w:rPr>
        <w:t>D6: Appointing a market</w:t>
      </w:r>
      <w:r w:rsidRPr="00812A66">
        <w:rPr>
          <w:rFonts w:eastAsia="Calibri"/>
          <w:lang w:eastAsia="en-US"/>
        </w:rPr>
        <w:t xml:space="preserve"> compliance r</w:t>
      </w:r>
      <w:bookmarkEnd w:id="89"/>
      <w:r w:rsidRPr="00812A66">
        <w:rPr>
          <w:rFonts w:eastAsia="Calibri"/>
          <w:lang w:eastAsia="en-US"/>
        </w:rPr>
        <w:t>egulator</w:t>
      </w:r>
      <w:r w:rsidR="008C00BF" w:rsidRPr="00812A66">
        <w:rPr>
          <w:rFonts w:eastAsia="Calibri"/>
          <w:lang w:eastAsia="en-US"/>
        </w:rPr>
        <w:t>.</w:t>
      </w:r>
      <w:r w:rsidRPr="00812A66">
        <w:rPr>
          <w:rFonts w:eastAsia="Calibri"/>
          <w:lang w:eastAsia="en-US"/>
        </w:rPr>
        <w:t xml:space="preserve"> </w:t>
      </w:r>
    </w:p>
    <w:bookmarkEnd w:id="90"/>
    <w:p w:rsidR="00207816" w:rsidRPr="00F53BDD" w:rsidRDefault="00207816" w:rsidP="007D4CF7">
      <w:pPr>
        <w:pStyle w:val="Heading3"/>
        <w:rPr>
          <w:rFonts w:asciiTheme="majorHAnsi" w:hAnsiTheme="majorHAnsi" w:cstheme="majorHAnsi"/>
          <w:color w:val="0E2A36" w:themeColor="accent1" w:themeShade="80"/>
        </w:rPr>
      </w:pPr>
      <w:r w:rsidRPr="00F53BDD">
        <w:rPr>
          <w:rFonts w:eastAsia="Calibri"/>
        </w:rPr>
        <w:t xml:space="preserve">Applying the balanced scenario </w:t>
      </w:r>
    </w:p>
    <w:p w:rsidR="00207816" w:rsidRPr="00F53BDD" w:rsidRDefault="00207816" w:rsidP="007D4CF7">
      <w:pPr>
        <w:pStyle w:val="Heading4"/>
      </w:pPr>
      <w:r w:rsidRPr="00F53BDD">
        <w:t>Governance of advice – Sector guidelines and information packs</w:t>
      </w:r>
    </w:p>
    <w:p w:rsidR="00207816" w:rsidRPr="00F53BDD" w:rsidRDefault="00207816" w:rsidP="007D4CF7">
      <w:pPr>
        <w:pStyle w:val="BodyText"/>
      </w:pPr>
      <w:r w:rsidRPr="00F53BDD">
        <w:t>Industry or the Government would draw up sector guidelines for advisers to follow. With the option of co-regulation, a compliance regulator could impose penalties if the guidelines are not adequately followed. This would have a low cost to participants and advisers, and would deal with negative behaviour through penalties.</w:t>
      </w:r>
    </w:p>
    <w:p w:rsidR="00207816" w:rsidRPr="00F53BDD" w:rsidRDefault="00207816" w:rsidP="007D4CF7">
      <w:pPr>
        <w:pStyle w:val="BodyText"/>
      </w:pPr>
      <w:r w:rsidRPr="00F53BDD">
        <w:t>Guidelines for both advisers and co-regulation is an optimal combination for governance of advice. The guidelines would outline expectations for advisers, setting the standard for good advice in the market. This would bring transparency and clarity on rules to the market, with minimal cost to participants. Costs to produce the guidelines would be met by the Government or industry. Supported by a regulator, this measure effectively deals with all criteria at minimal cost to participants and retains integrity for the ETS.</w:t>
      </w:r>
    </w:p>
    <w:p w:rsidR="00207816" w:rsidRPr="00F53BDD" w:rsidRDefault="00207816" w:rsidP="007D4CF7">
      <w:pPr>
        <w:pStyle w:val="Heading4"/>
      </w:pPr>
      <w:r w:rsidRPr="00F53BDD">
        <w:t xml:space="preserve">Governance of trades – Requiring exchange-based trading </w:t>
      </w:r>
    </w:p>
    <w:p w:rsidR="00207816" w:rsidRPr="00F53BDD" w:rsidRDefault="00207816" w:rsidP="006727EB">
      <w:pPr>
        <w:pStyle w:val="BodyText"/>
        <w:spacing w:before="100" w:after="100"/>
      </w:pPr>
      <w:r w:rsidRPr="00F53BDD">
        <w:t>An exchange-based system would allow a centralised regulated trading platform to detect misconduct and report on trades. This would create transparency and reduce credit and counter-party risk to traders. Also, access to the underlying transaction data enables analysis</w:t>
      </w:r>
      <w:r w:rsidR="00924113">
        <w:t xml:space="preserve"> </w:t>
      </w:r>
      <w:r w:rsidRPr="00F53BDD">
        <w:t>of</w:t>
      </w:r>
      <w:r w:rsidR="00924113">
        <w:t xml:space="preserve"> </w:t>
      </w:r>
      <w:r w:rsidRPr="00F53BDD">
        <w:t>misconduct and money laundering in the secondary market. An exchange-based system removes any need for additional reporting by participants, reducing their processes and</w:t>
      </w:r>
      <w:r w:rsidR="00924113">
        <w:t xml:space="preserve"> </w:t>
      </w:r>
      <w:r w:rsidRPr="00F53BDD">
        <w:t>financial burden.</w:t>
      </w:r>
    </w:p>
    <w:p w:rsidR="00207816" w:rsidRPr="00F53BDD" w:rsidRDefault="00207816" w:rsidP="006727EB">
      <w:pPr>
        <w:pStyle w:val="BodyText"/>
        <w:spacing w:before="100" w:after="100"/>
      </w:pPr>
      <w:r w:rsidRPr="00F53BDD">
        <w:t>The public visibility of trades on a central exchange leads to effective price discovery. Although</w:t>
      </w:r>
      <w:r w:rsidR="00924113">
        <w:t xml:space="preserve"> </w:t>
      </w:r>
      <w:r w:rsidRPr="00F53BDD">
        <w:t>exchange-based trading scores well on all criteria, and is a low-cost option to participants, the cost of set-up and maintenance could be high for licensed market operators</w:t>
      </w:r>
      <w:r w:rsidR="00924113">
        <w:t xml:space="preserve"> </w:t>
      </w:r>
      <w:r w:rsidRPr="00F53BDD">
        <w:t>and the Government.</w:t>
      </w:r>
    </w:p>
    <w:p w:rsidR="00207816" w:rsidRPr="00F53BDD" w:rsidRDefault="00207816" w:rsidP="006727EB">
      <w:pPr>
        <w:pStyle w:val="Heading4"/>
        <w:spacing w:before="220"/>
      </w:pPr>
      <w:r w:rsidRPr="00F53BDD">
        <w:t>Governance of conduct – Position and purchase limits (optional)</w:t>
      </w:r>
    </w:p>
    <w:p w:rsidR="00207816" w:rsidRPr="00F53BDD" w:rsidRDefault="00207816" w:rsidP="006727EB">
      <w:pPr>
        <w:pStyle w:val="BodyText"/>
        <w:spacing w:before="100" w:after="100"/>
      </w:pPr>
      <w:r w:rsidRPr="00F53BDD">
        <w:t xml:space="preserve">Position and purchase limits for participants are a common feature to prevent market power. Limits reduce the risk of laundering large sums of money through the market, large-scale manipulation and insider trading. The risk drops significantly when there is a cap on potential financial harm. </w:t>
      </w:r>
    </w:p>
    <w:p w:rsidR="00207816" w:rsidRPr="00F53BDD" w:rsidRDefault="00207816" w:rsidP="006727EB">
      <w:pPr>
        <w:pStyle w:val="BodyText"/>
        <w:spacing w:before="100" w:after="100"/>
      </w:pPr>
      <w:r w:rsidRPr="00F53BDD">
        <w:t>Limits would be set in the register and would have no cost to participants. As the limits will be public information, this increases transparency and ease of monitoring. Introducing position limits may have a downside for large-scale participants. However, to deal with that, a range of limits can be applied, based on compliance obligations.</w:t>
      </w:r>
    </w:p>
    <w:p w:rsidR="00207816" w:rsidRPr="00F53BDD" w:rsidRDefault="00207816" w:rsidP="006727EB">
      <w:pPr>
        <w:pStyle w:val="Heading4"/>
        <w:spacing w:before="220"/>
      </w:pPr>
      <w:r w:rsidRPr="00F53BDD">
        <w:t>Appointing a regulator – Market compliance regulator</w:t>
      </w:r>
    </w:p>
    <w:p w:rsidR="00207816" w:rsidRPr="00F53BDD" w:rsidRDefault="00207816" w:rsidP="006727EB">
      <w:pPr>
        <w:pStyle w:val="BodyText"/>
        <w:spacing w:before="100" w:after="100"/>
      </w:pPr>
      <w:r w:rsidRPr="00F53BDD">
        <w:t>A market compliance regulator would have access to market data, supplied by the exchange-traded platforms, and could develop deeper insights into how the secondary market works. This regulator could identify and issue penalties for misconduct, effectively discouraging bad</w:t>
      </w:r>
      <w:r w:rsidR="007D4CF7" w:rsidRPr="00F53BDD">
        <w:t> </w:t>
      </w:r>
      <w:r w:rsidRPr="00F53BDD">
        <w:t>behaviour.</w:t>
      </w:r>
    </w:p>
    <w:p w:rsidR="00207816" w:rsidRPr="00F53BDD" w:rsidRDefault="00207816" w:rsidP="006727EB">
      <w:pPr>
        <w:pStyle w:val="BodyText"/>
        <w:spacing w:before="100" w:after="100"/>
      </w:pPr>
      <w:r w:rsidRPr="00F53BDD">
        <w:t xml:space="preserve">The regulator would ensure a high level of integrity in the market, at a low cost to participants but with substantial cost and complexity for the Government. Having a compliance monitor is proportional to the perceived risk in the market and is consistent with other ETS markets internationally. </w:t>
      </w:r>
    </w:p>
    <w:p w:rsidR="00207816" w:rsidRPr="00F53BDD" w:rsidRDefault="00207816" w:rsidP="006727EB">
      <w:pPr>
        <w:pStyle w:val="BodyText"/>
        <w:spacing w:before="100" w:after="100"/>
      </w:pPr>
      <w:r w:rsidRPr="00F53BDD">
        <w:t xml:space="preserve">The set-up cost is balanced by gains in integrity and good governance. This would help us meet our objective of being viewed as a credible ETS on the international stage. </w:t>
      </w:r>
    </w:p>
    <w:p w:rsidR="00207816" w:rsidRPr="00F53BDD" w:rsidRDefault="00CA4768" w:rsidP="006727EB">
      <w:pPr>
        <w:pStyle w:val="Heading2"/>
        <w:spacing w:before="280" w:after="160"/>
      </w:pPr>
      <w:bookmarkStart w:id="91" w:name="_Toc75250089"/>
      <w:r>
        <w:t>Consultation</w:t>
      </w:r>
      <w:r w:rsidRPr="00F53BDD">
        <w:t xml:space="preserve"> </w:t>
      </w:r>
      <w:r w:rsidR="00207816" w:rsidRPr="00F53BDD">
        <w:t>questions</w:t>
      </w:r>
      <w:bookmarkEnd w:id="91"/>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5337E4" w:rsidRPr="00F53BDD" w:rsidTr="005337E4">
        <w:tc>
          <w:tcPr>
            <w:tcW w:w="0" w:type="auto"/>
            <w:shd w:val="clear" w:color="auto" w:fill="D2DDE2"/>
          </w:tcPr>
          <w:p w:rsidR="00FB05B5" w:rsidRDefault="00FB05B5" w:rsidP="00B529A4">
            <w:pPr>
              <w:pStyle w:val="Blueboxheading"/>
              <w:keepNext w:val="0"/>
              <w:spacing w:after="120"/>
            </w:pPr>
            <w:r>
              <w:t>The balanced scenario</w:t>
            </w:r>
          </w:p>
          <w:p w:rsidR="005337E4" w:rsidRPr="00F53BDD" w:rsidRDefault="005337E4" w:rsidP="00AD5C0A">
            <w:pPr>
              <w:pStyle w:val="Blueboxnumbered"/>
              <w:ind w:left="681" w:hanging="397"/>
            </w:pPr>
            <w:r w:rsidRPr="00F53BDD">
              <w:t>To what extent would the balanced scenario address the market governance risks?</w:t>
            </w:r>
          </w:p>
          <w:p w:rsidR="005337E4" w:rsidRPr="00F53BDD" w:rsidRDefault="005337E4" w:rsidP="006727EB">
            <w:pPr>
              <w:pStyle w:val="Blueboxnumbered"/>
              <w:spacing w:after="160"/>
            </w:pPr>
            <w:r w:rsidRPr="00F53BDD">
              <w:t>What other options could be considered in this scenario?</w:t>
            </w:r>
          </w:p>
        </w:tc>
      </w:tr>
    </w:tbl>
    <w:p w:rsidR="00207816" w:rsidRPr="00F53BDD" w:rsidRDefault="00207816" w:rsidP="00207816">
      <w:pPr>
        <w:pStyle w:val="Heading2"/>
      </w:pPr>
      <w:bookmarkStart w:id="92" w:name="_Toc75250090"/>
      <w:bookmarkStart w:id="93" w:name="_Toc73546767"/>
      <w:r w:rsidRPr="00F53BDD">
        <w:t>The risk mitigation scenario</w:t>
      </w:r>
      <w:bookmarkEnd w:id="92"/>
    </w:p>
    <w:p w:rsidR="00207816" w:rsidRPr="00F53BDD" w:rsidRDefault="00207816" w:rsidP="00B529A4">
      <w:pPr>
        <w:pStyle w:val="BodyText"/>
        <w:keepLines/>
        <w:widowControl w:val="0"/>
        <w:spacing w:before="100" w:after="100"/>
        <w:rPr>
          <w:rFonts w:eastAsia="Calibri"/>
          <w:lang w:eastAsia="en-US"/>
        </w:rPr>
      </w:pPr>
      <w:r w:rsidRPr="00F53BDD">
        <w:rPr>
          <w:rFonts w:eastAsia="Calibri"/>
        </w:rPr>
        <w:t xml:space="preserve">This scenario prioritises risk </w:t>
      </w:r>
      <w:r w:rsidRPr="00F53BDD">
        <w:t>mitigation</w:t>
      </w:r>
      <w:r w:rsidRPr="00F53BDD">
        <w:rPr>
          <w:rFonts w:eastAsia="Calibri"/>
        </w:rPr>
        <w:t xml:space="preserve">, </w:t>
      </w:r>
      <w:r w:rsidRPr="00F53BDD">
        <w:rPr>
          <w:rFonts w:eastAsia="Calibri"/>
          <w:lang w:eastAsia="en-US"/>
        </w:rPr>
        <w:t>which means that some of the options have a high complexity and administrative cost, or do not meet the consistency and proportionality criteria. The Government believes it does not yet have enough evidence to progress with this option, but that does not preclude considering it if more evidence of the risks comes to light.</w:t>
      </w:r>
    </w:p>
    <w:p w:rsidR="00207816" w:rsidRPr="00F53BDD" w:rsidRDefault="00207816" w:rsidP="00E24DB9">
      <w:pPr>
        <w:pStyle w:val="BodyText"/>
        <w:spacing w:after="100"/>
        <w:rPr>
          <w:rFonts w:eastAsia="Times New Roman"/>
        </w:rPr>
      </w:pPr>
      <w:r w:rsidRPr="00F53BDD">
        <w:rPr>
          <w:rFonts w:eastAsia="Times New Roman"/>
        </w:rPr>
        <w:t>This scenario includes the following combination of options:</w:t>
      </w:r>
    </w:p>
    <w:p w:rsidR="00207816" w:rsidRPr="00812A66" w:rsidRDefault="00207816" w:rsidP="00E24DB9">
      <w:pPr>
        <w:pStyle w:val="Bullet"/>
        <w:spacing w:after="100"/>
        <w:rPr>
          <w:rFonts w:eastAsia="Calibri"/>
        </w:rPr>
      </w:pPr>
      <w:r w:rsidRPr="00812A66">
        <w:rPr>
          <w:rFonts w:eastAsia="Calibri"/>
        </w:rPr>
        <w:t>A4: Code of conduct, licensing and registration of NZU advisers</w:t>
      </w:r>
    </w:p>
    <w:p w:rsidR="00207816" w:rsidRPr="00812A66" w:rsidRDefault="00207816" w:rsidP="00E24DB9">
      <w:pPr>
        <w:pStyle w:val="Bullet"/>
        <w:spacing w:after="100"/>
        <w:rPr>
          <w:rFonts w:eastAsia="Calibri"/>
        </w:rPr>
      </w:pPr>
      <w:r w:rsidRPr="00812A66">
        <w:rPr>
          <w:rFonts w:eastAsia="Calibri"/>
        </w:rPr>
        <w:t>B4: Requiring exchange-based trading</w:t>
      </w:r>
    </w:p>
    <w:p w:rsidR="00207816" w:rsidRPr="00812A66" w:rsidRDefault="00207816" w:rsidP="00E24DB9">
      <w:pPr>
        <w:pStyle w:val="Bullet"/>
        <w:spacing w:after="100"/>
        <w:rPr>
          <w:rFonts w:eastAsia="Calibri"/>
        </w:rPr>
      </w:pPr>
      <w:r w:rsidRPr="00812A66">
        <w:rPr>
          <w:rFonts w:eastAsia="Calibri"/>
        </w:rPr>
        <w:t>C2: Position and purchase limits</w:t>
      </w:r>
    </w:p>
    <w:p w:rsidR="00207816" w:rsidRPr="00812A66" w:rsidRDefault="00207816" w:rsidP="007D4CF7">
      <w:pPr>
        <w:pStyle w:val="Bullet"/>
        <w:rPr>
          <w:rFonts w:eastAsia="Calibri"/>
        </w:rPr>
      </w:pPr>
      <w:r w:rsidRPr="00812A66">
        <w:rPr>
          <w:rFonts w:eastAsia="Calibri"/>
        </w:rPr>
        <w:t>D6: Appointing a market design regulator</w:t>
      </w:r>
      <w:r w:rsidR="00924113" w:rsidRPr="00812A66">
        <w:rPr>
          <w:rFonts w:eastAsia="Calibri"/>
        </w:rPr>
        <w:t>.</w:t>
      </w:r>
    </w:p>
    <w:bookmarkEnd w:id="93"/>
    <w:p w:rsidR="00207816" w:rsidRPr="00F53BDD" w:rsidRDefault="00207816" w:rsidP="00E24DB9">
      <w:pPr>
        <w:pStyle w:val="Heading3"/>
        <w:spacing w:before="280"/>
        <w:rPr>
          <w:rFonts w:asciiTheme="majorHAnsi" w:hAnsiTheme="majorHAnsi" w:cstheme="majorHAnsi"/>
          <w:color w:val="0E2A36" w:themeColor="accent1" w:themeShade="80"/>
        </w:rPr>
      </w:pPr>
      <w:r w:rsidRPr="00F53BDD">
        <w:rPr>
          <w:rFonts w:eastAsia="Calibri"/>
        </w:rPr>
        <w:t xml:space="preserve">Applying the risk mitigation scenario </w:t>
      </w:r>
    </w:p>
    <w:p w:rsidR="00207816" w:rsidRPr="00F53BDD" w:rsidRDefault="00207816" w:rsidP="00E24DB9">
      <w:pPr>
        <w:pStyle w:val="Heading4"/>
        <w:spacing w:before="180"/>
        <w:rPr>
          <w:rFonts w:eastAsia="Calibri"/>
          <w:lang w:eastAsia="en-US"/>
        </w:rPr>
      </w:pPr>
      <w:r w:rsidRPr="00F53BDD">
        <w:t xml:space="preserve">Governance of advice – </w:t>
      </w:r>
      <w:r w:rsidRPr="00F53BDD">
        <w:rPr>
          <w:rFonts w:eastAsia="Calibri"/>
          <w:lang w:eastAsia="en-US"/>
        </w:rPr>
        <w:t>Code of conduct, licensing and registration of NZU advisers</w:t>
      </w:r>
    </w:p>
    <w:p w:rsidR="00207816" w:rsidRPr="00F53BDD" w:rsidRDefault="00207816" w:rsidP="00E24DB9">
      <w:pPr>
        <w:pStyle w:val="BodyText"/>
        <w:spacing w:before="100" w:after="100"/>
        <w:rPr>
          <w:rFonts w:eastAsia="Calibri"/>
          <w:lang w:eastAsia="en-US"/>
        </w:rPr>
      </w:pPr>
      <w:r w:rsidRPr="00F53BDD">
        <w:rPr>
          <w:rFonts w:eastAsia="Calibri"/>
          <w:lang w:eastAsia="en-US"/>
        </w:rPr>
        <w:t>This option comprehensively addresses the advice risks. A code of conduct provides high integrity, transparency and clarity, and improves market efficiency. It sets out a detailed set of</w:t>
      </w:r>
      <w:r w:rsidR="00DE226E" w:rsidRPr="00F53BDD">
        <w:rPr>
          <w:rFonts w:eastAsia="Calibri"/>
          <w:lang w:eastAsia="en-US"/>
        </w:rPr>
        <w:t> </w:t>
      </w:r>
      <w:r w:rsidRPr="00F53BDD">
        <w:rPr>
          <w:rFonts w:eastAsia="Calibri"/>
          <w:lang w:eastAsia="en-US"/>
        </w:rPr>
        <w:t xml:space="preserve">rules to govern the market, removing ambiguity and reducing bad advice. A code can be heavily regulated and enforced by an appropriate regulator. A market design regulator can enforce the code and update it to make it more effective. </w:t>
      </w:r>
    </w:p>
    <w:p w:rsidR="00207816" w:rsidRPr="00F53BDD" w:rsidRDefault="00207816" w:rsidP="00E24DB9">
      <w:pPr>
        <w:pStyle w:val="BodyText"/>
        <w:spacing w:before="100" w:after="100"/>
        <w:rPr>
          <w:rFonts w:eastAsia="Calibri"/>
          <w:b/>
          <w:bCs/>
          <w:lang w:eastAsia="en-US"/>
        </w:rPr>
      </w:pPr>
      <w:r w:rsidRPr="00F53BDD">
        <w:rPr>
          <w:rFonts w:eastAsia="Calibri" w:cs="Times New Roman"/>
          <w:lang w:eastAsia="en-US"/>
        </w:rPr>
        <w:t>The drawbacks are that this measure, with a market design regulator, would be relatively costly, either to users or to the Government. It could be complex and may not be proportional to the risk.</w:t>
      </w:r>
    </w:p>
    <w:p w:rsidR="00207816" w:rsidRPr="00F53BDD" w:rsidRDefault="00207816" w:rsidP="00E24DB9">
      <w:pPr>
        <w:pStyle w:val="Heading4"/>
        <w:spacing w:before="200"/>
        <w:rPr>
          <w:rFonts w:eastAsia="Calibri"/>
          <w:lang w:eastAsia="en-US"/>
        </w:rPr>
      </w:pPr>
      <w:r w:rsidRPr="00F53BDD">
        <w:t>Governance of advice – Requiring e</w:t>
      </w:r>
      <w:r w:rsidRPr="00F53BDD">
        <w:rPr>
          <w:rFonts w:eastAsia="Calibri"/>
          <w:lang w:eastAsia="en-US"/>
        </w:rPr>
        <w:t>xchange-based trading</w:t>
      </w:r>
    </w:p>
    <w:p w:rsidR="00207816" w:rsidRPr="00F53BDD" w:rsidRDefault="00207816" w:rsidP="00E24DB9">
      <w:pPr>
        <w:pStyle w:val="BodyText"/>
        <w:spacing w:before="100" w:after="100"/>
        <w:rPr>
          <w:bCs/>
        </w:rPr>
      </w:pPr>
      <w:r w:rsidRPr="00F53BDD">
        <w:rPr>
          <w:rFonts w:eastAsia="Calibri"/>
          <w:lang w:eastAsia="en-US"/>
        </w:rPr>
        <w:t>Requiring exchange-based trading removes the need for potentially onerous reporting, while addressing many of the risks. Because all trades take place through an exchange, position and</w:t>
      </w:r>
      <w:r w:rsidR="007D4CF7" w:rsidRPr="00F53BDD">
        <w:rPr>
          <w:rFonts w:eastAsia="Calibri"/>
          <w:lang w:eastAsia="en-US"/>
        </w:rPr>
        <w:t> </w:t>
      </w:r>
      <w:r w:rsidRPr="00F53BDD">
        <w:rPr>
          <w:rFonts w:eastAsia="Calibri"/>
          <w:lang w:eastAsia="en-US"/>
        </w:rPr>
        <w:t xml:space="preserve">purchase limits are easy to set, protecting against market manipulation. </w:t>
      </w:r>
      <w:r w:rsidRPr="00F53BDD">
        <w:rPr>
          <w:bCs/>
        </w:rPr>
        <w:t>For analysis, see</w:t>
      </w:r>
      <w:r w:rsidR="00DE226E" w:rsidRPr="00F53BDD">
        <w:rPr>
          <w:bCs/>
        </w:rPr>
        <w:t> </w:t>
      </w:r>
      <w:hyperlink w:anchor="_Appendix_D:_Analysis" w:history="1">
        <w:r w:rsidRPr="00F53BDD">
          <w:rPr>
            <w:rStyle w:val="Hyperlink"/>
            <w:bCs/>
          </w:rPr>
          <w:t>appendix D</w:t>
        </w:r>
      </w:hyperlink>
      <w:r w:rsidRPr="00F53BDD">
        <w:rPr>
          <w:bCs/>
        </w:rPr>
        <w:t>.</w:t>
      </w:r>
    </w:p>
    <w:p w:rsidR="00207816" w:rsidRPr="00F53BDD" w:rsidRDefault="00207816" w:rsidP="00E24DB9">
      <w:pPr>
        <w:pStyle w:val="Heading4"/>
        <w:spacing w:before="200"/>
      </w:pPr>
      <w:r w:rsidRPr="00F53BDD">
        <w:t>Governance of conduct – Position and purchase limits (optional)</w:t>
      </w:r>
    </w:p>
    <w:p w:rsidR="00207816" w:rsidRPr="00F53BDD" w:rsidRDefault="00207816" w:rsidP="007D4CF7">
      <w:pPr>
        <w:pStyle w:val="BodyText"/>
      </w:pPr>
      <w:r w:rsidRPr="00F53BDD">
        <w:t xml:space="preserve">For analysis, see </w:t>
      </w:r>
      <w:hyperlink w:anchor="_Appendix_D:_Analysis" w:history="1">
        <w:r w:rsidRPr="00F53BDD">
          <w:rPr>
            <w:rStyle w:val="Hyperlink"/>
          </w:rPr>
          <w:t>appendix D</w:t>
        </w:r>
      </w:hyperlink>
      <w:r w:rsidRPr="00F53BDD">
        <w:t>.</w:t>
      </w:r>
    </w:p>
    <w:p w:rsidR="00207816" w:rsidRPr="00F53BDD" w:rsidRDefault="00207816" w:rsidP="00E24DB9">
      <w:pPr>
        <w:pStyle w:val="Heading4"/>
        <w:spacing w:before="200"/>
      </w:pPr>
      <w:r w:rsidRPr="00F53BDD">
        <w:t>Appointing a regulator – Market design regulator</w:t>
      </w:r>
    </w:p>
    <w:p w:rsidR="00207816" w:rsidRPr="00F53BDD" w:rsidRDefault="00207816" w:rsidP="00E24DB9">
      <w:pPr>
        <w:pStyle w:val="BodyText"/>
        <w:spacing w:before="100" w:after="100"/>
        <w:rPr>
          <w:rFonts w:eastAsia="Calibri"/>
          <w:lang w:eastAsia="en-US"/>
        </w:rPr>
      </w:pPr>
      <w:r w:rsidRPr="00F53BDD">
        <w:rPr>
          <w:rFonts w:eastAsia="Calibri"/>
          <w:lang w:eastAsia="en-US"/>
        </w:rPr>
        <w:t>In combination with the other options in this scenario, a market design regulator could mitigate every risk. This regulator has all the functions of a monitoring and compliance regulator to collect data, analyse, investigate and issue penalties for non-compliance. It also has the authority to redesign secondary legislation in its jurisdiction, to ensure the ETS is properly governed. If existing legislation is not useful it can be updated, without going through</w:t>
      </w:r>
      <w:r w:rsidR="00DE226E" w:rsidRPr="00F53BDD">
        <w:rPr>
          <w:rFonts w:eastAsia="Calibri"/>
          <w:lang w:eastAsia="en-US"/>
        </w:rPr>
        <w:t> </w:t>
      </w:r>
      <w:r w:rsidRPr="00F53BDD">
        <w:rPr>
          <w:rFonts w:eastAsia="Calibri"/>
          <w:lang w:eastAsia="en-US"/>
        </w:rPr>
        <w:t>a policy</w:t>
      </w:r>
      <w:r w:rsidR="001C1EF6" w:rsidRPr="00F53BDD">
        <w:rPr>
          <w:rFonts w:eastAsia="Calibri"/>
          <w:lang w:eastAsia="en-US"/>
        </w:rPr>
        <w:t> </w:t>
      </w:r>
      <w:r w:rsidRPr="00F53BDD">
        <w:rPr>
          <w:rFonts w:eastAsia="Calibri"/>
          <w:lang w:eastAsia="en-US"/>
        </w:rPr>
        <w:t>agency.</w:t>
      </w:r>
      <w:r w:rsidR="00EF04DA" w:rsidRPr="00F53BDD">
        <w:rPr>
          <w:rFonts w:eastAsia="Calibri"/>
          <w:lang w:eastAsia="en-US"/>
        </w:rPr>
        <w:t xml:space="preserve"> </w:t>
      </w:r>
    </w:p>
    <w:p w:rsidR="00207816" w:rsidRPr="00F53BDD" w:rsidRDefault="00207816" w:rsidP="00E24DB9">
      <w:pPr>
        <w:pStyle w:val="BodyText"/>
        <w:spacing w:before="100" w:after="100"/>
        <w:rPr>
          <w:rFonts w:eastAsia="Calibri"/>
          <w:lang w:eastAsia="en-US"/>
        </w:rPr>
      </w:pPr>
      <w:r w:rsidRPr="00F53BDD">
        <w:rPr>
          <w:rFonts w:eastAsia="Calibri"/>
          <w:lang w:eastAsia="en-US"/>
        </w:rPr>
        <w:t>Implementing this scenario (or something similar) would depend on whether the governance risks are big enough to justify the cost and complexity.</w:t>
      </w:r>
    </w:p>
    <w:p w:rsidR="00207816" w:rsidRPr="00F53BDD" w:rsidRDefault="00CA4768" w:rsidP="00E24DB9">
      <w:pPr>
        <w:pStyle w:val="Heading2"/>
        <w:spacing w:before="280" w:after="240"/>
      </w:pPr>
      <w:bookmarkStart w:id="94" w:name="_Toc75250091"/>
      <w:r>
        <w:t>Consultation</w:t>
      </w:r>
      <w:r w:rsidRPr="00F53BDD">
        <w:t xml:space="preserve"> </w:t>
      </w:r>
      <w:r w:rsidR="00207816" w:rsidRPr="00F53BDD">
        <w:t>questions</w:t>
      </w:r>
      <w:bookmarkEnd w:id="94"/>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5337E4" w:rsidRPr="00F53BDD" w:rsidTr="005337E4">
        <w:tc>
          <w:tcPr>
            <w:tcW w:w="0" w:type="auto"/>
            <w:shd w:val="clear" w:color="auto" w:fill="D2DDE2"/>
          </w:tcPr>
          <w:p w:rsidR="00FB05B5" w:rsidRDefault="00FB05B5" w:rsidP="00812A66">
            <w:pPr>
              <w:pStyle w:val="Blueboxheading"/>
              <w:spacing w:after="120"/>
            </w:pPr>
            <w:r>
              <w:t>The risk mitigation scenario</w:t>
            </w:r>
          </w:p>
          <w:p w:rsidR="005337E4" w:rsidRPr="00F53BDD" w:rsidRDefault="005337E4" w:rsidP="00AD5C0A">
            <w:pPr>
              <w:pStyle w:val="Blueboxnumbered"/>
              <w:ind w:left="681" w:hanging="397"/>
            </w:pPr>
            <w:r w:rsidRPr="00F53BDD">
              <w:t xml:space="preserve">To what extent would the risk mitigation scenario address the </w:t>
            </w:r>
            <w:r w:rsidR="00DD1CAA">
              <w:t xml:space="preserve">market </w:t>
            </w:r>
            <w:r w:rsidRPr="00F53BDD">
              <w:t>governance risks?</w:t>
            </w:r>
          </w:p>
          <w:p w:rsidR="005337E4" w:rsidRPr="00F53BDD" w:rsidRDefault="005337E4" w:rsidP="00007DB6">
            <w:pPr>
              <w:pStyle w:val="Blueboxnumbered"/>
              <w:spacing w:before="60"/>
            </w:pPr>
            <w:r w:rsidRPr="00F53BDD">
              <w:t>What other options could be considered under this scenario?</w:t>
            </w:r>
          </w:p>
          <w:p w:rsidR="005337E4" w:rsidRPr="00F53BDD" w:rsidRDefault="005337E4" w:rsidP="00A10B22">
            <w:pPr>
              <w:pStyle w:val="Blueboxnumbered"/>
              <w:spacing w:before="60" w:after="200"/>
            </w:pPr>
            <w:r w:rsidRPr="00F53BDD">
              <w:t xml:space="preserve">What other combination of options or scenarios could address the </w:t>
            </w:r>
            <w:r w:rsidR="00DD1CAA">
              <w:t xml:space="preserve">market </w:t>
            </w:r>
            <w:r w:rsidRPr="00F53BDD">
              <w:t>governance risks?</w:t>
            </w:r>
          </w:p>
        </w:tc>
      </w:tr>
    </w:tbl>
    <w:p w:rsidR="00A918FF" w:rsidRPr="00F53BDD" w:rsidRDefault="00A918FF" w:rsidP="00A10B22">
      <w:pPr>
        <w:pStyle w:val="Heading1"/>
        <w:pageBreakBefore/>
        <w:rPr>
          <w:rFonts w:eastAsia="Times New Roman"/>
        </w:rPr>
      </w:pPr>
      <w:bookmarkStart w:id="95" w:name="_Section_9:_Consultation"/>
      <w:bookmarkStart w:id="96" w:name="_Toc75250092"/>
      <w:bookmarkEnd w:id="95"/>
      <w:r w:rsidRPr="00F53BDD">
        <w:rPr>
          <w:rFonts w:eastAsia="Times New Roman"/>
        </w:rPr>
        <w:t xml:space="preserve">Section </w:t>
      </w:r>
      <w:r w:rsidR="00223BEC" w:rsidRPr="00F53BDD">
        <w:rPr>
          <w:rFonts w:eastAsia="Times New Roman"/>
        </w:rPr>
        <w:t>9</w:t>
      </w:r>
      <w:r w:rsidRPr="00F53BDD">
        <w:rPr>
          <w:rFonts w:eastAsia="Times New Roman"/>
        </w:rPr>
        <w:t>: Consultation process</w:t>
      </w:r>
      <w:bookmarkEnd w:id="96"/>
    </w:p>
    <w:p w:rsidR="00A728CD" w:rsidRPr="00F53BDD" w:rsidRDefault="00A728CD" w:rsidP="00AD5C0A">
      <w:pPr>
        <w:pStyle w:val="Heading2"/>
        <w:spacing w:before="120"/>
      </w:pPr>
      <w:bookmarkStart w:id="97" w:name="_Toc419456279"/>
      <w:bookmarkStart w:id="98" w:name="_Toc420655444"/>
      <w:bookmarkStart w:id="99" w:name="_Toc75250093"/>
      <w:r w:rsidRPr="00F53BDD">
        <w:t>How to make a submission</w:t>
      </w:r>
      <w:bookmarkEnd w:id="97"/>
      <w:bookmarkEnd w:id="98"/>
      <w:bookmarkEnd w:id="99"/>
    </w:p>
    <w:p w:rsidR="00A728CD" w:rsidRPr="00F53BDD" w:rsidRDefault="00A728CD" w:rsidP="007778BB">
      <w:pPr>
        <w:pStyle w:val="BodyText"/>
      </w:pPr>
      <w:r w:rsidRPr="00F53BDD">
        <w:rPr>
          <w:lang w:eastAsia="en-US"/>
        </w:rPr>
        <w:t xml:space="preserve">The Government welcomes your feedback on this consultation document. The questions posed throughout </w:t>
      </w:r>
      <w:r w:rsidRPr="00F53BDD">
        <w:t xml:space="preserve">this document are summarised </w:t>
      </w:r>
      <w:r w:rsidR="00DD1CAA">
        <w:t>in section 10</w:t>
      </w:r>
      <w:r w:rsidRPr="00F53BDD">
        <w:t xml:space="preserve">. They are a guide only and all comments are welcome. You do not have to answer all the questions. </w:t>
      </w:r>
    </w:p>
    <w:p w:rsidR="00A728CD" w:rsidRDefault="00A728CD" w:rsidP="007778BB">
      <w:pPr>
        <w:pStyle w:val="BodyText"/>
      </w:pPr>
      <w:r w:rsidRPr="00F53BDD">
        <w:t xml:space="preserve">To ensure your point of view is clearly understood, you should explain your rationale and provide supporting evidence where appropriate. </w:t>
      </w:r>
    </w:p>
    <w:p w:rsidR="00DD1CAA" w:rsidRDefault="00DD1CAA" w:rsidP="00812A66">
      <w:pPr>
        <w:pStyle w:val="Heading2"/>
      </w:pPr>
      <w:bookmarkStart w:id="100" w:name="_Toc75250094"/>
      <w:r>
        <w:t>Timeframes</w:t>
      </w:r>
      <w:bookmarkEnd w:id="100"/>
    </w:p>
    <w:p w:rsidR="00DD1CAA" w:rsidRDefault="00DD1CAA" w:rsidP="007778BB">
      <w:pPr>
        <w:pStyle w:val="BodyText"/>
      </w:pPr>
      <w:r>
        <w:t xml:space="preserve">This consultation starts on </w:t>
      </w:r>
      <w:r w:rsidR="00FB05B5">
        <w:t>8 Ju</w:t>
      </w:r>
      <w:r w:rsidR="00F83CD4">
        <w:t>ly</w:t>
      </w:r>
      <w:r w:rsidR="00FB05B5">
        <w:t xml:space="preserve"> 2021</w:t>
      </w:r>
      <w:r>
        <w:t xml:space="preserve"> and ends on 17 September 2021.</w:t>
      </w:r>
    </w:p>
    <w:p w:rsidR="00AA3D9E" w:rsidRPr="00F53BDD" w:rsidRDefault="00AA3D9E" w:rsidP="007778BB">
      <w:pPr>
        <w:pStyle w:val="BodyText"/>
      </w:pPr>
      <w:r>
        <w:t>When the consultation has ended, we will develop final policy advice that considers these submissions.</w:t>
      </w:r>
    </w:p>
    <w:p w:rsidR="00AA3D9E" w:rsidRDefault="00AA3D9E" w:rsidP="00812A66">
      <w:pPr>
        <w:pStyle w:val="Heading2"/>
      </w:pPr>
      <w:bookmarkStart w:id="101" w:name="_Toc75250095"/>
      <w:r>
        <w:t>How to provide feedback</w:t>
      </w:r>
      <w:bookmarkEnd w:id="101"/>
    </w:p>
    <w:p w:rsidR="00A728CD" w:rsidRPr="00F53BDD" w:rsidRDefault="00A728CD" w:rsidP="007778BB">
      <w:pPr>
        <w:pStyle w:val="BodyText"/>
        <w:rPr>
          <w:lang w:eastAsia="en-US"/>
        </w:rPr>
      </w:pPr>
      <w:r w:rsidRPr="00F53BDD">
        <w:t>There are two ways you can mak</w:t>
      </w:r>
      <w:r w:rsidRPr="00F53BDD">
        <w:rPr>
          <w:lang w:eastAsia="en-US"/>
        </w:rPr>
        <w:t>e a submission:</w:t>
      </w:r>
    </w:p>
    <w:p w:rsidR="00A728CD" w:rsidRPr="00F53BDD" w:rsidRDefault="00A728CD" w:rsidP="00812A66">
      <w:pPr>
        <w:pStyle w:val="Bullet"/>
        <w:numPr>
          <w:ilvl w:val="0"/>
          <w:numId w:val="28"/>
        </w:numPr>
      </w:pPr>
      <w:r w:rsidRPr="00F53BDD">
        <w:t xml:space="preserve">via Citizen Space, our consultation hub, available at </w:t>
      </w:r>
      <w:hyperlink r:id="rId41" w:history="1">
        <w:r w:rsidR="00956CDE" w:rsidRPr="00F53BDD">
          <w:rPr>
            <w:rStyle w:val="Hyperlink"/>
          </w:rPr>
          <w:t>https://consult.environment.govt.nz</w:t>
        </w:r>
      </w:hyperlink>
    </w:p>
    <w:p w:rsidR="00A728CD" w:rsidRPr="00F53BDD" w:rsidRDefault="00A728CD" w:rsidP="00812A66">
      <w:pPr>
        <w:pStyle w:val="Bullet"/>
        <w:numPr>
          <w:ilvl w:val="0"/>
          <w:numId w:val="28"/>
        </w:numPr>
        <w:tabs>
          <w:tab w:val="left" w:pos="397"/>
        </w:tabs>
      </w:pPr>
      <w:r w:rsidRPr="00F53BDD">
        <w:t xml:space="preserve">write your own submission. </w:t>
      </w:r>
    </w:p>
    <w:p w:rsidR="00A728CD" w:rsidRPr="00F53BDD" w:rsidRDefault="00A728CD" w:rsidP="00A728CD">
      <w:pPr>
        <w:pStyle w:val="BodyText"/>
        <w:rPr>
          <w:lang w:eastAsia="en-GB"/>
        </w:rPr>
      </w:pPr>
      <w:r w:rsidRPr="00F53BDD">
        <w:rPr>
          <w:lang w:eastAsia="en-GB"/>
        </w:rPr>
        <w:t xml:space="preserve">If you want to provide your own written submission you can provide this as an uploaded file in Citizen Space. </w:t>
      </w:r>
    </w:p>
    <w:p w:rsidR="00A728CD" w:rsidRPr="00F53BDD" w:rsidRDefault="00A728CD" w:rsidP="00A728CD">
      <w:pPr>
        <w:pStyle w:val="BodyText"/>
        <w:rPr>
          <w:lang w:eastAsia="en-GB"/>
        </w:rPr>
      </w:pPr>
      <w:r w:rsidRPr="00F53BDD">
        <w:rPr>
          <w:lang w:eastAsia="en-GB"/>
        </w:rPr>
        <w:t xml:space="preserve">We request that you don’t email or post submissions as this makes analysis more difficult. However, if you need to please send written submissions to </w:t>
      </w:r>
      <w:r w:rsidR="00EF140D">
        <w:rPr>
          <w:lang w:eastAsia="en-GB"/>
        </w:rPr>
        <w:t>NZ ETS team,</w:t>
      </w:r>
      <w:r w:rsidRPr="00F53BDD">
        <w:rPr>
          <w:lang w:eastAsia="en-GB"/>
        </w:rPr>
        <w:t xml:space="preserve"> Ministry</w:t>
      </w:r>
      <w:r w:rsidR="00956CDE" w:rsidRPr="00F53BDD">
        <w:rPr>
          <w:lang w:eastAsia="en-GB"/>
        </w:rPr>
        <w:t> </w:t>
      </w:r>
      <w:r w:rsidRPr="00F53BDD">
        <w:rPr>
          <w:lang w:eastAsia="en-GB"/>
        </w:rPr>
        <w:t>for the Environment, PO Box 10362, Wellington 6143 and include:</w:t>
      </w:r>
    </w:p>
    <w:p w:rsidR="00A728CD" w:rsidRPr="00F53BDD" w:rsidRDefault="00A728CD" w:rsidP="00007DB6">
      <w:pPr>
        <w:pStyle w:val="Bullet"/>
        <w:numPr>
          <w:ilvl w:val="0"/>
          <w:numId w:val="18"/>
        </w:numPr>
        <w:tabs>
          <w:tab w:val="clear" w:pos="567"/>
          <w:tab w:val="left" w:pos="397"/>
        </w:tabs>
        <w:ind w:left="397" w:hanging="397"/>
      </w:pPr>
      <w:r w:rsidRPr="00F53BDD">
        <w:t>the title of the consultation</w:t>
      </w:r>
      <w:r w:rsidR="00EF140D">
        <w:t>:</w:t>
      </w:r>
      <w:r w:rsidR="00EF140D" w:rsidRPr="00EF140D">
        <w:rPr>
          <w:rFonts w:asciiTheme="minorHAnsi" w:hAnsiTheme="minorHAnsi" w:cstheme="minorHAnsi"/>
          <w:lang w:eastAsia="en-US"/>
        </w:rPr>
        <w:t xml:space="preserve"> Designing</w:t>
      </w:r>
      <w:r w:rsidR="00EF140D">
        <w:rPr>
          <w:rFonts w:asciiTheme="minorHAnsi" w:hAnsiTheme="minorHAnsi" w:cstheme="minorHAnsi"/>
          <w:lang w:eastAsia="en-US"/>
        </w:rPr>
        <w:t xml:space="preserve"> a governance framework for the New Zealand Emissions Trading Scheme</w:t>
      </w:r>
    </w:p>
    <w:p w:rsidR="00A728CD" w:rsidRPr="00F53BDD" w:rsidRDefault="00A728CD" w:rsidP="00007DB6">
      <w:pPr>
        <w:pStyle w:val="Bullet"/>
        <w:numPr>
          <w:ilvl w:val="0"/>
          <w:numId w:val="18"/>
        </w:numPr>
        <w:tabs>
          <w:tab w:val="clear" w:pos="567"/>
          <w:tab w:val="left" w:pos="397"/>
        </w:tabs>
        <w:ind w:left="397" w:hanging="397"/>
      </w:pPr>
      <w:r w:rsidRPr="00F53BDD">
        <w:t>your name or organisation name</w:t>
      </w:r>
    </w:p>
    <w:p w:rsidR="00A728CD" w:rsidRPr="00F53BDD" w:rsidRDefault="00A728CD" w:rsidP="00007DB6">
      <w:pPr>
        <w:pStyle w:val="Bullet"/>
        <w:numPr>
          <w:ilvl w:val="0"/>
          <w:numId w:val="18"/>
        </w:numPr>
        <w:tabs>
          <w:tab w:val="clear" w:pos="567"/>
          <w:tab w:val="left" w:pos="397"/>
        </w:tabs>
        <w:ind w:left="397" w:hanging="397"/>
      </w:pPr>
      <w:r w:rsidRPr="00F53BDD">
        <w:t>postal address</w:t>
      </w:r>
    </w:p>
    <w:p w:rsidR="00A728CD" w:rsidRPr="00F53BDD" w:rsidRDefault="00A728CD" w:rsidP="00007DB6">
      <w:pPr>
        <w:pStyle w:val="Bullet"/>
        <w:numPr>
          <w:ilvl w:val="0"/>
          <w:numId w:val="18"/>
        </w:numPr>
        <w:tabs>
          <w:tab w:val="clear" w:pos="567"/>
          <w:tab w:val="left" w:pos="397"/>
        </w:tabs>
        <w:ind w:left="397" w:hanging="397"/>
      </w:pPr>
      <w:r w:rsidRPr="00F53BDD">
        <w:t xml:space="preserve">telephone number </w:t>
      </w:r>
    </w:p>
    <w:p w:rsidR="00A728CD" w:rsidRPr="00F53BDD" w:rsidRDefault="00A728CD" w:rsidP="00007DB6">
      <w:pPr>
        <w:pStyle w:val="Bullet"/>
        <w:numPr>
          <w:ilvl w:val="0"/>
          <w:numId w:val="18"/>
        </w:numPr>
        <w:tabs>
          <w:tab w:val="clear" w:pos="567"/>
          <w:tab w:val="left" w:pos="397"/>
        </w:tabs>
        <w:ind w:left="397" w:hanging="397"/>
      </w:pPr>
      <w:r w:rsidRPr="00F53BDD">
        <w:t>email address.</w:t>
      </w:r>
    </w:p>
    <w:p w:rsidR="00A728CD" w:rsidRPr="00F53BDD" w:rsidRDefault="00A728CD" w:rsidP="00A728CD">
      <w:pPr>
        <w:pStyle w:val="Bullet"/>
        <w:spacing w:after="100"/>
      </w:pPr>
      <w:r w:rsidRPr="00F53BDD">
        <w:rPr>
          <w:lang w:eastAsia="en-GB"/>
        </w:rPr>
        <w:t xml:space="preserve">If you are emailing your submission, send it to </w:t>
      </w:r>
      <w:hyperlink r:id="rId42" w:history="1">
        <w:r w:rsidR="00EF140D" w:rsidRPr="00F53BDD">
          <w:rPr>
            <w:rStyle w:val="Hyperlink"/>
          </w:rPr>
          <w:t>etsconsultation@mfe.govt.nz</w:t>
        </w:r>
      </w:hyperlink>
      <w:r w:rsidR="00EF140D">
        <w:rPr>
          <w:rStyle w:val="Hyperlink"/>
        </w:rPr>
        <w:t xml:space="preserve"> </w:t>
      </w:r>
      <w:r w:rsidRPr="00F53BDD">
        <w:rPr>
          <w:lang w:eastAsia="en-GB"/>
        </w:rPr>
        <w:t>as a:</w:t>
      </w:r>
    </w:p>
    <w:p w:rsidR="00A728CD" w:rsidRPr="00F53BDD" w:rsidRDefault="00A728CD" w:rsidP="00007DB6">
      <w:pPr>
        <w:pStyle w:val="Bullet"/>
        <w:numPr>
          <w:ilvl w:val="0"/>
          <w:numId w:val="18"/>
        </w:numPr>
        <w:tabs>
          <w:tab w:val="clear" w:pos="567"/>
          <w:tab w:val="left" w:pos="397"/>
        </w:tabs>
        <w:ind w:left="397" w:hanging="397"/>
      </w:pPr>
      <w:r w:rsidRPr="00F53BDD">
        <w:t>PDF</w:t>
      </w:r>
    </w:p>
    <w:p w:rsidR="00A728CD" w:rsidRPr="00F53BDD" w:rsidRDefault="00A728CD" w:rsidP="00007DB6">
      <w:pPr>
        <w:pStyle w:val="Bullet"/>
        <w:numPr>
          <w:ilvl w:val="0"/>
          <w:numId w:val="18"/>
        </w:numPr>
        <w:tabs>
          <w:tab w:val="clear" w:pos="567"/>
          <w:tab w:val="left" w:pos="397"/>
        </w:tabs>
        <w:ind w:left="397" w:hanging="397"/>
      </w:pPr>
      <w:r w:rsidRPr="00F53BDD">
        <w:t>Microsoft Word document.</w:t>
      </w:r>
    </w:p>
    <w:p w:rsidR="00A728CD" w:rsidRPr="00F53BDD" w:rsidRDefault="00A728CD" w:rsidP="00A728CD">
      <w:pPr>
        <w:pStyle w:val="BodyText"/>
        <w:rPr>
          <w:b/>
          <w:lang w:eastAsia="en-GB"/>
        </w:rPr>
      </w:pPr>
      <w:r w:rsidRPr="00F53BDD">
        <w:rPr>
          <w:b/>
          <w:lang w:eastAsia="en-GB"/>
        </w:rPr>
        <w:t xml:space="preserve">Submissions close at </w:t>
      </w:r>
      <w:r w:rsidR="00AA3D9E">
        <w:rPr>
          <w:b/>
          <w:lang w:eastAsia="en-US"/>
        </w:rPr>
        <w:t>5 pm</w:t>
      </w:r>
      <w:r w:rsidRPr="00F53BDD">
        <w:rPr>
          <w:b/>
          <w:lang w:eastAsia="en-US"/>
        </w:rPr>
        <w:t xml:space="preserve"> on </w:t>
      </w:r>
      <w:r w:rsidR="00AA3D9E">
        <w:t>17 September 2021</w:t>
      </w:r>
      <w:r w:rsidRPr="00F53BDD">
        <w:rPr>
          <w:b/>
          <w:lang w:eastAsia="en-US"/>
        </w:rPr>
        <w:t>.</w:t>
      </w:r>
    </w:p>
    <w:p w:rsidR="00A728CD" w:rsidRPr="00F53BDD" w:rsidRDefault="00AA3D9E" w:rsidP="00A728CD">
      <w:pPr>
        <w:pStyle w:val="Heading2"/>
      </w:pPr>
      <w:bookmarkStart w:id="102" w:name="_Toc75250096"/>
      <w:bookmarkStart w:id="103" w:name="_Toc413265307"/>
      <w:bookmarkStart w:id="104" w:name="_Toc414358483"/>
      <w:r>
        <w:t>More information</w:t>
      </w:r>
      <w:bookmarkEnd w:id="102"/>
      <w:r w:rsidR="00A728CD" w:rsidRPr="00F53BDD">
        <w:t xml:space="preserve"> </w:t>
      </w:r>
    </w:p>
    <w:p w:rsidR="00A728CD" w:rsidRPr="00F53BDD" w:rsidRDefault="00A728CD" w:rsidP="00B529A4">
      <w:pPr>
        <w:pStyle w:val="BodyText"/>
        <w:keepNext/>
      </w:pPr>
      <w:r w:rsidRPr="00F53BDD">
        <w:t>Please direct any queries to:</w:t>
      </w:r>
    </w:p>
    <w:p w:rsidR="00A728CD" w:rsidRPr="00F53BDD" w:rsidRDefault="00A728CD" w:rsidP="00A728CD">
      <w:pPr>
        <w:pStyle w:val="BodyText"/>
        <w:spacing w:before="60" w:after="60"/>
      </w:pPr>
      <w:r w:rsidRPr="00F53BDD">
        <w:t xml:space="preserve">Email: </w:t>
      </w:r>
      <w:hyperlink r:id="rId43" w:history="1">
        <w:r w:rsidR="00EF140D" w:rsidRPr="00F53BDD">
          <w:rPr>
            <w:rStyle w:val="Hyperlink"/>
          </w:rPr>
          <w:t>etsconsultation@mfe.govt.nz</w:t>
        </w:r>
      </w:hyperlink>
    </w:p>
    <w:p w:rsidR="00A728CD" w:rsidRPr="00F53BDD" w:rsidRDefault="00A728CD" w:rsidP="00A728CD">
      <w:pPr>
        <w:pStyle w:val="BodyText"/>
        <w:spacing w:before="60"/>
        <w:rPr>
          <w:lang w:eastAsia="en-US"/>
        </w:rPr>
      </w:pPr>
      <w:r w:rsidRPr="00F53BDD">
        <w:t>Pos</w:t>
      </w:r>
      <w:r w:rsidRPr="00F53BDD">
        <w:rPr>
          <w:lang w:eastAsia="en-US"/>
        </w:rPr>
        <w:t xml:space="preserve">tal: </w:t>
      </w:r>
      <w:r w:rsidR="00A714DE">
        <w:rPr>
          <w:lang w:eastAsia="en-GB"/>
        </w:rPr>
        <w:t>Designing a governance framework for the New Zealand Emissions Trading Scheme</w:t>
      </w:r>
      <w:r w:rsidRPr="00F53BDD">
        <w:rPr>
          <w:lang w:eastAsia="en-GB"/>
        </w:rPr>
        <w:t>, Ministry for the Environment, PO Box 10362, Wellington 6143</w:t>
      </w:r>
    </w:p>
    <w:p w:rsidR="00A728CD" w:rsidRPr="00F53BDD" w:rsidRDefault="00A728CD" w:rsidP="00A728CD">
      <w:pPr>
        <w:pStyle w:val="Heading2"/>
      </w:pPr>
      <w:bookmarkStart w:id="105" w:name="_Toc419456281"/>
      <w:bookmarkStart w:id="106" w:name="_Toc420655446"/>
      <w:bookmarkStart w:id="107" w:name="_Toc75250097"/>
      <w:r w:rsidRPr="00F53BDD">
        <w:t>Publishing and releasing submissions</w:t>
      </w:r>
      <w:bookmarkEnd w:id="103"/>
      <w:bookmarkEnd w:id="104"/>
      <w:bookmarkEnd w:id="105"/>
      <w:bookmarkEnd w:id="106"/>
      <w:bookmarkEnd w:id="107"/>
    </w:p>
    <w:p w:rsidR="00A728CD" w:rsidRPr="00F53BDD" w:rsidRDefault="00A728CD" w:rsidP="00082BFD">
      <w:pPr>
        <w:pStyle w:val="BodyText"/>
        <w:keepLines/>
      </w:pPr>
      <w:r w:rsidRPr="00F53BDD">
        <w:t>All or part of any written submission (including names of submitters), may be published on the</w:t>
      </w:r>
      <w:r w:rsidR="00956CDE" w:rsidRPr="00F53BDD">
        <w:t> </w:t>
      </w:r>
      <w:r w:rsidRPr="00F53BDD">
        <w:t xml:space="preserve">Ministry for the Environment’s website, </w:t>
      </w:r>
      <w:hyperlink r:id="rId44" w:history="1">
        <w:r w:rsidRPr="00F53BDD">
          <w:rPr>
            <w:rStyle w:val="Hyperlink"/>
          </w:rPr>
          <w:t>environment.govt.nz</w:t>
        </w:r>
      </w:hyperlink>
      <w:r w:rsidRPr="00F53BDD">
        <w:t>. Unless you clearly specify otherwise in your submission, the Ministry will consider that you have consented to website posting of both your submission and your name.</w:t>
      </w:r>
    </w:p>
    <w:p w:rsidR="00A728CD" w:rsidRPr="00F53BDD" w:rsidRDefault="00A728CD" w:rsidP="00A728CD">
      <w:pPr>
        <w:pStyle w:val="BodyText"/>
      </w:pPr>
      <w:r w:rsidRPr="00F53BDD">
        <w:t xml:space="preserve">Contents of submissions may be released to the public under the Official Information Act 1982 following requests to the Ministry for the Environment (including via email). Please advise if you have any objection to the release of any information contained in a submission and, in particular, which part(s) you consider should be withheld, together with the reason(s) for withholding the information. We will take into account all such objections when responding to requests for copies of, and information on, submissions to this document under the Official Information Act. </w:t>
      </w:r>
    </w:p>
    <w:p w:rsidR="00A728CD" w:rsidRPr="00F53BDD" w:rsidRDefault="00A728CD" w:rsidP="00A728CD">
      <w:pPr>
        <w:pStyle w:val="BodyText"/>
        <w:rPr>
          <w:lang w:eastAsia="en-US"/>
        </w:rPr>
      </w:pPr>
      <w:r w:rsidRPr="00F53BDD">
        <w:t xml:space="preserve">The Privacy Act 2020 applies certain principles about the collection, use and disclosure of information about individuals by various agencies, including the Ministry for the Environment. It governs access by individuals to information about themselves held by agencies. Any </w:t>
      </w:r>
      <w:r w:rsidRPr="00F53BDD">
        <w:rPr>
          <w:lang w:eastAsia="en-US"/>
        </w:rPr>
        <w:t>personal information you supply to the Ministry in the course of making a submission will be used by the Ministry only in relation to the matters covered by this document. Please clearly indicate in your submission if you do not wish your name to be included in any summary of submissions that the Ministry may publish.</w:t>
      </w:r>
    </w:p>
    <w:p w:rsidR="00103166" w:rsidRPr="00F53BDD" w:rsidRDefault="00103166" w:rsidP="008A2C31">
      <w:pPr>
        <w:pStyle w:val="BodyText"/>
        <w:rPr>
          <w:rFonts w:eastAsia="Times New Roman"/>
        </w:rPr>
      </w:pPr>
      <w:r w:rsidRPr="00F53BDD">
        <w:rPr>
          <w:rFonts w:eastAsia="Times New Roman"/>
        </w:rPr>
        <w:br w:type="page"/>
      </w:r>
    </w:p>
    <w:p w:rsidR="00103166" w:rsidRDefault="00124B2B" w:rsidP="00AC684F">
      <w:pPr>
        <w:pStyle w:val="Heading1"/>
        <w:rPr>
          <w:rFonts w:eastAsia="Times New Roman"/>
        </w:rPr>
      </w:pPr>
      <w:bookmarkStart w:id="108" w:name="_Toc75250098"/>
      <w:r w:rsidRPr="00F53BDD">
        <w:rPr>
          <w:rFonts w:eastAsia="Times New Roman"/>
        </w:rPr>
        <w:t xml:space="preserve">Section </w:t>
      </w:r>
      <w:r w:rsidR="00720804" w:rsidRPr="00F53BDD">
        <w:rPr>
          <w:rFonts w:eastAsia="Times New Roman"/>
        </w:rPr>
        <w:t>10:</w:t>
      </w:r>
      <w:r w:rsidR="005C27CA" w:rsidRPr="00F53BDD">
        <w:rPr>
          <w:rFonts w:eastAsia="Times New Roman"/>
        </w:rPr>
        <w:t xml:space="preserve"> </w:t>
      </w:r>
      <w:bookmarkStart w:id="109" w:name="_Hlk74555425"/>
      <w:r w:rsidR="00720804" w:rsidRPr="00F53BDD">
        <w:rPr>
          <w:rFonts w:eastAsia="Times New Roman"/>
        </w:rPr>
        <w:t>Consultation</w:t>
      </w:r>
      <w:r w:rsidR="00103166" w:rsidRPr="00F53BDD">
        <w:rPr>
          <w:rFonts w:eastAsia="Times New Roman"/>
        </w:rPr>
        <w:t xml:space="preserve"> questions</w:t>
      </w:r>
      <w:bookmarkEnd w:id="108"/>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2874B9" w:rsidRPr="00F53BDD" w:rsidTr="002874B9">
        <w:tc>
          <w:tcPr>
            <w:tcW w:w="0" w:type="auto"/>
            <w:shd w:val="clear" w:color="auto" w:fill="D2DDE2"/>
          </w:tcPr>
          <w:p w:rsidR="00C8678F" w:rsidRPr="00F53BDD" w:rsidRDefault="00C8678F" w:rsidP="00B529A4">
            <w:pPr>
              <w:pStyle w:val="Blueboxheading"/>
              <w:keepNext w:val="0"/>
            </w:pPr>
            <w:r w:rsidRPr="00F53BDD">
              <w:t>Poor and conflicted advice</w:t>
            </w:r>
          </w:p>
          <w:p w:rsidR="002874B9" w:rsidRPr="00F53BDD" w:rsidRDefault="002874B9" w:rsidP="002F555E">
            <w:pPr>
              <w:pStyle w:val="Blueboxnumbered"/>
              <w:numPr>
                <w:ilvl w:val="3"/>
                <w:numId w:val="20"/>
              </w:numPr>
              <w:spacing w:before="120"/>
              <w:ind w:left="681" w:hanging="397"/>
            </w:pPr>
            <w:r w:rsidRPr="00F53BDD">
              <w:t xml:space="preserve">As a </w:t>
            </w:r>
            <w:r w:rsidR="00C8678F">
              <w:t xml:space="preserve">NZ ETS </w:t>
            </w:r>
            <w:r w:rsidRPr="00F53BDD">
              <w:t>user, have you received poor, misleading or inaccurate advice on NZU prices or trading? If so, how did this affect you, and what was the financial impact?</w:t>
            </w:r>
          </w:p>
          <w:p w:rsidR="002874B9" w:rsidRDefault="002874B9" w:rsidP="002F555E">
            <w:pPr>
              <w:pStyle w:val="Blueboxnumbered"/>
            </w:pPr>
            <w:r w:rsidRPr="00F53BDD">
              <w:t xml:space="preserve">As a </w:t>
            </w:r>
            <w:r w:rsidR="00C8678F">
              <w:t>NZS</w:t>
            </w:r>
            <w:r w:rsidRPr="00F53BDD">
              <w:t>user, have you received advice with financial implications from an NZU adviser with a real, or perceived, conflict of interest? If so, how did this affect you, and what was the financial impact?</w:t>
            </w:r>
          </w:p>
          <w:p w:rsidR="00C8678F" w:rsidRPr="00F53BDD" w:rsidRDefault="00C8678F" w:rsidP="00B529A4">
            <w:pPr>
              <w:pStyle w:val="Blueboxheading"/>
              <w:keepNext w:val="0"/>
              <w:spacing w:before="120"/>
            </w:pPr>
            <w:r>
              <w:t>Education campaign and information pack</w:t>
            </w:r>
          </w:p>
          <w:p w:rsidR="002874B9" w:rsidRPr="00F53BDD" w:rsidRDefault="002874B9" w:rsidP="002F555E">
            <w:pPr>
              <w:pStyle w:val="Blueboxnumbered"/>
              <w:spacing w:before="120"/>
            </w:pPr>
            <w:r w:rsidRPr="00F53BDD">
              <w:t>To what extent would an education campaign and information pack improve decision-making for users?</w:t>
            </w:r>
          </w:p>
          <w:p w:rsidR="002874B9" w:rsidRDefault="002874B9" w:rsidP="002F555E">
            <w:pPr>
              <w:pStyle w:val="Blueboxnumbered"/>
            </w:pPr>
            <w:r w:rsidRPr="00F53BDD">
              <w:t xml:space="preserve">What information could help users and traders make informed decisions about engaging with the </w:t>
            </w:r>
            <w:r w:rsidR="00C8678F">
              <w:t xml:space="preserve">NZ </w:t>
            </w:r>
            <w:r w:rsidRPr="00F53BDD">
              <w:t>ETS or selecting an NZU adviser?</w:t>
            </w:r>
          </w:p>
          <w:p w:rsidR="00C8678F" w:rsidRPr="00F53BDD" w:rsidRDefault="00C8678F" w:rsidP="00B529A4">
            <w:pPr>
              <w:pStyle w:val="Blueboxheading"/>
              <w:keepNext w:val="0"/>
              <w:spacing w:before="120"/>
            </w:pPr>
            <w:r>
              <w:t>Voluntary guidelines for NZU advisers</w:t>
            </w:r>
          </w:p>
          <w:p w:rsidR="002874B9" w:rsidRPr="00F53BDD" w:rsidRDefault="002874B9" w:rsidP="002F555E">
            <w:pPr>
              <w:pStyle w:val="Blueboxnumbered"/>
              <w:spacing w:before="120"/>
            </w:pPr>
            <w:r w:rsidRPr="00F53BDD">
              <w:t>To what extent would voluntary guidelines for advisers improve their quality of advice?</w:t>
            </w:r>
          </w:p>
          <w:p w:rsidR="002874B9" w:rsidRDefault="002874B9" w:rsidP="002F555E">
            <w:pPr>
              <w:pStyle w:val="Blueboxnumbered"/>
            </w:pPr>
            <w:r w:rsidRPr="00F53BDD">
              <w:t xml:space="preserve">What should be included in the guidelines to improve the quality of advice? </w:t>
            </w:r>
          </w:p>
          <w:p w:rsidR="00C8678F" w:rsidRPr="00F53BDD" w:rsidRDefault="00C8678F" w:rsidP="00B529A4">
            <w:pPr>
              <w:pStyle w:val="Blueboxheading"/>
              <w:keepNext w:val="0"/>
              <w:spacing w:before="120"/>
            </w:pPr>
            <w:r>
              <w:t>Code of conduct, registration and licencing</w:t>
            </w:r>
          </w:p>
          <w:p w:rsidR="002874B9" w:rsidRPr="00F53BDD" w:rsidRDefault="002874B9" w:rsidP="002F555E">
            <w:pPr>
              <w:pStyle w:val="Blueboxnumbered"/>
              <w:spacing w:before="120"/>
            </w:pPr>
            <w:r w:rsidRPr="00F53BDD">
              <w:t>To what extent would a code of conduct, registration and licensing framework for advisers improve the quality of their advice?</w:t>
            </w:r>
          </w:p>
          <w:p w:rsidR="002874B9" w:rsidRPr="00F53BDD" w:rsidRDefault="002874B9" w:rsidP="002F555E">
            <w:pPr>
              <w:pStyle w:val="Blueboxnumbered"/>
            </w:pPr>
            <w:r w:rsidRPr="00F53BDD">
              <w:t>What content would you expect in a code of conduct for advisers?</w:t>
            </w:r>
          </w:p>
          <w:p w:rsidR="002874B9" w:rsidRDefault="002874B9" w:rsidP="002F555E">
            <w:pPr>
              <w:pStyle w:val="Blueboxnumbered"/>
            </w:pPr>
            <w:r w:rsidRPr="00F53BDD">
              <w:t>Which licensing requirements and standards would you expect of an adviser?</w:t>
            </w:r>
          </w:p>
          <w:p w:rsidR="00C8678F" w:rsidRPr="00F53BDD" w:rsidRDefault="00C8678F" w:rsidP="00B529A4">
            <w:pPr>
              <w:pStyle w:val="Blueboxheading"/>
              <w:keepNext w:val="0"/>
              <w:spacing w:before="120"/>
            </w:pPr>
            <w:r>
              <w:t>Other options</w:t>
            </w:r>
          </w:p>
          <w:p w:rsidR="002874B9" w:rsidRDefault="002874B9" w:rsidP="002F555E">
            <w:pPr>
              <w:pStyle w:val="Blueboxnumbered"/>
              <w:spacing w:before="120"/>
            </w:pPr>
            <w:r w:rsidRPr="00F53BDD">
              <w:t xml:space="preserve">What other changes, if any, could improve the quality of advice in the </w:t>
            </w:r>
            <w:r w:rsidR="00C8678F">
              <w:t xml:space="preserve">NZ </w:t>
            </w:r>
            <w:r w:rsidRPr="00F53BDD">
              <w:t>ETS?</w:t>
            </w:r>
          </w:p>
          <w:p w:rsidR="00C8678F" w:rsidRPr="00F53BDD" w:rsidRDefault="00C8678F" w:rsidP="00C8678F">
            <w:pPr>
              <w:pStyle w:val="Blueboxheading"/>
              <w:spacing w:before="120"/>
            </w:pPr>
            <w:r w:rsidRPr="00C8678F">
              <w:t>Transparency of trades</w:t>
            </w:r>
          </w:p>
          <w:p w:rsidR="002874B9" w:rsidRPr="00F53BDD" w:rsidRDefault="002874B9" w:rsidP="002F555E">
            <w:pPr>
              <w:pStyle w:val="Blueboxnumbered"/>
              <w:spacing w:before="120"/>
            </w:pPr>
            <w:r w:rsidRPr="00F53BDD">
              <w:t xml:space="preserve">To what extent would more visibility on the price or volume of other NZU trades improve transparency in the </w:t>
            </w:r>
            <w:r w:rsidR="00C8678F">
              <w:t xml:space="preserve">NZ </w:t>
            </w:r>
            <w:r w:rsidRPr="00F53BDD">
              <w:t>ETS, and better inform your decisions about buying and selling?</w:t>
            </w:r>
          </w:p>
          <w:p w:rsidR="002874B9" w:rsidRDefault="002874B9" w:rsidP="002F555E">
            <w:pPr>
              <w:pStyle w:val="Blueboxnumbered"/>
            </w:pPr>
            <w:r w:rsidRPr="00F53BDD">
              <w:t>What other types of information would make trades more transparent?</w:t>
            </w:r>
          </w:p>
          <w:p w:rsidR="00C8678F" w:rsidRPr="00F53BDD" w:rsidRDefault="00C8678F" w:rsidP="00B529A4">
            <w:pPr>
              <w:pStyle w:val="Blueboxheading"/>
              <w:keepNext w:val="0"/>
              <w:spacing w:before="120"/>
            </w:pPr>
            <w:r w:rsidRPr="00C8678F">
              <w:t>Credit and counter-party risks</w:t>
            </w:r>
          </w:p>
          <w:p w:rsidR="002874B9" w:rsidRDefault="002874B9" w:rsidP="002F555E">
            <w:pPr>
              <w:pStyle w:val="Blueboxnumbered"/>
              <w:spacing w:before="120"/>
            </w:pPr>
            <w:r w:rsidRPr="00F53BDD">
              <w:t>To what extent has credit and counter-party risk affected your ability to buy or sell NZUs? What was the financial impact on you?</w:t>
            </w:r>
          </w:p>
          <w:p w:rsidR="00C8678F" w:rsidRPr="00F53BDD" w:rsidRDefault="00C8678F" w:rsidP="00B529A4">
            <w:pPr>
              <w:pStyle w:val="Blueboxheading"/>
              <w:keepNext w:val="0"/>
              <w:spacing w:before="120"/>
            </w:pPr>
            <w:r w:rsidRPr="00C8678F">
              <w:t>Voluntary transaction reporting</w:t>
            </w:r>
          </w:p>
          <w:p w:rsidR="002874B9" w:rsidRPr="00F53BDD" w:rsidRDefault="002874B9" w:rsidP="002F555E">
            <w:pPr>
              <w:pStyle w:val="Blueboxnumbered"/>
              <w:spacing w:before="120"/>
            </w:pPr>
            <w:r w:rsidRPr="00F53BDD">
              <w:t xml:space="preserve">As a </w:t>
            </w:r>
            <w:r w:rsidR="00C8678F">
              <w:t xml:space="preserve">NZ ETS </w:t>
            </w:r>
            <w:r w:rsidRPr="00F53BDD">
              <w:t xml:space="preserve">user, what impact would voluntary transaction reporting have on your business or trading activity? </w:t>
            </w:r>
          </w:p>
          <w:p w:rsidR="002874B9" w:rsidRPr="00F53BDD" w:rsidRDefault="002874B9" w:rsidP="002F555E">
            <w:pPr>
              <w:pStyle w:val="Blueboxnumbered"/>
            </w:pPr>
            <w:r w:rsidRPr="00F53BDD">
              <w:t xml:space="preserve">As a </w:t>
            </w:r>
            <w:r w:rsidR="00C8678F">
              <w:t>NZ ETS</w:t>
            </w:r>
            <w:r w:rsidR="00C8678F" w:rsidRPr="00F53BDD">
              <w:t xml:space="preserve"> </w:t>
            </w:r>
            <w:r w:rsidRPr="00F53BDD">
              <w:t xml:space="preserve">user, what impact would position reporting have on your business or trading activity? </w:t>
            </w:r>
          </w:p>
          <w:p w:rsidR="002874B9" w:rsidRDefault="002874B9" w:rsidP="002F555E">
            <w:pPr>
              <w:pStyle w:val="Blueboxnumbered"/>
            </w:pPr>
            <w:r w:rsidRPr="00F53BDD">
              <w:t xml:space="preserve">As a </w:t>
            </w:r>
            <w:r w:rsidR="00C8678F">
              <w:t>NZ ETS</w:t>
            </w:r>
            <w:r w:rsidR="00C8678F" w:rsidRPr="00F53BDD">
              <w:t xml:space="preserve"> </w:t>
            </w:r>
            <w:r w:rsidRPr="00F53BDD">
              <w:t xml:space="preserve">user, what impact would introducing exchange-based trading have on your business or trading activity? </w:t>
            </w:r>
          </w:p>
          <w:p w:rsidR="00C8678F" w:rsidRPr="00F53BDD" w:rsidRDefault="00C8678F" w:rsidP="00C8678F">
            <w:pPr>
              <w:pStyle w:val="Blueboxheading"/>
              <w:spacing w:before="120"/>
            </w:pPr>
            <w:r w:rsidRPr="00C8678F">
              <w:t>Other options</w:t>
            </w:r>
          </w:p>
          <w:p w:rsidR="002874B9" w:rsidRPr="00F53BDD" w:rsidRDefault="002874B9" w:rsidP="002F555E">
            <w:pPr>
              <w:pStyle w:val="Blueboxnumbered"/>
              <w:spacing w:before="120"/>
            </w:pPr>
            <w:r w:rsidRPr="00F53BDD">
              <w:t xml:space="preserve">What other options could increase transparency of trades, or reduce market risks associated with trading NZUs? </w:t>
            </w:r>
          </w:p>
          <w:p w:rsidR="005E0AB9" w:rsidRDefault="005E0AB9" w:rsidP="00B529A4">
            <w:pPr>
              <w:pStyle w:val="Blueboxheading"/>
              <w:keepNext w:val="0"/>
              <w:spacing w:before="120"/>
            </w:pPr>
            <w:r w:rsidRPr="005E0AB9">
              <w:t>Insider trading, price manipulation and money laundering</w:t>
            </w:r>
          </w:p>
          <w:p w:rsidR="002874B9" w:rsidRDefault="002874B9" w:rsidP="002F555E">
            <w:pPr>
              <w:pStyle w:val="Blueboxnumbered"/>
              <w:spacing w:before="120"/>
            </w:pPr>
            <w:r w:rsidRPr="00F53BDD">
              <w:t>To what extent would position and purchase limits protect all users against price manipulation, money laundering, and financing of terrorism?</w:t>
            </w:r>
          </w:p>
          <w:p w:rsidR="005E0AB9" w:rsidRPr="00F53BDD" w:rsidRDefault="005E0AB9" w:rsidP="00B529A4">
            <w:pPr>
              <w:pStyle w:val="Blueboxheading"/>
              <w:keepNext w:val="0"/>
              <w:spacing w:before="120"/>
            </w:pPr>
            <w:r w:rsidRPr="005E0AB9">
              <w:t>Full transaction reporting</w:t>
            </w:r>
          </w:p>
          <w:p w:rsidR="002874B9" w:rsidRPr="00F53BDD" w:rsidRDefault="002874B9" w:rsidP="002F555E">
            <w:pPr>
              <w:pStyle w:val="Blueboxnumbered"/>
              <w:spacing w:before="120"/>
            </w:pPr>
            <w:r w:rsidRPr="00F53BDD">
              <w:t xml:space="preserve">As a </w:t>
            </w:r>
            <w:r w:rsidR="005E0AB9">
              <w:t xml:space="preserve">NZ ETS </w:t>
            </w:r>
            <w:r w:rsidRPr="00F53BDD">
              <w:t xml:space="preserve">user, what impact would full transaction reporting have on your business or trading activity? </w:t>
            </w:r>
          </w:p>
          <w:p w:rsidR="002874B9" w:rsidRDefault="002874B9" w:rsidP="00A24AE0">
            <w:pPr>
              <w:pStyle w:val="Blueboxnumbered"/>
              <w:spacing w:before="60"/>
            </w:pPr>
            <w:r w:rsidRPr="00F53BDD">
              <w:t>What information should be disclosed as part of full transaction reporting?</w:t>
            </w:r>
          </w:p>
          <w:p w:rsidR="005E0AB9" w:rsidRPr="00F53BDD" w:rsidRDefault="005E0AB9" w:rsidP="00B529A4">
            <w:pPr>
              <w:pStyle w:val="Blueboxheading"/>
              <w:keepNext w:val="0"/>
              <w:spacing w:before="120"/>
            </w:pPr>
            <w:r w:rsidRPr="005E0AB9">
              <w:t>Other options</w:t>
            </w:r>
          </w:p>
          <w:p w:rsidR="002874B9" w:rsidRDefault="002874B9" w:rsidP="002F555E">
            <w:pPr>
              <w:pStyle w:val="Blueboxnumbered"/>
              <w:spacing w:before="120"/>
            </w:pPr>
            <w:r w:rsidRPr="00F53BDD">
              <w:t>What other options could reduce the risk of insider trading, price manipulation, money laundering</w:t>
            </w:r>
            <w:r w:rsidR="009A6C3F">
              <w:t>,</w:t>
            </w:r>
            <w:r w:rsidRPr="00F53BDD">
              <w:t xml:space="preserve"> and financing of terrorism?</w:t>
            </w:r>
          </w:p>
          <w:p w:rsidR="00812A66" w:rsidRPr="00812A66" w:rsidRDefault="00812A66" w:rsidP="00B529A4">
            <w:pPr>
              <w:pStyle w:val="Blueboxnumbered"/>
              <w:numPr>
                <w:ilvl w:val="0"/>
                <w:numId w:val="0"/>
              </w:numPr>
              <w:spacing w:before="60" w:after="0"/>
              <w:ind w:left="284"/>
              <w:rPr>
                <w:b/>
              </w:rPr>
            </w:pPr>
            <w:r w:rsidRPr="00812A66">
              <w:rPr>
                <w:b/>
              </w:rPr>
              <w:t>Appointing a regulator</w:t>
            </w:r>
          </w:p>
          <w:p w:rsidR="002874B9" w:rsidRPr="00F53BDD" w:rsidRDefault="002874B9" w:rsidP="002F555E">
            <w:pPr>
              <w:pStyle w:val="Blueboxnumbered"/>
              <w:spacing w:before="120"/>
              <w:ind w:left="681" w:hanging="397"/>
            </w:pPr>
            <w:r w:rsidRPr="00F53BDD">
              <w:t>To what extent would appointing a regulator improve trust, efficiency and confidence in the ETS?</w:t>
            </w:r>
          </w:p>
          <w:p w:rsidR="002874B9" w:rsidRDefault="002874B9" w:rsidP="002F555E">
            <w:pPr>
              <w:pStyle w:val="Blueboxnumbered"/>
            </w:pPr>
            <w:r w:rsidRPr="00F53BDD">
              <w:t>What functions and powers would a regulator require to improve trust, efficiency and confidence in the ETS?</w:t>
            </w:r>
          </w:p>
          <w:p w:rsidR="00812A66" w:rsidRPr="00812A66" w:rsidRDefault="00812A66" w:rsidP="00B529A4">
            <w:pPr>
              <w:pStyle w:val="Blueboxnumbered"/>
              <w:numPr>
                <w:ilvl w:val="0"/>
                <w:numId w:val="0"/>
              </w:numPr>
              <w:spacing w:before="60" w:after="0"/>
              <w:ind w:left="284"/>
              <w:rPr>
                <w:b/>
              </w:rPr>
            </w:pPr>
            <w:r w:rsidRPr="00812A66">
              <w:rPr>
                <w:b/>
              </w:rPr>
              <w:t>Material information</w:t>
            </w:r>
          </w:p>
          <w:p w:rsidR="002874B9" w:rsidRPr="00F53BDD" w:rsidRDefault="002874B9" w:rsidP="002F555E">
            <w:pPr>
              <w:pStyle w:val="Blueboxnumbered"/>
              <w:spacing w:before="120"/>
              <w:ind w:left="681" w:hanging="397"/>
            </w:pPr>
            <w:r w:rsidRPr="00F53BDD">
              <w:t>Do you agree with the definition of ‘material information’ as it relates to NZUs?</w:t>
            </w:r>
          </w:p>
          <w:p w:rsidR="002874B9" w:rsidRDefault="002874B9" w:rsidP="002F555E">
            <w:pPr>
              <w:pStyle w:val="Blueboxnumbered"/>
            </w:pPr>
            <w:r w:rsidRPr="00F53BDD">
              <w:t>Do you agree that the Government should be required to disclose ‘material information’ about NZUs to the market in a way that encourages equal access to information?</w:t>
            </w:r>
          </w:p>
          <w:p w:rsidR="00812A66" w:rsidRPr="00812A66" w:rsidRDefault="00812A66" w:rsidP="00B529A4">
            <w:pPr>
              <w:pStyle w:val="Blueboxnumbered"/>
              <w:numPr>
                <w:ilvl w:val="0"/>
                <w:numId w:val="0"/>
              </w:numPr>
              <w:spacing w:before="60" w:after="0"/>
              <w:ind w:left="284"/>
              <w:rPr>
                <w:b/>
              </w:rPr>
            </w:pPr>
            <w:r w:rsidRPr="00812A66">
              <w:rPr>
                <w:b/>
              </w:rPr>
              <w:t>Other options</w:t>
            </w:r>
          </w:p>
          <w:p w:rsidR="002874B9" w:rsidRDefault="002874B9" w:rsidP="002F555E">
            <w:pPr>
              <w:pStyle w:val="Blueboxnumbered"/>
              <w:spacing w:before="120"/>
            </w:pPr>
            <w:r w:rsidRPr="00F53BDD">
              <w:t>What other types of regulator could the Government consider appointing?</w:t>
            </w:r>
          </w:p>
          <w:p w:rsidR="00C04B1A" w:rsidRPr="00F53BDD" w:rsidRDefault="00C04B1A" w:rsidP="00B529A4">
            <w:pPr>
              <w:pStyle w:val="Blueboxheading"/>
              <w:keepNext w:val="0"/>
              <w:spacing w:before="120"/>
            </w:pPr>
            <w:r w:rsidRPr="00C04B1A">
              <w:t>Risk coverage analysis</w:t>
            </w:r>
          </w:p>
          <w:p w:rsidR="00C04B1A" w:rsidRDefault="002874B9" w:rsidP="00A24AE0">
            <w:pPr>
              <w:pStyle w:val="Blueboxnumbered"/>
              <w:spacing w:before="60"/>
            </w:pPr>
            <w:r w:rsidRPr="00F53BDD">
              <w:t>Do you agree with the Government</w:t>
            </w:r>
            <w:r w:rsidR="00C04B1A">
              <w:t>’s approach to assessing</w:t>
            </w:r>
            <w:r w:rsidRPr="00F53BDD">
              <w:t xml:space="preserve"> </w:t>
            </w:r>
            <w:r w:rsidR="00C04B1A">
              <w:t xml:space="preserve">risk </w:t>
            </w:r>
            <w:r w:rsidRPr="00F53BDD">
              <w:t>coverage</w:t>
            </w:r>
            <w:r w:rsidR="005D0D4B">
              <w:t xml:space="preserve"> </w:t>
            </w:r>
            <w:r w:rsidR="00C04B1A">
              <w:t>analysis</w:t>
            </w:r>
            <w:r w:rsidRPr="00F53BDD">
              <w:t xml:space="preserve">? If not, please provide your </w:t>
            </w:r>
            <w:r w:rsidR="00C04B1A">
              <w:t>assessment of the risks</w:t>
            </w:r>
            <w:r w:rsidRPr="00F53BDD">
              <w:t>.</w:t>
            </w:r>
          </w:p>
          <w:p w:rsidR="002874B9" w:rsidRPr="00F53BDD" w:rsidRDefault="00C04B1A" w:rsidP="00C04B1A">
            <w:pPr>
              <w:pStyle w:val="Blueboxheading"/>
              <w:spacing w:before="120"/>
            </w:pPr>
            <w:r>
              <w:t>Impact analysis</w:t>
            </w:r>
            <w:r w:rsidR="002874B9" w:rsidRPr="00F53BDD">
              <w:t xml:space="preserve"> </w:t>
            </w:r>
          </w:p>
          <w:p w:rsidR="002874B9" w:rsidRDefault="002874B9" w:rsidP="002F555E">
            <w:pPr>
              <w:pStyle w:val="Blueboxnumbered"/>
              <w:spacing w:before="120"/>
            </w:pPr>
            <w:r w:rsidRPr="00F53BDD">
              <w:t>Do you agree with the Government</w:t>
            </w:r>
            <w:r w:rsidR="00C04B1A">
              <w:t>’s approach to assessing impact analysis</w:t>
            </w:r>
            <w:r w:rsidRPr="00F53BDD">
              <w:t xml:space="preserve">? If not, please provide your </w:t>
            </w:r>
            <w:r w:rsidR="00C04B1A">
              <w:t>assessment of the impact</w:t>
            </w:r>
            <w:r w:rsidRPr="00F53BDD">
              <w:t>.</w:t>
            </w:r>
          </w:p>
          <w:p w:rsidR="007D7353" w:rsidRPr="00F53BDD" w:rsidRDefault="007D7353" w:rsidP="00B529A4">
            <w:pPr>
              <w:pStyle w:val="Blueboxheading"/>
              <w:keepNext w:val="0"/>
              <w:spacing w:before="120"/>
            </w:pPr>
            <w:r>
              <w:t>Other options</w:t>
            </w:r>
          </w:p>
          <w:p w:rsidR="002874B9" w:rsidRPr="00F53BDD" w:rsidRDefault="002874B9" w:rsidP="002F555E">
            <w:pPr>
              <w:pStyle w:val="Blueboxnumbered"/>
              <w:spacing w:before="120"/>
            </w:pPr>
            <w:r w:rsidRPr="00F53BDD">
              <w:t>What, other factors, if any, should the Government consider</w:t>
            </w:r>
            <w:r w:rsidR="007D7353">
              <w:t xml:space="preserve"> in it’s decision-making</w:t>
            </w:r>
            <w:r w:rsidRPr="00F53BDD">
              <w:t xml:space="preserve">? </w:t>
            </w:r>
          </w:p>
          <w:p w:rsidR="002874B9" w:rsidRDefault="002874B9" w:rsidP="002F555E">
            <w:pPr>
              <w:pStyle w:val="Blueboxnumbered"/>
            </w:pPr>
            <w:r w:rsidRPr="00F53BDD">
              <w:t>What impact do you see these proposals having on iwi or Māori in particular?</w:t>
            </w:r>
          </w:p>
          <w:p w:rsidR="00FB05B5" w:rsidRPr="00812A66" w:rsidRDefault="00FB05B5" w:rsidP="00B529A4">
            <w:pPr>
              <w:pStyle w:val="Blueboxheading"/>
              <w:keepNext w:val="0"/>
              <w:spacing w:before="120"/>
            </w:pPr>
            <w:r w:rsidRPr="00812A66">
              <w:t xml:space="preserve">The low-regulatory scenario </w:t>
            </w:r>
          </w:p>
          <w:p w:rsidR="002874B9" w:rsidRPr="00F53BDD" w:rsidRDefault="002874B9" w:rsidP="002F555E">
            <w:pPr>
              <w:pStyle w:val="Blueboxnumbered"/>
              <w:spacing w:before="120"/>
            </w:pPr>
            <w:r w:rsidRPr="00F53BDD">
              <w:t xml:space="preserve">To what extent would the </w:t>
            </w:r>
            <w:r w:rsidR="00FB05B5">
              <w:t>low</w:t>
            </w:r>
            <w:r w:rsidRPr="00F53BDD">
              <w:t xml:space="preserve">-regulatory scenario address the </w:t>
            </w:r>
            <w:r w:rsidR="008C00BF">
              <w:t xml:space="preserve">market </w:t>
            </w:r>
            <w:r w:rsidRPr="00F53BDD">
              <w:t>governance risks?</w:t>
            </w:r>
          </w:p>
          <w:p w:rsidR="002874B9" w:rsidRPr="00F53BDD" w:rsidRDefault="002874B9" w:rsidP="00392FAA">
            <w:pPr>
              <w:pStyle w:val="Blueboxnumbered"/>
              <w:spacing w:after="240"/>
            </w:pPr>
            <w:r w:rsidRPr="00F53BDD">
              <w:t>What other non-regulatory options could be considered in this scenario?</w:t>
            </w:r>
          </w:p>
        </w:tc>
      </w:tr>
      <w:tr w:rsidR="003E07B1" w:rsidRPr="00F53BDD" w:rsidTr="002874B9">
        <w:tc>
          <w:tcPr>
            <w:tcW w:w="0" w:type="auto"/>
            <w:shd w:val="clear" w:color="auto" w:fill="D2DDE2"/>
          </w:tcPr>
          <w:p w:rsidR="003E07B1" w:rsidRPr="00812A66" w:rsidRDefault="003E07B1" w:rsidP="00392FAA">
            <w:pPr>
              <w:pStyle w:val="Blueboxheading"/>
              <w:spacing w:before="160"/>
            </w:pPr>
            <w:r w:rsidRPr="00703CD1">
              <w:t xml:space="preserve">The </w:t>
            </w:r>
            <w:r>
              <w:t>balanced</w:t>
            </w:r>
            <w:r w:rsidRPr="00703CD1">
              <w:t xml:space="preserve"> scenario</w:t>
            </w:r>
          </w:p>
          <w:p w:rsidR="003E07B1" w:rsidRPr="00F53BDD" w:rsidRDefault="003E07B1" w:rsidP="002F555E">
            <w:pPr>
              <w:pStyle w:val="Blueboxnumbered"/>
              <w:keepNext/>
              <w:spacing w:before="120"/>
            </w:pPr>
            <w:r w:rsidRPr="00F53BDD">
              <w:t xml:space="preserve">To what extent would the balanced scenario address the </w:t>
            </w:r>
            <w:r>
              <w:t xml:space="preserve">market </w:t>
            </w:r>
            <w:r w:rsidRPr="00F53BDD">
              <w:t>governance risks?</w:t>
            </w:r>
          </w:p>
          <w:p w:rsidR="003E07B1" w:rsidRDefault="003E07B1" w:rsidP="002F555E">
            <w:pPr>
              <w:pStyle w:val="Blueboxnumbered"/>
            </w:pPr>
            <w:r w:rsidRPr="00F53BDD">
              <w:t>What other options could be considered in this scenario?</w:t>
            </w:r>
          </w:p>
          <w:p w:rsidR="003E07B1" w:rsidRPr="00812A66" w:rsidRDefault="003E07B1" w:rsidP="003E07B1">
            <w:pPr>
              <w:pStyle w:val="Blueboxheading"/>
              <w:spacing w:before="120"/>
            </w:pPr>
            <w:r w:rsidRPr="00812A66">
              <w:t xml:space="preserve">The risk mitigation scenario </w:t>
            </w:r>
          </w:p>
          <w:p w:rsidR="003E07B1" w:rsidRPr="00F53BDD" w:rsidRDefault="003E07B1" w:rsidP="002F555E">
            <w:pPr>
              <w:pStyle w:val="Blueboxnumbered"/>
              <w:spacing w:before="120"/>
            </w:pPr>
            <w:r w:rsidRPr="00F53BDD">
              <w:t xml:space="preserve">To what extent would the risk mitigation scenario address the </w:t>
            </w:r>
            <w:r>
              <w:t xml:space="preserve">market </w:t>
            </w:r>
            <w:r w:rsidRPr="00F53BDD">
              <w:t>governance risks?</w:t>
            </w:r>
          </w:p>
          <w:p w:rsidR="003E07B1" w:rsidRPr="00F53BDD" w:rsidRDefault="003E07B1" w:rsidP="002F555E">
            <w:pPr>
              <w:pStyle w:val="Blueboxnumbered"/>
            </w:pPr>
            <w:r w:rsidRPr="00F53BDD">
              <w:t>What other options could be considered in this scenario?</w:t>
            </w:r>
          </w:p>
          <w:p w:rsidR="003E07B1" w:rsidRPr="00F53BDD" w:rsidRDefault="003E07B1" w:rsidP="002F555E">
            <w:pPr>
              <w:pStyle w:val="Blueboxnumbered"/>
              <w:spacing w:after="240"/>
            </w:pPr>
            <w:r w:rsidRPr="00F53BDD">
              <w:t xml:space="preserve">What other combination of options or scenarios could address the </w:t>
            </w:r>
            <w:r>
              <w:t xml:space="preserve">market </w:t>
            </w:r>
            <w:r w:rsidRPr="00F53BDD">
              <w:t>governance risks?</w:t>
            </w:r>
          </w:p>
        </w:tc>
      </w:tr>
    </w:tbl>
    <w:p w:rsidR="002874B9" w:rsidRPr="00F53BDD" w:rsidRDefault="002874B9" w:rsidP="007823D6">
      <w:pPr>
        <w:pStyle w:val="BodyText"/>
      </w:pPr>
    </w:p>
    <w:p w:rsidR="00AD5C0A" w:rsidRPr="00B529A4" w:rsidRDefault="00AD5C0A" w:rsidP="00B529A4">
      <w:pPr>
        <w:pStyle w:val="BodyText"/>
      </w:pPr>
      <w:bookmarkStart w:id="110" w:name="_Toc75250099"/>
      <w:r w:rsidRPr="00B529A4">
        <w:br w:type="page"/>
      </w:r>
    </w:p>
    <w:p w:rsidR="00D2765D" w:rsidRPr="00F53BDD" w:rsidRDefault="00D2765D" w:rsidP="00D2765D">
      <w:pPr>
        <w:pStyle w:val="Heading1"/>
      </w:pPr>
      <w:r w:rsidRPr="00F53BDD">
        <w:t>References</w:t>
      </w:r>
      <w:bookmarkEnd w:id="110"/>
    </w:p>
    <w:bookmarkEnd w:id="109"/>
    <w:p w:rsidR="00923E19" w:rsidRPr="00F53BDD" w:rsidRDefault="00923E19" w:rsidP="00923E19">
      <w:pPr>
        <w:pStyle w:val="References"/>
        <w:rPr>
          <w:rFonts w:eastAsiaTheme="minorHAnsi"/>
          <w:lang w:eastAsia="en-US"/>
        </w:rPr>
      </w:pPr>
      <w:r w:rsidRPr="00F53BDD">
        <w:rPr>
          <w:rFonts w:eastAsiaTheme="minorHAnsi"/>
          <w:lang w:eastAsia="en-US"/>
        </w:rPr>
        <w:t xml:space="preserve">Business NZ. 2006. </w:t>
      </w:r>
      <w:r w:rsidRPr="00F53BDD">
        <w:rPr>
          <w:rFonts w:eastAsiaTheme="minorHAnsi"/>
          <w:i/>
          <w:iCs/>
          <w:lang w:eastAsia="en-US"/>
        </w:rPr>
        <w:t>Regulation Perspectives</w:t>
      </w:r>
      <w:r w:rsidRPr="00F53BDD">
        <w:rPr>
          <w:rFonts w:eastAsiaTheme="minorHAnsi"/>
          <w:lang w:eastAsia="en-US"/>
        </w:rPr>
        <w:t>. Wellington: Business NZ.</w:t>
      </w:r>
    </w:p>
    <w:p w:rsidR="00923E19" w:rsidRPr="00F53BDD" w:rsidRDefault="00923E19" w:rsidP="00923E19">
      <w:pPr>
        <w:pStyle w:val="References"/>
        <w:rPr>
          <w:rFonts w:eastAsiaTheme="minorHAnsi"/>
          <w:lang w:eastAsia="en-US"/>
        </w:rPr>
      </w:pPr>
      <w:r w:rsidRPr="00F53BDD">
        <w:rPr>
          <w:rFonts w:eastAsiaTheme="minorHAnsi"/>
          <w:lang w:eastAsia="en-US"/>
        </w:rPr>
        <w:t xml:space="preserve">Cabinet. 2019. </w:t>
      </w:r>
      <w:r w:rsidRPr="00F53BDD">
        <w:rPr>
          <w:rFonts w:eastAsiaTheme="minorHAnsi"/>
          <w:i/>
          <w:iCs/>
          <w:lang w:eastAsia="en-US"/>
        </w:rPr>
        <w:t>A government position on international carbon markets</w:t>
      </w:r>
      <w:r w:rsidRPr="00F53BDD">
        <w:rPr>
          <w:rFonts w:eastAsiaTheme="minorHAnsi"/>
          <w:lang w:eastAsia="en-US"/>
        </w:rPr>
        <w:t>. Wellington: Cabinet Envir</w:t>
      </w:r>
      <w:r w:rsidR="00AA3D9E">
        <w:rPr>
          <w:rFonts w:eastAsiaTheme="minorHAnsi"/>
          <w:lang w:eastAsia="en-US"/>
        </w:rPr>
        <w:t>o</w:t>
      </w:r>
      <w:r w:rsidRPr="00F53BDD">
        <w:rPr>
          <w:rFonts w:eastAsiaTheme="minorHAnsi"/>
          <w:lang w:eastAsia="en-US"/>
        </w:rPr>
        <w:t>nment, Energy and Climate Committee.</w:t>
      </w:r>
    </w:p>
    <w:p w:rsidR="00923E19" w:rsidRPr="00F53BDD" w:rsidRDefault="00923E19" w:rsidP="00923E19">
      <w:pPr>
        <w:pStyle w:val="References"/>
        <w:rPr>
          <w:rFonts w:eastAsiaTheme="minorHAnsi"/>
          <w:lang w:eastAsia="en-US"/>
        </w:rPr>
      </w:pPr>
      <w:r w:rsidRPr="00F53BDD">
        <w:rPr>
          <w:rFonts w:eastAsiaTheme="minorHAnsi"/>
          <w:lang w:eastAsia="en-US"/>
        </w:rPr>
        <w:t xml:space="preserve">Center for Climate and Energy Solutions. 2016. </w:t>
      </w:r>
      <w:r w:rsidRPr="00F53BDD">
        <w:rPr>
          <w:rFonts w:eastAsiaTheme="minorHAnsi"/>
          <w:i/>
          <w:iCs/>
          <w:lang w:eastAsia="en-US"/>
        </w:rPr>
        <w:t>Secondary Carbon Markets</w:t>
      </w:r>
      <w:r w:rsidRPr="00F53BDD">
        <w:rPr>
          <w:rFonts w:eastAsiaTheme="minorHAnsi"/>
          <w:lang w:eastAsia="en-US"/>
        </w:rPr>
        <w:t>. Arlington: Center for Climate and Energy Solutions.</w:t>
      </w:r>
    </w:p>
    <w:p w:rsidR="00923E19" w:rsidRPr="00F53BDD" w:rsidRDefault="00923E19" w:rsidP="00923E19">
      <w:pPr>
        <w:pStyle w:val="References"/>
        <w:rPr>
          <w:rFonts w:eastAsiaTheme="minorHAnsi"/>
          <w:lang w:eastAsia="en-US"/>
        </w:rPr>
      </w:pPr>
      <w:r w:rsidRPr="00F53BDD">
        <w:rPr>
          <w:rFonts w:eastAsiaTheme="minorHAnsi"/>
          <w:lang w:eastAsia="en-US"/>
        </w:rPr>
        <w:t xml:space="preserve">Curtis Williams, Clifford. 2013. A burning desire: The need for anti-money laundering regulations in carbon emissions trading schemes to combat emerging criminal typologies. </w:t>
      </w:r>
      <w:r w:rsidRPr="00F53BDD">
        <w:rPr>
          <w:rFonts w:eastAsiaTheme="minorHAnsi"/>
          <w:i/>
          <w:iCs/>
          <w:lang w:eastAsia="en-US"/>
        </w:rPr>
        <w:t>Journal of Money Laundering Control</w:t>
      </w:r>
      <w:r w:rsidRPr="00F53BDD">
        <w:rPr>
          <w:rFonts w:eastAsiaTheme="minorHAnsi"/>
          <w:lang w:eastAsia="en-US"/>
        </w:rPr>
        <w:t xml:space="preserve"> 16(4): 298–320.</w:t>
      </w:r>
    </w:p>
    <w:p w:rsidR="00923E19" w:rsidRPr="00F53BDD" w:rsidRDefault="00923E19" w:rsidP="00923E19">
      <w:pPr>
        <w:pStyle w:val="References"/>
        <w:rPr>
          <w:rFonts w:eastAsiaTheme="minorHAnsi"/>
          <w:lang w:eastAsia="en-US"/>
        </w:rPr>
      </w:pPr>
      <w:r w:rsidRPr="00F53BDD">
        <w:rPr>
          <w:rFonts w:eastAsiaTheme="minorHAnsi"/>
          <w:lang w:eastAsia="en-US"/>
        </w:rPr>
        <w:t xml:space="preserve">EUobserver. 2015. </w:t>
      </w:r>
      <w:r w:rsidRPr="00F53BDD">
        <w:rPr>
          <w:rFonts w:eastAsiaTheme="minorHAnsi"/>
          <w:i/>
          <w:iCs/>
          <w:lang w:eastAsia="en-US"/>
        </w:rPr>
        <w:t>EU carbon credit system still ‘at risk of VAT fraud’</w:t>
      </w:r>
      <w:r w:rsidRPr="00F53BDD">
        <w:rPr>
          <w:rFonts w:eastAsiaTheme="minorHAnsi"/>
          <w:lang w:eastAsia="en-US"/>
        </w:rPr>
        <w:t>. 02 July. Accessed May 10, 2021. https://euobserver.com/economic/129433.</w:t>
      </w:r>
    </w:p>
    <w:p w:rsidR="00923E19" w:rsidRPr="00F53BDD" w:rsidRDefault="00923E19" w:rsidP="00923E19">
      <w:pPr>
        <w:pStyle w:val="References"/>
        <w:rPr>
          <w:rFonts w:eastAsiaTheme="minorHAnsi"/>
          <w:lang w:eastAsia="en-US"/>
        </w:rPr>
      </w:pPr>
      <w:r w:rsidRPr="00F53BDD">
        <w:rPr>
          <w:rFonts w:eastAsiaTheme="minorHAnsi"/>
          <w:lang w:eastAsia="en-US"/>
        </w:rPr>
        <w:t xml:space="preserve">European Commission. 2021. </w:t>
      </w:r>
      <w:r w:rsidRPr="00F53BDD">
        <w:rPr>
          <w:rFonts w:eastAsiaTheme="minorHAnsi"/>
          <w:i/>
          <w:iCs/>
          <w:lang w:eastAsia="en-US"/>
        </w:rPr>
        <w:t>Ensuring the integrity of the European carbon market</w:t>
      </w:r>
      <w:r w:rsidRPr="00F53BDD">
        <w:rPr>
          <w:rFonts w:eastAsiaTheme="minorHAnsi"/>
          <w:lang w:eastAsia="en-US"/>
        </w:rPr>
        <w:t>. Accessed May 10, 2021. https://ec.europa.eu/clima/policies/ets/oversight_en.</w:t>
      </w:r>
    </w:p>
    <w:p w:rsidR="00923E19" w:rsidRPr="00F53BDD" w:rsidRDefault="00923E19" w:rsidP="00923E19">
      <w:pPr>
        <w:pStyle w:val="References"/>
        <w:rPr>
          <w:rFonts w:eastAsiaTheme="minorHAnsi"/>
          <w:lang w:eastAsia="en-US"/>
        </w:rPr>
      </w:pPr>
      <w:r w:rsidRPr="00F53BDD">
        <w:rPr>
          <w:rFonts w:eastAsiaTheme="minorHAnsi"/>
          <w:lang w:eastAsia="en-US"/>
        </w:rPr>
        <w:t xml:space="preserve">Europol. 2010. </w:t>
      </w:r>
      <w:r w:rsidRPr="00F53BDD">
        <w:rPr>
          <w:rFonts w:eastAsiaTheme="minorHAnsi"/>
          <w:i/>
          <w:iCs/>
          <w:lang w:eastAsia="en-US"/>
        </w:rPr>
        <w:t>Further investigations into VAT fraud linked to the carbon emissions trading system</w:t>
      </w:r>
      <w:r w:rsidRPr="00F53BDD">
        <w:rPr>
          <w:rFonts w:eastAsiaTheme="minorHAnsi"/>
          <w:lang w:eastAsia="en-US"/>
        </w:rPr>
        <w:t>. 28 December. Accessed May 03, 2021. https://www.europol.europa.eu/newsroom/news/further-investigations-vat-fraud-linked-to-carbon-emissions-trading-system.</w:t>
      </w:r>
    </w:p>
    <w:p w:rsidR="00923E19" w:rsidRPr="00F53BDD" w:rsidRDefault="00923E19" w:rsidP="00923E19">
      <w:pPr>
        <w:pStyle w:val="References"/>
        <w:rPr>
          <w:rFonts w:eastAsiaTheme="minorHAnsi"/>
          <w:lang w:eastAsia="en-US"/>
        </w:rPr>
      </w:pPr>
      <w:r w:rsidRPr="00F53BDD">
        <w:rPr>
          <w:rFonts w:eastAsiaTheme="minorHAnsi"/>
          <w:lang w:eastAsia="en-US"/>
        </w:rPr>
        <w:t xml:space="preserve">Leining, Catherine, and Suzi Kerr. 2018. </w:t>
      </w:r>
      <w:r w:rsidRPr="00F53BDD">
        <w:rPr>
          <w:rFonts w:eastAsiaTheme="minorHAnsi"/>
          <w:i/>
          <w:iCs/>
          <w:lang w:eastAsia="en-US"/>
        </w:rPr>
        <w:t>A guide to the New Zealand Emissions Trading Scheme</w:t>
      </w:r>
      <w:r w:rsidRPr="00F53BDD">
        <w:rPr>
          <w:rFonts w:eastAsiaTheme="minorHAnsi"/>
          <w:lang w:eastAsia="en-US"/>
        </w:rPr>
        <w:t>. Wellington: Motu.</w:t>
      </w:r>
    </w:p>
    <w:p w:rsidR="00923E19" w:rsidRPr="00F53BDD" w:rsidRDefault="00923E19" w:rsidP="00923E19">
      <w:pPr>
        <w:pStyle w:val="References"/>
        <w:rPr>
          <w:rFonts w:eastAsiaTheme="minorHAnsi"/>
          <w:lang w:eastAsia="en-US"/>
        </w:rPr>
      </w:pPr>
      <w:r w:rsidRPr="00F53BDD">
        <w:rPr>
          <w:rFonts w:eastAsiaTheme="minorHAnsi"/>
          <w:lang w:eastAsia="en-US"/>
        </w:rPr>
        <w:t xml:space="preserve">Ministry for the Environment. 2018. </w:t>
      </w:r>
      <w:r w:rsidRPr="00F53BDD">
        <w:rPr>
          <w:rFonts w:eastAsiaTheme="minorHAnsi"/>
          <w:i/>
          <w:iCs/>
          <w:lang w:eastAsia="en-US"/>
        </w:rPr>
        <w:t>Improvements to the New Zealand Emissions Trading Scheme</w:t>
      </w:r>
      <w:r w:rsidRPr="00F53BDD">
        <w:rPr>
          <w:rFonts w:eastAsiaTheme="minorHAnsi"/>
          <w:lang w:eastAsia="en-US"/>
        </w:rPr>
        <w:t>. Wellington: Ministry for the Environment.</w:t>
      </w:r>
    </w:p>
    <w:p w:rsidR="00923E19" w:rsidRPr="00F53BDD" w:rsidRDefault="00923E19" w:rsidP="00923E19">
      <w:pPr>
        <w:pStyle w:val="References"/>
        <w:rPr>
          <w:rFonts w:eastAsiaTheme="minorHAnsi"/>
          <w:lang w:eastAsia="en-US"/>
        </w:rPr>
      </w:pPr>
      <w:r w:rsidRPr="00F53BDD">
        <w:rPr>
          <w:rFonts w:eastAsiaTheme="minorHAnsi"/>
          <w:lang w:eastAsia="en-US"/>
        </w:rPr>
        <w:t xml:space="preserve">Ministry for the Environment. 2019. </w:t>
      </w:r>
      <w:r w:rsidRPr="00F53BDD">
        <w:rPr>
          <w:rFonts w:eastAsiaTheme="minorHAnsi"/>
          <w:i/>
          <w:iCs/>
          <w:lang w:eastAsia="en-US"/>
        </w:rPr>
        <w:t>Improvements to the New Zealand Emissions Trading Scheme: Summary of Consultation Responses</w:t>
      </w:r>
      <w:r w:rsidRPr="00F53BDD">
        <w:rPr>
          <w:rFonts w:eastAsiaTheme="minorHAnsi"/>
          <w:lang w:eastAsia="en-US"/>
        </w:rPr>
        <w:t>. Wellington: Ministry for the Environment.</w:t>
      </w:r>
    </w:p>
    <w:p w:rsidR="00923E19" w:rsidRPr="00F53BDD" w:rsidRDefault="00923E19" w:rsidP="00923E19">
      <w:pPr>
        <w:pStyle w:val="References"/>
        <w:rPr>
          <w:rFonts w:eastAsiaTheme="minorHAnsi"/>
          <w:lang w:eastAsia="en-US"/>
        </w:rPr>
      </w:pPr>
      <w:r w:rsidRPr="00F53BDD">
        <w:rPr>
          <w:rFonts w:eastAsiaTheme="minorHAnsi"/>
          <w:lang w:eastAsia="en-US"/>
        </w:rPr>
        <w:t xml:space="preserve">New Zealand Productivity Commission. 2018. </w:t>
      </w:r>
      <w:r w:rsidRPr="00F53BDD">
        <w:rPr>
          <w:rFonts w:eastAsiaTheme="minorHAnsi"/>
          <w:i/>
          <w:iCs/>
          <w:lang w:eastAsia="en-US"/>
        </w:rPr>
        <w:t>Low-emissions economy: Final Report</w:t>
      </w:r>
      <w:r w:rsidRPr="00F53BDD">
        <w:rPr>
          <w:rFonts w:eastAsiaTheme="minorHAnsi"/>
          <w:lang w:eastAsia="en-US"/>
        </w:rPr>
        <w:t>. Wellington: Te</w:t>
      </w:r>
      <w:r w:rsidR="002F14FF" w:rsidRPr="00F53BDD">
        <w:rPr>
          <w:rFonts w:eastAsiaTheme="minorHAnsi"/>
          <w:lang w:eastAsia="en-US"/>
        </w:rPr>
        <w:t> </w:t>
      </w:r>
      <w:r w:rsidRPr="00F53BDD">
        <w:rPr>
          <w:rFonts w:eastAsiaTheme="minorHAnsi"/>
          <w:lang w:eastAsia="en-US"/>
        </w:rPr>
        <w:t>Kōmihana Whai Hua o Aotearoa.</w:t>
      </w:r>
    </w:p>
    <w:p w:rsidR="00923E19" w:rsidRPr="00F53BDD" w:rsidRDefault="00923E19" w:rsidP="00923E19">
      <w:pPr>
        <w:pStyle w:val="References"/>
        <w:rPr>
          <w:rFonts w:eastAsiaTheme="minorHAnsi"/>
          <w:lang w:eastAsia="en-US"/>
        </w:rPr>
      </w:pPr>
      <w:r w:rsidRPr="00F53BDD">
        <w:rPr>
          <w:rFonts w:eastAsiaTheme="minorHAnsi"/>
          <w:lang w:eastAsia="en-US"/>
        </w:rPr>
        <w:t xml:space="preserve">Nield, Katherine, and Ricardo Pereira. 2011. Fraud on the European Union Emissions Trading Scheme: Effects. Vulnerabilities and Regulatory Reform. </w:t>
      </w:r>
      <w:r w:rsidRPr="00F53BDD">
        <w:rPr>
          <w:rFonts w:eastAsiaTheme="minorHAnsi"/>
          <w:i/>
          <w:iCs/>
          <w:lang w:eastAsia="en-US"/>
        </w:rPr>
        <w:t>European Energy and Environmental Law Review</w:t>
      </w:r>
      <w:r w:rsidRPr="00F53BDD">
        <w:rPr>
          <w:rFonts w:eastAsiaTheme="minorHAnsi"/>
          <w:lang w:eastAsia="en-US"/>
        </w:rPr>
        <w:t xml:space="preserve"> 20(6)</w:t>
      </w:r>
      <w:r w:rsidR="00B12D0E" w:rsidRPr="00F53BDD">
        <w:rPr>
          <w:rFonts w:eastAsiaTheme="minorHAnsi"/>
          <w:lang w:eastAsia="en-US"/>
        </w:rPr>
        <w:t>:</w:t>
      </w:r>
      <w:r w:rsidRPr="00F53BDD">
        <w:rPr>
          <w:rFonts w:eastAsiaTheme="minorHAnsi"/>
          <w:lang w:eastAsia="en-US"/>
        </w:rPr>
        <w:t xml:space="preserve"> 255</w:t>
      </w:r>
      <w:r w:rsidR="00B12D0E" w:rsidRPr="00F53BDD">
        <w:rPr>
          <w:rFonts w:eastAsiaTheme="minorHAnsi"/>
          <w:lang w:eastAsia="en-US"/>
        </w:rPr>
        <w:t>–</w:t>
      </w:r>
      <w:r w:rsidRPr="00F53BDD">
        <w:rPr>
          <w:rFonts w:eastAsiaTheme="minorHAnsi"/>
          <w:lang w:eastAsia="en-US"/>
        </w:rPr>
        <w:t>289.</w:t>
      </w:r>
    </w:p>
    <w:p w:rsidR="00923E19" w:rsidRPr="00F53BDD" w:rsidRDefault="00923E19" w:rsidP="00923E19">
      <w:pPr>
        <w:pStyle w:val="References"/>
        <w:rPr>
          <w:rFonts w:eastAsiaTheme="minorHAnsi"/>
          <w:lang w:eastAsia="en-US"/>
        </w:rPr>
      </w:pPr>
      <w:r w:rsidRPr="00F53BDD">
        <w:rPr>
          <w:rFonts w:eastAsiaTheme="minorHAnsi"/>
          <w:lang w:eastAsia="en-US"/>
        </w:rPr>
        <w:t xml:space="preserve">Office of the Minister for Climate Change. 2019. </w:t>
      </w:r>
      <w:r w:rsidRPr="00F53BDD">
        <w:rPr>
          <w:rFonts w:eastAsiaTheme="minorHAnsi"/>
          <w:i/>
          <w:iCs/>
          <w:lang w:eastAsia="en-US"/>
        </w:rPr>
        <w:t>Amendments to the Climate Change Response Act 2002: tranche one</w:t>
      </w:r>
      <w:r w:rsidRPr="00F53BDD">
        <w:rPr>
          <w:rFonts w:eastAsiaTheme="minorHAnsi"/>
          <w:lang w:eastAsia="en-US"/>
        </w:rPr>
        <w:t>. Wellington: Office of the Minister for Climate Change.</w:t>
      </w:r>
    </w:p>
    <w:p w:rsidR="00923E19" w:rsidRPr="00F53BDD" w:rsidRDefault="00923E19" w:rsidP="00923E19">
      <w:pPr>
        <w:pStyle w:val="References"/>
        <w:rPr>
          <w:rFonts w:eastAsiaTheme="minorHAnsi"/>
          <w:lang w:eastAsia="en-US"/>
        </w:rPr>
      </w:pPr>
      <w:r w:rsidRPr="00F53BDD">
        <w:rPr>
          <w:rFonts w:eastAsiaTheme="minorHAnsi"/>
          <w:lang w:eastAsia="en-US"/>
        </w:rPr>
        <w:t xml:space="preserve">Office of the Minister for Climate Change. 2019. </w:t>
      </w:r>
      <w:r w:rsidRPr="00F53BDD">
        <w:rPr>
          <w:rFonts w:eastAsiaTheme="minorHAnsi"/>
          <w:i/>
          <w:iCs/>
          <w:lang w:eastAsia="en-US"/>
        </w:rPr>
        <w:t>Amendments to the Climate Change Response Act 2002: tranche two</w:t>
      </w:r>
      <w:r w:rsidRPr="00F53BDD">
        <w:rPr>
          <w:rFonts w:eastAsiaTheme="minorHAnsi"/>
          <w:lang w:eastAsia="en-US"/>
        </w:rPr>
        <w:t>. Wellington: Office of the Minister for Climate Change.</w:t>
      </w:r>
    </w:p>
    <w:p w:rsidR="00923E19" w:rsidRPr="00F53BDD" w:rsidRDefault="00923E19" w:rsidP="00923E19">
      <w:pPr>
        <w:pStyle w:val="References"/>
        <w:rPr>
          <w:rFonts w:eastAsiaTheme="minorHAnsi"/>
          <w:lang w:eastAsia="en-US"/>
        </w:rPr>
      </w:pPr>
      <w:r w:rsidRPr="00F53BDD">
        <w:rPr>
          <w:rFonts w:eastAsiaTheme="minorHAnsi"/>
          <w:lang w:eastAsia="en-US"/>
        </w:rPr>
        <w:t xml:space="preserve">Prag, Andrew, Gregory Briner, and Christina Hood. 2012. </w:t>
      </w:r>
      <w:r w:rsidRPr="00F53BDD">
        <w:rPr>
          <w:rFonts w:eastAsiaTheme="minorHAnsi"/>
          <w:i/>
          <w:iCs/>
          <w:lang w:eastAsia="en-US"/>
        </w:rPr>
        <w:t>Making Markets: Unpacking Design and Governance of Carbon Market Mechanisms</w:t>
      </w:r>
      <w:r w:rsidRPr="00F53BDD">
        <w:rPr>
          <w:rFonts w:eastAsiaTheme="minorHAnsi"/>
          <w:lang w:eastAsia="en-US"/>
        </w:rPr>
        <w:t>. Paris: OECD/IEA Climate Change Expert Group Papers, No.</w:t>
      </w:r>
      <w:r w:rsidR="006116E6" w:rsidRPr="00F53BDD">
        <w:rPr>
          <w:rFonts w:eastAsiaTheme="minorHAnsi"/>
          <w:lang w:eastAsia="en-US"/>
        </w:rPr>
        <w:t> </w:t>
      </w:r>
      <w:r w:rsidRPr="00F53BDD">
        <w:rPr>
          <w:rFonts w:eastAsiaTheme="minorHAnsi"/>
          <w:lang w:eastAsia="en-US"/>
        </w:rPr>
        <w:t>2012/03, OECD Publishing.</w:t>
      </w:r>
    </w:p>
    <w:p w:rsidR="00923E19" w:rsidRPr="00F53BDD" w:rsidRDefault="00923E19" w:rsidP="00923E19">
      <w:pPr>
        <w:pStyle w:val="References"/>
        <w:rPr>
          <w:rFonts w:eastAsiaTheme="minorHAnsi"/>
          <w:lang w:eastAsia="en-US"/>
        </w:rPr>
      </w:pPr>
      <w:r w:rsidRPr="00F53BDD">
        <w:rPr>
          <w:rFonts w:eastAsiaTheme="minorHAnsi"/>
          <w:lang w:eastAsia="en-US"/>
        </w:rPr>
        <w:t xml:space="preserve">WCI Inc. 2021. </w:t>
      </w:r>
      <w:r w:rsidRPr="00F53BDD">
        <w:rPr>
          <w:rFonts w:eastAsiaTheme="minorHAnsi"/>
          <w:i/>
          <w:iCs/>
          <w:lang w:eastAsia="en-US"/>
        </w:rPr>
        <w:t>Program Design and Implementation</w:t>
      </w:r>
      <w:r w:rsidRPr="00F53BDD">
        <w:rPr>
          <w:rFonts w:eastAsiaTheme="minorHAnsi"/>
          <w:lang w:eastAsia="en-US"/>
        </w:rPr>
        <w:t>. Accessed May 17, 2021. https://wci-inc.org/our-work/program-design-and-implementation.</w:t>
      </w:r>
    </w:p>
    <w:p w:rsidR="00A918FF" w:rsidRPr="00F53BDD" w:rsidRDefault="00A918FF" w:rsidP="00923E19">
      <w:pPr>
        <w:pStyle w:val="References"/>
      </w:pPr>
    </w:p>
    <w:p w:rsidR="00BB4034" w:rsidRPr="00F53BDD" w:rsidRDefault="00BB4034" w:rsidP="00BB4034">
      <w:pPr>
        <w:pStyle w:val="BodyText"/>
      </w:pPr>
      <w:r w:rsidRPr="00F53BDD">
        <w:br w:type="page"/>
      </w:r>
    </w:p>
    <w:p w:rsidR="00A37B38" w:rsidRPr="00F53BDD" w:rsidRDefault="00A37B38" w:rsidP="00A37B38">
      <w:pPr>
        <w:pStyle w:val="Heading1"/>
      </w:pPr>
      <w:bookmarkStart w:id="111" w:name="_Appendix_A:_Case"/>
      <w:bookmarkStart w:id="112" w:name="_Toc75250100"/>
      <w:bookmarkEnd w:id="111"/>
      <w:r w:rsidRPr="00F53BDD">
        <w:t>Appendix A</w:t>
      </w:r>
      <w:r w:rsidR="0033731F" w:rsidRPr="00F53BDD">
        <w:t>:</w:t>
      </w:r>
      <w:r w:rsidRPr="00F53BDD">
        <w:t xml:space="preserve"> Case </w:t>
      </w:r>
      <w:r w:rsidR="0033731F" w:rsidRPr="00F53BDD">
        <w:t>s</w:t>
      </w:r>
      <w:r w:rsidRPr="00F53BDD">
        <w:t>tudies</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8F9" w:themeFill="accent3" w:themeFillTint="33"/>
        <w:tblLook w:val="04A0" w:firstRow="1" w:lastRow="0" w:firstColumn="1" w:lastColumn="0" w:noHBand="0" w:noVBand="1"/>
      </w:tblPr>
      <w:tblGrid>
        <w:gridCol w:w="8495"/>
      </w:tblGrid>
      <w:tr w:rsidR="00A37B38" w:rsidRPr="00F53BDD" w:rsidTr="007D52FE">
        <w:tc>
          <w:tcPr>
            <w:tcW w:w="5000" w:type="pct"/>
            <w:tcBorders>
              <w:top w:val="single" w:sz="4" w:space="0" w:color="0F7B7D"/>
              <w:left w:val="single" w:sz="4" w:space="0" w:color="0F7B7D"/>
              <w:bottom w:val="nil"/>
              <w:right w:val="single" w:sz="4" w:space="0" w:color="0F7B7D"/>
            </w:tcBorders>
            <w:shd w:val="clear" w:color="auto" w:fill="0F7B7D"/>
            <w:vAlign w:val="center"/>
          </w:tcPr>
          <w:p w:rsidR="00A37B38" w:rsidRPr="00F53BDD" w:rsidDel="00D5390D" w:rsidRDefault="00BB4034" w:rsidP="007D52FE">
            <w:pPr>
              <w:pStyle w:val="Casestudyheading"/>
            </w:pPr>
            <w:r w:rsidRPr="00F53BDD">
              <w:t>CASE STUDY – COUNTER-PARTY RISK</w:t>
            </w:r>
          </w:p>
        </w:tc>
      </w:tr>
      <w:tr w:rsidR="00A37B38" w:rsidRPr="00F53BDD" w:rsidTr="007D52FE">
        <w:tc>
          <w:tcPr>
            <w:tcW w:w="5000" w:type="pct"/>
            <w:tcBorders>
              <w:top w:val="nil"/>
              <w:left w:val="single" w:sz="4" w:space="0" w:color="CFE5E5"/>
              <w:bottom w:val="single" w:sz="4" w:space="0" w:color="CFE5E5"/>
              <w:right w:val="single" w:sz="4" w:space="0" w:color="CFE5E5"/>
            </w:tcBorders>
            <w:shd w:val="clear" w:color="auto" w:fill="CFE5E5"/>
          </w:tcPr>
          <w:p w:rsidR="00A37B38" w:rsidRPr="00F53BDD" w:rsidRDefault="00A37B38" w:rsidP="007D52FE">
            <w:pPr>
              <w:pStyle w:val="Greenheading-casestudytables"/>
            </w:pPr>
            <w:r w:rsidRPr="00F53BDD">
              <w:t>Failure to deliver carbon credits</w:t>
            </w:r>
          </w:p>
          <w:p w:rsidR="00A37B38" w:rsidRPr="00F53BDD" w:rsidRDefault="00A37B38" w:rsidP="00E90496">
            <w:pPr>
              <w:pStyle w:val="Greentext-casestudytables"/>
              <w:spacing w:before="80" w:after="80"/>
            </w:pPr>
            <w:r w:rsidRPr="00F53BDD">
              <w:t>Three Australians were found guilty of a carbon credit tax scam over 2009-12</w:t>
            </w:r>
            <w:r w:rsidR="00A314B3" w:rsidRPr="00F53BDD">
              <w:t>. They</w:t>
            </w:r>
            <w:r w:rsidRPr="00F53BDD">
              <w:t xml:space="preserve"> lur</w:t>
            </w:r>
            <w:r w:rsidR="00A314B3" w:rsidRPr="00F53BDD">
              <w:t>ed</w:t>
            </w:r>
            <w:r w:rsidRPr="00F53BDD">
              <w:t xml:space="preserve"> customers into buying carbon offsets that were never delivered.</w:t>
            </w:r>
          </w:p>
          <w:p w:rsidR="00A37B38" w:rsidRPr="00F53BDD" w:rsidRDefault="00A37B38" w:rsidP="00E90496">
            <w:pPr>
              <w:pStyle w:val="Greentext-casestudytables"/>
              <w:spacing w:before="80" w:after="80"/>
            </w:pPr>
            <w:r w:rsidRPr="00F53BDD">
              <w:t>A solicitor, financial planner</w:t>
            </w:r>
            <w:r w:rsidR="00DC1094">
              <w:t>,</w:t>
            </w:r>
            <w:r w:rsidRPr="00F53BDD">
              <w:t xml:space="preserve"> and accountant were fined a total of </w:t>
            </w:r>
            <w:r w:rsidRPr="00812A66">
              <w:t>A</w:t>
            </w:r>
            <w:r w:rsidR="0012654E" w:rsidRPr="00812A66">
              <w:t>U</w:t>
            </w:r>
            <w:r w:rsidRPr="00812A66">
              <w:t>$9.4</w:t>
            </w:r>
            <w:r w:rsidRPr="00F53BDD">
              <w:t xml:space="preserve"> million for convincing clients to buy carbon offsets from projects reducing deforestation in</w:t>
            </w:r>
            <w:r w:rsidR="004F1C6A" w:rsidRPr="00F53BDD">
              <w:t xml:space="preserve"> </w:t>
            </w:r>
            <w:r w:rsidR="0012654E" w:rsidRPr="00F53BDD">
              <w:t>s</w:t>
            </w:r>
            <w:r w:rsidR="004F1C6A" w:rsidRPr="00F53BDD">
              <w:t>outh</w:t>
            </w:r>
            <w:r w:rsidR="0012654E" w:rsidRPr="00F53BDD">
              <w:t>-e</w:t>
            </w:r>
            <w:r w:rsidR="004F1C6A" w:rsidRPr="00F53BDD">
              <w:t>ast</w:t>
            </w:r>
            <w:r w:rsidRPr="00F53BDD">
              <w:t xml:space="preserve"> Asia</w:t>
            </w:r>
            <w:r w:rsidR="00A314B3" w:rsidRPr="00F53BDD">
              <w:t>,</w:t>
            </w:r>
            <w:r w:rsidRPr="00F53BDD">
              <w:t xml:space="preserve"> against promises of tax deductions. In reality there were no offset associated tax deductions, and </w:t>
            </w:r>
            <w:r w:rsidR="00A314B3" w:rsidRPr="00F53BDD">
              <w:t xml:space="preserve">the buyers received </w:t>
            </w:r>
            <w:r w:rsidRPr="00F53BDD">
              <w:t>no offsets. In several cases, buyers were later required to pay the additional and unexpected tax that they thought, based on advice, they were not required to pay</w:t>
            </w:r>
            <w:r w:rsidR="00A314B3" w:rsidRPr="00F53BDD">
              <w:t>,</w:t>
            </w:r>
            <w:r w:rsidRPr="00F53BDD">
              <w:t xml:space="preserve"> and lost the whole value of their investment.</w:t>
            </w:r>
          </w:p>
          <w:p w:rsidR="00A37B38" w:rsidRPr="00F53BDD" w:rsidRDefault="00A37B38" w:rsidP="00E90496">
            <w:pPr>
              <w:pStyle w:val="Greentext-casestudytables"/>
              <w:spacing w:before="80" w:after="80"/>
            </w:pPr>
            <w:r w:rsidRPr="00F53BDD">
              <w:t>The three based their tax</w:t>
            </w:r>
            <w:r w:rsidR="00A314B3" w:rsidRPr="00F53BDD">
              <w:t>-</w:t>
            </w:r>
            <w:r w:rsidRPr="00F53BDD">
              <w:t>avoidance scheme on the then-government’s Carbon Pollution Reduction Scheme (CPRS)</w:t>
            </w:r>
            <w:r w:rsidR="00A314B3" w:rsidRPr="00F53BDD">
              <w:t>,</w:t>
            </w:r>
            <w:r w:rsidRPr="00F53BDD">
              <w:t xml:space="preserve"> initiated by former </w:t>
            </w:r>
            <w:r w:rsidR="00A314B3" w:rsidRPr="00F53BDD">
              <w:t>p</w:t>
            </w:r>
            <w:r w:rsidRPr="00F53BDD">
              <w:t xml:space="preserve">rime </w:t>
            </w:r>
            <w:r w:rsidR="00A314B3" w:rsidRPr="00F53BDD">
              <w:t>m</w:t>
            </w:r>
            <w:r w:rsidRPr="00F53BDD">
              <w:t>inister Kevin Rudd. The CPRS offered tax deductions to emitters covered by the programme</w:t>
            </w:r>
            <w:r w:rsidR="00A314B3" w:rsidRPr="00F53BDD">
              <w:t>. T</w:t>
            </w:r>
            <w:r w:rsidRPr="00F53BDD">
              <w:t xml:space="preserve">he scammers convinced their victims that they would receive similar deductions, </w:t>
            </w:r>
            <w:r w:rsidR="00A314B3" w:rsidRPr="00F53BDD">
              <w:t xml:space="preserve">which </w:t>
            </w:r>
            <w:r w:rsidRPr="00F53BDD">
              <w:t>they were not actually eligible for.</w:t>
            </w:r>
          </w:p>
          <w:p w:rsidR="00A37B38" w:rsidRPr="00F53BDD" w:rsidRDefault="00A37B38" w:rsidP="00E90496">
            <w:pPr>
              <w:pStyle w:val="Greentext-casestudytables"/>
              <w:spacing w:before="80"/>
            </w:pPr>
            <w:r w:rsidRPr="00F53BDD">
              <w:t xml:space="preserve">This case covers misleading advice, credit and </w:t>
            </w:r>
            <w:r w:rsidR="001E0B58" w:rsidRPr="00F53BDD">
              <w:t>counter-party</w:t>
            </w:r>
            <w:r w:rsidRPr="00F53BDD">
              <w:t xml:space="preserve"> risks</w:t>
            </w:r>
            <w:r w:rsidR="00A314B3" w:rsidRPr="00F53BDD">
              <w:t>,</w:t>
            </w:r>
            <w:r w:rsidRPr="00F53BDD">
              <w:t xml:space="preserve"> and potentially misconduct in the market.</w:t>
            </w:r>
          </w:p>
          <w:p w:rsidR="00A37B38" w:rsidRPr="00F53BDD" w:rsidRDefault="00A37B38" w:rsidP="00BB4034">
            <w:pPr>
              <w:pStyle w:val="Greentext-casestudytables"/>
              <w:spacing w:before="0" w:after="240"/>
            </w:pPr>
            <w:r w:rsidRPr="00F53BDD">
              <w:t>Source: Carbon pulse</w:t>
            </w:r>
            <w:r w:rsidR="00DC1094">
              <w:t xml:space="preserve">. </w:t>
            </w:r>
            <w:r w:rsidRPr="00F53BDD">
              <w:t xml:space="preserve">2021. </w:t>
            </w:r>
            <w:r w:rsidRPr="00F53BDD">
              <w:rPr>
                <w:i/>
                <w:iCs/>
              </w:rPr>
              <w:t>Three Australians fined millions for carbon credit tax scam.</w:t>
            </w:r>
          </w:p>
        </w:tc>
      </w:tr>
    </w:tbl>
    <w:p w:rsidR="00A37B38" w:rsidRPr="00F53BDD" w:rsidRDefault="00A37B38" w:rsidP="00A37B38">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8F9" w:themeFill="accent3" w:themeFillTint="33"/>
        <w:tblLook w:val="04A0" w:firstRow="1" w:lastRow="0" w:firstColumn="1" w:lastColumn="0" w:noHBand="0" w:noVBand="1"/>
      </w:tblPr>
      <w:tblGrid>
        <w:gridCol w:w="8495"/>
      </w:tblGrid>
      <w:tr w:rsidR="00A37B38" w:rsidRPr="00F53BDD" w:rsidTr="00E90496">
        <w:trPr>
          <w:tblHeader/>
        </w:trPr>
        <w:tc>
          <w:tcPr>
            <w:tcW w:w="5000" w:type="pct"/>
            <w:tcBorders>
              <w:top w:val="single" w:sz="4" w:space="0" w:color="0F7B7D"/>
              <w:left w:val="single" w:sz="4" w:space="0" w:color="0F7B7D"/>
              <w:bottom w:val="nil"/>
              <w:right w:val="single" w:sz="4" w:space="0" w:color="0F7B7D"/>
            </w:tcBorders>
            <w:shd w:val="clear" w:color="auto" w:fill="0F7B7D"/>
            <w:vAlign w:val="center"/>
          </w:tcPr>
          <w:p w:rsidR="00A37B38" w:rsidRPr="00F53BDD" w:rsidDel="00D5390D" w:rsidRDefault="00E90496" w:rsidP="00E90496">
            <w:pPr>
              <w:pStyle w:val="Casestudyheading"/>
              <w:keepNext w:val="0"/>
            </w:pPr>
            <w:bookmarkStart w:id="113" w:name="_Toc68698891"/>
            <w:r w:rsidRPr="00F53BDD">
              <w:t>CASE STUDY – MISLEADING ADVICE TO INVESTORS</w:t>
            </w:r>
          </w:p>
        </w:tc>
      </w:tr>
      <w:tr w:rsidR="00A37B38" w:rsidRPr="00F53BDD" w:rsidTr="00E90496">
        <w:tc>
          <w:tcPr>
            <w:tcW w:w="5000" w:type="pct"/>
            <w:tcBorders>
              <w:top w:val="nil"/>
              <w:left w:val="single" w:sz="4" w:space="0" w:color="CFE5E5"/>
              <w:bottom w:val="single" w:sz="4" w:space="0" w:color="CFE5E5"/>
              <w:right w:val="single" w:sz="4" w:space="0" w:color="CFE5E5"/>
            </w:tcBorders>
            <w:shd w:val="clear" w:color="auto" w:fill="CFE5E5"/>
          </w:tcPr>
          <w:p w:rsidR="00A37B38" w:rsidRPr="00F53BDD" w:rsidRDefault="00A37B38" w:rsidP="00E90496">
            <w:pPr>
              <w:pStyle w:val="Greenheading-casestudytables"/>
              <w:keepNext w:val="0"/>
            </w:pPr>
            <w:r w:rsidRPr="00F53BDD">
              <w:t>Carbon credit investor fraud scheme</w:t>
            </w:r>
          </w:p>
          <w:p w:rsidR="00A37B38" w:rsidRPr="00F53BDD" w:rsidRDefault="00A37B38" w:rsidP="00E90496">
            <w:pPr>
              <w:pStyle w:val="Greentext-casestudytables"/>
              <w:spacing w:before="80" w:after="80"/>
            </w:pPr>
            <w:r w:rsidRPr="00F53BDD">
              <w:t xml:space="preserve">In April 2021, directors of World Wide Carbon from Georgia, USA, were sentenced for orchestrating a carbon credit scandal, defrauding individuals </w:t>
            </w:r>
            <w:r w:rsidR="006C2DF9" w:rsidRPr="00F53BDD">
              <w:t xml:space="preserve">of </w:t>
            </w:r>
            <w:r w:rsidRPr="00F53BDD">
              <w:t xml:space="preserve">more than US$1 million. Along with conspirators, they misled seven investors </w:t>
            </w:r>
            <w:r w:rsidR="00A314B3" w:rsidRPr="00F53BDD">
              <w:t xml:space="preserve">about </w:t>
            </w:r>
            <w:r w:rsidRPr="00F53BDD">
              <w:t>the company’s use of funds, marketed return on the investment, and risks relating to those investments. Their fraud included:</w:t>
            </w:r>
          </w:p>
          <w:p w:rsidR="00A37B38" w:rsidRPr="00F53BDD" w:rsidRDefault="00A37B38" w:rsidP="00E90496">
            <w:pPr>
              <w:pStyle w:val="Greenbullet-casestudytables"/>
            </w:pPr>
            <w:r w:rsidRPr="00F53BDD">
              <w:rPr>
                <w:b/>
                <w:bCs/>
              </w:rPr>
              <w:t>Misleading use of investor funds.</w:t>
            </w:r>
            <w:r w:rsidRPr="00DC1094">
              <w:t xml:space="preserve"> </w:t>
            </w:r>
            <w:r w:rsidRPr="00F53BDD">
              <w:t xml:space="preserve">Telling a victim that investor funds would be channelled into a portfolio of carbon credits “developed, established, and validated by WWC”, registered with California regulator Air Resource Board (CARB), and held in the entity’s carbon market account. </w:t>
            </w:r>
          </w:p>
          <w:p w:rsidR="00A37B38" w:rsidRPr="00F53BDD" w:rsidRDefault="00A37B38" w:rsidP="001710E8">
            <w:pPr>
              <w:pStyle w:val="Greenbullet-casestudytables"/>
            </w:pPr>
            <w:r w:rsidRPr="00F53BDD">
              <w:rPr>
                <w:b/>
                <w:bCs/>
              </w:rPr>
              <w:t>False claim of generating carbon credits.</w:t>
            </w:r>
            <w:r w:rsidRPr="00DC1094">
              <w:t xml:space="preserve"> </w:t>
            </w:r>
            <w:r w:rsidRPr="00F53BDD">
              <w:t>World Wide Carbon did not actually generate these credits</w:t>
            </w:r>
            <w:r w:rsidR="00A314B3" w:rsidRPr="00F53BDD">
              <w:t>. A</w:t>
            </w:r>
            <w:r w:rsidRPr="00F53BDD">
              <w:t xml:space="preserve"> previous version of the company’s now-defunct website showcas</w:t>
            </w:r>
            <w:r w:rsidR="00A314B3" w:rsidRPr="00F53BDD">
              <w:t>ed</w:t>
            </w:r>
            <w:r w:rsidRPr="00F53BDD">
              <w:t xml:space="preserve"> three Saskatchewan-based forestry offset projects that did not appear to exist.</w:t>
            </w:r>
          </w:p>
          <w:p w:rsidR="00A37B38" w:rsidRPr="00F53BDD" w:rsidRDefault="00A37B38" w:rsidP="001710E8">
            <w:pPr>
              <w:pStyle w:val="Greenbullet-casestudytables"/>
            </w:pPr>
            <w:r w:rsidRPr="00F53BDD">
              <w:rPr>
                <w:b/>
                <w:bCs/>
              </w:rPr>
              <w:t xml:space="preserve">False information </w:t>
            </w:r>
            <w:r w:rsidR="00A314B3" w:rsidRPr="00F53BDD">
              <w:rPr>
                <w:b/>
                <w:bCs/>
              </w:rPr>
              <w:t xml:space="preserve">about </w:t>
            </w:r>
            <w:r w:rsidRPr="00F53BDD">
              <w:rPr>
                <w:b/>
                <w:bCs/>
              </w:rPr>
              <w:t>emission abatement.</w:t>
            </w:r>
            <w:r w:rsidRPr="00DC1094">
              <w:t xml:space="preserve"> </w:t>
            </w:r>
            <w:r w:rsidRPr="00F53BDD">
              <w:t>The company’s website sa</w:t>
            </w:r>
            <w:r w:rsidR="00A314B3" w:rsidRPr="00F53BDD">
              <w:t>id</w:t>
            </w:r>
            <w:r w:rsidRPr="00F53BDD">
              <w:t xml:space="preserve"> its offset projects generated 30 million tonnes of </w:t>
            </w:r>
            <w:r w:rsidR="006C2DF9" w:rsidRPr="00F53BDD">
              <w:t xml:space="preserve">greenhouse gas </w:t>
            </w:r>
            <w:r w:rsidRPr="00F53BDD">
              <w:t>emission reductions annually</w:t>
            </w:r>
            <w:r w:rsidR="00A314B3" w:rsidRPr="00F53BDD">
              <w:t>,</w:t>
            </w:r>
            <w:r w:rsidRPr="00F53BDD">
              <w:t xml:space="preserve"> at a market value of more than $530 million</w:t>
            </w:r>
            <w:r w:rsidR="00A314B3" w:rsidRPr="00F53BDD">
              <w:t>. This</w:t>
            </w:r>
            <w:r w:rsidRPr="00F53BDD">
              <w:t xml:space="preserve"> would have placed the company among the largest carbon credit developers in the world, according to Carbon Pulse calculations.</w:t>
            </w:r>
          </w:p>
          <w:p w:rsidR="00A37B38" w:rsidRPr="00F53BDD" w:rsidRDefault="00A37B38" w:rsidP="001710E8">
            <w:pPr>
              <w:pStyle w:val="Greenbullet-casestudytables"/>
            </w:pPr>
            <w:r w:rsidRPr="00F53BDD">
              <w:rPr>
                <w:b/>
                <w:bCs/>
              </w:rPr>
              <w:t xml:space="preserve">False information </w:t>
            </w:r>
            <w:r w:rsidR="00A314B3" w:rsidRPr="00F53BDD">
              <w:rPr>
                <w:b/>
                <w:bCs/>
              </w:rPr>
              <w:t>about</w:t>
            </w:r>
            <w:r w:rsidRPr="00F53BDD">
              <w:rPr>
                <w:b/>
                <w:bCs/>
              </w:rPr>
              <w:t xml:space="preserve"> credit verification.</w:t>
            </w:r>
            <w:r w:rsidRPr="00DC1094">
              <w:t xml:space="preserve"> </w:t>
            </w:r>
            <w:r w:rsidR="00A314B3" w:rsidRPr="00F53BDD">
              <w:t>They s</w:t>
            </w:r>
            <w:r w:rsidRPr="00F53BDD">
              <w:t>tat</w:t>
            </w:r>
            <w:r w:rsidR="00A314B3" w:rsidRPr="00F53BDD">
              <w:t>ed that</w:t>
            </w:r>
            <w:r w:rsidRPr="00F53BDD">
              <w:t xml:space="preserve"> the credits were also verified by an independent entity and the </w:t>
            </w:r>
            <w:r w:rsidR="0012654E" w:rsidRPr="00F53BDD">
              <w:t>C</w:t>
            </w:r>
            <w:r w:rsidRPr="00F53BDD">
              <w:t>ARB, before undergoing another verification by insurance firm Lloyds of London</w:t>
            </w:r>
            <w:r w:rsidR="00A314B3" w:rsidRPr="00F53BDD">
              <w:t>. This</w:t>
            </w:r>
            <w:r w:rsidRPr="00F53BDD">
              <w:t xml:space="preserve"> does not actually audit carbon offset projects.</w:t>
            </w:r>
          </w:p>
          <w:p w:rsidR="00A37B38" w:rsidRPr="00F53BDD" w:rsidRDefault="00A37B38" w:rsidP="001710E8">
            <w:pPr>
              <w:pStyle w:val="Greenbullet-casestudytables"/>
            </w:pPr>
            <w:r w:rsidRPr="00F53BDD">
              <w:rPr>
                <w:b/>
                <w:bCs/>
              </w:rPr>
              <w:t xml:space="preserve">False information </w:t>
            </w:r>
            <w:r w:rsidR="00A314B3" w:rsidRPr="00F53BDD">
              <w:rPr>
                <w:b/>
                <w:bCs/>
              </w:rPr>
              <w:t>about</w:t>
            </w:r>
            <w:r w:rsidRPr="00F53BDD">
              <w:rPr>
                <w:b/>
                <w:bCs/>
              </w:rPr>
              <w:t xml:space="preserve"> return on investment.</w:t>
            </w:r>
            <w:r w:rsidRPr="00DC1094">
              <w:t xml:space="preserve"> </w:t>
            </w:r>
            <w:r w:rsidR="00A314B3" w:rsidRPr="00F53BDD">
              <w:t>They claimed that</w:t>
            </w:r>
            <w:r w:rsidRPr="00F53BDD">
              <w:t xml:space="preserve"> the carbon offsets would be sold at the next quarterly auction of the Western Climate Initiative (WCI) trading scheme</w:t>
            </w:r>
            <w:r w:rsidR="00A314B3" w:rsidRPr="00F53BDD">
              <w:t>,</w:t>
            </w:r>
            <w:r w:rsidRPr="00F53BDD">
              <w:t xml:space="preserve"> and receive a 5</w:t>
            </w:r>
            <w:r w:rsidR="00A314B3" w:rsidRPr="00F53BDD">
              <w:t xml:space="preserve"> per cent</w:t>
            </w:r>
            <w:r w:rsidR="006C2DF9" w:rsidRPr="00F53BDD">
              <w:t xml:space="preserve"> </w:t>
            </w:r>
            <w:r w:rsidRPr="00F53BDD">
              <w:t xml:space="preserve">return on the investment. </w:t>
            </w:r>
          </w:p>
          <w:p w:rsidR="00A37B38" w:rsidRPr="00F53BDD" w:rsidRDefault="00A37B38" w:rsidP="00E90496">
            <w:pPr>
              <w:pStyle w:val="Greentext-casestudytables"/>
            </w:pPr>
            <w:r w:rsidRPr="00F53BDD">
              <w:t xml:space="preserve">They </w:t>
            </w:r>
            <w:r w:rsidR="00A314B3" w:rsidRPr="00F53BDD">
              <w:t xml:space="preserve">were given </w:t>
            </w:r>
            <w:r w:rsidRPr="00F53BDD">
              <w:t>a three-year prison sentence, five years’ probation</w:t>
            </w:r>
            <w:r w:rsidR="00DC1094">
              <w:t>,</w:t>
            </w:r>
            <w:r w:rsidR="00A314B3" w:rsidRPr="00F53BDD">
              <w:t xml:space="preserve"> and</w:t>
            </w:r>
            <w:r w:rsidRPr="00F53BDD">
              <w:t xml:space="preserve"> </w:t>
            </w:r>
            <w:r w:rsidR="00A314B3" w:rsidRPr="00F53BDD">
              <w:t>one</w:t>
            </w:r>
            <w:r w:rsidRPr="00F53BDD">
              <w:t>-year home confinement</w:t>
            </w:r>
            <w:r w:rsidR="00A314B3" w:rsidRPr="00F53BDD">
              <w:t>. They</w:t>
            </w:r>
            <w:r w:rsidRPr="00F53BDD">
              <w:t xml:space="preserve"> were jointly and severally liable for paying $1.64 million in restitution from their fraud scheme.</w:t>
            </w:r>
          </w:p>
          <w:p w:rsidR="00A37B38" w:rsidRPr="00F53BDD" w:rsidRDefault="00A37B38" w:rsidP="00E90496">
            <w:pPr>
              <w:pStyle w:val="Greentext-casestudytables"/>
              <w:spacing w:before="0" w:after="240"/>
            </w:pPr>
            <w:r w:rsidRPr="00F53BDD">
              <w:t>Source: Carbon Pulse</w:t>
            </w:r>
            <w:r w:rsidR="00DC1094">
              <w:t>.</w:t>
            </w:r>
            <w:r w:rsidRPr="00F53BDD">
              <w:t xml:space="preserve"> 2021. </w:t>
            </w:r>
            <w:hyperlink r:id="rId45" w:history="1">
              <w:r w:rsidRPr="00DC1094">
                <w:rPr>
                  <w:rStyle w:val="Hyperlink"/>
                  <w:i/>
                  <w:iCs/>
                </w:rPr>
                <w:t>Two US men sentenced in carbon credit investor fraud scheme</w:t>
              </w:r>
            </w:hyperlink>
            <w:r w:rsidRPr="00F53BDD">
              <w:t xml:space="preserve">. </w:t>
            </w:r>
          </w:p>
        </w:tc>
      </w:tr>
    </w:tbl>
    <w:p w:rsidR="00A37B38" w:rsidRPr="00F53BDD" w:rsidRDefault="00A37B38" w:rsidP="00A37B38">
      <w:pPr>
        <w:pStyle w:val="BodyText"/>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8F9" w:themeFill="accent3" w:themeFillTint="33"/>
        <w:tblLook w:val="04A0" w:firstRow="1" w:lastRow="0" w:firstColumn="1" w:lastColumn="0" w:noHBand="0" w:noVBand="1"/>
      </w:tblPr>
      <w:tblGrid>
        <w:gridCol w:w="8505"/>
      </w:tblGrid>
      <w:tr w:rsidR="00A37B38" w:rsidRPr="00F53BDD" w:rsidTr="00E90496">
        <w:tc>
          <w:tcPr>
            <w:tcW w:w="8505" w:type="dxa"/>
            <w:tcBorders>
              <w:top w:val="single" w:sz="4" w:space="0" w:color="0F7B7D"/>
              <w:left w:val="single" w:sz="4" w:space="0" w:color="0F7B7D"/>
              <w:bottom w:val="nil"/>
              <w:right w:val="single" w:sz="4" w:space="0" w:color="0F7B7D"/>
            </w:tcBorders>
            <w:shd w:val="clear" w:color="auto" w:fill="0F7B7D"/>
            <w:vAlign w:val="center"/>
          </w:tcPr>
          <w:p w:rsidR="00A37B38" w:rsidRPr="00F53BDD" w:rsidDel="00D5390D" w:rsidRDefault="00E90496" w:rsidP="007D52FE">
            <w:pPr>
              <w:pStyle w:val="Casestudyheading"/>
            </w:pPr>
            <w:r w:rsidRPr="00F53BDD">
              <w:t>CASE STUDY – MARKET MANIPULATION</w:t>
            </w:r>
          </w:p>
        </w:tc>
      </w:tr>
      <w:tr w:rsidR="00A37B38" w:rsidRPr="00F53BDD" w:rsidTr="00E90496">
        <w:tc>
          <w:tcPr>
            <w:tcW w:w="8505" w:type="dxa"/>
            <w:tcBorders>
              <w:top w:val="nil"/>
              <w:left w:val="single" w:sz="4" w:space="0" w:color="CFE5E5"/>
              <w:bottom w:val="single" w:sz="4" w:space="0" w:color="CFE5E5"/>
              <w:right w:val="single" w:sz="4" w:space="0" w:color="CFE5E5"/>
            </w:tcBorders>
            <w:shd w:val="clear" w:color="auto" w:fill="CFE5E5"/>
          </w:tcPr>
          <w:p w:rsidR="00A37B38" w:rsidRPr="00F53BDD" w:rsidRDefault="00A37B38" w:rsidP="007D52FE">
            <w:pPr>
              <w:pStyle w:val="Greenheading-casestudytables"/>
              <w:rPr>
                <w:rFonts w:asciiTheme="minorHAnsi" w:hAnsiTheme="minorHAnsi" w:cstheme="minorHAnsi"/>
                <w:szCs w:val="20"/>
              </w:rPr>
            </w:pPr>
            <w:r w:rsidRPr="00F53BDD">
              <w:t xml:space="preserve">Market manipulation in </w:t>
            </w:r>
            <w:r w:rsidR="0087340A" w:rsidRPr="00F53BDD">
              <w:rPr>
                <w:rFonts w:asciiTheme="minorHAnsi" w:hAnsiTheme="minorHAnsi" w:cstheme="minorHAnsi"/>
                <w:szCs w:val="20"/>
              </w:rPr>
              <w:t>New Zealand</w:t>
            </w:r>
          </w:p>
          <w:p w:rsidR="00A37B38" w:rsidRPr="00F53BDD" w:rsidRDefault="00A37B38" w:rsidP="00E90496">
            <w:pPr>
              <w:pStyle w:val="Greentext-casestudytables"/>
              <w:spacing w:before="80"/>
              <w:rPr>
                <w:rFonts w:asciiTheme="minorHAnsi" w:hAnsiTheme="minorHAnsi" w:cstheme="minorHAnsi"/>
                <w:szCs w:val="20"/>
              </w:rPr>
            </w:pPr>
            <w:r w:rsidRPr="00F53BDD">
              <w:rPr>
                <w:rFonts w:asciiTheme="minorHAnsi" w:hAnsiTheme="minorHAnsi" w:cstheme="minorHAnsi"/>
                <w:szCs w:val="20"/>
              </w:rPr>
              <w:t xml:space="preserve">The first case of manipulation in the New Zealand financial market was filed in 2015. The allegations against the individual included that </w:t>
            </w:r>
            <w:r w:rsidR="0012654E" w:rsidRPr="00F53BDD">
              <w:rPr>
                <w:rFonts w:asciiTheme="minorHAnsi" w:hAnsiTheme="minorHAnsi" w:cstheme="minorHAnsi"/>
                <w:szCs w:val="20"/>
              </w:rPr>
              <w:t>they</w:t>
            </w:r>
            <w:r w:rsidRPr="00F53BDD">
              <w:rPr>
                <w:rFonts w:asciiTheme="minorHAnsi" w:hAnsiTheme="minorHAnsi" w:cstheme="minorHAnsi"/>
                <w:szCs w:val="20"/>
              </w:rPr>
              <w:t>:</w:t>
            </w:r>
          </w:p>
          <w:p w:rsidR="00A37B38" w:rsidRPr="00F53BDD" w:rsidRDefault="00A37B38" w:rsidP="001710E8">
            <w:pPr>
              <w:pStyle w:val="Greenbullet-casestudytables"/>
            </w:pPr>
            <w:r w:rsidRPr="00F53BDD">
              <w:t>placed small trades directly on the market in one direction, followed by large off-market trades in the opposite direction</w:t>
            </w:r>
          </w:p>
          <w:p w:rsidR="00A37B38" w:rsidRPr="00F53BDD" w:rsidRDefault="00A37B38" w:rsidP="001710E8">
            <w:pPr>
              <w:pStyle w:val="Greenbullet-casestudytables"/>
            </w:pPr>
            <w:r w:rsidRPr="00F53BDD">
              <w:t>manipulated the closing price</w:t>
            </w:r>
          </w:p>
          <w:p w:rsidR="00A37B38" w:rsidRPr="00F53BDD" w:rsidRDefault="00A37B38" w:rsidP="001710E8">
            <w:pPr>
              <w:pStyle w:val="Greenbullet-casestudytables"/>
            </w:pPr>
            <w:r w:rsidRPr="00F53BDD">
              <w:t xml:space="preserve">used </w:t>
            </w:r>
            <w:r w:rsidR="0012654E" w:rsidRPr="00F53BDD">
              <w:t>their</w:t>
            </w:r>
            <w:r w:rsidRPr="00F53BDD">
              <w:t xml:space="preserve"> trading orders to move the price, rather than for a genuine commercial purpose.</w:t>
            </w:r>
          </w:p>
          <w:p w:rsidR="00A37B38" w:rsidRPr="00F53BDD" w:rsidRDefault="00A37B38" w:rsidP="007D52FE">
            <w:pPr>
              <w:pStyle w:val="Greentext-casestudytables"/>
              <w:rPr>
                <w:rFonts w:asciiTheme="minorHAnsi" w:hAnsiTheme="minorHAnsi" w:cstheme="minorHAnsi"/>
                <w:szCs w:val="20"/>
              </w:rPr>
            </w:pPr>
            <w:r w:rsidRPr="00F53BDD">
              <w:rPr>
                <w:rFonts w:asciiTheme="minorHAnsi" w:hAnsiTheme="minorHAnsi" w:cstheme="minorHAnsi"/>
                <w:szCs w:val="20"/>
              </w:rPr>
              <w:t>Under the Financial Markets Conduct Act 2013, the Financial Markets Authority (FMA) must</w:t>
            </w:r>
            <w:r w:rsidR="00E90496" w:rsidRPr="00F53BDD">
              <w:rPr>
                <w:rFonts w:asciiTheme="minorHAnsi" w:hAnsiTheme="minorHAnsi" w:cstheme="minorHAnsi"/>
                <w:szCs w:val="20"/>
              </w:rPr>
              <w:t> </w:t>
            </w:r>
            <w:r w:rsidRPr="00F53BDD">
              <w:rPr>
                <w:rFonts w:asciiTheme="minorHAnsi" w:hAnsiTheme="minorHAnsi" w:cstheme="minorHAnsi"/>
                <w:szCs w:val="20"/>
              </w:rPr>
              <w:t>prove:</w:t>
            </w:r>
          </w:p>
          <w:p w:rsidR="00A37B38" w:rsidRPr="00F53BDD" w:rsidRDefault="00A37B38" w:rsidP="001710E8">
            <w:pPr>
              <w:pStyle w:val="Greenbullet-casestudytables"/>
            </w:pPr>
            <w:r w:rsidRPr="00F53BDD">
              <w:t>the individual traded in a certain way</w:t>
            </w:r>
          </w:p>
          <w:p w:rsidR="00A37B38" w:rsidRPr="00F53BDD" w:rsidRDefault="00A37B38" w:rsidP="001710E8">
            <w:pPr>
              <w:pStyle w:val="Greenbullet-casestudytables"/>
            </w:pPr>
            <w:r w:rsidRPr="00F53BDD">
              <w:t>that their trading was likely to have the effect of creating a false or misleading appearance about the extent, or demand for, trading in those securities</w:t>
            </w:r>
            <w:r w:rsidRPr="00F53BDD" w:rsidDel="00E34B8B">
              <w:t xml:space="preserve"> </w:t>
            </w:r>
          </w:p>
          <w:p w:rsidR="00A37B38" w:rsidRPr="00F53BDD" w:rsidRDefault="00A37B38" w:rsidP="00E90496">
            <w:pPr>
              <w:pStyle w:val="Greenbullet-casestudytables"/>
              <w:spacing w:after="80"/>
            </w:pPr>
            <w:r w:rsidRPr="00F53BDD">
              <w:t>that they knew or ought reasonably to have known, their trading was likely to have that</w:t>
            </w:r>
            <w:r w:rsidR="00E90496" w:rsidRPr="00F53BDD">
              <w:t> </w:t>
            </w:r>
            <w:r w:rsidRPr="00F53BDD">
              <w:t>effect.</w:t>
            </w:r>
          </w:p>
          <w:p w:rsidR="0018231D" w:rsidRPr="00F53BDD" w:rsidRDefault="00A37B38" w:rsidP="00E90496">
            <w:pPr>
              <w:pStyle w:val="Greentext-casestudytables"/>
              <w:spacing w:before="80" w:after="80"/>
              <w:rPr>
                <w:rFonts w:asciiTheme="minorHAnsi" w:hAnsiTheme="minorHAnsi" w:cstheme="minorHAnsi"/>
                <w:color w:val="008080"/>
                <w:szCs w:val="20"/>
              </w:rPr>
            </w:pPr>
            <w:r w:rsidRPr="00F53BDD">
              <w:rPr>
                <w:rFonts w:asciiTheme="minorHAnsi" w:hAnsiTheme="minorHAnsi" w:cstheme="minorHAnsi"/>
                <w:color w:val="008080"/>
                <w:szCs w:val="20"/>
              </w:rPr>
              <w:t xml:space="preserve">The High Court found that, in two of the </w:t>
            </w:r>
            <w:r w:rsidR="006C2DF9" w:rsidRPr="00F53BDD">
              <w:rPr>
                <w:rFonts w:asciiTheme="minorHAnsi" w:hAnsiTheme="minorHAnsi" w:cstheme="minorHAnsi"/>
                <w:color w:val="008080"/>
                <w:szCs w:val="20"/>
              </w:rPr>
              <w:t xml:space="preserve">10 </w:t>
            </w:r>
            <w:r w:rsidRPr="00F53BDD">
              <w:rPr>
                <w:rFonts w:asciiTheme="minorHAnsi" w:hAnsiTheme="minorHAnsi" w:cstheme="minorHAnsi"/>
                <w:color w:val="008080"/>
                <w:szCs w:val="20"/>
              </w:rPr>
              <w:t xml:space="preserve">claims made by the </w:t>
            </w:r>
            <w:r w:rsidR="0087340A" w:rsidRPr="00F53BDD">
              <w:rPr>
                <w:rFonts w:asciiTheme="minorHAnsi" w:hAnsiTheme="minorHAnsi" w:cstheme="minorHAnsi"/>
                <w:color w:val="008080"/>
                <w:szCs w:val="20"/>
              </w:rPr>
              <w:t>FMA</w:t>
            </w:r>
            <w:r w:rsidRPr="00F53BDD">
              <w:rPr>
                <w:rFonts w:asciiTheme="minorHAnsi" w:hAnsiTheme="minorHAnsi" w:cstheme="minorHAnsi"/>
                <w:color w:val="008080"/>
                <w:szCs w:val="20"/>
              </w:rPr>
              <w:t xml:space="preserve">, the individual had </w:t>
            </w:r>
            <w:r w:rsidR="0087340A" w:rsidRPr="00F53BDD">
              <w:rPr>
                <w:rFonts w:asciiTheme="minorHAnsi" w:hAnsiTheme="minorHAnsi" w:cstheme="minorHAnsi"/>
                <w:color w:val="008080"/>
                <w:szCs w:val="20"/>
              </w:rPr>
              <w:t xml:space="preserve">manipulated the </w:t>
            </w:r>
            <w:r w:rsidRPr="00F53BDD">
              <w:rPr>
                <w:rFonts w:asciiTheme="minorHAnsi" w:hAnsiTheme="minorHAnsi" w:cstheme="minorHAnsi"/>
                <w:color w:val="008080"/>
                <w:szCs w:val="20"/>
              </w:rPr>
              <w:t xml:space="preserve">market. </w:t>
            </w:r>
            <w:r w:rsidR="0012654E" w:rsidRPr="00F53BDD">
              <w:rPr>
                <w:rFonts w:asciiTheme="minorHAnsi" w:hAnsiTheme="minorHAnsi" w:cstheme="minorHAnsi"/>
                <w:color w:val="008080"/>
                <w:szCs w:val="20"/>
              </w:rPr>
              <w:t>They</w:t>
            </w:r>
            <w:r w:rsidRPr="00F53BDD">
              <w:rPr>
                <w:rFonts w:asciiTheme="minorHAnsi" w:hAnsiTheme="minorHAnsi" w:cstheme="minorHAnsi"/>
                <w:color w:val="008080"/>
                <w:szCs w:val="20"/>
              </w:rPr>
              <w:t xml:space="preserve"> mainly </w:t>
            </w:r>
            <w:r w:rsidR="0087340A" w:rsidRPr="00F53BDD">
              <w:rPr>
                <w:rFonts w:asciiTheme="minorHAnsi" w:hAnsiTheme="minorHAnsi" w:cstheme="minorHAnsi"/>
                <w:color w:val="008080"/>
                <w:szCs w:val="20"/>
              </w:rPr>
              <w:t>traded</w:t>
            </w:r>
            <w:r w:rsidRPr="00F53BDD">
              <w:rPr>
                <w:rFonts w:asciiTheme="minorHAnsi" w:hAnsiTheme="minorHAnsi" w:cstheme="minorHAnsi"/>
                <w:color w:val="008080"/>
                <w:szCs w:val="20"/>
              </w:rPr>
              <w:t xml:space="preserve"> with two brokers. </w:t>
            </w:r>
            <w:r w:rsidR="0012654E" w:rsidRPr="00F53BDD">
              <w:rPr>
                <w:rFonts w:asciiTheme="minorHAnsi" w:hAnsiTheme="minorHAnsi" w:cstheme="minorHAnsi"/>
                <w:color w:val="008080"/>
                <w:szCs w:val="20"/>
              </w:rPr>
              <w:t xml:space="preserve">They </w:t>
            </w:r>
            <w:r w:rsidRPr="00F53BDD">
              <w:rPr>
                <w:rFonts w:asciiTheme="minorHAnsi" w:hAnsiTheme="minorHAnsi" w:cstheme="minorHAnsi"/>
                <w:color w:val="008080"/>
                <w:szCs w:val="20"/>
              </w:rPr>
              <w:t>had a pattern of on</w:t>
            </w:r>
            <w:r w:rsidR="0087340A" w:rsidRPr="00F53BDD">
              <w:rPr>
                <w:rFonts w:asciiTheme="minorHAnsi" w:hAnsiTheme="minorHAnsi" w:cstheme="minorHAnsi"/>
                <w:color w:val="008080"/>
                <w:szCs w:val="20"/>
              </w:rPr>
              <w:t>-</w:t>
            </w:r>
            <w:r w:rsidR="001E150F" w:rsidRPr="00F53BDD">
              <w:rPr>
                <w:rFonts w:asciiTheme="minorHAnsi" w:hAnsiTheme="minorHAnsi" w:cstheme="minorHAnsi"/>
                <w:color w:val="008080"/>
                <w:szCs w:val="20"/>
              </w:rPr>
              <w:t> </w:t>
            </w:r>
            <w:r w:rsidRPr="00F53BDD">
              <w:rPr>
                <w:rFonts w:asciiTheme="minorHAnsi" w:hAnsiTheme="minorHAnsi" w:cstheme="minorHAnsi"/>
                <w:color w:val="008080"/>
                <w:szCs w:val="20"/>
              </w:rPr>
              <w:t>and</w:t>
            </w:r>
            <w:r w:rsidR="001E150F" w:rsidRPr="00F53BDD">
              <w:rPr>
                <w:rFonts w:asciiTheme="minorHAnsi" w:hAnsiTheme="minorHAnsi" w:cstheme="minorHAnsi"/>
                <w:color w:val="008080"/>
                <w:szCs w:val="20"/>
              </w:rPr>
              <w:t> </w:t>
            </w:r>
            <w:r w:rsidRPr="00F53BDD">
              <w:rPr>
                <w:rFonts w:asciiTheme="minorHAnsi" w:hAnsiTheme="minorHAnsi" w:cstheme="minorHAnsi"/>
                <w:color w:val="008080"/>
                <w:szCs w:val="20"/>
              </w:rPr>
              <w:t>off-market buying of shares that would inflate the price</w:t>
            </w:r>
            <w:r w:rsidR="0087340A" w:rsidRPr="00F53BDD">
              <w:rPr>
                <w:rFonts w:asciiTheme="minorHAnsi" w:hAnsiTheme="minorHAnsi" w:cstheme="minorHAnsi"/>
                <w:color w:val="008080"/>
                <w:szCs w:val="20"/>
              </w:rPr>
              <w:t>,</w:t>
            </w:r>
            <w:r w:rsidRPr="00F53BDD">
              <w:rPr>
                <w:rFonts w:asciiTheme="minorHAnsi" w:hAnsiTheme="minorHAnsi" w:cstheme="minorHAnsi"/>
                <w:color w:val="008080"/>
                <w:szCs w:val="20"/>
              </w:rPr>
              <w:t xml:space="preserve"> to allow </w:t>
            </w:r>
            <w:r w:rsidR="0012654E" w:rsidRPr="00F53BDD">
              <w:rPr>
                <w:rFonts w:asciiTheme="minorHAnsi" w:hAnsiTheme="minorHAnsi" w:cstheme="minorHAnsi"/>
                <w:color w:val="008080"/>
                <w:szCs w:val="20"/>
              </w:rPr>
              <w:t>them</w:t>
            </w:r>
            <w:r w:rsidRPr="00F53BDD">
              <w:rPr>
                <w:rFonts w:asciiTheme="minorHAnsi" w:hAnsiTheme="minorHAnsi" w:cstheme="minorHAnsi"/>
                <w:color w:val="008080"/>
                <w:szCs w:val="20"/>
              </w:rPr>
              <w:t xml:space="preserve"> to sell at a higher value. The court found </w:t>
            </w:r>
            <w:r w:rsidR="0012654E" w:rsidRPr="00F53BDD">
              <w:rPr>
                <w:rFonts w:asciiTheme="minorHAnsi" w:hAnsiTheme="minorHAnsi" w:cstheme="minorHAnsi"/>
                <w:color w:val="008080"/>
                <w:szCs w:val="20"/>
              </w:rPr>
              <w:t>they</w:t>
            </w:r>
            <w:r w:rsidRPr="00F53BDD">
              <w:rPr>
                <w:rFonts w:asciiTheme="minorHAnsi" w:hAnsiTheme="minorHAnsi" w:cstheme="minorHAnsi"/>
                <w:color w:val="008080"/>
                <w:szCs w:val="20"/>
              </w:rPr>
              <w:t xml:space="preserve"> had engaged in conduct which had, or was likely to have had, the effect of creati</w:t>
            </w:r>
            <w:r w:rsidR="0018231D" w:rsidRPr="00F53BDD">
              <w:rPr>
                <w:rFonts w:asciiTheme="minorHAnsi" w:hAnsiTheme="minorHAnsi" w:cstheme="minorHAnsi"/>
                <w:color w:val="008080"/>
                <w:szCs w:val="20"/>
              </w:rPr>
              <w:t>ng</w:t>
            </w:r>
            <w:r w:rsidRPr="00F53BDD">
              <w:rPr>
                <w:rFonts w:asciiTheme="minorHAnsi" w:hAnsiTheme="minorHAnsi" w:cstheme="minorHAnsi"/>
                <w:color w:val="008080"/>
                <w:szCs w:val="20"/>
              </w:rPr>
              <w:t xml:space="preserve"> of a false or misleading appearance, relating to the extent of active</w:t>
            </w:r>
            <w:r w:rsidR="001E150F" w:rsidRPr="00F53BDD">
              <w:rPr>
                <w:rFonts w:asciiTheme="minorHAnsi" w:hAnsiTheme="minorHAnsi" w:cstheme="minorHAnsi"/>
                <w:color w:val="008080"/>
                <w:szCs w:val="20"/>
              </w:rPr>
              <w:t> </w:t>
            </w:r>
            <w:r w:rsidRPr="00F53BDD">
              <w:rPr>
                <w:rFonts w:asciiTheme="minorHAnsi" w:hAnsiTheme="minorHAnsi" w:cstheme="minorHAnsi"/>
                <w:color w:val="008080"/>
                <w:szCs w:val="20"/>
              </w:rPr>
              <w:t>trading in the relevant securities or the supply of, demand for, price for trading in, or value of those securities.</w:t>
            </w:r>
            <w:r w:rsidR="0018231D" w:rsidRPr="00F53BDD">
              <w:rPr>
                <w:rFonts w:asciiTheme="minorHAnsi" w:hAnsiTheme="minorHAnsi" w:cstheme="minorHAnsi"/>
                <w:color w:val="008080"/>
                <w:szCs w:val="20"/>
              </w:rPr>
              <w:t xml:space="preserve"> </w:t>
            </w:r>
          </w:p>
          <w:p w:rsidR="00A37B38" w:rsidRPr="00F53BDD" w:rsidRDefault="0018231D" w:rsidP="00E90496">
            <w:pPr>
              <w:pStyle w:val="Greentext-casestudytables"/>
              <w:spacing w:before="80" w:after="240"/>
              <w:rPr>
                <w:rFonts w:asciiTheme="minorHAnsi" w:hAnsiTheme="minorHAnsi" w:cstheme="minorHAnsi"/>
                <w:szCs w:val="20"/>
              </w:rPr>
            </w:pPr>
            <w:r w:rsidRPr="00F53BDD">
              <w:rPr>
                <w:rFonts w:asciiTheme="minorHAnsi" w:hAnsiTheme="minorHAnsi" w:cstheme="minorHAnsi"/>
                <w:color w:val="008080"/>
                <w:szCs w:val="20"/>
              </w:rPr>
              <w:t xml:space="preserve">Reference: </w:t>
            </w:r>
            <w:hyperlink r:id="rId46" w:history="1">
              <w:r w:rsidR="00811188" w:rsidRPr="00811188">
                <w:rPr>
                  <w:rStyle w:val="Hyperlink"/>
                  <w:rFonts w:asciiTheme="minorHAnsi" w:hAnsiTheme="minorHAnsi" w:cstheme="minorHAnsi"/>
                  <w:szCs w:val="20"/>
                </w:rPr>
                <w:t>First case on Market Manipulation decided in New Zealand</w:t>
              </w:r>
            </w:hyperlink>
            <w:r w:rsidR="00E13EDA">
              <w:rPr>
                <w:rFonts w:asciiTheme="minorHAnsi" w:hAnsiTheme="minorHAnsi" w:cstheme="minorHAnsi"/>
                <w:color w:val="008080"/>
                <w:szCs w:val="20"/>
              </w:rPr>
              <w:t>.</w:t>
            </w:r>
            <w:r w:rsidR="00811188">
              <w:rPr>
                <w:rFonts w:asciiTheme="minorHAnsi" w:hAnsiTheme="minorHAnsi" w:cstheme="minorHAnsi"/>
                <w:color w:val="008080"/>
                <w:szCs w:val="20"/>
              </w:rPr>
              <w:t xml:space="preserve"> </w:t>
            </w:r>
          </w:p>
        </w:tc>
      </w:tr>
    </w:tbl>
    <w:p w:rsidR="00A37B38" w:rsidRPr="00F53BDD" w:rsidRDefault="00A37B38" w:rsidP="00A37B38">
      <w:pPr>
        <w:pStyle w:val="BodyText"/>
      </w:pP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8F9" w:themeFill="accent3" w:themeFillTint="33"/>
        <w:tblLook w:val="04A0" w:firstRow="1" w:lastRow="0" w:firstColumn="1" w:lastColumn="0" w:noHBand="0" w:noVBand="1"/>
      </w:tblPr>
      <w:tblGrid>
        <w:gridCol w:w="8505"/>
      </w:tblGrid>
      <w:tr w:rsidR="00A37B38" w:rsidRPr="00F53BDD" w:rsidTr="007D52FE">
        <w:tc>
          <w:tcPr>
            <w:tcW w:w="8505" w:type="dxa"/>
            <w:tcBorders>
              <w:top w:val="single" w:sz="4" w:space="0" w:color="0F7B7D"/>
              <w:left w:val="single" w:sz="4" w:space="0" w:color="0F7B7D"/>
              <w:bottom w:val="nil"/>
              <w:right w:val="single" w:sz="4" w:space="0" w:color="0F7B7D"/>
            </w:tcBorders>
            <w:shd w:val="clear" w:color="auto" w:fill="0F7B7D"/>
            <w:vAlign w:val="center"/>
          </w:tcPr>
          <w:p w:rsidR="00A37B38" w:rsidRPr="00F53BDD" w:rsidDel="00D5390D" w:rsidRDefault="00A37B38" w:rsidP="007D52FE">
            <w:pPr>
              <w:pStyle w:val="Casestudyheading"/>
            </w:pPr>
            <w:r w:rsidRPr="00F53BDD">
              <w:t>Case study</w:t>
            </w:r>
            <w:r w:rsidR="00B7058C" w:rsidRPr="00F53BDD">
              <w:t xml:space="preserve"> – </w:t>
            </w:r>
            <w:r w:rsidR="00811188" w:rsidRPr="00F53BDD">
              <w:t>Frau</w:t>
            </w:r>
            <w:r w:rsidR="00811188">
              <w:t>d</w:t>
            </w:r>
            <w:r w:rsidR="00811188" w:rsidRPr="00F53BDD">
              <w:t xml:space="preserve"> </w:t>
            </w:r>
            <w:r w:rsidR="00B7058C" w:rsidRPr="00F53BDD">
              <w:t>in emission trading schemes</w:t>
            </w:r>
          </w:p>
        </w:tc>
      </w:tr>
      <w:tr w:rsidR="00A37B38" w:rsidRPr="00F53BDD" w:rsidTr="007D52FE">
        <w:tc>
          <w:tcPr>
            <w:tcW w:w="8505" w:type="dxa"/>
            <w:tcBorders>
              <w:top w:val="nil"/>
              <w:left w:val="single" w:sz="4" w:space="0" w:color="CFE5E5"/>
              <w:bottom w:val="single" w:sz="4" w:space="0" w:color="CFE5E5"/>
              <w:right w:val="single" w:sz="4" w:space="0" w:color="CFE5E5"/>
            </w:tcBorders>
            <w:shd w:val="clear" w:color="auto" w:fill="CFE5E5"/>
          </w:tcPr>
          <w:p w:rsidR="00A37B38" w:rsidRPr="00F53BDD" w:rsidRDefault="00A37B38" w:rsidP="007D52FE">
            <w:pPr>
              <w:pStyle w:val="Greenheading-casestudytables"/>
            </w:pPr>
            <w:r w:rsidRPr="00F53BDD">
              <w:t>VAT fraud in the EU ETS</w:t>
            </w:r>
          </w:p>
          <w:p w:rsidR="00A37B38" w:rsidRPr="00F53BDD" w:rsidRDefault="00A37B38" w:rsidP="001E150F">
            <w:pPr>
              <w:pStyle w:val="Greentext-casestudytables"/>
              <w:spacing w:before="80" w:after="80"/>
            </w:pPr>
            <w:r w:rsidRPr="00F53BDD">
              <w:t xml:space="preserve">Since </w:t>
            </w:r>
            <w:r w:rsidR="0087340A" w:rsidRPr="00F53BDD">
              <w:t xml:space="preserve">its </w:t>
            </w:r>
            <w:r w:rsidRPr="00F53BDD">
              <w:t xml:space="preserve">inception in 2005, the EU ETS has grown </w:t>
            </w:r>
            <w:r w:rsidR="0087340A" w:rsidRPr="00F53BDD">
              <w:t xml:space="preserve">rapidly, </w:t>
            </w:r>
            <w:r w:rsidRPr="00F53BDD">
              <w:t>and is now the largest carbon market</w:t>
            </w:r>
            <w:r w:rsidR="00430FAC" w:rsidRPr="00F53BDD">
              <w:t> </w:t>
            </w:r>
            <w:r w:rsidRPr="00F53BDD">
              <w:t xml:space="preserve">in the world. As the market has increased in complexity, so has the need for governance and oversight. </w:t>
            </w:r>
          </w:p>
          <w:p w:rsidR="00A37B38" w:rsidRPr="00F53BDD" w:rsidRDefault="00A37B38" w:rsidP="001E150F">
            <w:pPr>
              <w:pStyle w:val="Greenheading-casestudytables"/>
              <w:spacing w:before="120"/>
            </w:pPr>
            <w:r w:rsidRPr="00F53BDD">
              <w:t xml:space="preserve">Value </w:t>
            </w:r>
            <w:r w:rsidR="000C3483" w:rsidRPr="00F53BDD">
              <w:t>ad</w:t>
            </w:r>
            <w:r w:rsidRPr="00F53BDD">
              <w:t xml:space="preserve">ded </w:t>
            </w:r>
            <w:r w:rsidR="000C3483" w:rsidRPr="00F53BDD">
              <w:t>t</w:t>
            </w:r>
            <w:r w:rsidRPr="00F53BDD">
              <w:t>ax (VAT) fraud</w:t>
            </w:r>
          </w:p>
          <w:p w:rsidR="000C3483" w:rsidRPr="00F53BDD" w:rsidRDefault="000C3483" w:rsidP="001E150F">
            <w:pPr>
              <w:pStyle w:val="Greentext-casestudytables"/>
              <w:spacing w:before="80" w:after="80"/>
            </w:pPr>
            <w:r w:rsidRPr="00F53BDD">
              <w:t>An article in the E</w:t>
            </w:r>
            <w:r w:rsidR="0012654E" w:rsidRPr="00F53BDD">
              <w:t>U</w:t>
            </w:r>
            <w:r w:rsidRPr="00F53BDD">
              <w:t>observer reported that:</w:t>
            </w:r>
          </w:p>
          <w:p w:rsidR="00A37B38" w:rsidRPr="00F53BDD" w:rsidRDefault="0087340A" w:rsidP="00EC162D">
            <w:pPr>
              <w:pStyle w:val="Greentext-casestudytables"/>
              <w:spacing w:before="80" w:after="80"/>
              <w:ind w:left="567" w:right="567"/>
              <w:rPr>
                <w:sz w:val="19"/>
                <w:szCs w:val="19"/>
              </w:rPr>
            </w:pPr>
            <w:r w:rsidRPr="00F53BDD">
              <w:rPr>
                <w:sz w:val="19"/>
                <w:szCs w:val="19"/>
              </w:rPr>
              <w:t>“</w:t>
            </w:r>
            <w:r w:rsidR="00A37B38" w:rsidRPr="00F53BDD">
              <w:rPr>
                <w:sz w:val="19"/>
                <w:szCs w:val="19"/>
              </w:rPr>
              <w:t>A carousel fraud involving the trade of emission credits in 2008 and 2009 amounted to a loss of €5 billion for national tax revenues.</w:t>
            </w:r>
          </w:p>
          <w:p w:rsidR="00A37B38" w:rsidRPr="00F53BDD" w:rsidRDefault="00A37B38" w:rsidP="00EC162D">
            <w:pPr>
              <w:pStyle w:val="Greentext-casestudytables"/>
              <w:spacing w:before="80" w:after="80"/>
              <w:ind w:left="567" w:right="567"/>
              <w:rPr>
                <w:sz w:val="19"/>
                <w:szCs w:val="19"/>
              </w:rPr>
            </w:pPr>
            <w:r w:rsidRPr="00F53BDD">
              <w:rPr>
                <w:sz w:val="19"/>
                <w:szCs w:val="19"/>
              </w:rPr>
              <w:t>A front company in one EU country would sell the carbon credits to a company in another, but</w:t>
            </w:r>
            <w:r w:rsidR="00430FAC" w:rsidRPr="00F53BDD">
              <w:rPr>
                <w:sz w:val="19"/>
                <w:szCs w:val="19"/>
              </w:rPr>
              <w:t> </w:t>
            </w:r>
            <w:r w:rsidRPr="00F53BDD">
              <w:rPr>
                <w:sz w:val="19"/>
                <w:szCs w:val="19"/>
              </w:rPr>
              <w:t xml:space="preserve">without transferring VAT tax. The credits would then be traded and sold for a price that included VAT </w:t>
            </w:r>
            <w:r w:rsidR="00F361C6" w:rsidRPr="00F53BDD">
              <w:rPr>
                <w:sz w:val="19"/>
                <w:szCs w:val="19"/>
              </w:rPr>
              <w:t>–</w:t>
            </w:r>
            <w:r w:rsidRPr="00F53BDD">
              <w:rPr>
                <w:sz w:val="19"/>
                <w:szCs w:val="19"/>
              </w:rPr>
              <w:t xml:space="preserve"> but did not hand over that VAT to the relevant tax authority.</w:t>
            </w:r>
            <w:r w:rsidR="0087340A" w:rsidRPr="00F53BDD">
              <w:rPr>
                <w:sz w:val="19"/>
                <w:szCs w:val="19"/>
              </w:rPr>
              <w:t>”</w:t>
            </w:r>
          </w:p>
          <w:p w:rsidR="00A37B38" w:rsidRPr="00F53BDD" w:rsidRDefault="00A37B38" w:rsidP="001E150F">
            <w:pPr>
              <w:pStyle w:val="Greenheading-casestudytables"/>
              <w:spacing w:before="120"/>
            </w:pPr>
            <w:r w:rsidRPr="00F53BDD">
              <w:t>The fix</w:t>
            </w:r>
          </w:p>
          <w:p w:rsidR="00A37B38" w:rsidRPr="00F53BDD" w:rsidRDefault="00A37B38" w:rsidP="001E150F">
            <w:pPr>
              <w:pStyle w:val="Greentext-casestudytables"/>
              <w:spacing w:before="80" w:after="80"/>
            </w:pPr>
            <w:r w:rsidRPr="00F53BDD">
              <w:t>Following the fraud scheme, the EU adopted a directive which gave member states the possibility to implement a VAT reverse charge mechanism</w:t>
            </w:r>
            <w:r w:rsidR="0087340A" w:rsidRPr="00F53BDD">
              <w:t>. This</w:t>
            </w:r>
            <w:r w:rsidRPr="00F53BDD">
              <w:t xml:space="preserve"> puts the obligation to pay VAT</w:t>
            </w:r>
            <w:r w:rsidR="00430FAC" w:rsidRPr="00F53BDD">
              <w:t> </w:t>
            </w:r>
            <w:r w:rsidRPr="00F53BDD">
              <w:t>on the person to whom credits are transferred.</w:t>
            </w:r>
          </w:p>
          <w:p w:rsidR="00A37B38" w:rsidRPr="00F53BDD" w:rsidRDefault="00A37B38" w:rsidP="001E150F">
            <w:pPr>
              <w:pStyle w:val="Greenheading-casestudytables"/>
              <w:spacing w:before="120"/>
            </w:pPr>
            <w:r w:rsidRPr="00F53BDD">
              <w:t>Emission allowances are financial products</w:t>
            </w:r>
          </w:p>
          <w:p w:rsidR="00A37B38" w:rsidRPr="00F53BDD" w:rsidRDefault="00A37B38" w:rsidP="001E150F">
            <w:pPr>
              <w:pStyle w:val="Greentext-casestudytables"/>
              <w:spacing w:before="80" w:after="80"/>
            </w:pPr>
            <w:r w:rsidRPr="00F53BDD">
              <w:t>In the early years of the EU ETS, fraudsters and hackers tried to gain illegal profits from the European carbon market. This led to several preventive measures in the field of VAT and the Union registry. In addition, since January 2018 the classification of emission allowances as financial instruments has allowed regulation financial products</w:t>
            </w:r>
            <w:r w:rsidR="0087340A" w:rsidRPr="00F53BDD">
              <w:t>,</w:t>
            </w:r>
            <w:r w:rsidRPr="00F53BDD">
              <w:t xml:space="preserve"> and made the E</w:t>
            </w:r>
            <w:r w:rsidR="00D157E0" w:rsidRPr="00F53BDD">
              <w:t>U</w:t>
            </w:r>
            <w:r w:rsidRPr="00F53BDD">
              <w:t xml:space="preserve"> ETS a robustly regulated, safe and efficient trading environment. Legislation fo</w:t>
            </w:r>
            <w:r w:rsidR="00D157E0" w:rsidRPr="00F53BDD">
              <w:t>r</w:t>
            </w:r>
            <w:r w:rsidRPr="00F53BDD">
              <w:t xml:space="preserve"> carbon allowances </w:t>
            </w:r>
            <w:r w:rsidRPr="00812A66">
              <w:t>include</w:t>
            </w:r>
            <w:r w:rsidR="0012654E" w:rsidRPr="00812A66">
              <w:t>s</w:t>
            </w:r>
            <w:r w:rsidRPr="00812A66">
              <w:rPr>
                <w:rFonts w:asciiTheme="minorHAnsi" w:hAnsiTheme="minorHAnsi" w:cstheme="minorHAnsi"/>
                <w:sz w:val="22"/>
              </w:rPr>
              <w:t xml:space="preserve"> </w:t>
            </w:r>
            <w:r w:rsidRPr="00812A66">
              <w:rPr>
                <w:rFonts w:asciiTheme="minorHAnsi" w:hAnsiTheme="minorHAnsi" w:cstheme="minorHAnsi"/>
                <w:szCs w:val="20"/>
              </w:rPr>
              <w:t>the Directive</w:t>
            </w:r>
            <w:r w:rsidRPr="00F53BDD">
              <w:rPr>
                <w:rFonts w:asciiTheme="minorHAnsi" w:hAnsiTheme="minorHAnsi" w:cstheme="minorHAnsi"/>
                <w:szCs w:val="20"/>
              </w:rPr>
              <w:t xml:space="preserve"> on Markets in Financial Instruments (MiFID2), Regulation on Market in Financial Instruments (MiFIR)</w:t>
            </w:r>
            <w:r w:rsidR="00E13EDA">
              <w:rPr>
                <w:rFonts w:asciiTheme="minorHAnsi" w:hAnsiTheme="minorHAnsi" w:cstheme="minorHAnsi"/>
                <w:szCs w:val="20"/>
              </w:rPr>
              <w:t>,</w:t>
            </w:r>
            <w:r w:rsidRPr="00F53BDD">
              <w:rPr>
                <w:rFonts w:asciiTheme="minorHAnsi" w:hAnsiTheme="minorHAnsi" w:cstheme="minorHAnsi"/>
                <w:szCs w:val="20"/>
              </w:rPr>
              <w:t xml:space="preserve"> and Market Abuse Regulation (MAR).</w:t>
            </w:r>
          </w:p>
          <w:p w:rsidR="00A37B38" w:rsidRPr="00F53BDD" w:rsidRDefault="00A37B38" w:rsidP="001E150F">
            <w:pPr>
              <w:pStyle w:val="Greentext-casestudytables"/>
              <w:spacing w:before="80" w:after="80"/>
            </w:pPr>
            <w:r w:rsidRPr="00F53BDD">
              <w:t>Reference</w:t>
            </w:r>
            <w:r w:rsidR="0087340A" w:rsidRPr="00F53BDD">
              <w:t>s</w:t>
            </w:r>
            <w:r w:rsidRPr="00F53BDD">
              <w:t xml:space="preserve">: </w:t>
            </w:r>
            <w:hyperlink r:id="rId47" w:history="1">
              <w:r w:rsidRPr="00E13EDA">
                <w:rPr>
                  <w:rStyle w:val="Hyperlink"/>
                </w:rPr>
                <w:t xml:space="preserve">EU carbon credit system still </w:t>
              </w:r>
              <w:r w:rsidR="001E150F" w:rsidRPr="00E13EDA">
                <w:rPr>
                  <w:rStyle w:val="Hyperlink"/>
                </w:rPr>
                <w:t>‘</w:t>
              </w:r>
              <w:r w:rsidRPr="00E13EDA">
                <w:rPr>
                  <w:rStyle w:val="Hyperlink"/>
                </w:rPr>
                <w:t>at risk of VAT fraud</w:t>
              </w:r>
              <w:r w:rsidR="001E150F" w:rsidRPr="00E13EDA">
                <w:rPr>
                  <w:rStyle w:val="Hyperlink"/>
                </w:rPr>
                <w:t>’</w:t>
              </w:r>
            </w:hyperlink>
            <w:r w:rsidRPr="00F53BDD">
              <w:t xml:space="preserve"> </w:t>
            </w:r>
          </w:p>
          <w:p w:rsidR="00A37B38" w:rsidRPr="00F53BDD" w:rsidRDefault="0004528A" w:rsidP="001E150F">
            <w:pPr>
              <w:pStyle w:val="Greentext-casestudytables"/>
              <w:spacing w:before="0" w:after="240"/>
            </w:pPr>
            <w:hyperlink r:id="rId48" w:history="1">
              <w:r w:rsidR="00A37B38" w:rsidRPr="00E13EDA">
                <w:rPr>
                  <w:rStyle w:val="Hyperlink"/>
                </w:rPr>
                <w:t>Ensuring the integrity of the European carbon market</w:t>
              </w:r>
            </w:hyperlink>
            <w:r w:rsidR="00A37B38" w:rsidRPr="00F53BDD">
              <w:t xml:space="preserve"> </w:t>
            </w:r>
          </w:p>
        </w:tc>
      </w:tr>
    </w:tbl>
    <w:p w:rsidR="00A37B38" w:rsidRPr="00F53BDD" w:rsidRDefault="00A37B38" w:rsidP="00A37B38">
      <w:pPr>
        <w:pStyle w:val="BodyText"/>
        <w:sectPr w:rsidR="00A37B38" w:rsidRPr="00F53BDD" w:rsidSect="008A0C11">
          <w:footerReference w:type="even" r:id="rId49"/>
          <w:footerReference w:type="default" r:id="rId50"/>
          <w:pgSz w:w="11907" w:h="16840" w:code="9"/>
          <w:pgMar w:top="1134" w:right="1701" w:bottom="1134" w:left="1701" w:header="567" w:footer="567" w:gutter="0"/>
          <w:cols w:space="720"/>
          <w:docGrid w:linePitch="299"/>
        </w:sectPr>
      </w:pPr>
    </w:p>
    <w:p w:rsidR="00A37B38" w:rsidRPr="00F53BDD" w:rsidRDefault="00A37B38" w:rsidP="00D07735">
      <w:pPr>
        <w:pStyle w:val="Heading1"/>
        <w:spacing w:after="240"/>
      </w:pPr>
      <w:bookmarkStart w:id="114" w:name="_Appendix_B:_Risk"/>
      <w:bookmarkStart w:id="115" w:name="_Toc72152970"/>
      <w:bookmarkStart w:id="116" w:name="_Toc75250101"/>
      <w:bookmarkEnd w:id="113"/>
      <w:bookmarkEnd w:id="114"/>
      <w:r w:rsidRPr="00F53BDD">
        <w:t xml:space="preserve">Appendix B: Risk coverage </w:t>
      </w:r>
      <w:r w:rsidR="000634FC" w:rsidRPr="00F53BDD">
        <w:t>a</w:t>
      </w:r>
      <w:r w:rsidRPr="00F53BDD">
        <w:t>nalysis</w:t>
      </w:r>
      <w:bookmarkEnd w:id="115"/>
      <w:bookmarkEnd w:id="116"/>
    </w:p>
    <w:p w:rsidR="00A37B38" w:rsidRPr="00F53BDD" w:rsidRDefault="00A37B38" w:rsidP="00A37B38">
      <w:pPr>
        <w:pStyle w:val="Tableheading"/>
        <w:ind w:left="0" w:firstLine="0"/>
      </w:pPr>
      <w:bookmarkStart w:id="117" w:name="_Ref72418645"/>
      <w:bookmarkStart w:id="118" w:name="table9"/>
      <w:bookmarkStart w:id="119" w:name="_Toc75250112"/>
      <w:bookmarkStart w:id="120" w:name="_Toc72150038"/>
      <w:r w:rsidRPr="00F53BDD">
        <w:t>Table</w:t>
      </w:r>
      <w:bookmarkEnd w:id="117"/>
      <w:r w:rsidR="006E253B" w:rsidRPr="00F53BDD">
        <w:t xml:space="preserve"> </w:t>
      </w:r>
      <w:r w:rsidR="006218BD">
        <w:t>10</w:t>
      </w:r>
      <w:bookmarkEnd w:id="118"/>
      <w:r w:rsidR="00F361C6" w:rsidRPr="00F53BDD">
        <w:t>:</w:t>
      </w:r>
      <w:r w:rsidRPr="00F53BDD">
        <w:t xml:space="preserve"> </w:t>
      </w:r>
      <w:r w:rsidR="00EC162D" w:rsidRPr="00F53BDD">
        <w:tab/>
      </w:r>
      <w:r w:rsidR="00677830" w:rsidRPr="00F53BDD">
        <w:t xml:space="preserve">Governance of advice: </w:t>
      </w:r>
      <w:r w:rsidRPr="00F53BDD">
        <w:t xml:space="preserve">Risk </w:t>
      </w:r>
      <w:r w:rsidR="00877E61" w:rsidRPr="00F53BDD">
        <w:t xml:space="preserve">coverage </w:t>
      </w:r>
      <w:r w:rsidRPr="00F53BDD">
        <w:t>analysis</w:t>
      </w:r>
      <w:bookmarkEnd w:id="119"/>
      <w:r w:rsidR="00EF04DA" w:rsidRPr="00F53BDD">
        <w:t xml:space="preserve"> </w:t>
      </w:r>
      <w:bookmarkEnd w:id="120"/>
    </w:p>
    <w:tbl>
      <w:tblPr>
        <w:tblStyle w:val="TableGrid"/>
        <w:tblW w:w="13381"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CellMar>
          <w:left w:w="57" w:type="dxa"/>
          <w:right w:w="57" w:type="dxa"/>
        </w:tblCellMar>
        <w:tblLook w:val="04A0" w:firstRow="1" w:lastRow="0" w:firstColumn="1" w:lastColumn="0" w:noHBand="0" w:noVBand="1"/>
      </w:tblPr>
      <w:tblGrid>
        <w:gridCol w:w="2322"/>
        <w:gridCol w:w="2309"/>
        <w:gridCol w:w="2574"/>
        <w:gridCol w:w="2837"/>
        <w:gridCol w:w="3339"/>
      </w:tblGrid>
      <w:tr w:rsidR="006218BD" w:rsidRPr="00F53BDD" w:rsidTr="006218BD">
        <w:trPr>
          <w:trHeight w:val="170"/>
        </w:trPr>
        <w:tc>
          <w:tcPr>
            <w:tcW w:w="2322" w:type="dxa"/>
          </w:tcPr>
          <w:p w:rsidR="009A5D60" w:rsidRPr="00F53BDD" w:rsidRDefault="009A5D60" w:rsidP="00D07735">
            <w:pPr>
              <w:pStyle w:val="TableText"/>
              <w:spacing w:before="0" w:after="0"/>
              <w:rPr>
                <w:rFonts w:cstheme="minorHAnsi"/>
                <w:b/>
                <w:bCs/>
                <w:sz w:val="17"/>
                <w:szCs w:val="17"/>
              </w:rPr>
            </w:pPr>
          </w:p>
        </w:tc>
        <w:tc>
          <w:tcPr>
            <w:tcW w:w="2309" w:type="dxa"/>
            <w:shd w:val="clear" w:color="auto" w:fill="1C556C" w:themeFill="accent1"/>
            <w:vAlign w:val="bottom"/>
          </w:tcPr>
          <w:p w:rsidR="009A5D60" w:rsidRPr="00F53BDD" w:rsidRDefault="009A5D60" w:rsidP="00D07735">
            <w:pPr>
              <w:pStyle w:val="TableText"/>
              <w:spacing w:before="0" w:after="0"/>
              <w:jc w:val="center"/>
              <w:rPr>
                <w:rFonts w:cstheme="minorHAnsi"/>
                <w:b/>
                <w:bCs/>
                <w:color w:val="FFFFFF" w:themeColor="background1"/>
                <w:sz w:val="17"/>
                <w:szCs w:val="17"/>
              </w:rPr>
            </w:pPr>
            <w:r w:rsidRPr="00F53BDD">
              <w:rPr>
                <w:rFonts w:cstheme="minorHAnsi"/>
                <w:b/>
                <w:bCs/>
                <w:color w:val="FFFFFF" w:themeColor="background1"/>
                <w:sz w:val="17"/>
                <w:szCs w:val="17"/>
              </w:rPr>
              <w:t>A1: Status quo</w:t>
            </w:r>
          </w:p>
        </w:tc>
        <w:tc>
          <w:tcPr>
            <w:tcW w:w="2574" w:type="dxa"/>
            <w:tcBorders>
              <w:bottom w:val="single" w:sz="4" w:space="0" w:color="1C556C" w:themeColor="accent1"/>
            </w:tcBorders>
            <w:shd w:val="clear" w:color="auto" w:fill="1C556C" w:themeFill="accent1"/>
            <w:vAlign w:val="bottom"/>
          </w:tcPr>
          <w:p w:rsidR="009A5D60" w:rsidRPr="00F53BDD" w:rsidRDefault="009A5D60" w:rsidP="00D07735">
            <w:pPr>
              <w:pStyle w:val="TableText"/>
              <w:spacing w:before="0" w:after="0"/>
              <w:jc w:val="center"/>
              <w:rPr>
                <w:rFonts w:cstheme="minorHAnsi"/>
                <w:b/>
                <w:bCs/>
                <w:color w:val="FFFFFF" w:themeColor="background1"/>
                <w:sz w:val="17"/>
                <w:szCs w:val="17"/>
              </w:rPr>
            </w:pPr>
            <w:r w:rsidRPr="00F53BDD">
              <w:rPr>
                <w:rFonts w:cstheme="minorHAnsi"/>
                <w:b/>
                <w:bCs/>
                <w:color w:val="FFFFFF" w:themeColor="background1"/>
                <w:sz w:val="17"/>
                <w:szCs w:val="17"/>
              </w:rPr>
              <w:t>A2: Education campaign and information pack</w:t>
            </w:r>
          </w:p>
        </w:tc>
        <w:tc>
          <w:tcPr>
            <w:tcW w:w="2837" w:type="dxa"/>
            <w:tcBorders>
              <w:bottom w:val="single" w:sz="4" w:space="0" w:color="1C556C" w:themeColor="accent1"/>
            </w:tcBorders>
            <w:shd w:val="clear" w:color="auto" w:fill="1C556C" w:themeFill="accent1"/>
            <w:vAlign w:val="bottom"/>
          </w:tcPr>
          <w:p w:rsidR="009A5D60" w:rsidRPr="00F53BDD" w:rsidRDefault="009A5D60" w:rsidP="00812A66">
            <w:pPr>
              <w:pStyle w:val="TableText"/>
              <w:spacing w:before="0" w:after="0"/>
              <w:jc w:val="center"/>
              <w:rPr>
                <w:rFonts w:cstheme="minorHAnsi"/>
                <w:b/>
                <w:bCs/>
                <w:color w:val="FFFFFF" w:themeColor="background1"/>
                <w:sz w:val="17"/>
                <w:szCs w:val="17"/>
              </w:rPr>
            </w:pPr>
            <w:r w:rsidRPr="00F53BDD">
              <w:rPr>
                <w:rFonts w:cstheme="minorHAnsi"/>
                <w:b/>
                <w:bCs/>
                <w:color w:val="FFFFFF" w:themeColor="background1"/>
                <w:sz w:val="17"/>
                <w:szCs w:val="17"/>
              </w:rPr>
              <w:t xml:space="preserve">A3: </w:t>
            </w:r>
            <w:r w:rsidR="00812A66">
              <w:rPr>
                <w:rFonts w:cstheme="minorHAnsi"/>
                <w:b/>
                <w:bCs/>
                <w:color w:val="FFFFFF" w:themeColor="background1"/>
                <w:sz w:val="17"/>
                <w:szCs w:val="17"/>
              </w:rPr>
              <w:t>Sector guidelines for NZU advising</w:t>
            </w:r>
          </w:p>
        </w:tc>
        <w:tc>
          <w:tcPr>
            <w:tcW w:w="3339" w:type="dxa"/>
            <w:tcBorders>
              <w:bottom w:val="single" w:sz="4" w:space="0" w:color="1C556C" w:themeColor="accent1"/>
            </w:tcBorders>
            <w:shd w:val="clear" w:color="auto" w:fill="1C556C" w:themeFill="accent1"/>
            <w:vAlign w:val="bottom"/>
          </w:tcPr>
          <w:p w:rsidR="009A5D60" w:rsidRPr="00F53BDD" w:rsidRDefault="009A5D60" w:rsidP="00D07735">
            <w:pPr>
              <w:pStyle w:val="TableText"/>
              <w:spacing w:before="0" w:after="0"/>
              <w:jc w:val="center"/>
              <w:rPr>
                <w:rFonts w:cstheme="minorHAnsi"/>
                <w:b/>
                <w:bCs/>
                <w:color w:val="FFFFFF" w:themeColor="background1"/>
                <w:sz w:val="17"/>
                <w:szCs w:val="17"/>
              </w:rPr>
            </w:pPr>
            <w:r w:rsidRPr="00F53BDD">
              <w:rPr>
                <w:rFonts w:cstheme="minorHAnsi"/>
                <w:b/>
                <w:bCs/>
                <w:color w:val="FFFFFF" w:themeColor="background1"/>
                <w:sz w:val="17"/>
                <w:szCs w:val="17"/>
              </w:rPr>
              <w:t>A4: Code of conduct, licensing and registration of NZU advisers</w:t>
            </w:r>
          </w:p>
        </w:tc>
      </w:tr>
      <w:tr w:rsidR="006218BD" w:rsidRPr="00F53BDD" w:rsidTr="006218BD">
        <w:trPr>
          <w:trHeight w:val="170"/>
        </w:trPr>
        <w:tc>
          <w:tcPr>
            <w:tcW w:w="2322" w:type="dxa"/>
            <w:shd w:val="clear" w:color="auto" w:fill="auto"/>
          </w:tcPr>
          <w:p w:rsidR="00A37B38" w:rsidRPr="00F53BDD" w:rsidRDefault="00A37B38" w:rsidP="00D07735">
            <w:pPr>
              <w:pStyle w:val="TableTextbold"/>
              <w:spacing w:before="0" w:after="0"/>
              <w:rPr>
                <w:sz w:val="17"/>
                <w:szCs w:val="17"/>
              </w:rPr>
            </w:pPr>
            <w:r w:rsidRPr="00F53BDD">
              <w:rPr>
                <w:sz w:val="17"/>
                <w:szCs w:val="17"/>
              </w:rPr>
              <w:t>Poor advice</w:t>
            </w:r>
          </w:p>
        </w:tc>
        <w:tc>
          <w:tcPr>
            <w:tcW w:w="2309" w:type="dxa"/>
          </w:tcPr>
          <w:p w:rsidR="00A37B38" w:rsidRPr="00F53BDD" w:rsidRDefault="00A37B38" w:rsidP="00977597">
            <w:pPr>
              <w:pStyle w:val="TableText"/>
              <w:spacing w:before="0"/>
              <w:jc w:val="center"/>
              <w:rPr>
                <w:sz w:val="17"/>
                <w:szCs w:val="17"/>
              </w:rPr>
            </w:pPr>
            <w:r w:rsidRPr="00F53BDD">
              <w:rPr>
                <w:sz w:val="17"/>
                <w:szCs w:val="17"/>
              </w:rPr>
              <w:t>O</w:t>
            </w:r>
          </w:p>
          <w:p w:rsidR="00A37B38" w:rsidRPr="00F53BDD" w:rsidRDefault="00A37B38" w:rsidP="00977597">
            <w:pPr>
              <w:pStyle w:val="TableText"/>
              <w:spacing w:before="0"/>
              <w:jc w:val="center"/>
              <w:rPr>
                <w:sz w:val="17"/>
                <w:szCs w:val="17"/>
              </w:rPr>
            </w:pPr>
            <w:r w:rsidRPr="00F53BDD">
              <w:rPr>
                <w:sz w:val="17"/>
                <w:szCs w:val="17"/>
              </w:rPr>
              <w:t xml:space="preserve">Advisers can continue to </w:t>
            </w:r>
            <w:r w:rsidR="007823B2" w:rsidRPr="00F53BDD">
              <w:rPr>
                <w:sz w:val="17"/>
                <w:szCs w:val="17"/>
              </w:rPr>
              <w:t xml:space="preserve">give </w:t>
            </w:r>
            <w:r w:rsidRPr="00F53BDD">
              <w:rPr>
                <w:sz w:val="17"/>
                <w:szCs w:val="17"/>
              </w:rPr>
              <w:t>poor advice to participants</w:t>
            </w:r>
          </w:p>
        </w:tc>
        <w:tc>
          <w:tcPr>
            <w:tcW w:w="2574" w:type="dxa"/>
            <w:shd w:val="clear" w:color="auto" w:fill="CFE5E5"/>
          </w:tcPr>
          <w:p w:rsidR="00A37B38" w:rsidRPr="00F53BDD" w:rsidRDefault="00EC74BD" w:rsidP="00977597">
            <w:pPr>
              <w:pStyle w:val="TableText"/>
              <w:spacing w:before="0"/>
              <w:jc w:val="center"/>
              <w:rPr>
                <w:sz w:val="17"/>
                <w:szCs w:val="17"/>
                <w:shd w:val="clear" w:color="auto" w:fill="F7E1D3" w:themeFill="accent6" w:themeFillTint="33"/>
              </w:rPr>
            </w:pPr>
            <w:r w:rsidRPr="00F53BDD">
              <w:rPr>
                <w:rFonts w:ascii="Segoe UI Symbol" w:hAnsi="Segoe UI Symbol" w:cs="Segoe UI Symbol"/>
                <w:sz w:val="17"/>
                <w:szCs w:val="17"/>
                <w:shd w:val="clear" w:color="auto" w:fill="CFE5E5"/>
              </w:rPr>
              <w:t>✓</w:t>
            </w:r>
          </w:p>
          <w:p w:rsidR="00A37B38" w:rsidRPr="00F53BDD" w:rsidRDefault="00A37B38" w:rsidP="00977597">
            <w:pPr>
              <w:pStyle w:val="TableText"/>
              <w:spacing w:before="0"/>
              <w:jc w:val="center"/>
              <w:rPr>
                <w:sz w:val="17"/>
                <w:szCs w:val="17"/>
              </w:rPr>
            </w:pPr>
            <w:r w:rsidRPr="00F53BDD">
              <w:rPr>
                <w:sz w:val="17"/>
                <w:szCs w:val="17"/>
              </w:rPr>
              <w:t xml:space="preserve">Quality of advice may improve if </w:t>
            </w:r>
            <w:r w:rsidR="007823B2" w:rsidRPr="00F53BDD">
              <w:rPr>
                <w:sz w:val="17"/>
                <w:szCs w:val="17"/>
              </w:rPr>
              <w:t>advisers read</w:t>
            </w:r>
            <w:r w:rsidRPr="00F53BDD">
              <w:rPr>
                <w:sz w:val="17"/>
                <w:szCs w:val="17"/>
              </w:rPr>
              <w:t xml:space="preserve"> the information pack</w:t>
            </w:r>
          </w:p>
        </w:tc>
        <w:tc>
          <w:tcPr>
            <w:tcW w:w="2837" w:type="dxa"/>
            <w:shd w:val="clear" w:color="auto" w:fill="CFE5E5"/>
          </w:tcPr>
          <w:p w:rsidR="00A37B38" w:rsidRPr="00F53BDD" w:rsidRDefault="00EC74BD" w:rsidP="00977597">
            <w:pPr>
              <w:pStyle w:val="TableText"/>
              <w:spacing w:before="0"/>
              <w:jc w:val="center"/>
              <w:rPr>
                <w:sz w:val="17"/>
                <w:szCs w:val="17"/>
                <w:shd w:val="clear" w:color="auto" w:fill="F7E1D3" w:themeFill="accent6" w:themeFillTint="33"/>
              </w:rPr>
            </w:pPr>
            <w:r w:rsidRPr="00F53BDD">
              <w:rPr>
                <w:rFonts w:ascii="Segoe UI Symbol" w:hAnsi="Segoe UI Symbol" w:cs="Segoe UI Symbol"/>
                <w:sz w:val="17"/>
                <w:szCs w:val="17"/>
                <w:shd w:val="clear" w:color="auto" w:fill="CFE5E5"/>
              </w:rPr>
              <w:t>✓</w:t>
            </w:r>
          </w:p>
          <w:p w:rsidR="00A37B38" w:rsidRPr="00F53BDD" w:rsidRDefault="00A37B38" w:rsidP="00977597">
            <w:pPr>
              <w:pStyle w:val="TableText"/>
              <w:spacing w:before="0"/>
              <w:jc w:val="center"/>
              <w:rPr>
                <w:sz w:val="17"/>
                <w:szCs w:val="17"/>
              </w:rPr>
            </w:pPr>
            <w:r w:rsidRPr="00F53BDD">
              <w:rPr>
                <w:sz w:val="17"/>
                <w:szCs w:val="17"/>
              </w:rPr>
              <w:t xml:space="preserve">Quality of advice may improve if </w:t>
            </w:r>
            <w:r w:rsidR="007823B2" w:rsidRPr="00F53BDD">
              <w:rPr>
                <w:sz w:val="17"/>
                <w:szCs w:val="17"/>
              </w:rPr>
              <w:t>advisers read</w:t>
            </w:r>
            <w:r w:rsidRPr="00F53BDD">
              <w:rPr>
                <w:sz w:val="17"/>
                <w:szCs w:val="17"/>
              </w:rPr>
              <w:t xml:space="preserve"> the information pack</w:t>
            </w:r>
          </w:p>
        </w:tc>
        <w:tc>
          <w:tcPr>
            <w:tcW w:w="3339" w:type="dxa"/>
            <w:tcBorders>
              <w:bottom w:val="single" w:sz="4" w:space="0" w:color="1C556C" w:themeColor="accent1"/>
            </w:tcBorders>
            <w:shd w:val="clear" w:color="auto" w:fill="57A3A4"/>
          </w:tcPr>
          <w:p w:rsidR="00EC74BD" w:rsidRPr="00F53BDD" w:rsidRDefault="00EC74BD" w:rsidP="00977597">
            <w:pPr>
              <w:pStyle w:val="TableText"/>
              <w:spacing w:before="0"/>
              <w:jc w:val="center"/>
              <w:rPr>
                <w:rFonts w:cstheme="minorHAnsi"/>
                <w:sz w:val="17"/>
                <w:szCs w:val="17"/>
                <w:shd w:val="clear" w:color="auto" w:fill="57A3A4"/>
              </w:rPr>
            </w:pPr>
            <w:r w:rsidRPr="00F53BDD">
              <w:rPr>
                <w:rFonts w:ascii="Segoe UI Symbol" w:hAnsi="Segoe UI Symbol" w:cs="Segoe UI Symbol"/>
                <w:sz w:val="17"/>
                <w:szCs w:val="17"/>
                <w:shd w:val="clear" w:color="auto" w:fill="57A3A4"/>
              </w:rPr>
              <w:t>✓✓✓</w:t>
            </w:r>
            <w:r w:rsidRPr="00F53BDD">
              <w:rPr>
                <w:rFonts w:cstheme="minorHAnsi"/>
                <w:sz w:val="17"/>
                <w:szCs w:val="17"/>
                <w:shd w:val="clear" w:color="auto" w:fill="57A3A4"/>
              </w:rPr>
              <w:t xml:space="preserve"> </w:t>
            </w:r>
          </w:p>
          <w:p w:rsidR="00A37B38" w:rsidRPr="00F53BDD" w:rsidRDefault="00A37B38" w:rsidP="00977597">
            <w:pPr>
              <w:pStyle w:val="TableText"/>
              <w:spacing w:before="0"/>
              <w:jc w:val="center"/>
              <w:rPr>
                <w:sz w:val="17"/>
                <w:szCs w:val="17"/>
              </w:rPr>
            </w:pPr>
            <w:r w:rsidRPr="00F53BDD">
              <w:rPr>
                <w:sz w:val="17"/>
                <w:szCs w:val="17"/>
              </w:rPr>
              <w:t xml:space="preserve">Advisers must comply with a </w:t>
            </w:r>
            <w:r w:rsidR="00677830" w:rsidRPr="00F53BDD">
              <w:rPr>
                <w:sz w:val="17"/>
                <w:szCs w:val="17"/>
              </w:rPr>
              <w:t>c</w:t>
            </w:r>
            <w:r w:rsidRPr="00F53BDD">
              <w:rPr>
                <w:sz w:val="17"/>
                <w:szCs w:val="17"/>
              </w:rPr>
              <w:t xml:space="preserve">ode of </w:t>
            </w:r>
            <w:r w:rsidR="00677830" w:rsidRPr="00F53BDD">
              <w:rPr>
                <w:sz w:val="17"/>
                <w:szCs w:val="17"/>
              </w:rPr>
              <w:t>c</w:t>
            </w:r>
            <w:r w:rsidRPr="00F53BDD">
              <w:rPr>
                <w:sz w:val="17"/>
                <w:szCs w:val="17"/>
              </w:rPr>
              <w:t>onduct rules, including penalties for non-compliance.</w:t>
            </w:r>
          </w:p>
        </w:tc>
      </w:tr>
      <w:tr w:rsidR="006218BD" w:rsidRPr="00F53BDD" w:rsidTr="006218BD">
        <w:trPr>
          <w:trHeight w:val="170"/>
        </w:trPr>
        <w:tc>
          <w:tcPr>
            <w:tcW w:w="2322" w:type="dxa"/>
            <w:shd w:val="clear" w:color="auto" w:fill="auto"/>
          </w:tcPr>
          <w:p w:rsidR="00A37B38" w:rsidRPr="00F53BDD" w:rsidRDefault="00A37B38" w:rsidP="00D07735">
            <w:pPr>
              <w:pStyle w:val="TableTextbold"/>
              <w:spacing w:before="0" w:after="0"/>
              <w:rPr>
                <w:sz w:val="17"/>
                <w:szCs w:val="17"/>
              </w:rPr>
            </w:pPr>
            <w:r w:rsidRPr="00F53BDD">
              <w:rPr>
                <w:sz w:val="17"/>
                <w:szCs w:val="17"/>
              </w:rPr>
              <w:t>Conflict of interest</w:t>
            </w:r>
          </w:p>
        </w:tc>
        <w:tc>
          <w:tcPr>
            <w:tcW w:w="2309" w:type="dxa"/>
          </w:tcPr>
          <w:p w:rsidR="00A37B38" w:rsidRPr="00F53BDD" w:rsidRDefault="00A37B38" w:rsidP="00977597">
            <w:pPr>
              <w:pStyle w:val="TableText"/>
              <w:spacing w:before="0"/>
              <w:jc w:val="center"/>
              <w:rPr>
                <w:sz w:val="17"/>
                <w:szCs w:val="17"/>
              </w:rPr>
            </w:pPr>
            <w:r w:rsidRPr="00F53BDD">
              <w:rPr>
                <w:sz w:val="17"/>
                <w:szCs w:val="17"/>
              </w:rPr>
              <w:t>O</w:t>
            </w:r>
          </w:p>
          <w:p w:rsidR="00A37B38" w:rsidRPr="00F53BDD" w:rsidRDefault="00A37B38" w:rsidP="00977597">
            <w:pPr>
              <w:pStyle w:val="TableText"/>
              <w:spacing w:before="0"/>
              <w:jc w:val="center"/>
              <w:rPr>
                <w:sz w:val="17"/>
                <w:szCs w:val="17"/>
              </w:rPr>
            </w:pPr>
            <w:r w:rsidRPr="00F53BDD">
              <w:rPr>
                <w:sz w:val="17"/>
                <w:szCs w:val="17"/>
              </w:rPr>
              <w:t>Advisers can continue to provide advice when conflicted</w:t>
            </w:r>
          </w:p>
        </w:tc>
        <w:tc>
          <w:tcPr>
            <w:tcW w:w="2574" w:type="dxa"/>
            <w:shd w:val="clear" w:color="auto" w:fill="CFE5E5"/>
          </w:tcPr>
          <w:p w:rsidR="00A37B38" w:rsidRPr="00F53BDD" w:rsidRDefault="00EC74BD" w:rsidP="00977597">
            <w:pPr>
              <w:pStyle w:val="TableText"/>
              <w:spacing w:before="0"/>
              <w:jc w:val="center"/>
              <w:rPr>
                <w:sz w:val="17"/>
                <w:szCs w:val="17"/>
                <w:shd w:val="clear" w:color="auto" w:fill="F7E1D3" w:themeFill="accent6" w:themeFillTint="33"/>
              </w:rPr>
            </w:pPr>
            <w:r w:rsidRPr="00F53BDD">
              <w:rPr>
                <w:rFonts w:ascii="Segoe UI Symbol" w:hAnsi="Segoe UI Symbol" w:cs="Segoe UI Symbol"/>
                <w:sz w:val="17"/>
                <w:szCs w:val="17"/>
                <w:shd w:val="clear" w:color="auto" w:fill="CFE5E5"/>
              </w:rPr>
              <w:t>✓</w:t>
            </w:r>
          </w:p>
          <w:p w:rsidR="00A37B38" w:rsidRPr="00F53BDD" w:rsidRDefault="00A37B38" w:rsidP="00977597">
            <w:pPr>
              <w:pStyle w:val="TableText"/>
              <w:spacing w:before="0"/>
              <w:jc w:val="center"/>
              <w:rPr>
                <w:sz w:val="17"/>
                <w:szCs w:val="17"/>
              </w:rPr>
            </w:pPr>
            <w:r w:rsidRPr="00F53BDD">
              <w:rPr>
                <w:sz w:val="17"/>
                <w:szCs w:val="17"/>
              </w:rPr>
              <w:t xml:space="preserve">Helps participants do due diligence </w:t>
            </w:r>
            <w:r w:rsidR="007823B2" w:rsidRPr="00F53BDD">
              <w:rPr>
                <w:sz w:val="17"/>
                <w:szCs w:val="17"/>
              </w:rPr>
              <w:t xml:space="preserve">on </w:t>
            </w:r>
            <w:r w:rsidRPr="00F53BDD">
              <w:rPr>
                <w:sz w:val="17"/>
                <w:szCs w:val="17"/>
              </w:rPr>
              <w:t>conflicts of interest</w:t>
            </w:r>
          </w:p>
        </w:tc>
        <w:tc>
          <w:tcPr>
            <w:tcW w:w="2837" w:type="dxa"/>
            <w:shd w:val="clear" w:color="auto" w:fill="CFE5E5"/>
          </w:tcPr>
          <w:p w:rsidR="00A37B38" w:rsidRPr="00F53BDD" w:rsidRDefault="00EC74BD" w:rsidP="00977597">
            <w:pPr>
              <w:pStyle w:val="TableText"/>
              <w:spacing w:before="0"/>
              <w:jc w:val="center"/>
              <w:rPr>
                <w:sz w:val="17"/>
                <w:szCs w:val="17"/>
                <w:shd w:val="clear" w:color="auto" w:fill="F7E1D3" w:themeFill="accent6" w:themeFillTint="33"/>
              </w:rPr>
            </w:pPr>
            <w:r w:rsidRPr="00F53BDD">
              <w:rPr>
                <w:rFonts w:ascii="Segoe UI Symbol" w:hAnsi="Segoe UI Symbol" w:cs="Segoe UI Symbol"/>
                <w:sz w:val="17"/>
                <w:szCs w:val="17"/>
                <w:shd w:val="clear" w:color="auto" w:fill="CFE5E5"/>
              </w:rPr>
              <w:t>✓</w:t>
            </w:r>
          </w:p>
          <w:p w:rsidR="00A37B38" w:rsidRPr="00F53BDD" w:rsidRDefault="00A37B38" w:rsidP="00977597">
            <w:pPr>
              <w:pStyle w:val="TableText"/>
              <w:spacing w:before="0"/>
              <w:jc w:val="center"/>
              <w:rPr>
                <w:sz w:val="17"/>
                <w:szCs w:val="17"/>
              </w:rPr>
            </w:pPr>
            <w:r w:rsidRPr="00F53BDD">
              <w:rPr>
                <w:sz w:val="17"/>
                <w:szCs w:val="17"/>
              </w:rPr>
              <w:t>Helps advisers identify when they are conflicted and how to manage conflicts</w:t>
            </w:r>
          </w:p>
        </w:tc>
        <w:tc>
          <w:tcPr>
            <w:tcW w:w="3339" w:type="dxa"/>
            <w:shd w:val="clear" w:color="auto" w:fill="87BDBE"/>
          </w:tcPr>
          <w:p w:rsidR="00A37B38" w:rsidRPr="00CE607A" w:rsidRDefault="00A37B38" w:rsidP="00977597">
            <w:pPr>
              <w:pStyle w:val="TableText"/>
              <w:spacing w:before="0"/>
              <w:jc w:val="center"/>
            </w:pPr>
            <w:r w:rsidRPr="00CE607A">
              <w:rPr>
                <w:rFonts w:ascii="Segoe UI Symbol" w:hAnsi="Segoe UI Symbol" w:cs="Segoe UI Symbol"/>
              </w:rPr>
              <w:t>✓✓</w:t>
            </w:r>
          </w:p>
          <w:p w:rsidR="00A37B38" w:rsidRPr="00F53BDD" w:rsidRDefault="00A37B38" w:rsidP="00977597">
            <w:pPr>
              <w:pStyle w:val="TableText"/>
              <w:spacing w:before="0"/>
              <w:jc w:val="center"/>
              <w:rPr>
                <w:sz w:val="17"/>
                <w:szCs w:val="17"/>
              </w:rPr>
            </w:pPr>
            <w:r w:rsidRPr="00F53BDD">
              <w:rPr>
                <w:sz w:val="17"/>
                <w:szCs w:val="17"/>
              </w:rPr>
              <w:t xml:space="preserve">Advisers found to be acting when conflicted could </w:t>
            </w:r>
            <w:r w:rsidR="007823B2" w:rsidRPr="00F53BDD">
              <w:rPr>
                <w:sz w:val="17"/>
                <w:szCs w:val="17"/>
              </w:rPr>
              <w:t xml:space="preserve">have </w:t>
            </w:r>
            <w:r w:rsidRPr="00F53BDD">
              <w:rPr>
                <w:sz w:val="17"/>
                <w:szCs w:val="17"/>
              </w:rPr>
              <w:t>their licen</w:t>
            </w:r>
            <w:r w:rsidR="007823B2" w:rsidRPr="00F53BDD">
              <w:rPr>
                <w:sz w:val="17"/>
                <w:szCs w:val="17"/>
              </w:rPr>
              <w:t>c</w:t>
            </w:r>
            <w:r w:rsidRPr="00F53BDD">
              <w:rPr>
                <w:sz w:val="17"/>
                <w:szCs w:val="17"/>
              </w:rPr>
              <w:t>e suspended or revoked</w:t>
            </w:r>
          </w:p>
        </w:tc>
      </w:tr>
      <w:tr w:rsidR="006218BD" w:rsidRPr="00F53BDD" w:rsidTr="006218BD">
        <w:trPr>
          <w:trHeight w:val="170"/>
        </w:trPr>
        <w:tc>
          <w:tcPr>
            <w:tcW w:w="2322" w:type="dxa"/>
          </w:tcPr>
          <w:p w:rsidR="00A37B38" w:rsidRPr="00F53BDD" w:rsidRDefault="00A37B38" w:rsidP="00D07735">
            <w:pPr>
              <w:pStyle w:val="TableTextbold"/>
              <w:spacing w:before="0" w:after="0"/>
              <w:rPr>
                <w:sz w:val="17"/>
                <w:szCs w:val="17"/>
              </w:rPr>
            </w:pPr>
            <w:r w:rsidRPr="00F53BDD">
              <w:rPr>
                <w:sz w:val="17"/>
                <w:szCs w:val="17"/>
              </w:rPr>
              <w:t>Transparency, monitoring and oversight of trades</w:t>
            </w:r>
          </w:p>
        </w:tc>
        <w:tc>
          <w:tcPr>
            <w:tcW w:w="2309"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6E21F2">
            <w:pPr>
              <w:pStyle w:val="TableText"/>
              <w:spacing w:before="0"/>
              <w:jc w:val="center"/>
              <w:rPr>
                <w:sz w:val="17"/>
                <w:szCs w:val="17"/>
              </w:rPr>
            </w:pPr>
            <w:r w:rsidRPr="00F53BDD">
              <w:rPr>
                <w:sz w:val="17"/>
                <w:szCs w:val="17"/>
              </w:rPr>
              <w:t>Not applicable</w:t>
            </w:r>
          </w:p>
        </w:tc>
        <w:tc>
          <w:tcPr>
            <w:tcW w:w="2574" w:type="dxa"/>
            <w:tcBorders>
              <w:bottom w:val="single" w:sz="4" w:space="0" w:color="1C556C" w:themeColor="accent1"/>
            </w:tcBorders>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rPr>
            </w:pPr>
            <w:r w:rsidRPr="00F53BDD">
              <w:rPr>
                <w:sz w:val="17"/>
                <w:szCs w:val="17"/>
              </w:rPr>
              <w:t>Not applicable</w:t>
            </w:r>
          </w:p>
        </w:tc>
        <w:tc>
          <w:tcPr>
            <w:tcW w:w="2837"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rPr>
            </w:pPr>
            <w:r w:rsidRPr="00F53BDD">
              <w:rPr>
                <w:sz w:val="17"/>
                <w:szCs w:val="17"/>
              </w:rPr>
              <w:t>Not applicable</w:t>
            </w:r>
          </w:p>
        </w:tc>
        <w:tc>
          <w:tcPr>
            <w:tcW w:w="3339"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shd w:val="clear" w:color="auto" w:fill="C7E6A4"/>
              </w:rPr>
            </w:pPr>
            <w:r w:rsidRPr="00F53BDD">
              <w:rPr>
                <w:sz w:val="17"/>
                <w:szCs w:val="17"/>
              </w:rPr>
              <w:t>Not applicable</w:t>
            </w:r>
          </w:p>
        </w:tc>
      </w:tr>
      <w:tr w:rsidR="006218BD" w:rsidRPr="00F53BDD" w:rsidTr="006218BD">
        <w:trPr>
          <w:trHeight w:val="170"/>
        </w:trPr>
        <w:tc>
          <w:tcPr>
            <w:tcW w:w="2322" w:type="dxa"/>
          </w:tcPr>
          <w:p w:rsidR="00A37B38" w:rsidRPr="00F53BDD" w:rsidRDefault="00A37B38" w:rsidP="00D07735">
            <w:pPr>
              <w:pStyle w:val="TableTextbold"/>
              <w:spacing w:before="0" w:after="0"/>
              <w:rPr>
                <w:sz w:val="17"/>
                <w:szCs w:val="17"/>
              </w:rPr>
            </w:pPr>
            <w:r w:rsidRPr="00F53BDD">
              <w:rPr>
                <w:sz w:val="17"/>
                <w:szCs w:val="17"/>
              </w:rPr>
              <w:t>Credit and counter-party risk</w:t>
            </w:r>
          </w:p>
        </w:tc>
        <w:tc>
          <w:tcPr>
            <w:tcW w:w="2309"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rPr>
            </w:pPr>
            <w:r w:rsidRPr="00F53BDD">
              <w:rPr>
                <w:sz w:val="17"/>
                <w:szCs w:val="17"/>
              </w:rPr>
              <w:t>Not applicable</w:t>
            </w:r>
          </w:p>
        </w:tc>
        <w:tc>
          <w:tcPr>
            <w:tcW w:w="2574" w:type="dxa"/>
            <w:shd w:val="clear" w:color="auto" w:fill="CFE5E5"/>
          </w:tcPr>
          <w:p w:rsidR="00A37B38" w:rsidRPr="00F53BDD" w:rsidRDefault="00EC74BD" w:rsidP="00D07735">
            <w:pPr>
              <w:pStyle w:val="TableText"/>
              <w:spacing w:before="0" w:after="0"/>
              <w:jc w:val="center"/>
              <w:rPr>
                <w:sz w:val="17"/>
                <w:szCs w:val="17"/>
                <w:shd w:val="clear" w:color="auto" w:fill="F7E1D3" w:themeFill="accent6" w:themeFillTint="33"/>
              </w:rPr>
            </w:pPr>
            <w:r w:rsidRPr="00F53BDD">
              <w:rPr>
                <w:rFonts w:ascii="Segoe UI Symbol" w:hAnsi="Segoe UI Symbol" w:cs="Segoe UI Symbol"/>
                <w:sz w:val="17"/>
                <w:szCs w:val="17"/>
                <w:shd w:val="clear" w:color="auto" w:fill="CFE5E5"/>
              </w:rPr>
              <w:t>✓</w:t>
            </w:r>
          </w:p>
          <w:p w:rsidR="00A37B38" w:rsidRPr="00F53BDD" w:rsidRDefault="00A37B38" w:rsidP="00D07735">
            <w:pPr>
              <w:pStyle w:val="TableText"/>
              <w:spacing w:before="0" w:after="0"/>
              <w:jc w:val="center"/>
              <w:rPr>
                <w:sz w:val="17"/>
                <w:szCs w:val="17"/>
              </w:rPr>
            </w:pPr>
            <w:r w:rsidRPr="00F53BDD">
              <w:rPr>
                <w:sz w:val="17"/>
                <w:szCs w:val="17"/>
              </w:rPr>
              <w:t xml:space="preserve">Could help participants </w:t>
            </w:r>
            <w:r w:rsidR="007823B2" w:rsidRPr="00F53BDD">
              <w:rPr>
                <w:sz w:val="17"/>
                <w:szCs w:val="17"/>
              </w:rPr>
              <w:t xml:space="preserve">do </w:t>
            </w:r>
            <w:r w:rsidRPr="00F53BDD">
              <w:rPr>
                <w:sz w:val="17"/>
                <w:szCs w:val="17"/>
              </w:rPr>
              <w:t xml:space="preserve">due diligence when </w:t>
            </w:r>
            <w:r w:rsidR="003B3DAD" w:rsidRPr="00F53BDD">
              <w:rPr>
                <w:sz w:val="17"/>
                <w:szCs w:val="17"/>
              </w:rPr>
              <w:t>entering</w:t>
            </w:r>
            <w:r w:rsidRPr="00F53BDD">
              <w:rPr>
                <w:sz w:val="17"/>
                <w:szCs w:val="17"/>
              </w:rPr>
              <w:t xml:space="preserve"> trades</w:t>
            </w:r>
          </w:p>
        </w:tc>
        <w:tc>
          <w:tcPr>
            <w:tcW w:w="2837"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rPr>
            </w:pPr>
            <w:r w:rsidRPr="00F53BDD">
              <w:rPr>
                <w:sz w:val="17"/>
                <w:szCs w:val="17"/>
              </w:rPr>
              <w:t>Not applicable</w:t>
            </w:r>
          </w:p>
        </w:tc>
        <w:tc>
          <w:tcPr>
            <w:tcW w:w="3339" w:type="dxa"/>
            <w:shd w:val="clear" w:color="auto" w:fill="E2F3F0" w:themeFill="accent5" w:themeFillTint="33"/>
          </w:tcPr>
          <w:p w:rsidR="00A37B38" w:rsidRPr="00F53BDD" w:rsidRDefault="00A37B38" w:rsidP="00D07735">
            <w:pPr>
              <w:pStyle w:val="TableText"/>
              <w:spacing w:before="0" w:after="0"/>
              <w:jc w:val="center"/>
              <w:rPr>
                <w:sz w:val="17"/>
                <w:szCs w:val="17"/>
                <w:shd w:val="clear" w:color="auto" w:fill="F7E1D3" w:themeFill="accent6" w:themeFillTint="33"/>
              </w:rPr>
            </w:pPr>
            <w:r w:rsidRPr="00F53BDD">
              <w:rPr>
                <w:rFonts w:ascii="Segoe UI Symbol" w:hAnsi="Segoe UI Symbol" w:cs="Segoe UI Symbol"/>
                <w:sz w:val="17"/>
                <w:szCs w:val="17"/>
                <w:shd w:val="clear" w:color="auto" w:fill="E2F3F0" w:themeFill="accent5" w:themeFillTint="33"/>
              </w:rPr>
              <w:t>✓</w:t>
            </w:r>
          </w:p>
          <w:p w:rsidR="00A37B38" w:rsidRPr="00F53BDD" w:rsidRDefault="00A37B38" w:rsidP="00977597">
            <w:pPr>
              <w:pStyle w:val="TableText"/>
              <w:spacing w:before="0"/>
              <w:jc w:val="center"/>
              <w:rPr>
                <w:sz w:val="17"/>
                <w:szCs w:val="17"/>
                <w:shd w:val="clear" w:color="auto" w:fill="C7E6A4"/>
              </w:rPr>
            </w:pPr>
            <w:r w:rsidRPr="00F53BDD">
              <w:rPr>
                <w:sz w:val="17"/>
                <w:szCs w:val="17"/>
              </w:rPr>
              <w:t>Advisers could be required to inform participants about credit and counter-party risks</w:t>
            </w:r>
          </w:p>
        </w:tc>
      </w:tr>
      <w:tr w:rsidR="006218BD" w:rsidRPr="00F53BDD" w:rsidTr="006218BD">
        <w:trPr>
          <w:trHeight w:val="170"/>
        </w:trPr>
        <w:tc>
          <w:tcPr>
            <w:tcW w:w="2322" w:type="dxa"/>
          </w:tcPr>
          <w:p w:rsidR="00A37B38" w:rsidRPr="00F53BDD" w:rsidRDefault="00A37B38" w:rsidP="00D07735">
            <w:pPr>
              <w:pStyle w:val="TableTextbold"/>
              <w:spacing w:before="0" w:after="0"/>
              <w:rPr>
                <w:sz w:val="17"/>
                <w:szCs w:val="17"/>
              </w:rPr>
            </w:pPr>
            <w:r w:rsidRPr="00F53BDD">
              <w:rPr>
                <w:sz w:val="17"/>
                <w:szCs w:val="17"/>
              </w:rPr>
              <w:t>Price manipulation</w:t>
            </w:r>
          </w:p>
        </w:tc>
        <w:tc>
          <w:tcPr>
            <w:tcW w:w="2309"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6E21F2">
            <w:pPr>
              <w:pStyle w:val="TableText"/>
              <w:spacing w:before="0"/>
              <w:jc w:val="center"/>
              <w:rPr>
                <w:sz w:val="17"/>
                <w:szCs w:val="17"/>
              </w:rPr>
            </w:pPr>
            <w:r w:rsidRPr="00F53BDD">
              <w:rPr>
                <w:sz w:val="17"/>
                <w:szCs w:val="17"/>
              </w:rPr>
              <w:t>Not applicable</w:t>
            </w:r>
          </w:p>
        </w:tc>
        <w:tc>
          <w:tcPr>
            <w:tcW w:w="2574"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rPr>
            </w:pPr>
            <w:r w:rsidRPr="00F53BDD">
              <w:rPr>
                <w:sz w:val="17"/>
                <w:szCs w:val="17"/>
              </w:rPr>
              <w:t>Not applicable</w:t>
            </w:r>
          </w:p>
        </w:tc>
        <w:tc>
          <w:tcPr>
            <w:tcW w:w="2837"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rPr>
            </w:pPr>
            <w:r w:rsidRPr="00F53BDD">
              <w:rPr>
                <w:sz w:val="17"/>
                <w:szCs w:val="17"/>
              </w:rPr>
              <w:t>Not applicable</w:t>
            </w:r>
          </w:p>
        </w:tc>
        <w:tc>
          <w:tcPr>
            <w:tcW w:w="3339"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shd w:val="clear" w:color="auto" w:fill="C7E6A4"/>
              </w:rPr>
            </w:pPr>
            <w:r w:rsidRPr="00F53BDD">
              <w:rPr>
                <w:sz w:val="17"/>
                <w:szCs w:val="17"/>
              </w:rPr>
              <w:t>Not applicable</w:t>
            </w:r>
          </w:p>
        </w:tc>
      </w:tr>
      <w:tr w:rsidR="006218BD" w:rsidRPr="00F53BDD" w:rsidTr="006218BD">
        <w:trPr>
          <w:trHeight w:val="170"/>
        </w:trPr>
        <w:tc>
          <w:tcPr>
            <w:tcW w:w="2322" w:type="dxa"/>
          </w:tcPr>
          <w:p w:rsidR="00A37B38" w:rsidRPr="00F53BDD" w:rsidRDefault="00A37B38" w:rsidP="00D07735">
            <w:pPr>
              <w:pStyle w:val="TableTextbold"/>
              <w:spacing w:before="0" w:after="0"/>
              <w:rPr>
                <w:sz w:val="17"/>
                <w:szCs w:val="17"/>
              </w:rPr>
            </w:pPr>
            <w:r w:rsidRPr="00F53BDD">
              <w:rPr>
                <w:sz w:val="17"/>
                <w:szCs w:val="17"/>
              </w:rPr>
              <w:t>Insider trading</w:t>
            </w:r>
          </w:p>
        </w:tc>
        <w:tc>
          <w:tcPr>
            <w:tcW w:w="2309"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6E21F2">
            <w:pPr>
              <w:pStyle w:val="TableText"/>
              <w:spacing w:before="0"/>
              <w:jc w:val="center"/>
              <w:rPr>
                <w:sz w:val="17"/>
                <w:szCs w:val="17"/>
              </w:rPr>
            </w:pPr>
            <w:r w:rsidRPr="00F53BDD">
              <w:rPr>
                <w:sz w:val="17"/>
                <w:szCs w:val="17"/>
              </w:rPr>
              <w:t>Not applicable</w:t>
            </w:r>
          </w:p>
        </w:tc>
        <w:tc>
          <w:tcPr>
            <w:tcW w:w="2574"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rPr>
            </w:pPr>
            <w:r w:rsidRPr="00F53BDD">
              <w:rPr>
                <w:sz w:val="17"/>
                <w:szCs w:val="17"/>
              </w:rPr>
              <w:t>Not applicable</w:t>
            </w:r>
          </w:p>
        </w:tc>
        <w:tc>
          <w:tcPr>
            <w:tcW w:w="2837" w:type="dxa"/>
            <w:tcBorders>
              <w:bottom w:val="single" w:sz="4" w:space="0" w:color="1C556C" w:themeColor="accent1"/>
            </w:tcBorders>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rPr>
            </w:pPr>
            <w:r w:rsidRPr="00F53BDD">
              <w:rPr>
                <w:sz w:val="17"/>
                <w:szCs w:val="17"/>
              </w:rPr>
              <w:t>Not applicable</w:t>
            </w:r>
          </w:p>
        </w:tc>
        <w:tc>
          <w:tcPr>
            <w:tcW w:w="3339" w:type="dxa"/>
            <w:tcBorders>
              <w:bottom w:val="single" w:sz="4" w:space="0" w:color="1C556C" w:themeColor="accent1"/>
            </w:tcBorders>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shd w:val="clear" w:color="auto" w:fill="C7E6A4"/>
              </w:rPr>
            </w:pPr>
            <w:r w:rsidRPr="00F53BDD">
              <w:rPr>
                <w:sz w:val="17"/>
                <w:szCs w:val="17"/>
              </w:rPr>
              <w:t>Not applicable</w:t>
            </w:r>
          </w:p>
        </w:tc>
      </w:tr>
      <w:tr w:rsidR="006218BD" w:rsidRPr="00F53BDD" w:rsidTr="006218BD">
        <w:trPr>
          <w:trHeight w:val="170"/>
        </w:trPr>
        <w:tc>
          <w:tcPr>
            <w:tcW w:w="2322" w:type="dxa"/>
          </w:tcPr>
          <w:p w:rsidR="00A37B38" w:rsidRPr="00F53BDD" w:rsidRDefault="00A37B38" w:rsidP="00D07735">
            <w:pPr>
              <w:pStyle w:val="TableTextbold"/>
              <w:spacing w:before="0" w:after="0"/>
              <w:rPr>
                <w:sz w:val="17"/>
                <w:szCs w:val="17"/>
              </w:rPr>
            </w:pPr>
            <w:r w:rsidRPr="00F53BDD">
              <w:rPr>
                <w:sz w:val="17"/>
                <w:szCs w:val="17"/>
              </w:rPr>
              <w:t>Money</w:t>
            </w:r>
            <w:r w:rsidR="00677830" w:rsidRPr="00F53BDD">
              <w:rPr>
                <w:sz w:val="17"/>
                <w:szCs w:val="17"/>
              </w:rPr>
              <w:t xml:space="preserve"> </w:t>
            </w:r>
            <w:r w:rsidRPr="00F53BDD">
              <w:rPr>
                <w:sz w:val="17"/>
                <w:szCs w:val="17"/>
              </w:rPr>
              <w:t>laundering and financing of terrorism</w:t>
            </w:r>
          </w:p>
        </w:tc>
        <w:tc>
          <w:tcPr>
            <w:tcW w:w="2309"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rPr>
            </w:pPr>
            <w:r w:rsidRPr="00F53BDD">
              <w:rPr>
                <w:sz w:val="17"/>
                <w:szCs w:val="17"/>
              </w:rPr>
              <w:t>Not applicable</w:t>
            </w:r>
          </w:p>
        </w:tc>
        <w:tc>
          <w:tcPr>
            <w:tcW w:w="2574" w:type="dxa"/>
          </w:tcPr>
          <w:p w:rsidR="00A37B38" w:rsidRPr="00F53BDD" w:rsidRDefault="00A37B38" w:rsidP="00D07735">
            <w:pPr>
              <w:pStyle w:val="TableText"/>
              <w:spacing w:before="0" w:after="0"/>
              <w:jc w:val="center"/>
              <w:rPr>
                <w:sz w:val="17"/>
                <w:szCs w:val="17"/>
              </w:rPr>
            </w:pPr>
            <w:r w:rsidRPr="00F53BDD">
              <w:rPr>
                <w:sz w:val="17"/>
                <w:szCs w:val="17"/>
              </w:rPr>
              <w:t>O</w:t>
            </w:r>
          </w:p>
          <w:p w:rsidR="00A37B38" w:rsidRPr="00F53BDD" w:rsidRDefault="00A37B38" w:rsidP="00D07735">
            <w:pPr>
              <w:pStyle w:val="TableText"/>
              <w:spacing w:before="0" w:after="0"/>
              <w:jc w:val="center"/>
              <w:rPr>
                <w:sz w:val="17"/>
                <w:szCs w:val="17"/>
              </w:rPr>
            </w:pPr>
            <w:r w:rsidRPr="00F53BDD">
              <w:rPr>
                <w:sz w:val="17"/>
                <w:szCs w:val="17"/>
              </w:rPr>
              <w:t>Not applicable</w:t>
            </w:r>
          </w:p>
        </w:tc>
        <w:tc>
          <w:tcPr>
            <w:tcW w:w="2837" w:type="dxa"/>
            <w:shd w:val="clear" w:color="auto" w:fill="CFE5E5"/>
          </w:tcPr>
          <w:p w:rsidR="00A37B38" w:rsidRPr="00F53BDD" w:rsidRDefault="00EC74BD" w:rsidP="00D07735">
            <w:pPr>
              <w:pStyle w:val="TableText"/>
              <w:spacing w:before="0" w:after="0"/>
              <w:jc w:val="center"/>
              <w:rPr>
                <w:sz w:val="17"/>
                <w:szCs w:val="17"/>
                <w:shd w:val="clear" w:color="auto" w:fill="F7E1D3" w:themeFill="accent6" w:themeFillTint="33"/>
              </w:rPr>
            </w:pPr>
            <w:r w:rsidRPr="00F53BDD">
              <w:rPr>
                <w:rFonts w:ascii="Segoe UI Symbol" w:hAnsi="Segoe UI Symbol" w:cs="Segoe UI Symbol"/>
                <w:sz w:val="17"/>
                <w:szCs w:val="17"/>
                <w:shd w:val="clear" w:color="auto" w:fill="CFE5E5"/>
              </w:rPr>
              <w:t>✓</w:t>
            </w:r>
          </w:p>
          <w:p w:rsidR="00A37B38" w:rsidRPr="00F53BDD" w:rsidRDefault="00A37B38" w:rsidP="00D07735">
            <w:pPr>
              <w:pStyle w:val="TableText"/>
              <w:spacing w:before="0" w:after="0"/>
              <w:jc w:val="center"/>
              <w:rPr>
                <w:sz w:val="17"/>
                <w:szCs w:val="17"/>
              </w:rPr>
            </w:pPr>
            <w:r w:rsidRPr="00F53BDD">
              <w:rPr>
                <w:sz w:val="17"/>
                <w:szCs w:val="17"/>
              </w:rPr>
              <w:t xml:space="preserve">Could help advisers identify and report suspicious activities </w:t>
            </w:r>
            <w:r w:rsidR="007823B2" w:rsidRPr="00F53BDD">
              <w:rPr>
                <w:sz w:val="17"/>
                <w:szCs w:val="17"/>
              </w:rPr>
              <w:t>such as</w:t>
            </w:r>
            <w:r w:rsidRPr="00F53BDD">
              <w:rPr>
                <w:sz w:val="17"/>
                <w:szCs w:val="17"/>
              </w:rPr>
              <w:t xml:space="preserve"> money laundering </w:t>
            </w:r>
            <w:r w:rsidR="00190D9A" w:rsidRPr="00F53BDD">
              <w:rPr>
                <w:sz w:val="17"/>
                <w:szCs w:val="17"/>
              </w:rPr>
              <w:t xml:space="preserve">or </w:t>
            </w:r>
            <w:r w:rsidRPr="00F53BDD">
              <w:rPr>
                <w:sz w:val="17"/>
                <w:szCs w:val="17"/>
              </w:rPr>
              <w:t>financing of terrorism</w:t>
            </w:r>
          </w:p>
        </w:tc>
        <w:tc>
          <w:tcPr>
            <w:tcW w:w="3339" w:type="dxa"/>
            <w:shd w:val="clear" w:color="auto" w:fill="57A3A4"/>
          </w:tcPr>
          <w:p w:rsidR="00EC74BD" w:rsidRPr="00F53BDD" w:rsidRDefault="00EC74BD" w:rsidP="00D07735">
            <w:pPr>
              <w:pStyle w:val="TableText"/>
              <w:spacing w:before="0" w:after="0"/>
              <w:jc w:val="center"/>
              <w:rPr>
                <w:rFonts w:cstheme="minorHAnsi"/>
                <w:sz w:val="17"/>
                <w:szCs w:val="17"/>
                <w:shd w:val="clear" w:color="auto" w:fill="57A3A4"/>
              </w:rPr>
            </w:pPr>
            <w:r w:rsidRPr="00F53BDD">
              <w:rPr>
                <w:rFonts w:ascii="Segoe UI Symbol" w:hAnsi="Segoe UI Symbol" w:cs="Segoe UI Symbol"/>
                <w:sz w:val="17"/>
                <w:szCs w:val="17"/>
                <w:shd w:val="clear" w:color="auto" w:fill="57A3A4"/>
              </w:rPr>
              <w:t>✓✓✓</w:t>
            </w:r>
            <w:r w:rsidRPr="00F53BDD">
              <w:rPr>
                <w:rFonts w:cstheme="minorHAnsi"/>
                <w:sz w:val="17"/>
                <w:szCs w:val="17"/>
                <w:shd w:val="clear" w:color="auto" w:fill="57A3A4"/>
              </w:rPr>
              <w:t xml:space="preserve"> </w:t>
            </w:r>
          </w:p>
          <w:p w:rsidR="00A37B38" w:rsidRPr="00F53BDD" w:rsidRDefault="00A37B38" w:rsidP="00977597">
            <w:pPr>
              <w:pStyle w:val="TableText"/>
              <w:spacing w:before="0"/>
              <w:jc w:val="center"/>
              <w:rPr>
                <w:sz w:val="17"/>
                <w:szCs w:val="17"/>
                <w:shd w:val="clear" w:color="auto" w:fill="C7E6A4"/>
              </w:rPr>
            </w:pPr>
            <w:r w:rsidRPr="00F53BDD">
              <w:rPr>
                <w:sz w:val="17"/>
                <w:szCs w:val="17"/>
              </w:rPr>
              <w:t xml:space="preserve">Advisers could be required to </w:t>
            </w:r>
            <w:r w:rsidR="007823B2" w:rsidRPr="00F53BDD">
              <w:rPr>
                <w:sz w:val="17"/>
                <w:szCs w:val="17"/>
              </w:rPr>
              <w:t xml:space="preserve">do </w:t>
            </w:r>
            <w:r w:rsidRPr="00F53BDD">
              <w:rPr>
                <w:sz w:val="17"/>
                <w:szCs w:val="17"/>
              </w:rPr>
              <w:t>A</w:t>
            </w:r>
            <w:r w:rsidR="006218BD">
              <w:rPr>
                <w:sz w:val="17"/>
                <w:szCs w:val="17"/>
              </w:rPr>
              <w:t>nti Money Laundering</w:t>
            </w:r>
            <w:r w:rsidRPr="00F53BDD">
              <w:rPr>
                <w:sz w:val="17"/>
                <w:szCs w:val="17"/>
              </w:rPr>
              <w:t xml:space="preserve"> or C</w:t>
            </w:r>
            <w:r w:rsidR="006218BD">
              <w:rPr>
                <w:sz w:val="17"/>
                <w:szCs w:val="17"/>
              </w:rPr>
              <w:t xml:space="preserve">ounter Financing of Terrorism </w:t>
            </w:r>
            <w:r w:rsidRPr="00F53BDD">
              <w:rPr>
                <w:sz w:val="17"/>
                <w:szCs w:val="17"/>
              </w:rPr>
              <w:t>checks and report suspicious activity to a regulator</w:t>
            </w:r>
          </w:p>
        </w:tc>
      </w:tr>
      <w:tr w:rsidR="00A37B38" w:rsidRPr="00F53BDD" w:rsidTr="00EB5C26">
        <w:trPr>
          <w:trHeight w:val="170"/>
        </w:trPr>
        <w:tc>
          <w:tcPr>
            <w:tcW w:w="0" w:type="auto"/>
            <w:gridSpan w:val="5"/>
          </w:tcPr>
          <w:p w:rsidR="00A37B38" w:rsidRPr="00F53BDD" w:rsidRDefault="00A37B38" w:rsidP="00EC74BD">
            <w:pPr>
              <w:pStyle w:val="TableText"/>
              <w:tabs>
                <w:tab w:val="left" w:pos="507"/>
              </w:tabs>
              <w:spacing w:before="0"/>
              <w:contextualSpacing/>
              <w:rPr>
                <w:rFonts w:cstheme="minorHAnsi"/>
                <w:sz w:val="17"/>
                <w:szCs w:val="17"/>
              </w:rPr>
            </w:pPr>
            <w:r w:rsidRPr="00F53BDD">
              <w:rPr>
                <w:rFonts w:ascii="Segoe UI Symbol" w:hAnsi="Segoe UI Symbol" w:cs="Segoe UI Symbol"/>
                <w:sz w:val="17"/>
                <w:szCs w:val="17"/>
                <w:shd w:val="clear" w:color="auto" w:fill="57A3A4"/>
              </w:rPr>
              <w:t>✓✓✓</w:t>
            </w:r>
            <w:r w:rsidR="00506881" w:rsidRPr="00F53BDD">
              <w:rPr>
                <w:sz w:val="17"/>
                <w:szCs w:val="17"/>
              </w:rPr>
              <w:tab/>
            </w:r>
            <w:r w:rsidRPr="00F53BDD">
              <w:rPr>
                <w:rFonts w:cstheme="minorHAnsi"/>
                <w:sz w:val="17"/>
                <w:szCs w:val="17"/>
              </w:rPr>
              <w:t>Strongly addresses risk</w:t>
            </w:r>
          </w:p>
          <w:p w:rsidR="00A37B38" w:rsidRPr="00F53BDD" w:rsidRDefault="00A37B38" w:rsidP="00EC74BD">
            <w:pPr>
              <w:pStyle w:val="TableText"/>
              <w:tabs>
                <w:tab w:val="left" w:pos="507"/>
              </w:tabs>
              <w:spacing w:before="0"/>
              <w:contextualSpacing/>
              <w:rPr>
                <w:rFonts w:cstheme="minorHAnsi"/>
                <w:sz w:val="17"/>
                <w:szCs w:val="17"/>
              </w:rPr>
            </w:pPr>
            <w:r w:rsidRPr="00F53BDD">
              <w:rPr>
                <w:rFonts w:ascii="Segoe UI Symbol" w:hAnsi="Segoe UI Symbol" w:cs="Segoe UI Symbol"/>
                <w:sz w:val="17"/>
                <w:szCs w:val="17"/>
                <w:shd w:val="clear" w:color="auto" w:fill="87BDBE"/>
              </w:rPr>
              <w:t>✓✓</w:t>
            </w:r>
            <w:r w:rsidR="00EC74BD" w:rsidRPr="00F53BDD">
              <w:rPr>
                <w:rFonts w:cstheme="minorHAnsi"/>
                <w:sz w:val="17"/>
                <w:szCs w:val="17"/>
              </w:rPr>
              <w:tab/>
            </w:r>
            <w:r w:rsidRPr="00F53BDD">
              <w:rPr>
                <w:rFonts w:cstheme="minorHAnsi"/>
                <w:sz w:val="17"/>
                <w:szCs w:val="17"/>
              </w:rPr>
              <w:t>Addresses risk</w:t>
            </w:r>
          </w:p>
          <w:p w:rsidR="00A37B38" w:rsidRPr="00F53BDD" w:rsidRDefault="00A37B38" w:rsidP="00EC74BD">
            <w:pPr>
              <w:pStyle w:val="TableText"/>
              <w:tabs>
                <w:tab w:val="left" w:pos="507"/>
              </w:tabs>
              <w:spacing w:before="0"/>
              <w:contextualSpacing/>
              <w:rPr>
                <w:rFonts w:cstheme="minorHAnsi"/>
                <w:sz w:val="17"/>
                <w:szCs w:val="17"/>
              </w:rPr>
            </w:pPr>
            <w:r w:rsidRPr="00F53BDD">
              <w:rPr>
                <w:rFonts w:ascii="Segoe UI Symbol" w:hAnsi="Segoe UI Symbol" w:cs="Segoe UI Symbol"/>
                <w:sz w:val="17"/>
                <w:szCs w:val="17"/>
                <w:shd w:val="clear" w:color="auto" w:fill="CFE5E5"/>
              </w:rPr>
              <w:t>✓</w:t>
            </w:r>
            <w:r w:rsidR="00EC74BD" w:rsidRPr="00F53BDD">
              <w:rPr>
                <w:rFonts w:cstheme="minorHAnsi"/>
                <w:sz w:val="17"/>
                <w:szCs w:val="17"/>
              </w:rPr>
              <w:tab/>
            </w:r>
            <w:r w:rsidRPr="00F53BDD">
              <w:rPr>
                <w:rFonts w:cstheme="minorHAnsi"/>
                <w:sz w:val="17"/>
                <w:szCs w:val="17"/>
              </w:rPr>
              <w:t>Partially addresses risk</w:t>
            </w:r>
          </w:p>
          <w:p w:rsidR="00A37B38" w:rsidRPr="00F53BDD" w:rsidRDefault="00A37B38" w:rsidP="00EC74BD">
            <w:pPr>
              <w:pStyle w:val="TableText"/>
              <w:tabs>
                <w:tab w:val="left" w:pos="507"/>
              </w:tabs>
              <w:spacing w:before="0"/>
              <w:contextualSpacing/>
              <w:rPr>
                <w:rFonts w:cstheme="minorHAnsi"/>
                <w:sz w:val="17"/>
                <w:szCs w:val="17"/>
              </w:rPr>
            </w:pPr>
            <w:r w:rsidRPr="00F53BDD">
              <w:rPr>
                <w:rFonts w:cstheme="minorHAnsi"/>
                <w:sz w:val="17"/>
                <w:szCs w:val="17"/>
              </w:rPr>
              <w:t>O</w:t>
            </w:r>
            <w:r w:rsidR="00EC74BD" w:rsidRPr="00F53BDD">
              <w:rPr>
                <w:rFonts w:cstheme="minorHAnsi"/>
                <w:sz w:val="17"/>
                <w:szCs w:val="17"/>
              </w:rPr>
              <w:tab/>
            </w:r>
            <w:r w:rsidRPr="00F53BDD">
              <w:rPr>
                <w:rFonts w:cstheme="minorHAnsi"/>
                <w:sz w:val="17"/>
                <w:szCs w:val="17"/>
              </w:rPr>
              <w:t>Neutral</w:t>
            </w:r>
          </w:p>
        </w:tc>
      </w:tr>
    </w:tbl>
    <w:p w:rsidR="00A37B38" w:rsidRPr="00F53BDD" w:rsidRDefault="00A37B38" w:rsidP="00A37B38">
      <w:pPr>
        <w:spacing w:before="0" w:after="200" w:line="276" w:lineRule="auto"/>
        <w:jc w:val="left"/>
        <w:rPr>
          <w:b/>
          <w:sz w:val="20"/>
        </w:rPr>
      </w:pPr>
      <w:bookmarkStart w:id="121" w:name="_Toc72150039"/>
      <w:r w:rsidRPr="00F53BDD">
        <w:br w:type="page"/>
      </w:r>
    </w:p>
    <w:p w:rsidR="00A37B38" w:rsidRPr="00F53BDD" w:rsidRDefault="00A37B38" w:rsidP="00D77209">
      <w:pPr>
        <w:pStyle w:val="Tableheading"/>
      </w:pPr>
      <w:bookmarkStart w:id="122" w:name="_Toc75250113"/>
      <w:r w:rsidRPr="00F53BDD">
        <w:t>Table</w:t>
      </w:r>
      <w:r w:rsidR="006E253B" w:rsidRPr="00F53BDD">
        <w:t xml:space="preserve"> </w:t>
      </w:r>
      <w:r w:rsidR="00616B66" w:rsidRPr="00F53BDD">
        <w:t>1</w:t>
      </w:r>
      <w:r w:rsidR="006218BD">
        <w:t>1</w:t>
      </w:r>
      <w:r w:rsidRPr="00F53BDD">
        <w:t xml:space="preserve">: </w:t>
      </w:r>
      <w:r w:rsidR="00D07735" w:rsidRPr="00F53BDD">
        <w:tab/>
      </w:r>
      <w:r w:rsidR="00677830" w:rsidRPr="00F53BDD">
        <w:t xml:space="preserve">Governance of trading: </w:t>
      </w:r>
      <w:r w:rsidRPr="00F53BDD">
        <w:t xml:space="preserve">Risk </w:t>
      </w:r>
      <w:r w:rsidR="00877E61" w:rsidRPr="00F53BDD">
        <w:t xml:space="preserve">coverage </w:t>
      </w:r>
      <w:r w:rsidRPr="00F53BDD">
        <w:t>analysis</w:t>
      </w:r>
      <w:bookmarkEnd w:id="122"/>
      <w:r w:rsidRPr="00F53BDD">
        <w:t xml:space="preserve"> </w:t>
      </w:r>
      <w:bookmarkEnd w:id="121"/>
    </w:p>
    <w:tbl>
      <w:tblPr>
        <w:tblStyle w:val="TableGrid"/>
        <w:tblW w:w="13438"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954"/>
        <w:gridCol w:w="1438"/>
        <w:gridCol w:w="2650"/>
        <w:gridCol w:w="3457"/>
        <w:gridCol w:w="3939"/>
      </w:tblGrid>
      <w:tr w:rsidR="00FD56AA" w:rsidRPr="00F53BDD" w:rsidTr="00EB5C26">
        <w:tc>
          <w:tcPr>
            <w:tcW w:w="0" w:type="auto"/>
            <w:shd w:val="clear" w:color="auto" w:fill="1C556C" w:themeFill="accent1"/>
          </w:tcPr>
          <w:p w:rsidR="00A37B38" w:rsidRPr="00F53BDD" w:rsidRDefault="00A37B38" w:rsidP="00654355">
            <w:pPr>
              <w:pStyle w:val="TableTextbold"/>
              <w:rPr>
                <w:color w:val="FFFFFF" w:themeColor="background1"/>
                <w:sz w:val="17"/>
                <w:szCs w:val="17"/>
              </w:rPr>
            </w:pPr>
            <w:r w:rsidRPr="00F53BDD">
              <w:rPr>
                <w:color w:val="FFFFFF" w:themeColor="background1"/>
                <w:sz w:val="17"/>
                <w:szCs w:val="17"/>
              </w:rPr>
              <w:t>Risk</w:t>
            </w:r>
          </w:p>
        </w:tc>
        <w:tc>
          <w:tcPr>
            <w:tcW w:w="0" w:type="auto"/>
            <w:shd w:val="clear" w:color="auto" w:fill="1C556C" w:themeFill="accent1"/>
          </w:tcPr>
          <w:p w:rsidR="00A37B38" w:rsidRPr="00F53BDD" w:rsidRDefault="00A37B38" w:rsidP="00654355">
            <w:pPr>
              <w:pStyle w:val="TableTextbold"/>
              <w:rPr>
                <w:color w:val="FFFFFF" w:themeColor="background1"/>
                <w:sz w:val="17"/>
                <w:szCs w:val="17"/>
              </w:rPr>
            </w:pPr>
            <w:r w:rsidRPr="00F53BDD">
              <w:rPr>
                <w:color w:val="FFFFFF" w:themeColor="background1"/>
                <w:sz w:val="17"/>
                <w:szCs w:val="17"/>
              </w:rPr>
              <w:t>B1: Status quo</w:t>
            </w:r>
          </w:p>
        </w:tc>
        <w:tc>
          <w:tcPr>
            <w:tcW w:w="0" w:type="auto"/>
            <w:shd w:val="clear" w:color="auto" w:fill="1C556C" w:themeFill="accent1"/>
          </w:tcPr>
          <w:p w:rsidR="00A37B38" w:rsidRPr="00F53BDD" w:rsidRDefault="00A37B38" w:rsidP="00654355">
            <w:pPr>
              <w:pStyle w:val="TableTextbold"/>
              <w:rPr>
                <w:color w:val="FFFFFF" w:themeColor="background1"/>
                <w:sz w:val="17"/>
                <w:szCs w:val="17"/>
              </w:rPr>
            </w:pPr>
            <w:r w:rsidRPr="00F53BDD">
              <w:rPr>
                <w:color w:val="FFFFFF" w:themeColor="background1"/>
                <w:sz w:val="17"/>
                <w:szCs w:val="17"/>
              </w:rPr>
              <w:t>B2 Voluntary reporting of trades</w:t>
            </w:r>
          </w:p>
        </w:tc>
        <w:tc>
          <w:tcPr>
            <w:tcW w:w="3457" w:type="dxa"/>
            <w:shd w:val="clear" w:color="auto" w:fill="1C556C" w:themeFill="accent1"/>
          </w:tcPr>
          <w:p w:rsidR="00A37B38" w:rsidRPr="00F53BDD" w:rsidRDefault="00A37B38" w:rsidP="00654355">
            <w:pPr>
              <w:pStyle w:val="TableTextbold"/>
              <w:rPr>
                <w:color w:val="FFFFFF" w:themeColor="background1"/>
                <w:sz w:val="17"/>
                <w:szCs w:val="17"/>
              </w:rPr>
            </w:pPr>
            <w:r w:rsidRPr="00F53BDD">
              <w:rPr>
                <w:color w:val="FFFFFF" w:themeColor="background1"/>
                <w:sz w:val="17"/>
                <w:szCs w:val="17"/>
              </w:rPr>
              <w:t xml:space="preserve">B3: Participant </w:t>
            </w:r>
            <w:r w:rsidR="00EC0E84" w:rsidRPr="00F53BDD">
              <w:rPr>
                <w:color w:val="FFFFFF" w:themeColor="background1"/>
                <w:sz w:val="17"/>
                <w:szCs w:val="17"/>
              </w:rPr>
              <w:t>p</w:t>
            </w:r>
            <w:r w:rsidRPr="00F53BDD">
              <w:rPr>
                <w:color w:val="FFFFFF" w:themeColor="background1"/>
                <w:sz w:val="17"/>
                <w:szCs w:val="17"/>
              </w:rPr>
              <w:t xml:space="preserve">osition </w:t>
            </w:r>
            <w:r w:rsidR="00EC0E84" w:rsidRPr="00F53BDD">
              <w:rPr>
                <w:color w:val="FFFFFF" w:themeColor="background1"/>
                <w:sz w:val="17"/>
                <w:szCs w:val="17"/>
              </w:rPr>
              <w:t>r</w:t>
            </w:r>
            <w:r w:rsidRPr="00F53BDD">
              <w:rPr>
                <w:color w:val="FFFFFF" w:themeColor="background1"/>
                <w:sz w:val="17"/>
                <w:szCs w:val="17"/>
              </w:rPr>
              <w:t>eporting</w:t>
            </w:r>
          </w:p>
        </w:tc>
        <w:tc>
          <w:tcPr>
            <w:tcW w:w="3939" w:type="dxa"/>
            <w:tcBorders>
              <w:bottom w:val="single" w:sz="4" w:space="0" w:color="1C556C" w:themeColor="accent1"/>
            </w:tcBorders>
            <w:shd w:val="clear" w:color="auto" w:fill="1C556C" w:themeFill="accent1"/>
          </w:tcPr>
          <w:p w:rsidR="00A37B38" w:rsidRPr="00F53BDD" w:rsidRDefault="00A37B38" w:rsidP="00654355">
            <w:pPr>
              <w:pStyle w:val="TableTextbold"/>
              <w:rPr>
                <w:color w:val="FFFFFF" w:themeColor="background1"/>
                <w:sz w:val="17"/>
                <w:szCs w:val="17"/>
              </w:rPr>
            </w:pPr>
            <w:r w:rsidRPr="00F53BDD">
              <w:rPr>
                <w:color w:val="FFFFFF" w:themeColor="background1"/>
                <w:sz w:val="17"/>
                <w:szCs w:val="17"/>
              </w:rPr>
              <w:t>B4: Requiring exchange-based trading</w:t>
            </w:r>
          </w:p>
        </w:tc>
      </w:tr>
      <w:tr w:rsidR="00A37B38" w:rsidRPr="00F53BDD" w:rsidTr="00EB5C26">
        <w:tc>
          <w:tcPr>
            <w:tcW w:w="0" w:type="auto"/>
          </w:tcPr>
          <w:p w:rsidR="00A37B38" w:rsidRPr="00F53BDD" w:rsidRDefault="00A37B38" w:rsidP="00FD56AA">
            <w:pPr>
              <w:pStyle w:val="TableTextbold"/>
              <w:spacing w:before="0"/>
              <w:rPr>
                <w:sz w:val="17"/>
                <w:szCs w:val="17"/>
              </w:rPr>
            </w:pPr>
            <w:r w:rsidRPr="00F53BDD">
              <w:rPr>
                <w:sz w:val="17"/>
                <w:szCs w:val="17"/>
              </w:rPr>
              <w:t>Poor advice</w:t>
            </w:r>
          </w:p>
        </w:tc>
        <w:tc>
          <w:tcPr>
            <w:tcW w:w="0" w:type="auto"/>
          </w:tcPr>
          <w:p w:rsidR="00A37B38" w:rsidRPr="00F53BDD" w:rsidRDefault="00A37B38" w:rsidP="00FD56AA">
            <w:pPr>
              <w:pStyle w:val="TableText"/>
              <w:spacing w:before="0" w:after="0"/>
              <w:jc w:val="center"/>
              <w:rPr>
                <w:sz w:val="17"/>
                <w:szCs w:val="17"/>
              </w:rPr>
            </w:pPr>
            <w:r w:rsidRPr="00F53BDD">
              <w:rPr>
                <w:sz w:val="17"/>
                <w:szCs w:val="17"/>
              </w:rPr>
              <w:t>O</w:t>
            </w:r>
          </w:p>
          <w:p w:rsidR="00A37B38" w:rsidRPr="00F53BDD" w:rsidRDefault="00A37B38" w:rsidP="00FD56AA">
            <w:pPr>
              <w:pStyle w:val="TableText"/>
              <w:spacing w:before="0" w:after="0"/>
              <w:jc w:val="center"/>
              <w:rPr>
                <w:sz w:val="17"/>
                <w:szCs w:val="17"/>
              </w:rPr>
            </w:pPr>
            <w:r w:rsidRPr="00F53BDD">
              <w:rPr>
                <w:sz w:val="17"/>
                <w:szCs w:val="17"/>
              </w:rPr>
              <w:t>Not applicable</w:t>
            </w:r>
          </w:p>
        </w:tc>
        <w:tc>
          <w:tcPr>
            <w:tcW w:w="0" w:type="auto"/>
          </w:tcPr>
          <w:p w:rsidR="00A37B38" w:rsidRPr="00F53BDD" w:rsidRDefault="00A37B38" w:rsidP="00FD56AA">
            <w:pPr>
              <w:pStyle w:val="TableText"/>
              <w:spacing w:before="0" w:after="0"/>
              <w:jc w:val="center"/>
              <w:rPr>
                <w:sz w:val="17"/>
                <w:szCs w:val="17"/>
              </w:rPr>
            </w:pPr>
            <w:r w:rsidRPr="00F53BDD">
              <w:rPr>
                <w:sz w:val="17"/>
                <w:szCs w:val="17"/>
              </w:rPr>
              <w:t>O</w:t>
            </w:r>
          </w:p>
          <w:p w:rsidR="00A37B38" w:rsidRPr="00F53BDD" w:rsidRDefault="00A37B38" w:rsidP="00FD56AA">
            <w:pPr>
              <w:pStyle w:val="TableText"/>
              <w:spacing w:before="0" w:after="0"/>
              <w:jc w:val="center"/>
              <w:rPr>
                <w:sz w:val="17"/>
                <w:szCs w:val="17"/>
              </w:rPr>
            </w:pPr>
            <w:r w:rsidRPr="00F53BDD">
              <w:rPr>
                <w:sz w:val="17"/>
                <w:szCs w:val="17"/>
              </w:rPr>
              <w:t>Not applicable</w:t>
            </w:r>
          </w:p>
        </w:tc>
        <w:tc>
          <w:tcPr>
            <w:tcW w:w="3457" w:type="dxa"/>
          </w:tcPr>
          <w:p w:rsidR="00A37B38" w:rsidRPr="00F53BDD" w:rsidRDefault="00A37B38" w:rsidP="00FD56AA">
            <w:pPr>
              <w:pStyle w:val="TableText"/>
              <w:spacing w:before="0" w:after="0"/>
              <w:jc w:val="center"/>
              <w:rPr>
                <w:sz w:val="17"/>
                <w:szCs w:val="17"/>
              </w:rPr>
            </w:pPr>
            <w:r w:rsidRPr="00F53BDD">
              <w:rPr>
                <w:sz w:val="17"/>
                <w:szCs w:val="17"/>
              </w:rPr>
              <w:t>O</w:t>
            </w:r>
          </w:p>
          <w:p w:rsidR="00A37B38" w:rsidRPr="00F53BDD" w:rsidRDefault="00A37B38" w:rsidP="00FD56AA">
            <w:pPr>
              <w:pStyle w:val="TableText"/>
              <w:spacing w:before="0" w:after="0"/>
              <w:jc w:val="center"/>
              <w:rPr>
                <w:sz w:val="17"/>
                <w:szCs w:val="17"/>
              </w:rPr>
            </w:pPr>
            <w:r w:rsidRPr="00F53BDD">
              <w:rPr>
                <w:sz w:val="17"/>
                <w:szCs w:val="17"/>
              </w:rPr>
              <w:t>Not applicable</w:t>
            </w:r>
          </w:p>
        </w:tc>
        <w:tc>
          <w:tcPr>
            <w:tcW w:w="3939" w:type="dxa"/>
            <w:tcBorders>
              <w:right w:val="nil"/>
            </w:tcBorders>
            <w:shd w:val="clear" w:color="auto" w:fill="CFE5E5"/>
          </w:tcPr>
          <w:p w:rsidR="00A37B38" w:rsidRPr="00F53BDD" w:rsidRDefault="00A37B38" w:rsidP="00E0393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Exchanges could be required to ensure independent participants are informed of the risks of trading</w:t>
            </w:r>
          </w:p>
        </w:tc>
      </w:tr>
      <w:tr w:rsidR="00A37B38" w:rsidRPr="00F53BDD" w:rsidTr="00B80A0F">
        <w:tc>
          <w:tcPr>
            <w:tcW w:w="0" w:type="auto"/>
            <w:tcBorders>
              <w:bottom w:val="single" w:sz="4" w:space="0" w:color="1C556C" w:themeColor="accent1"/>
            </w:tcBorders>
          </w:tcPr>
          <w:p w:rsidR="00A37B38" w:rsidRPr="00F53BDD" w:rsidRDefault="00A37B38" w:rsidP="00FD56AA">
            <w:pPr>
              <w:pStyle w:val="TableTextbold"/>
              <w:spacing w:before="0"/>
              <w:rPr>
                <w:sz w:val="17"/>
                <w:szCs w:val="17"/>
              </w:rPr>
            </w:pPr>
            <w:r w:rsidRPr="00F53BDD">
              <w:rPr>
                <w:sz w:val="17"/>
                <w:szCs w:val="17"/>
              </w:rPr>
              <w:t>Conflict of interest</w:t>
            </w:r>
          </w:p>
        </w:tc>
        <w:tc>
          <w:tcPr>
            <w:tcW w:w="0" w:type="auto"/>
          </w:tcPr>
          <w:p w:rsidR="00A37B38" w:rsidRPr="00F53BDD" w:rsidRDefault="00A37B38" w:rsidP="00FD56AA">
            <w:pPr>
              <w:pStyle w:val="TableText"/>
              <w:spacing w:before="0" w:after="0"/>
              <w:jc w:val="center"/>
              <w:rPr>
                <w:sz w:val="17"/>
                <w:szCs w:val="17"/>
              </w:rPr>
            </w:pPr>
            <w:r w:rsidRPr="00F53BDD">
              <w:rPr>
                <w:sz w:val="17"/>
                <w:szCs w:val="17"/>
              </w:rPr>
              <w:t>O</w:t>
            </w:r>
          </w:p>
          <w:p w:rsidR="00A37B38" w:rsidRPr="00F53BDD" w:rsidRDefault="00A37B38" w:rsidP="00977597">
            <w:pPr>
              <w:pStyle w:val="TableText"/>
              <w:spacing w:before="0"/>
              <w:jc w:val="center"/>
              <w:rPr>
                <w:sz w:val="17"/>
                <w:szCs w:val="17"/>
              </w:rPr>
            </w:pPr>
            <w:r w:rsidRPr="00F53BDD">
              <w:rPr>
                <w:sz w:val="17"/>
                <w:szCs w:val="17"/>
              </w:rPr>
              <w:t>Not applicable</w:t>
            </w:r>
          </w:p>
        </w:tc>
        <w:tc>
          <w:tcPr>
            <w:tcW w:w="0" w:type="auto"/>
            <w:tcBorders>
              <w:bottom w:val="single" w:sz="4" w:space="0" w:color="1C556C" w:themeColor="accent1"/>
            </w:tcBorders>
          </w:tcPr>
          <w:p w:rsidR="00A37B38" w:rsidRPr="00F53BDD" w:rsidRDefault="00A37B38" w:rsidP="00FD56AA">
            <w:pPr>
              <w:pStyle w:val="TableText"/>
              <w:spacing w:before="0" w:after="0"/>
              <w:jc w:val="center"/>
              <w:rPr>
                <w:sz w:val="17"/>
                <w:szCs w:val="17"/>
              </w:rPr>
            </w:pPr>
            <w:r w:rsidRPr="00F53BDD">
              <w:rPr>
                <w:sz w:val="17"/>
                <w:szCs w:val="17"/>
              </w:rPr>
              <w:t>O</w:t>
            </w:r>
          </w:p>
          <w:p w:rsidR="00A37B38" w:rsidRPr="00F53BDD" w:rsidRDefault="00A37B38" w:rsidP="00FD56AA">
            <w:pPr>
              <w:pStyle w:val="TableText"/>
              <w:spacing w:before="0" w:after="0"/>
              <w:jc w:val="center"/>
              <w:rPr>
                <w:sz w:val="17"/>
                <w:szCs w:val="17"/>
                <w:shd w:val="clear" w:color="auto" w:fill="F7E1D3" w:themeFill="accent6" w:themeFillTint="33"/>
              </w:rPr>
            </w:pPr>
            <w:r w:rsidRPr="00F53BDD">
              <w:rPr>
                <w:sz w:val="17"/>
                <w:szCs w:val="17"/>
              </w:rPr>
              <w:t>Not applicable</w:t>
            </w:r>
          </w:p>
        </w:tc>
        <w:tc>
          <w:tcPr>
            <w:tcW w:w="3457" w:type="dxa"/>
            <w:tcBorders>
              <w:bottom w:val="single" w:sz="4" w:space="0" w:color="1C556C" w:themeColor="accent1"/>
            </w:tcBorders>
          </w:tcPr>
          <w:p w:rsidR="00A37B38" w:rsidRPr="00F53BDD" w:rsidRDefault="00A37B38" w:rsidP="00FD56AA">
            <w:pPr>
              <w:pStyle w:val="TableText"/>
              <w:spacing w:before="0" w:after="0"/>
              <w:jc w:val="center"/>
              <w:rPr>
                <w:sz w:val="17"/>
                <w:szCs w:val="17"/>
              </w:rPr>
            </w:pPr>
            <w:r w:rsidRPr="00F53BDD">
              <w:rPr>
                <w:sz w:val="17"/>
                <w:szCs w:val="17"/>
              </w:rPr>
              <w:t>O</w:t>
            </w:r>
          </w:p>
          <w:p w:rsidR="00A37B38" w:rsidRPr="00F53BDD" w:rsidRDefault="00A37B38" w:rsidP="00FD56AA">
            <w:pPr>
              <w:pStyle w:val="TableText"/>
              <w:spacing w:before="0" w:after="0"/>
              <w:jc w:val="center"/>
              <w:rPr>
                <w:sz w:val="17"/>
                <w:szCs w:val="17"/>
              </w:rPr>
            </w:pPr>
            <w:r w:rsidRPr="00F53BDD">
              <w:rPr>
                <w:sz w:val="17"/>
                <w:szCs w:val="17"/>
              </w:rPr>
              <w:t>Not applicable</w:t>
            </w:r>
          </w:p>
        </w:tc>
        <w:tc>
          <w:tcPr>
            <w:tcW w:w="3939" w:type="dxa"/>
            <w:tcBorders>
              <w:bottom w:val="single" w:sz="4" w:space="0" w:color="1C556C" w:themeColor="accent1"/>
            </w:tcBorders>
          </w:tcPr>
          <w:p w:rsidR="00A37B38" w:rsidRPr="00F53BDD" w:rsidRDefault="00A37B38" w:rsidP="00FD56AA">
            <w:pPr>
              <w:pStyle w:val="TableText"/>
              <w:spacing w:before="0" w:after="0"/>
              <w:jc w:val="center"/>
              <w:rPr>
                <w:sz w:val="17"/>
                <w:szCs w:val="17"/>
              </w:rPr>
            </w:pPr>
            <w:r w:rsidRPr="00F53BDD">
              <w:rPr>
                <w:sz w:val="17"/>
                <w:szCs w:val="17"/>
              </w:rPr>
              <w:t>O</w:t>
            </w:r>
          </w:p>
          <w:p w:rsidR="00A37B38" w:rsidRPr="00F53BDD" w:rsidRDefault="00A37B38" w:rsidP="00FD56AA">
            <w:pPr>
              <w:pStyle w:val="TableText"/>
              <w:spacing w:before="0" w:after="0"/>
              <w:jc w:val="center"/>
              <w:rPr>
                <w:sz w:val="17"/>
                <w:szCs w:val="17"/>
              </w:rPr>
            </w:pPr>
            <w:r w:rsidRPr="00F53BDD">
              <w:rPr>
                <w:sz w:val="17"/>
                <w:szCs w:val="17"/>
              </w:rPr>
              <w:t>Not applicable</w:t>
            </w:r>
          </w:p>
        </w:tc>
      </w:tr>
      <w:tr w:rsidR="00A37B38" w:rsidRPr="00F53BDD" w:rsidTr="00B80A0F">
        <w:tc>
          <w:tcPr>
            <w:tcW w:w="0" w:type="auto"/>
            <w:shd w:val="clear" w:color="auto" w:fill="FFFFFF" w:themeFill="background1"/>
          </w:tcPr>
          <w:p w:rsidR="00A37B38" w:rsidRPr="00F53BDD" w:rsidRDefault="00A37B38" w:rsidP="00FD56AA">
            <w:pPr>
              <w:pStyle w:val="TableTextbold"/>
              <w:spacing w:before="0"/>
              <w:rPr>
                <w:sz w:val="17"/>
                <w:szCs w:val="17"/>
              </w:rPr>
            </w:pPr>
            <w:r w:rsidRPr="00F53BDD">
              <w:rPr>
                <w:sz w:val="17"/>
                <w:szCs w:val="17"/>
              </w:rPr>
              <w:t>Transparency, monitoring and oversight of trades</w:t>
            </w:r>
          </w:p>
        </w:tc>
        <w:tc>
          <w:tcPr>
            <w:tcW w:w="0" w:type="auto"/>
          </w:tcPr>
          <w:p w:rsidR="00A37B38" w:rsidRPr="00F53BDD" w:rsidRDefault="00A37B38" w:rsidP="00FD56AA">
            <w:pPr>
              <w:pStyle w:val="TableText"/>
              <w:spacing w:before="0" w:after="0"/>
              <w:jc w:val="center"/>
              <w:rPr>
                <w:sz w:val="17"/>
                <w:szCs w:val="17"/>
              </w:rPr>
            </w:pPr>
            <w:r w:rsidRPr="00F53BDD">
              <w:rPr>
                <w:sz w:val="17"/>
                <w:szCs w:val="17"/>
              </w:rPr>
              <w:t>O</w:t>
            </w:r>
          </w:p>
          <w:p w:rsidR="00A37B38" w:rsidRPr="00F53BDD" w:rsidRDefault="00A37B38" w:rsidP="00FD56AA">
            <w:pPr>
              <w:pStyle w:val="TableText"/>
              <w:spacing w:before="0" w:after="0"/>
              <w:jc w:val="center"/>
              <w:rPr>
                <w:sz w:val="17"/>
                <w:szCs w:val="17"/>
              </w:rPr>
            </w:pPr>
            <w:r w:rsidRPr="00F53BDD">
              <w:rPr>
                <w:sz w:val="17"/>
                <w:szCs w:val="17"/>
              </w:rPr>
              <w:t>No transparency over trades</w:t>
            </w:r>
          </w:p>
        </w:tc>
        <w:tc>
          <w:tcPr>
            <w:tcW w:w="0" w:type="auto"/>
            <w:shd w:val="clear" w:color="auto" w:fill="CFE5E5"/>
          </w:tcPr>
          <w:p w:rsidR="00A37B38" w:rsidRPr="00F53BDD" w:rsidRDefault="00A37B38" w:rsidP="00700E2F">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EC0E84" w:rsidP="00FD56AA">
            <w:pPr>
              <w:pStyle w:val="TableText"/>
              <w:spacing w:before="0" w:after="0"/>
              <w:jc w:val="center"/>
              <w:rPr>
                <w:sz w:val="17"/>
                <w:szCs w:val="17"/>
                <w:shd w:val="clear" w:color="auto" w:fill="F7E1D3" w:themeFill="accent6" w:themeFillTint="33"/>
              </w:rPr>
            </w:pPr>
            <w:r w:rsidRPr="00F53BDD">
              <w:rPr>
                <w:sz w:val="17"/>
                <w:szCs w:val="17"/>
              </w:rPr>
              <w:t>S</w:t>
            </w:r>
            <w:r w:rsidR="00A37B38" w:rsidRPr="00F53BDD">
              <w:rPr>
                <w:sz w:val="17"/>
                <w:szCs w:val="17"/>
              </w:rPr>
              <w:t>ome transparency for reporting participants</w:t>
            </w:r>
          </w:p>
        </w:tc>
        <w:tc>
          <w:tcPr>
            <w:tcW w:w="3457" w:type="dxa"/>
            <w:tcBorders>
              <w:bottom w:val="single" w:sz="4" w:space="0" w:color="1C556C" w:themeColor="accent1"/>
            </w:tcBorders>
            <w:shd w:val="clear" w:color="auto" w:fill="EDB097"/>
          </w:tcPr>
          <w:p w:rsidR="00700E2F" w:rsidRPr="00F53BDD" w:rsidRDefault="00700E2F" w:rsidP="00FD56AA">
            <w:pPr>
              <w:pStyle w:val="TableText"/>
              <w:spacing w:before="0" w:after="0"/>
              <w:jc w:val="center"/>
              <w:rPr>
                <w:sz w:val="17"/>
                <w:szCs w:val="17"/>
              </w:rPr>
            </w:pPr>
            <w:r w:rsidRPr="00F53BDD">
              <w:rPr>
                <w:sz w:val="17"/>
                <w:szCs w:val="17"/>
              </w:rPr>
              <w:t>x</w:t>
            </w:r>
          </w:p>
          <w:p w:rsidR="00A37B38" w:rsidRPr="00F53BDD" w:rsidRDefault="00A37B38" w:rsidP="00977597">
            <w:pPr>
              <w:pStyle w:val="TableText"/>
              <w:spacing w:before="0"/>
              <w:jc w:val="center"/>
              <w:rPr>
                <w:sz w:val="17"/>
                <w:szCs w:val="17"/>
                <w:shd w:val="clear" w:color="auto" w:fill="92D050"/>
              </w:rPr>
            </w:pPr>
            <w:r w:rsidRPr="00F53BDD">
              <w:rPr>
                <w:sz w:val="17"/>
                <w:szCs w:val="17"/>
              </w:rPr>
              <w:t>Participants must report on NZU holdings which can be monitored by a regulator, but does not require any price information</w:t>
            </w:r>
          </w:p>
        </w:tc>
        <w:tc>
          <w:tcPr>
            <w:tcW w:w="3939" w:type="dxa"/>
            <w:tcBorders>
              <w:bottom w:val="single" w:sz="4" w:space="0" w:color="1C556C" w:themeColor="accent1"/>
            </w:tcBorders>
            <w:shd w:val="clear" w:color="auto" w:fill="57A3A4"/>
          </w:tcPr>
          <w:p w:rsidR="00A37B38" w:rsidRPr="00F53BDD" w:rsidRDefault="00A37B38" w:rsidP="0090714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0714C">
            <w:pPr>
              <w:pStyle w:val="TableText"/>
              <w:spacing w:before="0" w:after="0"/>
              <w:jc w:val="center"/>
              <w:rPr>
                <w:sz w:val="17"/>
                <w:szCs w:val="17"/>
              </w:rPr>
            </w:pPr>
            <w:r w:rsidRPr="00F53BDD">
              <w:rPr>
                <w:sz w:val="17"/>
                <w:szCs w:val="17"/>
              </w:rPr>
              <w:t>Exchanges must report on trades, which can be monitored by a regulator</w:t>
            </w:r>
          </w:p>
        </w:tc>
      </w:tr>
      <w:tr w:rsidR="003B5262" w:rsidRPr="00F53BDD" w:rsidTr="00B80A0F">
        <w:tc>
          <w:tcPr>
            <w:tcW w:w="0" w:type="auto"/>
            <w:shd w:val="clear" w:color="auto" w:fill="FFFFFF" w:themeFill="background1"/>
          </w:tcPr>
          <w:p w:rsidR="003B5262" w:rsidRPr="00F53BDD" w:rsidRDefault="003B5262" w:rsidP="00FD56AA">
            <w:pPr>
              <w:pStyle w:val="TableTextbold"/>
              <w:spacing w:before="0"/>
              <w:rPr>
                <w:sz w:val="17"/>
                <w:szCs w:val="17"/>
              </w:rPr>
            </w:pPr>
            <w:r w:rsidRPr="00F53BDD">
              <w:rPr>
                <w:sz w:val="17"/>
                <w:szCs w:val="17"/>
              </w:rPr>
              <w:t>Credit and counter-party risk</w:t>
            </w:r>
          </w:p>
        </w:tc>
        <w:tc>
          <w:tcPr>
            <w:tcW w:w="0" w:type="auto"/>
          </w:tcPr>
          <w:p w:rsidR="003B5262" w:rsidRPr="00F53BDD" w:rsidRDefault="003B5262" w:rsidP="00FD56AA">
            <w:pPr>
              <w:pStyle w:val="TableText"/>
              <w:spacing w:before="0" w:after="0"/>
              <w:jc w:val="center"/>
              <w:rPr>
                <w:sz w:val="17"/>
                <w:szCs w:val="17"/>
              </w:rPr>
            </w:pPr>
            <w:r w:rsidRPr="00F53BDD">
              <w:rPr>
                <w:sz w:val="17"/>
                <w:szCs w:val="17"/>
              </w:rPr>
              <w:t>O</w:t>
            </w:r>
          </w:p>
          <w:p w:rsidR="003B5262" w:rsidRPr="00F53BDD" w:rsidRDefault="003B5262" w:rsidP="00FD56AA">
            <w:pPr>
              <w:pStyle w:val="TableText"/>
              <w:spacing w:before="0" w:after="0"/>
              <w:jc w:val="center"/>
              <w:rPr>
                <w:sz w:val="17"/>
                <w:szCs w:val="17"/>
              </w:rPr>
            </w:pPr>
            <w:r w:rsidRPr="00F53BDD">
              <w:rPr>
                <w:sz w:val="17"/>
                <w:szCs w:val="17"/>
              </w:rPr>
              <w:t>Not applicable</w:t>
            </w:r>
          </w:p>
        </w:tc>
        <w:tc>
          <w:tcPr>
            <w:tcW w:w="0" w:type="auto"/>
            <w:tcBorders>
              <w:bottom w:val="single" w:sz="4" w:space="0" w:color="1C556C" w:themeColor="accent1"/>
            </w:tcBorders>
          </w:tcPr>
          <w:p w:rsidR="003B5262" w:rsidRPr="00F53BDD" w:rsidRDefault="003B5262" w:rsidP="00FD56AA">
            <w:pPr>
              <w:pStyle w:val="TableText"/>
              <w:spacing w:before="0" w:after="0"/>
              <w:jc w:val="center"/>
              <w:rPr>
                <w:sz w:val="17"/>
                <w:szCs w:val="17"/>
              </w:rPr>
            </w:pPr>
            <w:r w:rsidRPr="00F53BDD">
              <w:rPr>
                <w:sz w:val="17"/>
                <w:szCs w:val="17"/>
              </w:rPr>
              <w:t>O</w:t>
            </w:r>
          </w:p>
          <w:p w:rsidR="003B5262" w:rsidRPr="00F53BDD" w:rsidRDefault="003B5262" w:rsidP="00FD56AA">
            <w:pPr>
              <w:pStyle w:val="TableText"/>
              <w:spacing w:before="0" w:after="0"/>
              <w:jc w:val="center"/>
              <w:rPr>
                <w:sz w:val="17"/>
                <w:szCs w:val="17"/>
                <w:shd w:val="clear" w:color="auto" w:fill="F7E1D3" w:themeFill="accent6" w:themeFillTint="33"/>
              </w:rPr>
            </w:pPr>
            <w:r w:rsidRPr="00F53BDD">
              <w:rPr>
                <w:sz w:val="17"/>
                <w:szCs w:val="17"/>
              </w:rPr>
              <w:t>Not applicable</w:t>
            </w:r>
          </w:p>
        </w:tc>
        <w:tc>
          <w:tcPr>
            <w:tcW w:w="3457" w:type="dxa"/>
            <w:shd w:val="clear" w:color="auto" w:fill="CFE5E5"/>
          </w:tcPr>
          <w:p w:rsidR="003B5262" w:rsidRPr="00F53BDD" w:rsidRDefault="003B5262" w:rsidP="00700E2F">
            <w:pPr>
              <w:pStyle w:val="TableText"/>
              <w:spacing w:before="0" w:after="0"/>
              <w:jc w:val="center"/>
              <w:rPr>
                <w:sz w:val="17"/>
                <w:szCs w:val="17"/>
              </w:rPr>
            </w:pPr>
            <w:r w:rsidRPr="00F53BDD">
              <w:rPr>
                <w:rFonts w:ascii="Segoe UI Symbol" w:hAnsi="Segoe UI Symbol" w:cs="Segoe UI Symbol"/>
                <w:sz w:val="17"/>
                <w:szCs w:val="17"/>
              </w:rPr>
              <w:t>✓</w:t>
            </w:r>
          </w:p>
          <w:p w:rsidR="003B5262" w:rsidRPr="00F53BDD" w:rsidRDefault="003B5262" w:rsidP="00977597">
            <w:pPr>
              <w:pStyle w:val="TableText"/>
              <w:spacing w:before="0"/>
              <w:jc w:val="center"/>
              <w:rPr>
                <w:sz w:val="17"/>
                <w:szCs w:val="17"/>
              </w:rPr>
            </w:pPr>
            <w:r w:rsidRPr="00F53BDD">
              <w:rPr>
                <w:sz w:val="17"/>
                <w:szCs w:val="17"/>
              </w:rPr>
              <w:t>Provides some information on participants’ ability to fulfil trades</w:t>
            </w:r>
          </w:p>
        </w:tc>
        <w:tc>
          <w:tcPr>
            <w:tcW w:w="3939" w:type="dxa"/>
            <w:tcBorders>
              <w:bottom w:val="single" w:sz="4" w:space="0" w:color="1C556C" w:themeColor="accent1"/>
            </w:tcBorders>
            <w:shd w:val="clear" w:color="auto" w:fill="87BDBE"/>
          </w:tcPr>
          <w:p w:rsidR="003B5262" w:rsidRPr="00F53BDD" w:rsidRDefault="003B5262" w:rsidP="0090714C">
            <w:pPr>
              <w:pStyle w:val="TableText"/>
              <w:spacing w:before="0" w:after="0"/>
              <w:jc w:val="center"/>
              <w:rPr>
                <w:sz w:val="17"/>
                <w:szCs w:val="17"/>
              </w:rPr>
            </w:pPr>
            <w:r w:rsidRPr="00F53BDD">
              <w:rPr>
                <w:rFonts w:ascii="Segoe UI Symbol" w:hAnsi="Segoe UI Symbol" w:cs="Segoe UI Symbol"/>
                <w:sz w:val="17"/>
                <w:szCs w:val="17"/>
              </w:rPr>
              <w:t>✓✓</w:t>
            </w:r>
          </w:p>
          <w:p w:rsidR="003B5262" w:rsidRPr="00F53BDD" w:rsidRDefault="003B5262" w:rsidP="0090714C">
            <w:pPr>
              <w:pStyle w:val="TableText"/>
              <w:spacing w:before="0" w:after="0"/>
              <w:jc w:val="center"/>
              <w:rPr>
                <w:sz w:val="17"/>
                <w:szCs w:val="17"/>
              </w:rPr>
            </w:pPr>
            <w:r w:rsidRPr="00F53BDD">
              <w:rPr>
                <w:sz w:val="17"/>
                <w:szCs w:val="17"/>
              </w:rPr>
              <w:t>Collateral can be required to engage in exchange-based trading</w:t>
            </w:r>
          </w:p>
        </w:tc>
      </w:tr>
      <w:tr w:rsidR="003B5262" w:rsidRPr="00F53BDD" w:rsidTr="00EB5C26">
        <w:tc>
          <w:tcPr>
            <w:tcW w:w="0" w:type="auto"/>
          </w:tcPr>
          <w:p w:rsidR="003B5262" w:rsidRPr="00F53BDD" w:rsidRDefault="003B5262" w:rsidP="00FD56AA">
            <w:pPr>
              <w:pStyle w:val="TableTextbold"/>
              <w:spacing w:before="0"/>
              <w:rPr>
                <w:sz w:val="17"/>
                <w:szCs w:val="17"/>
              </w:rPr>
            </w:pPr>
            <w:r w:rsidRPr="00F53BDD">
              <w:rPr>
                <w:sz w:val="17"/>
                <w:szCs w:val="17"/>
              </w:rPr>
              <w:t>Price manipulation</w:t>
            </w:r>
          </w:p>
        </w:tc>
        <w:tc>
          <w:tcPr>
            <w:tcW w:w="0" w:type="auto"/>
          </w:tcPr>
          <w:p w:rsidR="003B5262" w:rsidRPr="00F53BDD" w:rsidRDefault="003B5262" w:rsidP="00FD56AA">
            <w:pPr>
              <w:pStyle w:val="TableText"/>
              <w:spacing w:before="0" w:after="0"/>
              <w:jc w:val="center"/>
              <w:rPr>
                <w:sz w:val="17"/>
                <w:szCs w:val="17"/>
              </w:rPr>
            </w:pPr>
            <w:r w:rsidRPr="00F53BDD">
              <w:rPr>
                <w:sz w:val="17"/>
                <w:szCs w:val="17"/>
              </w:rPr>
              <w:t>O</w:t>
            </w:r>
          </w:p>
          <w:p w:rsidR="003B5262" w:rsidRPr="00F53BDD" w:rsidRDefault="003B5262" w:rsidP="00FD56AA">
            <w:pPr>
              <w:pStyle w:val="TableText"/>
              <w:spacing w:before="0" w:after="0"/>
              <w:jc w:val="center"/>
              <w:rPr>
                <w:sz w:val="17"/>
                <w:szCs w:val="17"/>
              </w:rPr>
            </w:pPr>
            <w:r w:rsidRPr="00F53BDD">
              <w:rPr>
                <w:sz w:val="17"/>
                <w:szCs w:val="17"/>
              </w:rPr>
              <w:t>Not applicable</w:t>
            </w:r>
          </w:p>
        </w:tc>
        <w:tc>
          <w:tcPr>
            <w:tcW w:w="0" w:type="auto"/>
            <w:tcBorders>
              <w:bottom w:val="single" w:sz="4" w:space="0" w:color="1C556C" w:themeColor="accent1"/>
            </w:tcBorders>
            <w:shd w:val="clear" w:color="auto" w:fill="EDB097"/>
          </w:tcPr>
          <w:p w:rsidR="003B5262" w:rsidRPr="00F53BDD" w:rsidRDefault="00FD56AA" w:rsidP="00700E2F">
            <w:pPr>
              <w:pStyle w:val="TableText"/>
              <w:spacing w:before="0" w:after="0"/>
              <w:jc w:val="center"/>
              <w:rPr>
                <w:sz w:val="17"/>
                <w:szCs w:val="17"/>
              </w:rPr>
            </w:pPr>
            <w:r w:rsidRPr="00F53BDD">
              <w:rPr>
                <w:sz w:val="17"/>
                <w:szCs w:val="17"/>
              </w:rPr>
              <w:t>x</w:t>
            </w:r>
          </w:p>
          <w:p w:rsidR="003B5262" w:rsidRPr="00F53BDD" w:rsidRDefault="003B5262" w:rsidP="00977597">
            <w:pPr>
              <w:pStyle w:val="TableText"/>
              <w:spacing w:before="0"/>
              <w:jc w:val="center"/>
              <w:rPr>
                <w:sz w:val="17"/>
                <w:szCs w:val="17"/>
              </w:rPr>
            </w:pPr>
            <w:r w:rsidRPr="00F53BDD">
              <w:rPr>
                <w:sz w:val="17"/>
                <w:szCs w:val="17"/>
              </w:rPr>
              <w:t>Parties that engage in price manipulation are unlikely to report</w:t>
            </w:r>
          </w:p>
        </w:tc>
        <w:tc>
          <w:tcPr>
            <w:tcW w:w="3457" w:type="dxa"/>
            <w:tcBorders>
              <w:bottom w:val="single" w:sz="4" w:space="0" w:color="1C556C" w:themeColor="accent1"/>
            </w:tcBorders>
          </w:tcPr>
          <w:p w:rsidR="003B5262" w:rsidRPr="00F53BDD" w:rsidRDefault="003B5262" w:rsidP="00700E2F">
            <w:pPr>
              <w:pStyle w:val="TableText"/>
              <w:spacing w:before="0" w:after="0"/>
              <w:jc w:val="center"/>
              <w:rPr>
                <w:sz w:val="17"/>
                <w:szCs w:val="17"/>
              </w:rPr>
            </w:pPr>
            <w:r w:rsidRPr="00F53BDD">
              <w:rPr>
                <w:sz w:val="17"/>
                <w:szCs w:val="17"/>
              </w:rPr>
              <w:t>O</w:t>
            </w:r>
          </w:p>
          <w:p w:rsidR="003B5262" w:rsidRPr="00F53BDD" w:rsidRDefault="003B5262" w:rsidP="00700E2F">
            <w:pPr>
              <w:pStyle w:val="TableText"/>
              <w:spacing w:before="0" w:after="0"/>
              <w:jc w:val="center"/>
              <w:rPr>
                <w:sz w:val="17"/>
                <w:szCs w:val="17"/>
              </w:rPr>
            </w:pPr>
            <w:r w:rsidRPr="00F53BDD">
              <w:rPr>
                <w:sz w:val="17"/>
                <w:szCs w:val="17"/>
              </w:rPr>
              <w:t>Not applicable</w:t>
            </w:r>
          </w:p>
        </w:tc>
        <w:tc>
          <w:tcPr>
            <w:tcW w:w="3939" w:type="dxa"/>
            <w:tcBorders>
              <w:bottom w:val="single" w:sz="4" w:space="0" w:color="1C556C" w:themeColor="accent1"/>
            </w:tcBorders>
            <w:shd w:val="clear" w:color="auto" w:fill="57A3A4"/>
          </w:tcPr>
          <w:p w:rsidR="003B5262" w:rsidRPr="00F53BDD" w:rsidRDefault="003B5262" w:rsidP="0090714C">
            <w:pPr>
              <w:pStyle w:val="TableText"/>
              <w:spacing w:before="0" w:after="0"/>
              <w:jc w:val="center"/>
              <w:rPr>
                <w:sz w:val="17"/>
                <w:szCs w:val="17"/>
              </w:rPr>
            </w:pPr>
            <w:r w:rsidRPr="00F53BDD">
              <w:rPr>
                <w:rFonts w:ascii="Segoe UI Symbol" w:hAnsi="Segoe UI Symbol" w:cs="Segoe UI Symbol"/>
                <w:sz w:val="17"/>
                <w:szCs w:val="17"/>
              </w:rPr>
              <w:t>✓✓✓</w:t>
            </w:r>
          </w:p>
          <w:p w:rsidR="003B5262" w:rsidRPr="00F53BDD" w:rsidRDefault="003B5262" w:rsidP="0090714C">
            <w:pPr>
              <w:pStyle w:val="TableText"/>
              <w:spacing w:before="0" w:after="0"/>
              <w:jc w:val="center"/>
              <w:rPr>
                <w:sz w:val="17"/>
                <w:szCs w:val="17"/>
              </w:rPr>
            </w:pPr>
            <w:r w:rsidRPr="00F53BDD">
              <w:rPr>
                <w:sz w:val="17"/>
                <w:szCs w:val="17"/>
              </w:rPr>
              <w:t>Helps a regulator monitor and detect unusual trades that could indicate price manipulation</w:t>
            </w:r>
          </w:p>
        </w:tc>
      </w:tr>
      <w:tr w:rsidR="00EB5C26" w:rsidRPr="00F53BDD" w:rsidTr="00EB5C26">
        <w:tc>
          <w:tcPr>
            <w:tcW w:w="0" w:type="auto"/>
          </w:tcPr>
          <w:p w:rsidR="003B5262" w:rsidRPr="00F53BDD" w:rsidRDefault="003B5262" w:rsidP="00FD56AA">
            <w:pPr>
              <w:pStyle w:val="TableTextbold"/>
              <w:spacing w:before="0"/>
              <w:rPr>
                <w:sz w:val="17"/>
                <w:szCs w:val="17"/>
              </w:rPr>
            </w:pPr>
            <w:r w:rsidRPr="00F53BDD">
              <w:rPr>
                <w:sz w:val="17"/>
                <w:szCs w:val="17"/>
              </w:rPr>
              <w:t>Insider trading</w:t>
            </w:r>
          </w:p>
        </w:tc>
        <w:tc>
          <w:tcPr>
            <w:tcW w:w="0" w:type="auto"/>
          </w:tcPr>
          <w:p w:rsidR="003B5262" w:rsidRPr="00F53BDD" w:rsidRDefault="003B5262" w:rsidP="00FD56AA">
            <w:pPr>
              <w:pStyle w:val="TableText"/>
              <w:spacing w:before="0" w:after="0"/>
              <w:jc w:val="center"/>
              <w:rPr>
                <w:sz w:val="17"/>
                <w:szCs w:val="17"/>
              </w:rPr>
            </w:pPr>
            <w:r w:rsidRPr="00F53BDD">
              <w:rPr>
                <w:sz w:val="17"/>
                <w:szCs w:val="17"/>
              </w:rPr>
              <w:t>O</w:t>
            </w:r>
          </w:p>
          <w:p w:rsidR="003B5262" w:rsidRPr="00F53BDD" w:rsidRDefault="003B5262" w:rsidP="00FD56AA">
            <w:pPr>
              <w:pStyle w:val="TableText"/>
              <w:spacing w:before="0" w:after="0"/>
              <w:jc w:val="center"/>
              <w:rPr>
                <w:sz w:val="17"/>
                <w:szCs w:val="17"/>
              </w:rPr>
            </w:pPr>
            <w:r w:rsidRPr="00F53BDD">
              <w:rPr>
                <w:sz w:val="17"/>
                <w:szCs w:val="17"/>
              </w:rPr>
              <w:t>Not applicable</w:t>
            </w:r>
          </w:p>
        </w:tc>
        <w:tc>
          <w:tcPr>
            <w:tcW w:w="0" w:type="auto"/>
            <w:tcBorders>
              <w:bottom w:val="single" w:sz="4" w:space="0" w:color="1C556C" w:themeColor="accent1"/>
            </w:tcBorders>
            <w:shd w:val="clear" w:color="auto" w:fill="EDB097"/>
          </w:tcPr>
          <w:p w:rsidR="003B5262" w:rsidRPr="00F53BDD" w:rsidRDefault="00FD56AA" w:rsidP="00700E2F">
            <w:pPr>
              <w:pStyle w:val="TableText"/>
              <w:spacing w:before="0" w:after="0"/>
              <w:jc w:val="center"/>
              <w:rPr>
                <w:sz w:val="17"/>
                <w:szCs w:val="17"/>
              </w:rPr>
            </w:pPr>
            <w:r w:rsidRPr="00F53BDD">
              <w:rPr>
                <w:sz w:val="17"/>
                <w:szCs w:val="17"/>
              </w:rPr>
              <w:t>x</w:t>
            </w:r>
          </w:p>
          <w:p w:rsidR="003B5262" w:rsidRPr="00F53BDD" w:rsidRDefault="003B5262" w:rsidP="00977597">
            <w:pPr>
              <w:pStyle w:val="TableText"/>
              <w:spacing w:before="0"/>
              <w:jc w:val="center"/>
              <w:rPr>
                <w:sz w:val="17"/>
                <w:szCs w:val="17"/>
              </w:rPr>
            </w:pPr>
            <w:r w:rsidRPr="00F53BDD">
              <w:rPr>
                <w:sz w:val="17"/>
                <w:szCs w:val="17"/>
              </w:rPr>
              <w:t>Parties that engage in insider trading are unlikely to report</w:t>
            </w:r>
          </w:p>
        </w:tc>
        <w:tc>
          <w:tcPr>
            <w:tcW w:w="3457" w:type="dxa"/>
            <w:tcBorders>
              <w:bottom w:val="single" w:sz="4" w:space="0" w:color="1C556C" w:themeColor="accent1"/>
            </w:tcBorders>
            <w:shd w:val="clear" w:color="auto" w:fill="CFE5E5"/>
          </w:tcPr>
          <w:p w:rsidR="003B5262" w:rsidRPr="00F53BDD" w:rsidRDefault="003B5262" w:rsidP="00700E2F">
            <w:pPr>
              <w:pStyle w:val="TableText"/>
              <w:spacing w:before="0" w:after="0"/>
              <w:jc w:val="center"/>
              <w:rPr>
                <w:sz w:val="17"/>
                <w:szCs w:val="17"/>
              </w:rPr>
            </w:pPr>
            <w:r w:rsidRPr="00F53BDD">
              <w:rPr>
                <w:rFonts w:ascii="Segoe UI Symbol" w:hAnsi="Segoe UI Symbol" w:cs="Segoe UI Symbol"/>
                <w:sz w:val="17"/>
                <w:szCs w:val="17"/>
              </w:rPr>
              <w:t>✓</w:t>
            </w:r>
          </w:p>
          <w:p w:rsidR="003B5262" w:rsidRPr="00F53BDD" w:rsidRDefault="003B5262" w:rsidP="00700E2F">
            <w:pPr>
              <w:pStyle w:val="TableText"/>
              <w:spacing w:before="0" w:after="0"/>
              <w:jc w:val="center"/>
              <w:rPr>
                <w:sz w:val="17"/>
                <w:szCs w:val="17"/>
              </w:rPr>
            </w:pPr>
            <w:r w:rsidRPr="00F53BDD">
              <w:rPr>
                <w:sz w:val="17"/>
                <w:szCs w:val="17"/>
              </w:rPr>
              <w:t>Provides some information on holdings and transaction dates</w:t>
            </w:r>
          </w:p>
        </w:tc>
        <w:tc>
          <w:tcPr>
            <w:tcW w:w="3939" w:type="dxa"/>
            <w:tcBorders>
              <w:bottom w:val="single" w:sz="4" w:space="0" w:color="1C556C" w:themeColor="accent1"/>
            </w:tcBorders>
            <w:shd w:val="clear" w:color="auto" w:fill="57A3A4"/>
          </w:tcPr>
          <w:p w:rsidR="003B5262" w:rsidRPr="00F53BDD" w:rsidRDefault="003B5262" w:rsidP="0090714C">
            <w:pPr>
              <w:pStyle w:val="TableText"/>
              <w:spacing w:before="0" w:after="0"/>
              <w:jc w:val="center"/>
              <w:rPr>
                <w:sz w:val="17"/>
                <w:szCs w:val="17"/>
              </w:rPr>
            </w:pPr>
            <w:r w:rsidRPr="00F53BDD">
              <w:rPr>
                <w:rFonts w:ascii="Segoe UI Symbol" w:hAnsi="Segoe UI Symbol" w:cs="Segoe UI Symbol"/>
                <w:sz w:val="17"/>
                <w:szCs w:val="17"/>
              </w:rPr>
              <w:t>✓✓✓</w:t>
            </w:r>
          </w:p>
          <w:p w:rsidR="003B5262" w:rsidRPr="00F53BDD" w:rsidRDefault="003B5262" w:rsidP="0090714C">
            <w:pPr>
              <w:pStyle w:val="TableText"/>
              <w:spacing w:before="0" w:after="0"/>
              <w:jc w:val="center"/>
              <w:rPr>
                <w:sz w:val="17"/>
                <w:szCs w:val="17"/>
              </w:rPr>
            </w:pPr>
            <w:r w:rsidRPr="00F53BDD">
              <w:rPr>
                <w:sz w:val="17"/>
                <w:szCs w:val="17"/>
              </w:rPr>
              <w:t>Helps a regulator monitor and detect unusual trades that could indicate insider trading</w:t>
            </w:r>
          </w:p>
        </w:tc>
      </w:tr>
      <w:tr w:rsidR="003B5262" w:rsidRPr="00F53BDD" w:rsidTr="00EB5C26">
        <w:tc>
          <w:tcPr>
            <w:tcW w:w="0" w:type="auto"/>
          </w:tcPr>
          <w:p w:rsidR="003B5262" w:rsidRPr="00F53BDD" w:rsidRDefault="003B5262" w:rsidP="00FD56AA">
            <w:pPr>
              <w:pStyle w:val="TableTextbold"/>
              <w:spacing w:before="0"/>
              <w:rPr>
                <w:sz w:val="17"/>
                <w:szCs w:val="17"/>
              </w:rPr>
            </w:pPr>
            <w:r w:rsidRPr="00F53BDD">
              <w:rPr>
                <w:sz w:val="17"/>
                <w:szCs w:val="17"/>
              </w:rPr>
              <w:t>Money</w:t>
            </w:r>
            <w:r w:rsidR="008A1774" w:rsidRPr="00F53BDD">
              <w:rPr>
                <w:sz w:val="17"/>
                <w:szCs w:val="17"/>
              </w:rPr>
              <w:t xml:space="preserve"> </w:t>
            </w:r>
            <w:r w:rsidRPr="00F53BDD">
              <w:rPr>
                <w:sz w:val="17"/>
                <w:szCs w:val="17"/>
              </w:rPr>
              <w:t>laundering and financing of terrorism</w:t>
            </w:r>
          </w:p>
        </w:tc>
        <w:tc>
          <w:tcPr>
            <w:tcW w:w="0" w:type="auto"/>
          </w:tcPr>
          <w:p w:rsidR="003B5262" w:rsidRPr="00F53BDD" w:rsidRDefault="003B5262" w:rsidP="00FD56AA">
            <w:pPr>
              <w:pStyle w:val="TableText"/>
              <w:spacing w:before="0" w:after="0"/>
              <w:jc w:val="center"/>
              <w:rPr>
                <w:sz w:val="17"/>
                <w:szCs w:val="17"/>
              </w:rPr>
            </w:pPr>
            <w:r w:rsidRPr="00F53BDD">
              <w:rPr>
                <w:sz w:val="17"/>
                <w:szCs w:val="17"/>
              </w:rPr>
              <w:t>O</w:t>
            </w:r>
          </w:p>
          <w:p w:rsidR="003B5262" w:rsidRPr="00F53BDD" w:rsidRDefault="003B5262" w:rsidP="00FD56AA">
            <w:pPr>
              <w:pStyle w:val="TableText"/>
              <w:spacing w:before="0" w:after="0"/>
              <w:jc w:val="center"/>
              <w:rPr>
                <w:sz w:val="17"/>
                <w:szCs w:val="17"/>
              </w:rPr>
            </w:pPr>
            <w:r w:rsidRPr="00F53BDD">
              <w:rPr>
                <w:sz w:val="17"/>
                <w:szCs w:val="17"/>
              </w:rPr>
              <w:t>Not applicable</w:t>
            </w:r>
          </w:p>
        </w:tc>
        <w:tc>
          <w:tcPr>
            <w:tcW w:w="0" w:type="auto"/>
            <w:shd w:val="clear" w:color="auto" w:fill="EDB097"/>
          </w:tcPr>
          <w:p w:rsidR="003B5262" w:rsidRPr="00F53BDD" w:rsidRDefault="00FD56AA" w:rsidP="00700E2F">
            <w:pPr>
              <w:pStyle w:val="TableText"/>
              <w:spacing w:before="0" w:after="0"/>
              <w:jc w:val="center"/>
              <w:rPr>
                <w:sz w:val="17"/>
                <w:szCs w:val="17"/>
              </w:rPr>
            </w:pPr>
            <w:r w:rsidRPr="00F53BDD">
              <w:rPr>
                <w:sz w:val="17"/>
                <w:szCs w:val="17"/>
              </w:rPr>
              <w:t>x</w:t>
            </w:r>
          </w:p>
          <w:p w:rsidR="003B5262" w:rsidRPr="00F53BDD" w:rsidRDefault="003B5262" w:rsidP="00700E2F">
            <w:pPr>
              <w:pStyle w:val="TableText"/>
              <w:spacing w:before="0" w:after="0"/>
              <w:jc w:val="center"/>
              <w:rPr>
                <w:sz w:val="17"/>
                <w:szCs w:val="17"/>
              </w:rPr>
            </w:pPr>
            <w:r w:rsidRPr="00F53BDD">
              <w:rPr>
                <w:sz w:val="17"/>
                <w:szCs w:val="17"/>
              </w:rPr>
              <w:t>Parties that engage in money laundering or financing of terrorism are unlikely to report</w:t>
            </w:r>
          </w:p>
        </w:tc>
        <w:tc>
          <w:tcPr>
            <w:tcW w:w="3457" w:type="dxa"/>
            <w:shd w:val="clear" w:color="auto" w:fill="CFE5E5"/>
          </w:tcPr>
          <w:p w:rsidR="003B5262" w:rsidRPr="00F53BDD" w:rsidRDefault="003B5262" w:rsidP="00700E2F">
            <w:pPr>
              <w:pStyle w:val="TableText"/>
              <w:spacing w:before="0" w:after="0"/>
              <w:jc w:val="center"/>
              <w:rPr>
                <w:sz w:val="17"/>
                <w:szCs w:val="17"/>
              </w:rPr>
            </w:pPr>
            <w:r w:rsidRPr="00F53BDD">
              <w:rPr>
                <w:rFonts w:ascii="Segoe UI Symbol" w:hAnsi="Segoe UI Symbol" w:cs="Segoe UI Symbol"/>
                <w:sz w:val="17"/>
                <w:szCs w:val="17"/>
              </w:rPr>
              <w:t>✓</w:t>
            </w:r>
          </w:p>
          <w:p w:rsidR="003B5262" w:rsidRPr="00F53BDD" w:rsidRDefault="003B5262" w:rsidP="00700E2F">
            <w:pPr>
              <w:pStyle w:val="TableText"/>
              <w:spacing w:before="0" w:after="0"/>
              <w:jc w:val="center"/>
              <w:rPr>
                <w:sz w:val="17"/>
                <w:szCs w:val="17"/>
              </w:rPr>
            </w:pPr>
            <w:r w:rsidRPr="00F53BDD">
              <w:rPr>
                <w:sz w:val="17"/>
                <w:szCs w:val="17"/>
              </w:rPr>
              <w:t>Provides some information on holdings and holdings values</w:t>
            </w:r>
          </w:p>
        </w:tc>
        <w:tc>
          <w:tcPr>
            <w:tcW w:w="3939" w:type="dxa"/>
            <w:shd w:val="clear" w:color="auto" w:fill="57A3A4"/>
          </w:tcPr>
          <w:p w:rsidR="003B5262" w:rsidRPr="00F53BDD" w:rsidRDefault="003B5262" w:rsidP="0090714C">
            <w:pPr>
              <w:pStyle w:val="TableText"/>
              <w:spacing w:before="0" w:after="0"/>
              <w:jc w:val="center"/>
              <w:rPr>
                <w:sz w:val="17"/>
                <w:szCs w:val="17"/>
              </w:rPr>
            </w:pPr>
            <w:r w:rsidRPr="00F53BDD">
              <w:rPr>
                <w:rFonts w:ascii="Segoe UI Symbol" w:hAnsi="Segoe UI Symbol" w:cs="Segoe UI Symbol"/>
                <w:sz w:val="17"/>
                <w:szCs w:val="17"/>
              </w:rPr>
              <w:t>✓✓✓</w:t>
            </w:r>
          </w:p>
          <w:p w:rsidR="003B5262" w:rsidRPr="00F53BDD" w:rsidRDefault="003B5262" w:rsidP="00B80A0F">
            <w:pPr>
              <w:pStyle w:val="TableText"/>
              <w:spacing w:before="0"/>
              <w:jc w:val="center"/>
              <w:rPr>
                <w:sz w:val="17"/>
                <w:szCs w:val="17"/>
              </w:rPr>
            </w:pPr>
            <w:r w:rsidRPr="00F53BDD">
              <w:rPr>
                <w:sz w:val="17"/>
                <w:szCs w:val="17"/>
              </w:rPr>
              <w:t xml:space="preserve">Helps a regulator monitor and detect unusual trades that could indicate money laundering </w:t>
            </w:r>
            <w:r w:rsidR="00190D9A" w:rsidRPr="00F53BDD">
              <w:rPr>
                <w:sz w:val="17"/>
                <w:szCs w:val="17"/>
              </w:rPr>
              <w:t xml:space="preserve">or </w:t>
            </w:r>
            <w:r w:rsidRPr="00F53BDD">
              <w:rPr>
                <w:sz w:val="17"/>
                <w:szCs w:val="17"/>
              </w:rPr>
              <w:t>financing of terrorism</w:t>
            </w:r>
          </w:p>
        </w:tc>
      </w:tr>
      <w:tr w:rsidR="003B5262" w:rsidRPr="00F53BDD" w:rsidTr="00EB5C26">
        <w:tc>
          <w:tcPr>
            <w:tcW w:w="0" w:type="auto"/>
            <w:gridSpan w:val="5"/>
          </w:tcPr>
          <w:p w:rsidR="003B5262" w:rsidRPr="00F53BDD" w:rsidRDefault="003B5262" w:rsidP="00691834">
            <w:pPr>
              <w:pStyle w:val="TableText"/>
              <w:tabs>
                <w:tab w:val="left" w:pos="455"/>
              </w:tabs>
              <w:contextualSpacing/>
              <w:rPr>
                <w:rFonts w:asciiTheme="minorHAnsi" w:hAnsiTheme="minorHAnsi" w:cstheme="minorHAnsi"/>
                <w:sz w:val="17"/>
                <w:szCs w:val="17"/>
              </w:rPr>
            </w:pPr>
            <w:r w:rsidRPr="00F53BDD">
              <w:rPr>
                <w:rFonts w:ascii="Segoe UI Symbol" w:hAnsi="Segoe UI Symbol" w:cs="Segoe UI Symbol"/>
                <w:sz w:val="17"/>
                <w:szCs w:val="17"/>
                <w:shd w:val="clear" w:color="auto" w:fill="57A3A4"/>
              </w:rPr>
              <w:t>✓✓✓</w:t>
            </w:r>
            <w:r w:rsidR="00FD56AA" w:rsidRPr="00F53BDD">
              <w:rPr>
                <w:rFonts w:asciiTheme="minorHAnsi" w:hAnsiTheme="minorHAnsi" w:cstheme="minorHAnsi"/>
                <w:sz w:val="17"/>
                <w:szCs w:val="17"/>
              </w:rPr>
              <w:tab/>
            </w:r>
            <w:r w:rsidRPr="00F53BDD">
              <w:rPr>
                <w:rFonts w:asciiTheme="minorHAnsi" w:hAnsiTheme="minorHAnsi" w:cstheme="minorHAnsi"/>
                <w:sz w:val="17"/>
                <w:szCs w:val="17"/>
              </w:rPr>
              <w:t>Strongly addresses risk</w:t>
            </w:r>
          </w:p>
          <w:p w:rsidR="003B5262" w:rsidRPr="00F53BDD" w:rsidRDefault="003B5262" w:rsidP="00691834">
            <w:pPr>
              <w:pStyle w:val="TableText"/>
              <w:tabs>
                <w:tab w:val="left" w:pos="455"/>
              </w:tabs>
              <w:contextualSpacing/>
              <w:rPr>
                <w:rFonts w:asciiTheme="minorHAnsi" w:hAnsiTheme="minorHAnsi" w:cstheme="minorHAnsi"/>
                <w:sz w:val="17"/>
                <w:szCs w:val="17"/>
              </w:rPr>
            </w:pPr>
            <w:r w:rsidRPr="00F53BDD">
              <w:rPr>
                <w:rFonts w:ascii="Segoe UI Symbol" w:hAnsi="Segoe UI Symbol" w:cs="Segoe UI Symbol"/>
                <w:sz w:val="17"/>
                <w:szCs w:val="17"/>
                <w:shd w:val="clear" w:color="auto" w:fill="87BDBE"/>
              </w:rPr>
              <w:t>✓✓</w:t>
            </w:r>
            <w:r w:rsidR="00691834" w:rsidRPr="00F53BDD">
              <w:rPr>
                <w:rFonts w:asciiTheme="minorHAnsi" w:hAnsiTheme="minorHAnsi" w:cstheme="minorHAnsi"/>
                <w:sz w:val="17"/>
                <w:szCs w:val="17"/>
              </w:rPr>
              <w:tab/>
            </w:r>
            <w:r w:rsidRPr="00F53BDD">
              <w:rPr>
                <w:rFonts w:asciiTheme="minorHAnsi" w:hAnsiTheme="minorHAnsi" w:cstheme="minorHAnsi"/>
                <w:sz w:val="17"/>
                <w:szCs w:val="17"/>
              </w:rPr>
              <w:t>Addresses risk</w:t>
            </w:r>
          </w:p>
          <w:p w:rsidR="003B5262" w:rsidRPr="00F53BDD" w:rsidRDefault="003B5262" w:rsidP="00691834">
            <w:pPr>
              <w:pStyle w:val="TableText"/>
              <w:tabs>
                <w:tab w:val="left" w:pos="455"/>
              </w:tabs>
              <w:contextualSpacing/>
              <w:rPr>
                <w:rFonts w:asciiTheme="minorHAnsi" w:hAnsiTheme="minorHAnsi" w:cstheme="minorHAnsi"/>
                <w:sz w:val="17"/>
                <w:szCs w:val="17"/>
              </w:rPr>
            </w:pPr>
            <w:r w:rsidRPr="00F53BDD">
              <w:rPr>
                <w:rFonts w:ascii="Segoe UI Symbol" w:hAnsi="Segoe UI Symbol" w:cs="Segoe UI Symbol"/>
                <w:sz w:val="17"/>
                <w:szCs w:val="17"/>
                <w:shd w:val="clear" w:color="auto" w:fill="CFE5E5"/>
              </w:rPr>
              <w:t>✓</w:t>
            </w:r>
            <w:r w:rsidR="00691834" w:rsidRPr="00F53BDD">
              <w:rPr>
                <w:rFonts w:asciiTheme="minorHAnsi" w:hAnsiTheme="minorHAnsi" w:cstheme="minorHAnsi"/>
                <w:sz w:val="17"/>
                <w:szCs w:val="17"/>
              </w:rPr>
              <w:tab/>
            </w:r>
            <w:r w:rsidRPr="00F53BDD">
              <w:rPr>
                <w:rFonts w:asciiTheme="minorHAnsi" w:hAnsiTheme="minorHAnsi" w:cstheme="minorHAnsi"/>
                <w:sz w:val="17"/>
                <w:szCs w:val="17"/>
              </w:rPr>
              <w:t>Partially addresses risk</w:t>
            </w:r>
          </w:p>
          <w:p w:rsidR="003B5262" w:rsidRPr="00F53BDD" w:rsidRDefault="00FD56AA" w:rsidP="00691834">
            <w:pPr>
              <w:pStyle w:val="TableText"/>
              <w:tabs>
                <w:tab w:val="left" w:pos="455"/>
              </w:tabs>
              <w:contextualSpacing/>
              <w:rPr>
                <w:rFonts w:asciiTheme="minorHAnsi" w:hAnsiTheme="minorHAnsi" w:cstheme="minorHAnsi"/>
                <w:sz w:val="17"/>
                <w:szCs w:val="17"/>
              </w:rPr>
            </w:pPr>
            <w:r w:rsidRPr="00F53BDD">
              <w:rPr>
                <w:rFonts w:ascii="Segoe UI Symbol" w:hAnsi="Segoe UI Symbol" w:cs="Segoe UI Symbol"/>
                <w:sz w:val="17"/>
                <w:szCs w:val="17"/>
                <w:shd w:val="clear" w:color="auto" w:fill="EDB097"/>
              </w:rPr>
              <w:t>x</w:t>
            </w:r>
            <w:r w:rsidR="00691834" w:rsidRPr="00F53BDD">
              <w:rPr>
                <w:rFonts w:asciiTheme="minorHAnsi" w:hAnsiTheme="minorHAnsi" w:cstheme="minorHAnsi"/>
                <w:sz w:val="17"/>
                <w:szCs w:val="17"/>
              </w:rPr>
              <w:tab/>
            </w:r>
            <w:r w:rsidR="003B5262" w:rsidRPr="00F53BDD">
              <w:rPr>
                <w:rFonts w:asciiTheme="minorHAnsi" w:hAnsiTheme="minorHAnsi" w:cstheme="minorHAnsi"/>
                <w:sz w:val="17"/>
                <w:szCs w:val="17"/>
              </w:rPr>
              <w:t>Does not address risk</w:t>
            </w:r>
          </w:p>
          <w:p w:rsidR="003B5262" w:rsidRPr="00F53BDD" w:rsidRDefault="003B5262" w:rsidP="00691834">
            <w:pPr>
              <w:pStyle w:val="TableText"/>
              <w:tabs>
                <w:tab w:val="left" w:pos="455"/>
              </w:tabs>
              <w:contextualSpacing/>
              <w:rPr>
                <w:rFonts w:asciiTheme="minorHAnsi" w:hAnsiTheme="minorHAnsi" w:cstheme="minorHAnsi"/>
                <w:sz w:val="17"/>
                <w:szCs w:val="17"/>
              </w:rPr>
            </w:pPr>
            <w:r w:rsidRPr="00F53BDD">
              <w:rPr>
                <w:rFonts w:asciiTheme="minorHAnsi" w:hAnsiTheme="minorHAnsi" w:cstheme="minorHAnsi"/>
                <w:sz w:val="17"/>
                <w:szCs w:val="17"/>
              </w:rPr>
              <w:t>O</w:t>
            </w:r>
            <w:r w:rsidR="00691834" w:rsidRPr="00F53BDD">
              <w:rPr>
                <w:rFonts w:asciiTheme="minorHAnsi" w:hAnsiTheme="minorHAnsi" w:cstheme="minorHAnsi"/>
                <w:sz w:val="17"/>
                <w:szCs w:val="17"/>
              </w:rPr>
              <w:tab/>
            </w:r>
            <w:r w:rsidRPr="00F53BDD">
              <w:rPr>
                <w:rFonts w:asciiTheme="minorHAnsi" w:hAnsiTheme="minorHAnsi" w:cstheme="minorHAnsi"/>
                <w:sz w:val="17"/>
                <w:szCs w:val="17"/>
              </w:rPr>
              <w:t>Neutral</w:t>
            </w:r>
          </w:p>
        </w:tc>
      </w:tr>
    </w:tbl>
    <w:p w:rsidR="00A37B38" w:rsidRPr="00F53BDD" w:rsidRDefault="00A37B38" w:rsidP="00A37B38">
      <w:pPr>
        <w:spacing w:before="0" w:after="200" w:line="276" w:lineRule="auto"/>
        <w:jc w:val="left"/>
        <w:rPr>
          <w:b/>
          <w:sz w:val="20"/>
        </w:rPr>
      </w:pPr>
      <w:bookmarkStart w:id="123" w:name="_Toc72150040"/>
      <w:r w:rsidRPr="00F53BDD">
        <w:br w:type="page"/>
      </w:r>
    </w:p>
    <w:p w:rsidR="00A37B38" w:rsidRPr="00F53BDD" w:rsidRDefault="00A37B38" w:rsidP="00D77209">
      <w:pPr>
        <w:pStyle w:val="Tableheading"/>
      </w:pPr>
      <w:bookmarkStart w:id="124" w:name="table11"/>
      <w:bookmarkStart w:id="125" w:name="_Toc75250114"/>
      <w:r w:rsidRPr="00F53BDD">
        <w:t xml:space="preserve">Table </w:t>
      </w:r>
      <w:r w:rsidR="00616B66" w:rsidRPr="00F53BDD">
        <w:t>1</w:t>
      </w:r>
      <w:r w:rsidR="006218BD">
        <w:t>2</w:t>
      </w:r>
      <w:bookmarkEnd w:id="124"/>
      <w:r w:rsidRPr="00F53BDD">
        <w:t xml:space="preserve">: </w:t>
      </w:r>
      <w:r w:rsidR="0090714C" w:rsidRPr="00F53BDD">
        <w:tab/>
      </w:r>
      <w:r w:rsidR="00677830" w:rsidRPr="00F53BDD">
        <w:t xml:space="preserve">Governance of trading: </w:t>
      </w:r>
      <w:r w:rsidRPr="00F53BDD">
        <w:t xml:space="preserve">Risk </w:t>
      </w:r>
      <w:r w:rsidR="00877E61" w:rsidRPr="00F53BDD">
        <w:t>coverage</w:t>
      </w:r>
      <w:r w:rsidRPr="00F53BDD">
        <w:t xml:space="preserve"> analysis</w:t>
      </w:r>
      <w:bookmarkEnd w:id="125"/>
      <w:r w:rsidRPr="00F53BDD">
        <w:t xml:space="preserve"> </w:t>
      </w:r>
      <w:bookmarkEnd w:id="123"/>
    </w:p>
    <w:tbl>
      <w:tblPr>
        <w:tblStyle w:val="TableGrid"/>
        <w:tblW w:w="13438"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657"/>
        <w:gridCol w:w="1888"/>
        <w:gridCol w:w="2693"/>
        <w:gridCol w:w="3544"/>
        <w:gridCol w:w="3656"/>
      </w:tblGrid>
      <w:tr w:rsidR="0090714C" w:rsidRPr="00F53BDD" w:rsidTr="00EB5C26">
        <w:tc>
          <w:tcPr>
            <w:tcW w:w="0" w:type="auto"/>
            <w:shd w:val="clear" w:color="auto" w:fill="1C556C" w:themeFill="accent1"/>
            <w:vAlign w:val="bottom"/>
          </w:tcPr>
          <w:p w:rsidR="00A37B38" w:rsidRPr="00F53BDD" w:rsidRDefault="00A37B38" w:rsidP="0090714C">
            <w:pPr>
              <w:pStyle w:val="TableTextbold"/>
              <w:rPr>
                <w:color w:val="FFFFFF" w:themeColor="background1"/>
                <w:sz w:val="17"/>
                <w:szCs w:val="17"/>
              </w:rPr>
            </w:pPr>
            <w:r w:rsidRPr="00F53BDD">
              <w:rPr>
                <w:color w:val="FFFFFF" w:themeColor="background1"/>
                <w:sz w:val="17"/>
                <w:szCs w:val="17"/>
              </w:rPr>
              <w:t>Risk</w:t>
            </w:r>
          </w:p>
        </w:tc>
        <w:tc>
          <w:tcPr>
            <w:tcW w:w="1888" w:type="dxa"/>
            <w:shd w:val="clear" w:color="auto" w:fill="1C556C" w:themeFill="accent1"/>
            <w:vAlign w:val="bottom"/>
          </w:tcPr>
          <w:p w:rsidR="00A37B38" w:rsidRPr="00F53BDD" w:rsidRDefault="00A37B38" w:rsidP="0090714C">
            <w:pPr>
              <w:pStyle w:val="TableTextbold"/>
              <w:rPr>
                <w:color w:val="FFFFFF" w:themeColor="background1"/>
                <w:sz w:val="17"/>
                <w:szCs w:val="17"/>
              </w:rPr>
            </w:pPr>
            <w:r w:rsidRPr="00F53BDD">
              <w:rPr>
                <w:color w:val="FFFFFF" w:themeColor="background1"/>
                <w:sz w:val="17"/>
                <w:szCs w:val="17"/>
              </w:rPr>
              <w:t>C1: Status quo</w:t>
            </w:r>
          </w:p>
        </w:tc>
        <w:tc>
          <w:tcPr>
            <w:tcW w:w="2693" w:type="dxa"/>
            <w:shd w:val="clear" w:color="auto" w:fill="1C556C" w:themeFill="accent1"/>
            <w:vAlign w:val="bottom"/>
          </w:tcPr>
          <w:p w:rsidR="00A37B38" w:rsidRPr="00F53BDD" w:rsidRDefault="00A37B38" w:rsidP="0090714C">
            <w:pPr>
              <w:pStyle w:val="TableTextbold"/>
              <w:rPr>
                <w:color w:val="FFFFFF" w:themeColor="background1"/>
                <w:sz w:val="17"/>
                <w:szCs w:val="17"/>
              </w:rPr>
            </w:pPr>
            <w:r w:rsidRPr="00F53BDD">
              <w:rPr>
                <w:color w:val="FFFFFF" w:themeColor="background1"/>
                <w:sz w:val="17"/>
                <w:szCs w:val="17"/>
              </w:rPr>
              <w:t xml:space="preserve">C2: Position and purchase </w:t>
            </w:r>
            <w:r w:rsidR="00EC0E84" w:rsidRPr="00F53BDD">
              <w:rPr>
                <w:color w:val="FFFFFF" w:themeColor="background1"/>
                <w:sz w:val="17"/>
                <w:szCs w:val="17"/>
              </w:rPr>
              <w:t>l</w:t>
            </w:r>
            <w:r w:rsidRPr="00F53BDD">
              <w:rPr>
                <w:color w:val="FFFFFF" w:themeColor="background1"/>
                <w:sz w:val="17"/>
                <w:szCs w:val="17"/>
              </w:rPr>
              <w:t>imits</w:t>
            </w:r>
          </w:p>
        </w:tc>
        <w:tc>
          <w:tcPr>
            <w:tcW w:w="3544" w:type="dxa"/>
            <w:shd w:val="clear" w:color="auto" w:fill="1C556C" w:themeFill="accent1"/>
            <w:vAlign w:val="bottom"/>
          </w:tcPr>
          <w:p w:rsidR="00A37B38" w:rsidRPr="00F53BDD" w:rsidRDefault="00A37B38" w:rsidP="0090714C">
            <w:pPr>
              <w:pStyle w:val="TableTextbold"/>
              <w:rPr>
                <w:color w:val="FFFFFF" w:themeColor="background1"/>
                <w:sz w:val="17"/>
                <w:szCs w:val="17"/>
              </w:rPr>
            </w:pPr>
            <w:r w:rsidRPr="00F53BDD">
              <w:rPr>
                <w:color w:val="FFFFFF" w:themeColor="background1"/>
                <w:sz w:val="17"/>
                <w:szCs w:val="17"/>
              </w:rPr>
              <w:t xml:space="preserve">C3: </w:t>
            </w:r>
            <w:r w:rsidR="00F04383" w:rsidRPr="00F53BDD">
              <w:rPr>
                <w:color w:val="FFFFFF" w:themeColor="background1"/>
                <w:sz w:val="17"/>
                <w:szCs w:val="17"/>
              </w:rPr>
              <w:t>Price reporting</w:t>
            </w:r>
          </w:p>
        </w:tc>
        <w:tc>
          <w:tcPr>
            <w:tcW w:w="3656" w:type="dxa"/>
            <w:shd w:val="clear" w:color="auto" w:fill="1C556C" w:themeFill="accent1"/>
            <w:vAlign w:val="bottom"/>
          </w:tcPr>
          <w:p w:rsidR="00A37B38" w:rsidRPr="00F53BDD" w:rsidRDefault="00A37B38" w:rsidP="0090714C">
            <w:pPr>
              <w:pStyle w:val="TableTextbold"/>
              <w:rPr>
                <w:color w:val="FFFFFF" w:themeColor="background1"/>
                <w:sz w:val="17"/>
                <w:szCs w:val="17"/>
              </w:rPr>
            </w:pPr>
            <w:r w:rsidRPr="00F53BDD">
              <w:rPr>
                <w:color w:val="FFFFFF" w:themeColor="background1"/>
                <w:sz w:val="17"/>
                <w:szCs w:val="17"/>
              </w:rPr>
              <w:t>C4: Full transaction detail reporting</w:t>
            </w:r>
          </w:p>
        </w:tc>
      </w:tr>
      <w:tr w:rsidR="00A37B38" w:rsidRPr="00F53BDD" w:rsidTr="00EB5C26">
        <w:tc>
          <w:tcPr>
            <w:tcW w:w="0" w:type="auto"/>
          </w:tcPr>
          <w:p w:rsidR="00A37B38" w:rsidRPr="00F53BDD" w:rsidRDefault="00A37B38" w:rsidP="00E03937">
            <w:pPr>
              <w:pStyle w:val="TableText"/>
              <w:spacing w:before="0" w:after="0"/>
              <w:rPr>
                <w:rFonts w:cstheme="minorHAnsi"/>
                <w:sz w:val="17"/>
                <w:szCs w:val="17"/>
              </w:rPr>
            </w:pPr>
            <w:r w:rsidRPr="00F53BDD">
              <w:rPr>
                <w:rFonts w:cstheme="minorHAnsi"/>
                <w:b/>
                <w:bCs/>
                <w:sz w:val="17"/>
                <w:szCs w:val="17"/>
              </w:rPr>
              <w:t>Poor advice</w:t>
            </w:r>
          </w:p>
        </w:tc>
        <w:tc>
          <w:tcPr>
            <w:tcW w:w="1888" w:type="dxa"/>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977597">
            <w:pPr>
              <w:pStyle w:val="TableText"/>
              <w:spacing w:before="0"/>
              <w:jc w:val="center"/>
              <w:rPr>
                <w:rFonts w:cstheme="minorHAnsi"/>
                <w:sz w:val="17"/>
                <w:szCs w:val="17"/>
              </w:rPr>
            </w:pPr>
            <w:r w:rsidRPr="00F53BDD">
              <w:rPr>
                <w:rFonts w:cstheme="minorHAnsi"/>
                <w:sz w:val="17"/>
                <w:szCs w:val="17"/>
              </w:rPr>
              <w:t>Not applicable</w:t>
            </w:r>
          </w:p>
        </w:tc>
        <w:tc>
          <w:tcPr>
            <w:tcW w:w="2693" w:type="dxa"/>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Not applicable</w:t>
            </w:r>
          </w:p>
        </w:tc>
        <w:tc>
          <w:tcPr>
            <w:tcW w:w="3544" w:type="dxa"/>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Not applicable</w:t>
            </w:r>
          </w:p>
        </w:tc>
        <w:tc>
          <w:tcPr>
            <w:tcW w:w="3656" w:type="dxa"/>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Not applicable</w:t>
            </w:r>
          </w:p>
        </w:tc>
      </w:tr>
      <w:tr w:rsidR="00A37B38" w:rsidRPr="00F53BDD" w:rsidTr="00EB5C26">
        <w:tc>
          <w:tcPr>
            <w:tcW w:w="0" w:type="auto"/>
          </w:tcPr>
          <w:p w:rsidR="00A37B38" w:rsidRPr="00F53BDD" w:rsidRDefault="00A37B38" w:rsidP="00E03937">
            <w:pPr>
              <w:pStyle w:val="TableText"/>
              <w:spacing w:before="0" w:after="0"/>
              <w:rPr>
                <w:rFonts w:cstheme="minorHAnsi"/>
                <w:sz w:val="17"/>
                <w:szCs w:val="17"/>
              </w:rPr>
            </w:pPr>
            <w:r w:rsidRPr="00F53BDD">
              <w:rPr>
                <w:rFonts w:cstheme="minorHAnsi"/>
                <w:b/>
                <w:bCs/>
                <w:sz w:val="17"/>
                <w:szCs w:val="17"/>
              </w:rPr>
              <w:t>Conflict of interest</w:t>
            </w:r>
          </w:p>
        </w:tc>
        <w:tc>
          <w:tcPr>
            <w:tcW w:w="1888" w:type="dxa"/>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977597">
            <w:pPr>
              <w:pStyle w:val="TableText"/>
              <w:spacing w:before="0"/>
              <w:jc w:val="center"/>
              <w:rPr>
                <w:rFonts w:cstheme="minorHAnsi"/>
                <w:sz w:val="17"/>
                <w:szCs w:val="17"/>
              </w:rPr>
            </w:pPr>
            <w:r w:rsidRPr="00F53BDD">
              <w:rPr>
                <w:rFonts w:cstheme="minorHAnsi"/>
                <w:sz w:val="17"/>
                <w:szCs w:val="17"/>
              </w:rPr>
              <w:t>Not applicable</w:t>
            </w:r>
          </w:p>
        </w:tc>
        <w:tc>
          <w:tcPr>
            <w:tcW w:w="2693" w:type="dxa"/>
            <w:tcBorders>
              <w:bottom w:val="single" w:sz="4" w:space="0" w:color="1C556C" w:themeColor="accent1"/>
            </w:tcBorders>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Not applicable</w:t>
            </w:r>
          </w:p>
        </w:tc>
        <w:tc>
          <w:tcPr>
            <w:tcW w:w="3544" w:type="dxa"/>
            <w:tcBorders>
              <w:bottom w:val="single" w:sz="4" w:space="0" w:color="1C556C" w:themeColor="accent1"/>
            </w:tcBorders>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Not applicable</w:t>
            </w:r>
          </w:p>
        </w:tc>
        <w:tc>
          <w:tcPr>
            <w:tcW w:w="3656" w:type="dxa"/>
            <w:tcBorders>
              <w:bottom w:val="single" w:sz="4" w:space="0" w:color="1C556C" w:themeColor="accent1"/>
            </w:tcBorders>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Not applicable</w:t>
            </w:r>
          </w:p>
        </w:tc>
      </w:tr>
      <w:tr w:rsidR="00A37B38" w:rsidRPr="00F53BDD" w:rsidTr="00EB5C26">
        <w:tc>
          <w:tcPr>
            <w:tcW w:w="0" w:type="auto"/>
          </w:tcPr>
          <w:p w:rsidR="00A37B38" w:rsidRPr="00F53BDD" w:rsidRDefault="00A37B38" w:rsidP="00E03937">
            <w:pPr>
              <w:pStyle w:val="TableText"/>
              <w:spacing w:before="0" w:after="0"/>
              <w:rPr>
                <w:rFonts w:cstheme="minorHAnsi"/>
                <w:sz w:val="17"/>
                <w:szCs w:val="17"/>
              </w:rPr>
            </w:pPr>
            <w:r w:rsidRPr="00F53BDD">
              <w:rPr>
                <w:rFonts w:cstheme="minorHAnsi"/>
                <w:b/>
                <w:bCs/>
                <w:sz w:val="17"/>
                <w:szCs w:val="17"/>
              </w:rPr>
              <w:t>Transparency, monitoring and oversight of trades</w:t>
            </w:r>
          </w:p>
        </w:tc>
        <w:tc>
          <w:tcPr>
            <w:tcW w:w="1888" w:type="dxa"/>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No transparency over trades</w:t>
            </w:r>
          </w:p>
        </w:tc>
        <w:tc>
          <w:tcPr>
            <w:tcW w:w="2693" w:type="dxa"/>
            <w:shd w:val="clear" w:color="auto" w:fill="CFE5E5"/>
          </w:tcPr>
          <w:p w:rsidR="00A37B38" w:rsidRPr="00F53BDD" w:rsidRDefault="00A37B38" w:rsidP="00E0393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EC0E84" w:rsidP="00E03937">
            <w:pPr>
              <w:pStyle w:val="TableText"/>
              <w:spacing w:before="0" w:after="0"/>
              <w:jc w:val="center"/>
              <w:rPr>
                <w:sz w:val="17"/>
                <w:szCs w:val="17"/>
              </w:rPr>
            </w:pPr>
            <w:r w:rsidRPr="00F53BDD">
              <w:rPr>
                <w:sz w:val="17"/>
                <w:szCs w:val="17"/>
              </w:rPr>
              <w:t>S</w:t>
            </w:r>
            <w:r w:rsidR="00A37B38" w:rsidRPr="00F53BDD">
              <w:rPr>
                <w:sz w:val="17"/>
                <w:szCs w:val="17"/>
              </w:rPr>
              <w:t>ome monitoring and oversight of position</w:t>
            </w:r>
          </w:p>
        </w:tc>
        <w:tc>
          <w:tcPr>
            <w:tcW w:w="3544" w:type="dxa"/>
            <w:shd w:val="clear" w:color="auto" w:fill="87BDBE"/>
          </w:tcPr>
          <w:p w:rsidR="0090714C" w:rsidRPr="00F53BDD" w:rsidRDefault="00A37B38" w:rsidP="00E0393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rFonts w:cstheme="minorHAnsi"/>
                <w:sz w:val="17"/>
                <w:szCs w:val="17"/>
                <w:shd w:val="clear" w:color="auto" w:fill="C5E8E2" w:themeFill="accent5" w:themeFillTint="66"/>
              </w:rPr>
            </w:pPr>
            <w:r w:rsidRPr="00F53BDD">
              <w:rPr>
                <w:rFonts w:cstheme="minorHAnsi"/>
                <w:sz w:val="17"/>
                <w:szCs w:val="17"/>
              </w:rPr>
              <w:t>Reporting transaction price increases price transparency and can be monitored by a regulator</w:t>
            </w:r>
          </w:p>
        </w:tc>
        <w:tc>
          <w:tcPr>
            <w:tcW w:w="3656" w:type="dxa"/>
            <w:shd w:val="clear" w:color="auto" w:fill="87BDBE"/>
          </w:tcPr>
          <w:p w:rsidR="00A37B38" w:rsidRPr="00F53BDD" w:rsidRDefault="00A37B38" w:rsidP="00E0393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Participants must report on all details of a transaction</w:t>
            </w:r>
            <w:r w:rsidR="00C97D43" w:rsidRPr="00F53BDD">
              <w:rPr>
                <w:rFonts w:cstheme="minorHAnsi"/>
                <w:sz w:val="17"/>
                <w:szCs w:val="17"/>
              </w:rPr>
              <w:t>;</w:t>
            </w:r>
            <w:r w:rsidRPr="00F53BDD">
              <w:rPr>
                <w:rFonts w:cstheme="minorHAnsi"/>
                <w:sz w:val="17"/>
                <w:szCs w:val="17"/>
              </w:rPr>
              <w:t xml:space="preserve"> increases transparency and can be monitored by a regulator</w:t>
            </w:r>
          </w:p>
        </w:tc>
      </w:tr>
      <w:tr w:rsidR="003B5262" w:rsidRPr="00F53BDD" w:rsidTr="00B80A0F">
        <w:tc>
          <w:tcPr>
            <w:tcW w:w="0" w:type="auto"/>
            <w:tcBorders>
              <w:bottom w:val="single" w:sz="4" w:space="0" w:color="1C556C" w:themeColor="accent1"/>
            </w:tcBorders>
          </w:tcPr>
          <w:p w:rsidR="003B5262" w:rsidRPr="00F53BDD" w:rsidRDefault="003B5262" w:rsidP="00E03937">
            <w:pPr>
              <w:pStyle w:val="TableText"/>
              <w:spacing w:before="0" w:after="0"/>
              <w:rPr>
                <w:rFonts w:cstheme="minorHAnsi"/>
                <w:sz w:val="17"/>
                <w:szCs w:val="17"/>
              </w:rPr>
            </w:pPr>
            <w:r w:rsidRPr="00F53BDD">
              <w:rPr>
                <w:rFonts w:cstheme="minorHAnsi"/>
                <w:b/>
                <w:bCs/>
                <w:sz w:val="17"/>
                <w:szCs w:val="17"/>
              </w:rPr>
              <w:t>Credit and counter-party risk</w:t>
            </w:r>
          </w:p>
        </w:tc>
        <w:tc>
          <w:tcPr>
            <w:tcW w:w="1888" w:type="dxa"/>
          </w:tcPr>
          <w:p w:rsidR="003B5262" w:rsidRPr="00F53BDD" w:rsidRDefault="003B5262" w:rsidP="00E03937">
            <w:pPr>
              <w:pStyle w:val="TableText"/>
              <w:spacing w:before="0" w:after="0"/>
              <w:jc w:val="center"/>
              <w:rPr>
                <w:rFonts w:cstheme="minorHAnsi"/>
                <w:sz w:val="17"/>
                <w:szCs w:val="17"/>
              </w:rPr>
            </w:pPr>
            <w:r w:rsidRPr="00F53BDD">
              <w:rPr>
                <w:rFonts w:cstheme="minorHAnsi"/>
                <w:sz w:val="17"/>
                <w:szCs w:val="17"/>
              </w:rPr>
              <w:t xml:space="preserve">O </w:t>
            </w:r>
          </w:p>
          <w:p w:rsidR="003B5262" w:rsidRPr="00F53BDD" w:rsidRDefault="003B5262" w:rsidP="00E03937">
            <w:pPr>
              <w:pStyle w:val="TableText"/>
              <w:spacing w:before="0" w:after="0"/>
              <w:jc w:val="center"/>
              <w:rPr>
                <w:rFonts w:cstheme="minorHAnsi"/>
                <w:sz w:val="17"/>
                <w:szCs w:val="17"/>
              </w:rPr>
            </w:pPr>
            <w:r w:rsidRPr="00F53BDD">
              <w:rPr>
                <w:rFonts w:eastAsia="Times New Roman" w:cstheme="minorHAnsi"/>
                <w:sz w:val="17"/>
                <w:szCs w:val="17"/>
              </w:rPr>
              <w:t>Not applicable</w:t>
            </w:r>
          </w:p>
        </w:tc>
        <w:tc>
          <w:tcPr>
            <w:tcW w:w="2693" w:type="dxa"/>
            <w:tcBorders>
              <w:bottom w:val="single" w:sz="4" w:space="0" w:color="1C556C" w:themeColor="accent1"/>
            </w:tcBorders>
          </w:tcPr>
          <w:p w:rsidR="003B5262" w:rsidRPr="00F53BDD" w:rsidRDefault="003B5262" w:rsidP="00E03937">
            <w:pPr>
              <w:pStyle w:val="TableText"/>
              <w:spacing w:before="0" w:after="0"/>
              <w:jc w:val="center"/>
              <w:rPr>
                <w:rFonts w:cstheme="minorHAnsi"/>
                <w:sz w:val="17"/>
                <w:szCs w:val="17"/>
              </w:rPr>
            </w:pPr>
            <w:r w:rsidRPr="00F53BDD">
              <w:rPr>
                <w:rFonts w:cstheme="minorHAnsi"/>
                <w:sz w:val="17"/>
                <w:szCs w:val="17"/>
              </w:rPr>
              <w:t xml:space="preserve">O </w:t>
            </w:r>
          </w:p>
          <w:p w:rsidR="003B5262" w:rsidRPr="00F53BDD" w:rsidRDefault="003B5262" w:rsidP="00E03937">
            <w:pPr>
              <w:pStyle w:val="TableText"/>
              <w:spacing w:before="0" w:after="0"/>
              <w:jc w:val="center"/>
              <w:rPr>
                <w:rFonts w:cstheme="minorHAnsi"/>
                <w:sz w:val="17"/>
                <w:szCs w:val="17"/>
              </w:rPr>
            </w:pPr>
            <w:r w:rsidRPr="00F53BDD">
              <w:rPr>
                <w:rFonts w:eastAsia="Times New Roman" w:cstheme="minorHAnsi"/>
                <w:sz w:val="17"/>
                <w:szCs w:val="17"/>
              </w:rPr>
              <w:t>Not applicable</w:t>
            </w:r>
          </w:p>
        </w:tc>
        <w:tc>
          <w:tcPr>
            <w:tcW w:w="3544" w:type="dxa"/>
            <w:tcBorders>
              <w:bottom w:val="single" w:sz="4" w:space="0" w:color="1C556C" w:themeColor="accent1"/>
            </w:tcBorders>
            <w:shd w:val="clear" w:color="auto" w:fill="auto"/>
          </w:tcPr>
          <w:p w:rsidR="003B5262" w:rsidRPr="00F53BDD" w:rsidRDefault="003B5262" w:rsidP="00E03937">
            <w:pPr>
              <w:pStyle w:val="TableText"/>
              <w:spacing w:before="0" w:after="0"/>
              <w:jc w:val="center"/>
              <w:rPr>
                <w:rFonts w:cstheme="minorHAnsi"/>
                <w:sz w:val="17"/>
                <w:szCs w:val="17"/>
              </w:rPr>
            </w:pPr>
            <w:r w:rsidRPr="00F53BDD">
              <w:rPr>
                <w:rFonts w:cstheme="minorHAnsi"/>
                <w:sz w:val="17"/>
                <w:szCs w:val="17"/>
              </w:rPr>
              <w:t xml:space="preserve">O </w:t>
            </w:r>
          </w:p>
          <w:p w:rsidR="003B5262" w:rsidRPr="00F53BDD" w:rsidRDefault="003B5262" w:rsidP="00E03937">
            <w:pPr>
              <w:pStyle w:val="TableText"/>
              <w:spacing w:before="0" w:after="0"/>
              <w:jc w:val="center"/>
              <w:rPr>
                <w:rFonts w:cstheme="minorHAnsi"/>
                <w:sz w:val="17"/>
                <w:szCs w:val="17"/>
                <w:shd w:val="clear" w:color="auto" w:fill="F7E1D3" w:themeFill="accent6" w:themeFillTint="33"/>
              </w:rPr>
            </w:pPr>
            <w:r w:rsidRPr="00F53BDD">
              <w:rPr>
                <w:rFonts w:eastAsia="Times New Roman" w:cstheme="minorHAnsi"/>
                <w:sz w:val="17"/>
                <w:szCs w:val="17"/>
              </w:rPr>
              <w:t>Not applicable</w:t>
            </w:r>
          </w:p>
        </w:tc>
        <w:tc>
          <w:tcPr>
            <w:tcW w:w="3656" w:type="dxa"/>
            <w:tcBorders>
              <w:bottom w:val="single" w:sz="4" w:space="0" w:color="1C556C" w:themeColor="accent1"/>
            </w:tcBorders>
            <w:shd w:val="clear" w:color="auto" w:fill="E2F3F0" w:themeFill="accent5" w:themeFillTint="33"/>
          </w:tcPr>
          <w:p w:rsidR="003B5262" w:rsidRPr="00F53BDD" w:rsidRDefault="003B5262" w:rsidP="00E03937">
            <w:pPr>
              <w:pStyle w:val="TableText"/>
              <w:spacing w:before="0" w:after="0"/>
              <w:jc w:val="center"/>
              <w:rPr>
                <w:rFonts w:cstheme="minorHAnsi"/>
                <w:sz w:val="17"/>
                <w:szCs w:val="17"/>
                <w:shd w:val="clear" w:color="auto" w:fill="F7E1D3" w:themeFill="accent6" w:themeFillTint="33"/>
              </w:rPr>
            </w:pPr>
            <w:r w:rsidRPr="00F53BDD">
              <w:rPr>
                <w:rFonts w:ascii="Segoe UI Symbol" w:hAnsi="Segoe UI Symbol" w:cs="Segoe UI Symbol"/>
                <w:sz w:val="17"/>
                <w:szCs w:val="17"/>
                <w:shd w:val="clear" w:color="auto" w:fill="E2F3F0" w:themeFill="accent5" w:themeFillTint="33"/>
              </w:rPr>
              <w:t>✓</w:t>
            </w:r>
          </w:p>
          <w:p w:rsidR="003B5262" w:rsidRPr="00F53BDD" w:rsidRDefault="003B5262" w:rsidP="00977597">
            <w:pPr>
              <w:pStyle w:val="TableText"/>
              <w:spacing w:before="0"/>
              <w:jc w:val="center"/>
              <w:rPr>
                <w:rFonts w:cstheme="minorHAnsi"/>
                <w:sz w:val="17"/>
                <w:szCs w:val="17"/>
              </w:rPr>
            </w:pPr>
            <w:r w:rsidRPr="00F53BDD">
              <w:rPr>
                <w:rFonts w:cstheme="minorHAnsi"/>
                <w:sz w:val="17"/>
                <w:szCs w:val="17"/>
              </w:rPr>
              <w:t>Provides some information on participants’ ability to fulfil trades</w:t>
            </w:r>
          </w:p>
        </w:tc>
      </w:tr>
      <w:tr w:rsidR="00A37B38" w:rsidRPr="00F53BDD" w:rsidTr="00B80A0F">
        <w:tc>
          <w:tcPr>
            <w:tcW w:w="0" w:type="auto"/>
            <w:shd w:val="clear" w:color="auto" w:fill="auto"/>
          </w:tcPr>
          <w:p w:rsidR="00A37B38" w:rsidRPr="00F53BDD" w:rsidRDefault="00A37B38" w:rsidP="00E03937">
            <w:pPr>
              <w:pStyle w:val="TableText"/>
              <w:spacing w:before="0" w:after="0"/>
              <w:rPr>
                <w:rFonts w:cstheme="minorHAnsi"/>
                <w:sz w:val="17"/>
                <w:szCs w:val="17"/>
              </w:rPr>
            </w:pPr>
            <w:r w:rsidRPr="00F53BDD">
              <w:rPr>
                <w:rFonts w:cstheme="minorHAnsi"/>
                <w:b/>
                <w:bCs/>
                <w:sz w:val="17"/>
                <w:szCs w:val="17"/>
              </w:rPr>
              <w:t>Price manipulation</w:t>
            </w:r>
          </w:p>
        </w:tc>
        <w:tc>
          <w:tcPr>
            <w:tcW w:w="1888" w:type="dxa"/>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Not applicable</w:t>
            </w:r>
          </w:p>
        </w:tc>
        <w:tc>
          <w:tcPr>
            <w:tcW w:w="2693" w:type="dxa"/>
            <w:shd w:val="clear" w:color="auto" w:fill="87BDBE"/>
          </w:tcPr>
          <w:p w:rsidR="00A37B38" w:rsidRPr="00F53BDD" w:rsidRDefault="00A37B38" w:rsidP="00E0393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Prevents parties gaining undesirable power in the market</w:t>
            </w:r>
          </w:p>
        </w:tc>
        <w:tc>
          <w:tcPr>
            <w:tcW w:w="3544" w:type="dxa"/>
            <w:tcBorders>
              <w:bottom w:val="single" w:sz="4" w:space="0" w:color="1C556C" w:themeColor="accent1"/>
            </w:tcBorders>
            <w:shd w:val="clear" w:color="auto" w:fill="87BDBE"/>
          </w:tcPr>
          <w:p w:rsidR="00A37B38" w:rsidRPr="00F53BDD" w:rsidRDefault="00A37B38" w:rsidP="00E0393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03937">
            <w:pPr>
              <w:pStyle w:val="TableText"/>
              <w:spacing w:before="0" w:after="0"/>
              <w:jc w:val="center"/>
              <w:rPr>
                <w:sz w:val="17"/>
                <w:szCs w:val="17"/>
              </w:rPr>
            </w:pPr>
            <w:r w:rsidRPr="00F53BDD">
              <w:rPr>
                <w:sz w:val="17"/>
                <w:szCs w:val="17"/>
              </w:rPr>
              <w:t>Helps a regulator monitor and detect unusual trades that could indicate price manipulation</w:t>
            </w:r>
          </w:p>
        </w:tc>
        <w:tc>
          <w:tcPr>
            <w:tcW w:w="3656" w:type="dxa"/>
            <w:tcBorders>
              <w:bottom w:val="single" w:sz="4" w:space="0" w:color="1C556C" w:themeColor="accent1"/>
            </w:tcBorders>
            <w:shd w:val="clear" w:color="auto" w:fill="87BDBE"/>
          </w:tcPr>
          <w:p w:rsidR="00A37B38" w:rsidRPr="00F53BDD" w:rsidRDefault="00A37B38" w:rsidP="00E0393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03937">
            <w:pPr>
              <w:pStyle w:val="TableText"/>
              <w:spacing w:before="0" w:after="0"/>
              <w:jc w:val="center"/>
              <w:rPr>
                <w:sz w:val="17"/>
                <w:szCs w:val="17"/>
              </w:rPr>
            </w:pPr>
            <w:r w:rsidRPr="00F53BDD">
              <w:rPr>
                <w:sz w:val="17"/>
                <w:szCs w:val="17"/>
              </w:rPr>
              <w:t>Helps a regulator monitor and detect unusual trades that could indicate price manipulation</w:t>
            </w:r>
          </w:p>
        </w:tc>
      </w:tr>
      <w:tr w:rsidR="00A37B38" w:rsidRPr="00F53BDD" w:rsidTr="00B80A0F">
        <w:tc>
          <w:tcPr>
            <w:tcW w:w="0" w:type="auto"/>
            <w:shd w:val="clear" w:color="auto" w:fill="auto"/>
          </w:tcPr>
          <w:p w:rsidR="00A37B38" w:rsidRPr="00F53BDD" w:rsidRDefault="00A37B38" w:rsidP="00E03937">
            <w:pPr>
              <w:pStyle w:val="TableText"/>
              <w:spacing w:before="0" w:after="0"/>
              <w:rPr>
                <w:rFonts w:cstheme="minorHAnsi"/>
                <w:sz w:val="17"/>
                <w:szCs w:val="17"/>
              </w:rPr>
            </w:pPr>
            <w:r w:rsidRPr="00F53BDD">
              <w:rPr>
                <w:rFonts w:cstheme="minorHAnsi"/>
                <w:b/>
                <w:bCs/>
                <w:sz w:val="17"/>
                <w:szCs w:val="17"/>
              </w:rPr>
              <w:t>Insider trading</w:t>
            </w:r>
          </w:p>
        </w:tc>
        <w:tc>
          <w:tcPr>
            <w:tcW w:w="1888" w:type="dxa"/>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Not applicable</w:t>
            </w:r>
          </w:p>
        </w:tc>
        <w:tc>
          <w:tcPr>
            <w:tcW w:w="2693" w:type="dxa"/>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3B5262" w:rsidP="00E03937">
            <w:pPr>
              <w:pStyle w:val="TableText"/>
              <w:spacing w:before="0" w:after="0"/>
              <w:jc w:val="center"/>
              <w:rPr>
                <w:rFonts w:cstheme="minorHAnsi"/>
                <w:sz w:val="17"/>
                <w:szCs w:val="17"/>
              </w:rPr>
            </w:pPr>
            <w:r w:rsidRPr="00F53BDD">
              <w:rPr>
                <w:rFonts w:eastAsia="Times New Roman" w:cstheme="minorHAnsi"/>
                <w:sz w:val="17"/>
                <w:szCs w:val="17"/>
              </w:rPr>
              <w:t>Not applicable</w:t>
            </w:r>
          </w:p>
        </w:tc>
        <w:tc>
          <w:tcPr>
            <w:tcW w:w="3544" w:type="dxa"/>
            <w:shd w:val="clear" w:color="auto" w:fill="87BDBE"/>
          </w:tcPr>
          <w:p w:rsidR="00A37B38" w:rsidRPr="00F53BDD" w:rsidRDefault="00A37B38" w:rsidP="00E0393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Helps a regulator monitor and detect unusual trades that could indicate insider trading</w:t>
            </w:r>
          </w:p>
        </w:tc>
        <w:tc>
          <w:tcPr>
            <w:tcW w:w="3656" w:type="dxa"/>
            <w:shd w:val="clear" w:color="auto" w:fill="87BDBE"/>
          </w:tcPr>
          <w:p w:rsidR="00A37B38" w:rsidRPr="00F53BDD" w:rsidRDefault="00A37B38" w:rsidP="00E0393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03937">
            <w:pPr>
              <w:pStyle w:val="TableText"/>
              <w:spacing w:before="0" w:after="0"/>
              <w:jc w:val="center"/>
              <w:rPr>
                <w:sz w:val="17"/>
                <w:szCs w:val="17"/>
              </w:rPr>
            </w:pPr>
            <w:r w:rsidRPr="00F53BDD">
              <w:rPr>
                <w:sz w:val="17"/>
                <w:szCs w:val="17"/>
              </w:rPr>
              <w:t>Helps a regulator monitor and detect unusual trades that could indicate insider trading</w:t>
            </w:r>
          </w:p>
        </w:tc>
      </w:tr>
      <w:tr w:rsidR="00A37B38" w:rsidRPr="00F53BDD" w:rsidTr="00B80A0F">
        <w:tc>
          <w:tcPr>
            <w:tcW w:w="0" w:type="auto"/>
            <w:shd w:val="clear" w:color="auto" w:fill="auto"/>
          </w:tcPr>
          <w:p w:rsidR="00A37B38" w:rsidRPr="00F53BDD" w:rsidRDefault="00A37B38" w:rsidP="00E03937">
            <w:pPr>
              <w:pStyle w:val="TableText"/>
              <w:spacing w:before="0" w:after="0"/>
              <w:rPr>
                <w:rFonts w:cstheme="minorHAnsi"/>
                <w:sz w:val="17"/>
                <w:szCs w:val="17"/>
              </w:rPr>
            </w:pPr>
            <w:r w:rsidRPr="00F53BDD">
              <w:rPr>
                <w:rFonts w:cstheme="minorHAnsi"/>
                <w:b/>
                <w:bCs/>
                <w:sz w:val="17"/>
                <w:szCs w:val="17"/>
              </w:rPr>
              <w:t>Money</w:t>
            </w:r>
            <w:r w:rsidR="008A1774" w:rsidRPr="00F53BDD">
              <w:rPr>
                <w:rFonts w:cstheme="minorHAnsi"/>
                <w:b/>
                <w:bCs/>
                <w:sz w:val="17"/>
                <w:szCs w:val="17"/>
              </w:rPr>
              <w:t xml:space="preserve"> </w:t>
            </w:r>
            <w:r w:rsidRPr="00F53BDD">
              <w:rPr>
                <w:rFonts w:cstheme="minorHAnsi"/>
                <w:b/>
                <w:bCs/>
                <w:sz w:val="17"/>
                <w:szCs w:val="17"/>
              </w:rPr>
              <w:t>laundering and financing of terrorism</w:t>
            </w:r>
          </w:p>
        </w:tc>
        <w:tc>
          <w:tcPr>
            <w:tcW w:w="1888" w:type="dxa"/>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Not applicable</w:t>
            </w:r>
          </w:p>
        </w:tc>
        <w:tc>
          <w:tcPr>
            <w:tcW w:w="2693" w:type="dxa"/>
          </w:tcPr>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O</w:t>
            </w:r>
          </w:p>
          <w:p w:rsidR="00A37B38" w:rsidRPr="00F53BDD" w:rsidRDefault="00A37B38" w:rsidP="00E03937">
            <w:pPr>
              <w:pStyle w:val="TableText"/>
              <w:spacing w:before="0" w:after="0"/>
              <w:jc w:val="center"/>
              <w:rPr>
                <w:rFonts w:cstheme="minorHAnsi"/>
                <w:sz w:val="17"/>
                <w:szCs w:val="17"/>
              </w:rPr>
            </w:pPr>
            <w:r w:rsidRPr="00F53BDD">
              <w:rPr>
                <w:rFonts w:cstheme="minorHAnsi"/>
                <w:sz w:val="17"/>
                <w:szCs w:val="17"/>
              </w:rPr>
              <w:t>Not applicable</w:t>
            </w:r>
          </w:p>
        </w:tc>
        <w:tc>
          <w:tcPr>
            <w:tcW w:w="3544" w:type="dxa"/>
            <w:shd w:val="clear" w:color="auto" w:fill="87BDBE"/>
          </w:tcPr>
          <w:p w:rsidR="00A37B38" w:rsidRPr="00F53BDD" w:rsidRDefault="00A37B38" w:rsidP="00E0393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 xml:space="preserve">Helps a regulator monitor and detect unusual trades that could indicate money laundering </w:t>
            </w:r>
            <w:r w:rsidR="00190D9A" w:rsidRPr="00F53BDD">
              <w:rPr>
                <w:sz w:val="17"/>
                <w:szCs w:val="17"/>
              </w:rPr>
              <w:t xml:space="preserve">or </w:t>
            </w:r>
            <w:r w:rsidRPr="00F53BDD">
              <w:rPr>
                <w:sz w:val="17"/>
                <w:szCs w:val="17"/>
              </w:rPr>
              <w:t>financing of terrorism</w:t>
            </w:r>
          </w:p>
        </w:tc>
        <w:tc>
          <w:tcPr>
            <w:tcW w:w="3656" w:type="dxa"/>
            <w:shd w:val="clear" w:color="auto" w:fill="87BDBE"/>
          </w:tcPr>
          <w:p w:rsidR="00A37B38" w:rsidRPr="00F53BDD" w:rsidRDefault="00A37B38" w:rsidP="00E0393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03937">
            <w:pPr>
              <w:pStyle w:val="TableText"/>
              <w:spacing w:before="0" w:after="0"/>
              <w:jc w:val="center"/>
              <w:rPr>
                <w:sz w:val="17"/>
                <w:szCs w:val="17"/>
              </w:rPr>
            </w:pPr>
            <w:r w:rsidRPr="00F53BDD">
              <w:rPr>
                <w:sz w:val="17"/>
                <w:szCs w:val="17"/>
              </w:rPr>
              <w:t xml:space="preserve">Helps a regulator monitor and detect unusual trades that could indicate money laundering </w:t>
            </w:r>
            <w:r w:rsidR="00190D9A" w:rsidRPr="00F53BDD">
              <w:rPr>
                <w:sz w:val="17"/>
                <w:szCs w:val="17"/>
              </w:rPr>
              <w:t xml:space="preserve">or </w:t>
            </w:r>
            <w:r w:rsidRPr="00F53BDD">
              <w:rPr>
                <w:sz w:val="17"/>
                <w:szCs w:val="17"/>
              </w:rPr>
              <w:t>financing of terrorism</w:t>
            </w:r>
          </w:p>
        </w:tc>
      </w:tr>
      <w:tr w:rsidR="00A37B38" w:rsidRPr="00F53BDD" w:rsidTr="00EB5C26">
        <w:tc>
          <w:tcPr>
            <w:tcW w:w="0" w:type="auto"/>
            <w:gridSpan w:val="5"/>
          </w:tcPr>
          <w:p w:rsidR="00A37B38" w:rsidRPr="00F53BDD" w:rsidRDefault="00A37B38" w:rsidP="0090714C">
            <w:pPr>
              <w:pStyle w:val="TableText"/>
              <w:tabs>
                <w:tab w:val="left" w:pos="535"/>
              </w:tabs>
              <w:contextualSpacing/>
              <w:rPr>
                <w:rFonts w:cstheme="minorHAnsi"/>
                <w:sz w:val="17"/>
                <w:szCs w:val="17"/>
              </w:rPr>
            </w:pPr>
            <w:r w:rsidRPr="00F53BDD">
              <w:rPr>
                <w:rFonts w:ascii="Segoe UI Symbol" w:hAnsi="Segoe UI Symbol" w:cs="Segoe UI Symbol"/>
                <w:sz w:val="17"/>
                <w:szCs w:val="17"/>
                <w:shd w:val="clear" w:color="auto" w:fill="87BDBE"/>
              </w:rPr>
              <w:t>✓✓</w:t>
            </w:r>
            <w:r w:rsidR="0090714C" w:rsidRPr="00F53BDD">
              <w:rPr>
                <w:rFonts w:cstheme="minorHAnsi"/>
                <w:sz w:val="17"/>
                <w:szCs w:val="17"/>
              </w:rPr>
              <w:tab/>
            </w:r>
            <w:r w:rsidRPr="00F53BDD">
              <w:rPr>
                <w:rFonts w:cstheme="minorHAnsi"/>
                <w:sz w:val="17"/>
                <w:szCs w:val="17"/>
              </w:rPr>
              <w:t>Addresses risk</w:t>
            </w:r>
          </w:p>
          <w:p w:rsidR="00A37B38" w:rsidRPr="00F53BDD" w:rsidRDefault="00A37B38" w:rsidP="0090714C">
            <w:pPr>
              <w:pStyle w:val="TableText"/>
              <w:tabs>
                <w:tab w:val="left" w:pos="535"/>
              </w:tabs>
              <w:contextualSpacing/>
              <w:rPr>
                <w:rFonts w:cstheme="minorHAnsi"/>
                <w:sz w:val="17"/>
                <w:szCs w:val="17"/>
              </w:rPr>
            </w:pPr>
            <w:r w:rsidRPr="00F53BDD">
              <w:rPr>
                <w:rFonts w:ascii="Segoe UI Symbol" w:hAnsi="Segoe UI Symbol" w:cs="Segoe UI Symbol"/>
                <w:sz w:val="17"/>
                <w:szCs w:val="17"/>
                <w:shd w:val="clear" w:color="auto" w:fill="CFE5E5"/>
              </w:rPr>
              <w:t>✓</w:t>
            </w:r>
            <w:r w:rsidR="0090714C" w:rsidRPr="00F53BDD">
              <w:rPr>
                <w:rFonts w:cstheme="minorHAnsi"/>
                <w:sz w:val="17"/>
                <w:szCs w:val="17"/>
              </w:rPr>
              <w:tab/>
            </w:r>
            <w:r w:rsidRPr="00F53BDD">
              <w:rPr>
                <w:rFonts w:cstheme="minorHAnsi"/>
                <w:sz w:val="17"/>
                <w:szCs w:val="17"/>
              </w:rPr>
              <w:t>Partially addresses risk</w:t>
            </w:r>
          </w:p>
          <w:p w:rsidR="00A37B38" w:rsidRPr="00F53BDD" w:rsidRDefault="00A37B38" w:rsidP="0090714C">
            <w:pPr>
              <w:pStyle w:val="TableText"/>
              <w:tabs>
                <w:tab w:val="left" w:pos="535"/>
              </w:tabs>
              <w:contextualSpacing/>
              <w:rPr>
                <w:rFonts w:cstheme="minorHAnsi"/>
                <w:sz w:val="17"/>
                <w:szCs w:val="17"/>
              </w:rPr>
            </w:pPr>
            <w:r w:rsidRPr="00F53BDD">
              <w:rPr>
                <w:rFonts w:cstheme="minorHAnsi"/>
                <w:sz w:val="17"/>
                <w:szCs w:val="17"/>
              </w:rPr>
              <w:t>O</w:t>
            </w:r>
            <w:r w:rsidR="0090714C" w:rsidRPr="00F53BDD">
              <w:rPr>
                <w:rFonts w:cstheme="minorHAnsi"/>
                <w:sz w:val="17"/>
                <w:szCs w:val="17"/>
              </w:rPr>
              <w:tab/>
            </w:r>
            <w:r w:rsidRPr="00F53BDD">
              <w:rPr>
                <w:rFonts w:cstheme="minorHAnsi"/>
                <w:sz w:val="17"/>
                <w:szCs w:val="17"/>
              </w:rPr>
              <w:t>Neutral</w:t>
            </w:r>
          </w:p>
        </w:tc>
      </w:tr>
    </w:tbl>
    <w:p w:rsidR="00A37B38" w:rsidRPr="00F53BDD" w:rsidRDefault="00A37B38" w:rsidP="00D77209">
      <w:pPr>
        <w:pStyle w:val="Tableheading"/>
        <w:spacing w:before="0"/>
      </w:pPr>
      <w:r w:rsidRPr="00F53BDD">
        <w:br w:type="page"/>
      </w:r>
      <w:bookmarkStart w:id="126" w:name="_Toc72150041"/>
      <w:bookmarkStart w:id="127" w:name="_Toc75250115"/>
      <w:r w:rsidRPr="00F53BDD">
        <w:t xml:space="preserve">Table </w:t>
      </w:r>
      <w:r w:rsidR="00FF0B45">
        <w:t>1</w:t>
      </w:r>
      <w:r w:rsidR="006218BD">
        <w:t>3</w:t>
      </w:r>
      <w:r w:rsidR="00465654">
        <w:t>:</w:t>
      </w:r>
      <w:r w:rsidRPr="00F53BDD">
        <w:t xml:space="preserve"> </w:t>
      </w:r>
      <w:r w:rsidR="00D77209" w:rsidRPr="00F53BDD">
        <w:tab/>
      </w:r>
      <w:r w:rsidRPr="00F53BDD">
        <w:t>Appointing a regulator</w:t>
      </w:r>
      <w:bookmarkEnd w:id="126"/>
      <w:r w:rsidR="00FE5D7D" w:rsidRPr="00F53BDD">
        <w:t xml:space="preserve">: </w:t>
      </w:r>
      <w:r w:rsidR="009A5D60" w:rsidRPr="00F53BDD">
        <w:t>R</w:t>
      </w:r>
      <w:r w:rsidR="006E253B" w:rsidRPr="00F53BDD">
        <w:t>isk coverage analysis</w:t>
      </w:r>
      <w:bookmarkEnd w:id="127"/>
      <w:r w:rsidR="006E253B" w:rsidRPr="00F53BDD">
        <w:t xml:space="preserve"> </w:t>
      </w:r>
    </w:p>
    <w:tbl>
      <w:tblPr>
        <w:tblStyle w:val="TableGrid"/>
        <w:tblW w:w="13438"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919"/>
        <w:gridCol w:w="1919"/>
        <w:gridCol w:w="1920"/>
        <w:gridCol w:w="1920"/>
        <w:gridCol w:w="1920"/>
        <w:gridCol w:w="1920"/>
        <w:gridCol w:w="1920"/>
      </w:tblGrid>
      <w:tr w:rsidR="00D77209" w:rsidRPr="00F53BDD" w:rsidTr="00EB5C26">
        <w:trPr>
          <w:tblHeader/>
        </w:trPr>
        <w:tc>
          <w:tcPr>
            <w:tcW w:w="1259" w:type="dxa"/>
            <w:shd w:val="clear" w:color="auto" w:fill="1C556C" w:themeFill="accent1"/>
            <w:vAlign w:val="bottom"/>
          </w:tcPr>
          <w:p w:rsidR="00A37B38" w:rsidRPr="00F53BDD" w:rsidRDefault="00A37B38" w:rsidP="00D77209">
            <w:pPr>
              <w:pStyle w:val="TableTextbold"/>
              <w:rPr>
                <w:color w:val="FFFFFF" w:themeColor="background1"/>
                <w:sz w:val="17"/>
                <w:szCs w:val="17"/>
              </w:rPr>
            </w:pPr>
            <w:r w:rsidRPr="00F53BDD">
              <w:rPr>
                <w:color w:val="FFFFFF" w:themeColor="background1"/>
                <w:sz w:val="17"/>
                <w:szCs w:val="17"/>
              </w:rPr>
              <w:t>Risk</w:t>
            </w:r>
          </w:p>
        </w:tc>
        <w:tc>
          <w:tcPr>
            <w:tcW w:w="1259" w:type="dxa"/>
            <w:shd w:val="clear" w:color="auto" w:fill="1C556C" w:themeFill="accent1"/>
            <w:vAlign w:val="bottom"/>
          </w:tcPr>
          <w:p w:rsidR="00A37B38" w:rsidRPr="00F53BDD" w:rsidRDefault="00A37B38" w:rsidP="00D77209">
            <w:pPr>
              <w:pStyle w:val="TableTextbold"/>
              <w:rPr>
                <w:color w:val="FFFFFF" w:themeColor="background1"/>
                <w:sz w:val="17"/>
                <w:szCs w:val="17"/>
              </w:rPr>
            </w:pPr>
            <w:r w:rsidRPr="00F53BDD">
              <w:rPr>
                <w:color w:val="FFFFFF" w:themeColor="background1"/>
                <w:sz w:val="17"/>
                <w:szCs w:val="17"/>
              </w:rPr>
              <w:t>D1: Status quo</w:t>
            </w:r>
          </w:p>
        </w:tc>
        <w:tc>
          <w:tcPr>
            <w:tcW w:w="1259" w:type="dxa"/>
            <w:tcBorders>
              <w:bottom w:val="single" w:sz="4" w:space="0" w:color="1C556C" w:themeColor="accent1"/>
            </w:tcBorders>
            <w:shd w:val="clear" w:color="auto" w:fill="1C556C" w:themeFill="accent1"/>
            <w:vAlign w:val="bottom"/>
          </w:tcPr>
          <w:p w:rsidR="00A37B38" w:rsidRPr="00F53BDD" w:rsidRDefault="00A37B38" w:rsidP="00D77209">
            <w:pPr>
              <w:pStyle w:val="TableTextbold"/>
              <w:rPr>
                <w:color w:val="FFFFFF" w:themeColor="background1"/>
                <w:sz w:val="17"/>
                <w:szCs w:val="17"/>
              </w:rPr>
            </w:pPr>
            <w:r w:rsidRPr="00F53BDD">
              <w:rPr>
                <w:color w:val="FFFFFF" w:themeColor="background1"/>
                <w:sz w:val="17"/>
                <w:szCs w:val="17"/>
              </w:rPr>
              <w:t>D2: Self-</w:t>
            </w:r>
            <w:r w:rsidR="00886CED" w:rsidRPr="00F53BDD">
              <w:rPr>
                <w:color w:val="FFFFFF" w:themeColor="background1"/>
                <w:sz w:val="17"/>
                <w:szCs w:val="17"/>
              </w:rPr>
              <w:t>r</w:t>
            </w:r>
            <w:r w:rsidRPr="00F53BDD">
              <w:rPr>
                <w:color w:val="FFFFFF" w:themeColor="background1"/>
                <w:sz w:val="17"/>
                <w:szCs w:val="17"/>
              </w:rPr>
              <w:t>egulating body</w:t>
            </w:r>
          </w:p>
        </w:tc>
        <w:tc>
          <w:tcPr>
            <w:tcW w:w="1259" w:type="dxa"/>
            <w:tcBorders>
              <w:bottom w:val="single" w:sz="4" w:space="0" w:color="1C556C" w:themeColor="accent1"/>
            </w:tcBorders>
            <w:shd w:val="clear" w:color="auto" w:fill="1C556C" w:themeFill="accent1"/>
            <w:vAlign w:val="bottom"/>
          </w:tcPr>
          <w:p w:rsidR="00A37B38" w:rsidRPr="00F53BDD" w:rsidRDefault="00A37B38" w:rsidP="00D77209">
            <w:pPr>
              <w:pStyle w:val="TableTextbold"/>
              <w:rPr>
                <w:color w:val="FFFFFF" w:themeColor="background1"/>
                <w:sz w:val="17"/>
                <w:szCs w:val="17"/>
              </w:rPr>
            </w:pPr>
            <w:r w:rsidRPr="00F53BDD">
              <w:rPr>
                <w:color w:val="FFFFFF" w:themeColor="background1"/>
                <w:sz w:val="17"/>
                <w:szCs w:val="17"/>
              </w:rPr>
              <w:t>D3: Advisory regulator</w:t>
            </w:r>
          </w:p>
        </w:tc>
        <w:tc>
          <w:tcPr>
            <w:tcW w:w="1259" w:type="dxa"/>
            <w:tcBorders>
              <w:bottom w:val="single" w:sz="4" w:space="0" w:color="1C556C" w:themeColor="accent1"/>
            </w:tcBorders>
            <w:shd w:val="clear" w:color="auto" w:fill="1C556C" w:themeFill="accent1"/>
            <w:vAlign w:val="bottom"/>
          </w:tcPr>
          <w:p w:rsidR="00A37B38" w:rsidRPr="00F53BDD" w:rsidRDefault="00A37B38" w:rsidP="00D77209">
            <w:pPr>
              <w:pStyle w:val="TableTextbold"/>
              <w:rPr>
                <w:color w:val="FFFFFF" w:themeColor="background1"/>
                <w:sz w:val="17"/>
                <w:szCs w:val="17"/>
              </w:rPr>
            </w:pPr>
            <w:r w:rsidRPr="00F53BDD">
              <w:rPr>
                <w:color w:val="FFFFFF" w:themeColor="background1"/>
                <w:sz w:val="17"/>
                <w:szCs w:val="17"/>
              </w:rPr>
              <w:t xml:space="preserve">D4: Market </w:t>
            </w:r>
            <w:r w:rsidR="00886CED" w:rsidRPr="00F53BDD">
              <w:rPr>
                <w:color w:val="FFFFFF" w:themeColor="background1"/>
                <w:sz w:val="17"/>
                <w:szCs w:val="17"/>
              </w:rPr>
              <w:t>m</w:t>
            </w:r>
            <w:r w:rsidRPr="00F53BDD">
              <w:rPr>
                <w:color w:val="FFFFFF" w:themeColor="background1"/>
                <w:sz w:val="17"/>
                <w:szCs w:val="17"/>
              </w:rPr>
              <w:t>onitoring regulator</w:t>
            </w:r>
          </w:p>
        </w:tc>
        <w:tc>
          <w:tcPr>
            <w:tcW w:w="1259" w:type="dxa"/>
            <w:tcBorders>
              <w:bottom w:val="single" w:sz="4" w:space="0" w:color="1C556C" w:themeColor="accent1"/>
            </w:tcBorders>
            <w:shd w:val="clear" w:color="auto" w:fill="1C556C" w:themeFill="accent1"/>
            <w:vAlign w:val="bottom"/>
          </w:tcPr>
          <w:p w:rsidR="00A37B38" w:rsidRPr="00F53BDD" w:rsidRDefault="00A37B38" w:rsidP="00D77209">
            <w:pPr>
              <w:pStyle w:val="TableTextbold"/>
              <w:rPr>
                <w:color w:val="FFFFFF" w:themeColor="background1"/>
                <w:sz w:val="17"/>
                <w:szCs w:val="17"/>
              </w:rPr>
            </w:pPr>
            <w:r w:rsidRPr="00F53BDD">
              <w:rPr>
                <w:color w:val="FFFFFF" w:themeColor="background1"/>
                <w:sz w:val="17"/>
                <w:szCs w:val="17"/>
              </w:rPr>
              <w:t xml:space="preserve">D5: Market </w:t>
            </w:r>
            <w:r w:rsidR="00886CED" w:rsidRPr="00F53BDD">
              <w:rPr>
                <w:color w:val="FFFFFF" w:themeColor="background1"/>
                <w:sz w:val="17"/>
                <w:szCs w:val="17"/>
              </w:rPr>
              <w:t>c</w:t>
            </w:r>
            <w:r w:rsidRPr="00F53BDD">
              <w:rPr>
                <w:color w:val="FFFFFF" w:themeColor="background1"/>
                <w:sz w:val="17"/>
                <w:szCs w:val="17"/>
              </w:rPr>
              <w:t>ompliance regulator</w:t>
            </w:r>
          </w:p>
        </w:tc>
        <w:tc>
          <w:tcPr>
            <w:tcW w:w="1259" w:type="dxa"/>
            <w:tcBorders>
              <w:bottom w:val="single" w:sz="4" w:space="0" w:color="1C556C" w:themeColor="accent1"/>
            </w:tcBorders>
            <w:shd w:val="clear" w:color="auto" w:fill="1C556C" w:themeFill="accent1"/>
            <w:vAlign w:val="bottom"/>
          </w:tcPr>
          <w:p w:rsidR="00A37B38" w:rsidRPr="00F53BDD" w:rsidRDefault="00A37B38" w:rsidP="00D77209">
            <w:pPr>
              <w:pStyle w:val="TableTextbold"/>
              <w:rPr>
                <w:color w:val="FFFFFF" w:themeColor="background1"/>
                <w:sz w:val="17"/>
                <w:szCs w:val="17"/>
              </w:rPr>
            </w:pPr>
            <w:r w:rsidRPr="00F53BDD">
              <w:rPr>
                <w:color w:val="FFFFFF" w:themeColor="background1"/>
                <w:sz w:val="17"/>
                <w:szCs w:val="17"/>
              </w:rPr>
              <w:t xml:space="preserve">D6: Market </w:t>
            </w:r>
            <w:r w:rsidR="00886CED" w:rsidRPr="00F53BDD">
              <w:rPr>
                <w:color w:val="FFFFFF" w:themeColor="background1"/>
                <w:sz w:val="17"/>
                <w:szCs w:val="17"/>
              </w:rPr>
              <w:t>d</w:t>
            </w:r>
            <w:r w:rsidRPr="00F53BDD">
              <w:rPr>
                <w:color w:val="FFFFFF" w:themeColor="background1"/>
                <w:sz w:val="17"/>
                <w:szCs w:val="17"/>
              </w:rPr>
              <w:t xml:space="preserve">esign regulator </w:t>
            </w:r>
          </w:p>
        </w:tc>
      </w:tr>
      <w:tr w:rsidR="00A37B38" w:rsidRPr="00F53BDD" w:rsidTr="00EB5C26">
        <w:tc>
          <w:tcPr>
            <w:tcW w:w="1259" w:type="dxa"/>
          </w:tcPr>
          <w:p w:rsidR="00A37B38" w:rsidRPr="00F53BDD" w:rsidRDefault="00A37B38" w:rsidP="00D77209">
            <w:pPr>
              <w:pStyle w:val="TableText"/>
              <w:spacing w:before="0" w:after="0"/>
              <w:rPr>
                <w:b/>
                <w:bCs/>
                <w:sz w:val="17"/>
                <w:szCs w:val="17"/>
              </w:rPr>
            </w:pPr>
            <w:r w:rsidRPr="00F53BDD">
              <w:rPr>
                <w:b/>
                <w:bCs/>
                <w:sz w:val="17"/>
                <w:szCs w:val="17"/>
              </w:rPr>
              <w:t>Poor advice</w:t>
            </w:r>
          </w:p>
        </w:tc>
        <w:tc>
          <w:tcPr>
            <w:tcW w:w="1259" w:type="dxa"/>
          </w:tcPr>
          <w:p w:rsidR="00A37B38" w:rsidRPr="00F53BDD" w:rsidRDefault="00A37B38" w:rsidP="00D77209">
            <w:pPr>
              <w:pStyle w:val="TableText"/>
              <w:spacing w:before="0" w:after="0"/>
              <w:jc w:val="center"/>
              <w:rPr>
                <w:sz w:val="17"/>
                <w:szCs w:val="17"/>
              </w:rPr>
            </w:pPr>
            <w:r w:rsidRPr="00F53BDD">
              <w:rPr>
                <w:sz w:val="17"/>
                <w:szCs w:val="17"/>
              </w:rPr>
              <w:t>O</w:t>
            </w:r>
          </w:p>
          <w:p w:rsidR="00A37B38" w:rsidRPr="00F53BDD" w:rsidRDefault="00A37B38" w:rsidP="00D77209">
            <w:pPr>
              <w:pStyle w:val="TableText"/>
              <w:spacing w:before="0" w:after="0"/>
              <w:jc w:val="center"/>
              <w:rPr>
                <w:sz w:val="17"/>
                <w:szCs w:val="17"/>
              </w:rPr>
            </w:pPr>
            <w:r w:rsidRPr="00F53BDD">
              <w:rPr>
                <w:sz w:val="17"/>
                <w:szCs w:val="17"/>
              </w:rPr>
              <w:t>No regulator</w:t>
            </w:r>
          </w:p>
        </w:tc>
        <w:tc>
          <w:tcPr>
            <w:tcW w:w="1259" w:type="dxa"/>
            <w:shd w:val="clear" w:color="auto" w:fill="CFE5E5"/>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 xml:space="preserve">Sets </w:t>
            </w:r>
            <w:r w:rsidR="00367393" w:rsidRPr="00F53BDD">
              <w:rPr>
                <w:sz w:val="17"/>
                <w:szCs w:val="17"/>
              </w:rPr>
              <w:t xml:space="preserve">voluntary </w:t>
            </w:r>
            <w:r w:rsidRPr="00F53BDD">
              <w:rPr>
                <w:sz w:val="17"/>
                <w:szCs w:val="17"/>
              </w:rPr>
              <w:t>industry standard for quality of advice</w:t>
            </w:r>
          </w:p>
        </w:tc>
        <w:tc>
          <w:tcPr>
            <w:tcW w:w="1259" w:type="dxa"/>
            <w:shd w:val="clear" w:color="auto" w:fill="CFE5E5"/>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Advi</w:t>
            </w:r>
            <w:r w:rsidR="003B3DAD" w:rsidRPr="00F53BDD">
              <w:rPr>
                <w:sz w:val="17"/>
                <w:szCs w:val="17"/>
              </w:rPr>
              <w:t>s</w:t>
            </w:r>
            <w:r w:rsidRPr="00F53BDD">
              <w:rPr>
                <w:sz w:val="17"/>
                <w:szCs w:val="17"/>
              </w:rPr>
              <w:t>es on industry standards for quality of advice, hears complaints</w:t>
            </w:r>
            <w:r w:rsidR="0039629E">
              <w:rPr>
                <w:sz w:val="17"/>
                <w:szCs w:val="17"/>
              </w:rPr>
              <w:t>,</w:t>
            </w:r>
            <w:r w:rsidRPr="00F53BDD">
              <w:rPr>
                <w:sz w:val="17"/>
                <w:szCs w:val="17"/>
              </w:rPr>
              <w:t xml:space="preserve"> and advises central government</w:t>
            </w:r>
          </w:p>
        </w:tc>
        <w:tc>
          <w:tcPr>
            <w:tcW w:w="1259" w:type="dxa"/>
            <w:shd w:val="clear" w:color="auto" w:fill="CFE5E5"/>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Could monitor reports on complaints, and advise central government</w:t>
            </w:r>
          </w:p>
        </w:tc>
        <w:tc>
          <w:tcPr>
            <w:tcW w:w="1259" w:type="dxa"/>
            <w:shd w:val="clear" w:color="auto" w:fill="87BDBE"/>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Could require reporting, and enforce compliance with primary legislation</w:t>
            </w:r>
          </w:p>
        </w:tc>
        <w:tc>
          <w:tcPr>
            <w:tcW w:w="1259" w:type="dxa"/>
            <w:shd w:val="clear" w:color="auto" w:fill="57A3A4"/>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Could require reporting, enforce compliance</w:t>
            </w:r>
            <w:r w:rsidR="0039629E">
              <w:rPr>
                <w:sz w:val="17"/>
                <w:szCs w:val="17"/>
              </w:rPr>
              <w:t>,</w:t>
            </w:r>
            <w:r w:rsidRPr="00F53BDD">
              <w:rPr>
                <w:sz w:val="17"/>
                <w:szCs w:val="17"/>
              </w:rPr>
              <w:t xml:space="preserve"> and amend adviser requirements</w:t>
            </w:r>
          </w:p>
        </w:tc>
      </w:tr>
      <w:tr w:rsidR="00474C9B" w:rsidRPr="00F53BDD" w:rsidTr="00EB5C26">
        <w:tc>
          <w:tcPr>
            <w:tcW w:w="1259" w:type="dxa"/>
          </w:tcPr>
          <w:p w:rsidR="00A37B38" w:rsidRPr="00F53BDD" w:rsidRDefault="00A37B38" w:rsidP="00D77209">
            <w:pPr>
              <w:pStyle w:val="TableText"/>
              <w:spacing w:before="0" w:after="0"/>
              <w:rPr>
                <w:b/>
                <w:bCs/>
                <w:sz w:val="17"/>
                <w:szCs w:val="17"/>
              </w:rPr>
            </w:pPr>
            <w:r w:rsidRPr="00F53BDD">
              <w:rPr>
                <w:b/>
                <w:bCs/>
                <w:sz w:val="17"/>
                <w:szCs w:val="17"/>
              </w:rPr>
              <w:t>Conflict of interest</w:t>
            </w:r>
          </w:p>
        </w:tc>
        <w:tc>
          <w:tcPr>
            <w:tcW w:w="1259" w:type="dxa"/>
          </w:tcPr>
          <w:p w:rsidR="00A37B38" w:rsidRPr="00F53BDD" w:rsidRDefault="00A37B38" w:rsidP="00D77209">
            <w:pPr>
              <w:pStyle w:val="TableText"/>
              <w:spacing w:before="0" w:after="0"/>
              <w:jc w:val="center"/>
              <w:rPr>
                <w:sz w:val="17"/>
                <w:szCs w:val="17"/>
              </w:rPr>
            </w:pPr>
            <w:r w:rsidRPr="00F53BDD">
              <w:rPr>
                <w:sz w:val="17"/>
                <w:szCs w:val="17"/>
              </w:rPr>
              <w:t>O</w:t>
            </w:r>
          </w:p>
          <w:p w:rsidR="00A37B38" w:rsidRPr="00F53BDD" w:rsidRDefault="00A37B38" w:rsidP="00D77209">
            <w:pPr>
              <w:pStyle w:val="TableText"/>
              <w:spacing w:before="0" w:after="0"/>
              <w:jc w:val="center"/>
              <w:rPr>
                <w:sz w:val="17"/>
                <w:szCs w:val="17"/>
              </w:rPr>
            </w:pPr>
            <w:r w:rsidRPr="00F53BDD">
              <w:rPr>
                <w:sz w:val="17"/>
                <w:szCs w:val="17"/>
              </w:rPr>
              <w:t>No regulator</w:t>
            </w:r>
          </w:p>
        </w:tc>
        <w:tc>
          <w:tcPr>
            <w:tcW w:w="1259" w:type="dxa"/>
            <w:tcBorders>
              <w:bottom w:val="single" w:sz="4" w:space="0" w:color="1C556C" w:themeColor="accent1"/>
            </w:tcBorders>
            <w:shd w:val="clear" w:color="auto" w:fill="CFE5E5"/>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Could recommend against trading when conflicted</w:t>
            </w:r>
          </w:p>
        </w:tc>
        <w:tc>
          <w:tcPr>
            <w:tcW w:w="1259" w:type="dxa"/>
            <w:tcBorders>
              <w:bottom w:val="single" w:sz="4" w:space="0" w:color="1C556C" w:themeColor="accent1"/>
            </w:tcBorders>
            <w:shd w:val="clear" w:color="auto" w:fill="CFE5E5"/>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 xml:space="preserve">Could advise on conflicts of interest, hear voluntary </w:t>
            </w:r>
            <w:r w:rsidR="003B3DAD" w:rsidRPr="00F53BDD">
              <w:rPr>
                <w:sz w:val="17"/>
                <w:szCs w:val="17"/>
              </w:rPr>
              <w:t>complaints</w:t>
            </w:r>
            <w:r w:rsidR="0039629E">
              <w:rPr>
                <w:sz w:val="17"/>
                <w:szCs w:val="17"/>
              </w:rPr>
              <w:t>,</w:t>
            </w:r>
            <w:r w:rsidRPr="00F53BDD">
              <w:rPr>
                <w:sz w:val="17"/>
                <w:szCs w:val="17"/>
              </w:rPr>
              <w:t xml:space="preserve"> and advise central government</w:t>
            </w:r>
          </w:p>
        </w:tc>
        <w:tc>
          <w:tcPr>
            <w:tcW w:w="1259" w:type="dxa"/>
            <w:shd w:val="clear" w:color="auto" w:fill="CFE5E5"/>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Could monitor participants report on complaints, and advise central government</w:t>
            </w:r>
          </w:p>
        </w:tc>
        <w:tc>
          <w:tcPr>
            <w:tcW w:w="1259" w:type="dxa"/>
            <w:shd w:val="clear" w:color="auto" w:fill="87BDBE"/>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Could require reporting, and enforce compliance with primary legislation</w:t>
            </w:r>
          </w:p>
        </w:tc>
        <w:tc>
          <w:tcPr>
            <w:tcW w:w="1259" w:type="dxa"/>
            <w:shd w:val="clear" w:color="auto" w:fill="57A3A4"/>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Could require reporting, enforce compliance</w:t>
            </w:r>
            <w:r w:rsidR="0039629E">
              <w:rPr>
                <w:sz w:val="17"/>
                <w:szCs w:val="17"/>
              </w:rPr>
              <w:t>,</w:t>
            </w:r>
            <w:r w:rsidRPr="00F53BDD">
              <w:rPr>
                <w:sz w:val="17"/>
                <w:szCs w:val="17"/>
              </w:rPr>
              <w:t xml:space="preserve"> and amend adviser requirements</w:t>
            </w:r>
          </w:p>
        </w:tc>
      </w:tr>
      <w:tr w:rsidR="00A37B38" w:rsidRPr="00F53BDD" w:rsidTr="00EB5C26">
        <w:tc>
          <w:tcPr>
            <w:tcW w:w="1259" w:type="dxa"/>
          </w:tcPr>
          <w:p w:rsidR="00A37B38" w:rsidRPr="00F53BDD" w:rsidRDefault="00A37B38" w:rsidP="00D77209">
            <w:pPr>
              <w:pStyle w:val="TableText"/>
              <w:spacing w:before="0" w:after="0"/>
              <w:rPr>
                <w:b/>
                <w:bCs/>
                <w:sz w:val="17"/>
                <w:szCs w:val="17"/>
              </w:rPr>
            </w:pPr>
            <w:r w:rsidRPr="00F53BDD">
              <w:rPr>
                <w:b/>
                <w:bCs/>
                <w:sz w:val="17"/>
                <w:szCs w:val="17"/>
              </w:rPr>
              <w:t>Transparency, monitoring and oversight of trades</w:t>
            </w:r>
          </w:p>
        </w:tc>
        <w:tc>
          <w:tcPr>
            <w:tcW w:w="1259" w:type="dxa"/>
          </w:tcPr>
          <w:p w:rsidR="00A37B38" w:rsidRPr="00F53BDD" w:rsidRDefault="00A37B38" w:rsidP="00D77209">
            <w:pPr>
              <w:pStyle w:val="TableText"/>
              <w:spacing w:before="0" w:after="0"/>
              <w:jc w:val="center"/>
              <w:rPr>
                <w:sz w:val="17"/>
                <w:szCs w:val="17"/>
              </w:rPr>
            </w:pPr>
            <w:r w:rsidRPr="00F53BDD">
              <w:rPr>
                <w:sz w:val="17"/>
                <w:szCs w:val="17"/>
              </w:rPr>
              <w:t>O</w:t>
            </w:r>
          </w:p>
          <w:p w:rsidR="00A37B38" w:rsidRPr="00F53BDD" w:rsidRDefault="00A37B38" w:rsidP="00D77209">
            <w:pPr>
              <w:pStyle w:val="TableText"/>
              <w:spacing w:before="0" w:after="0"/>
              <w:jc w:val="center"/>
              <w:rPr>
                <w:sz w:val="17"/>
                <w:szCs w:val="17"/>
              </w:rPr>
            </w:pPr>
            <w:r w:rsidRPr="00F53BDD">
              <w:rPr>
                <w:sz w:val="17"/>
                <w:szCs w:val="17"/>
              </w:rPr>
              <w:t>No regulator</w:t>
            </w:r>
          </w:p>
        </w:tc>
        <w:tc>
          <w:tcPr>
            <w:tcW w:w="1259" w:type="dxa"/>
            <w:shd w:val="clear" w:color="auto" w:fill="EDB097"/>
          </w:tcPr>
          <w:p w:rsidR="00A37B38" w:rsidRPr="00F53BDD" w:rsidRDefault="00C0683C" w:rsidP="00C0683C">
            <w:pPr>
              <w:pStyle w:val="TableText"/>
              <w:spacing w:before="0" w:after="0"/>
              <w:jc w:val="center"/>
              <w:rPr>
                <w:sz w:val="17"/>
                <w:szCs w:val="17"/>
              </w:rPr>
            </w:pPr>
            <w:r w:rsidRPr="00F53BDD">
              <w:rPr>
                <w:rFonts w:cs="Segoe UI Symbol"/>
                <w:sz w:val="17"/>
                <w:szCs w:val="17"/>
              </w:rPr>
              <w:t>x</w:t>
            </w:r>
          </w:p>
          <w:p w:rsidR="00A37B38" w:rsidRPr="00F53BDD" w:rsidRDefault="00A37B38" w:rsidP="00C0683C">
            <w:pPr>
              <w:pStyle w:val="TableText"/>
              <w:spacing w:before="0" w:after="0"/>
              <w:jc w:val="center"/>
              <w:rPr>
                <w:sz w:val="17"/>
                <w:szCs w:val="17"/>
              </w:rPr>
            </w:pPr>
            <w:r w:rsidRPr="00F53BDD">
              <w:rPr>
                <w:sz w:val="17"/>
                <w:szCs w:val="17"/>
              </w:rPr>
              <w:t>No oversight of transactions</w:t>
            </w:r>
          </w:p>
        </w:tc>
        <w:tc>
          <w:tcPr>
            <w:tcW w:w="1259" w:type="dxa"/>
            <w:shd w:val="clear" w:color="auto" w:fill="EDB097"/>
          </w:tcPr>
          <w:p w:rsidR="00A37B38" w:rsidRPr="00F53BDD" w:rsidRDefault="00C0683C" w:rsidP="00C0683C">
            <w:pPr>
              <w:pStyle w:val="TableText"/>
              <w:spacing w:before="0" w:after="0"/>
              <w:jc w:val="center"/>
              <w:rPr>
                <w:sz w:val="17"/>
                <w:szCs w:val="17"/>
              </w:rPr>
            </w:pPr>
            <w:r w:rsidRPr="00F53BDD">
              <w:rPr>
                <w:sz w:val="17"/>
                <w:szCs w:val="17"/>
              </w:rPr>
              <w:t>x</w:t>
            </w:r>
          </w:p>
          <w:p w:rsidR="00A37B38" w:rsidRPr="00F53BDD" w:rsidRDefault="00A37B38" w:rsidP="00C0683C">
            <w:pPr>
              <w:pStyle w:val="TableText"/>
              <w:spacing w:before="0" w:after="0"/>
              <w:jc w:val="center"/>
              <w:rPr>
                <w:sz w:val="17"/>
                <w:szCs w:val="17"/>
              </w:rPr>
            </w:pPr>
            <w:r w:rsidRPr="00F53BDD">
              <w:rPr>
                <w:sz w:val="17"/>
                <w:szCs w:val="17"/>
              </w:rPr>
              <w:t>No oversight of transactions</w:t>
            </w:r>
          </w:p>
        </w:tc>
        <w:tc>
          <w:tcPr>
            <w:tcW w:w="1259" w:type="dxa"/>
            <w:shd w:val="clear" w:color="auto" w:fill="E2F3F0" w:themeFill="accent5" w:themeFillTint="33"/>
          </w:tcPr>
          <w:p w:rsidR="00A37B38" w:rsidRPr="00F53BDD" w:rsidRDefault="00A37B38" w:rsidP="00D77209">
            <w:pPr>
              <w:pStyle w:val="TableText"/>
              <w:spacing w:before="0" w:after="0"/>
              <w:jc w:val="center"/>
              <w:rPr>
                <w:sz w:val="17"/>
                <w:szCs w:val="17"/>
                <w:shd w:val="clear" w:color="auto" w:fill="E8A67D" w:themeFill="accent6" w:themeFillTint="99"/>
              </w:rPr>
            </w:pPr>
            <w:r w:rsidRPr="00F53BDD">
              <w:rPr>
                <w:rFonts w:ascii="Segoe UI Symbol" w:hAnsi="Segoe UI Symbol" w:cs="Segoe UI Symbol"/>
                <w:sz w:val="17"/>
                <w:szCs w:val="17"/>
                <w:shd w:val="clear" w:color="auto" w:fill="E2F3F0" w:themeFill="accent5" w:themeFillTint="33"/>
              </w:rPr>
              <w:t>✓</w:t>
            </w:r>
          </w:p>
          <w:p w:rsidR="00A37B38" w:rsidRPr="00F53BDD" w:rsidRDefault="00A37B38" w:rsidP="00D77209">
            <w:pPr>
              <w:pStyle w:val="TableText"/>
              <w:spacing w:before="0" w:after="0"/>
              <w:jc w:val="center"/>
              <w:rPr>
                <w:sz w:val="17"/>
                <w:szCs w:val="17"/>
              </w:rPr>
            </w:pPr>
            <w:r w:rsidRPr="00F53BDD">
              <w:rPr>
                <w:sz w:val="17"/>
                <w:szCs w:val="17"/>
              </w:rPr>
              <w:t>Could monitor transactions and advise central government</w:t>
            </w:r>
          </w:p>
        </w:tc>
        <w:tc>
          <w:tcPr>
            <w:tcW w:w="1259" w:type="dxa"/>
            <w:shd w:val="clear" w:color="auto" w:fill="87BDBE"/>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Could monitor transactions and enforce compliance with primary legislation</w:t>
            </w:r>
          </w:p>
        </w:tc>
        <w:tc>
          <w:tcPr>
            <w:tcW w:w="1259" w:type="dxa"/>
            <w:shd w:val="clear" w:color="auto" w:fill="57A3A4"/>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Could monitor trades, enforce compliance and amend trading rules</w:t>
            </w:r>
          </w:p>
        </w:tc>
      </w:tr>
      <w:tr w:rsidR="00A37B38" w:rsidRPr="00F53BDD" w:rsidTr="00EB5C26">
        <w:tc>
          <w:tcPr>
            <w:tcW w:w="1259" w:type="dxa"/>
          </w:tcPr>
          <w:p w:rsidR="00A37B38" w:rsidRPr="00F53BDD" w:rsidRDefault="00A37B38" w:rsidP="00D77209">
            <w:pPr>
              <w:pStyle w:val="TableText"/>
              <w:spacing w:before="0" w:after="0"/>
              <w:rPr>
                <w:b/>
                <w:bCs/>
                <w:sz w:val="17"/>
                <w:szCs w:val="17"/>
              </w:rPr>
            </w:pPr>
            <w:r w:rsidRPr="00F53BDD">
              <w:rPr>
                <w:b/>
                <w:bCs/>
                <w:sz w:val="17"/>
                <w:szCs w:val="17"/>
              </w:rPr>
              <w:t>Credit and counter-party risk</w:t>
            </w:r>
          </w:p>
        </w:tc>
        <w:tc>
          <w:tcPr>
            <w:tcW w:w="1259" w:type="dxa"/>
          </w:tcPr>
          <w:p w:rsidR="00A37B38" w:rsidRPr="00F53BDD" w:rsidRDefault="00A37B38" w:rsidP="00D77209">
            <w:pPr>
              <w:pStyle w:val="TableText"/>
              <w:spacing w:before="0" w:after="0"/>
              <w:jc w:val="center"/>
              <w:rPr>
                <w:sz w:val="17"/>
                <w:szCs w:val="17"/>
              </w:rPr>
            </w:pPr>
            <w:r w:rsidRPr="00F53BDD">
              <w:rPr>
                <w:sz w:val="17"/>
                <w:szCs w:val="17"/>
              </w:rPr>
              <w:t>O</w:t>
            </w:r>
          </w:p>
          <w:p w:rsidR="00A37B38" w:rsidRPr="00F53BDD" w:rsidRDefault="00A37B38" w:rsidP="00D77209">
            <w:pPr>
              <w:pStyle w:val="TableText"/>
              <w:spacing w:before="0" w:after="0"/>
              <w:jc w:val="center"/>
              <w:rPr>
                <w:sz w:val="17"/>
                <w:szCs w:val="17"/>
              </w:rPr>
            </w:pPr>
            <w:r w:rsidRPr="00F53BDD">
              <w:rPr>
                <w:sz w:val="17"/>
                <w:szCs w:val="17"/>
              </w:rPr>
              <w:t>No regulator</w:t>
            </w:r>
          </w:p>
        </w:tc>
        <w:tc>
          <w:tcPr>
            <w:tcW w:w="1259" w:type="dxa"/>
            <w:shd w:val="clear" w:color="auto" w:fill="EDB097"/>
          </w:tcPr>
          <w:p w:rsidR="00A37B38" w:rsidRPr="00F53BDD" w:rsidRDefault="00C0683C" w:rsidP="00C0683C">
            <w:pPr>
              <w:pStyle w:val="TableText"/>
              <w:spacing w:before="0" w:after="0"/>
              <w:jc w:val="center"/>
              <w:rPr>
                <w:sz w:val="17"/>
                <w:szCs w:val="17"/>
              </w:rPr>
            </w:pPr>
            <w:r w:rsidRPr="00F53BDD">
              <w:rPr>
                <w:rFonts w:cs="Segoe UI Symbol"/>
                <w:sz w:val="17"/>
                <w:szCs w:val="17"/>
              </w:rPr>
              <w:t>x</w:t>
            </w:r>
          </w:p>
          <w:p w:rsidR="00A37B38" w:rsidRPr="00F53BDD" w:rsidRDefault="00A37B38" w:rsidP="00C0683C">
            <w:pPr>
              <w:pStyle w:val="TableText"/>
              <w:spacing w:before="0" w:after="0"/>
              <w:jc w:val="center"/>
              <w:rPr>
                <w:sz w:val="17"/>
                <w:szCs w:val="17"/>
              </w:rPr>
            </w:pPr>
            <w:r w:rsidRPr="00F53BDD">
              <w:rPr>
                <w:sz w:val="17"/>
                <w:szCs w:val="17"/>
              </w:rPr>
              <w:t>No oversight of credit or counter-party risk</w:t>
            </w:r>
          </w:p>
        </w:tc>
        <w:tc>
          <w:tcPr>
            <w:tcW w:w="1259" w:type="dxa"/>
            <w:shd w:val="clear" w:color="auto" w:fill="EDB097"/>
          </w:tcPr>
          <w:p w:rsidR="00A37B38" w:rsidRPr="00F53BDD" w:rsidRDefault="00C0683C" w:rsidP="00C0683C">
            <w:pPr>
              <w:pStyle w:val="TableText"/>
              <w:spacing w:before="0" w:after="0"/>
              <w:jc w:val="center"/>
              <w:rPr>
                <w:sz w:val="17"/>
                <w:szCs w:val="17"/>
              </w:rPr>
            </w:pPr>
            <w:r w:rsidRPr="00F53BDD">
              <w:rPr>
                <w:rFonts w:cs="Segoe UI Symbol"/>
                <w:sz w:val="17"/>
                <w:szCs w:val="17"/>
              </w:rPr>
              <w:t>x</w:t>
            </w:r>
          </w:p>
          <w:p w:rsidR="00A37B38" w:rsidRPr="00F53BDD" w:rsidRDefault="00A37B38" w:rsidP="00C0683C">
            <w:pPr>
              <w:pStyle w:val="TableText"/>
              <w:spacing w:before="0" w:after="0"/>
              <w:jc w:val="center"/>
              <w:rPr>
                <w:sz w:val="17"/>
                <w:szCs w:val="17"/>
              </w:rPr>
            </w:pPr>
            <w:r w:rsidRPr="00F53BDD">
              <w:rPr>
                <w:sz w:val="17"/>
                <w:szCs w:val="17"/>
              </w:rPr>
              <w:t>No oversight of credit or counter-party risk</w:t>
            </w:r>
          </w:p>
        </w:tc>
        <w:tc>
          <w:tcPr>
            <w:tcW w:w="1259" w:type="dxa"/>
            <w:shd w:val="clear" w:color="auto" w:fill="E2F3F0" w:themeFill="accent5" w:themeFillTint="33"/>
          </w:tcPr>
          <w:p w:rsidR="00A37B38" w:rsidRPr="00F53BDD" w:rsidRDefault="00A37B38" w:rsidP="00D77209">
            <w:pPr>
              <w:pStyle w:val="TableText"/>
              <w:spacing w:before="0" w:after="0"/>
              <w:jc w:val="center"/>
              <w:rPr>
                <w:sz w:val="17"/>
                <w:szCs w:val="17"/>
                <w:shd w:val="clear" w:color="auto" w:fill="E8A67D" w:themeFill="accent6" w:themeFillTint="99"/>
              </w:rPr>
            </w:pPr>
            <w:r w:rsidRPr="00F53BDD">
              <w:rPr>
                <w:rFonts w:ascii="Segoe UI Symbol" w:hAnsi="Segoe UI Symbol" w:cs="Segoe UI Symbol"/>
                <w:sz w:val="17"/>
                <w:szCs w:val="17"/>
                <w:shd w:val="clear" w:color="auto" w:fill="E2F3F0" w:themeFill="accent5" w:themeFillTint="33"/>
              </w:rPr>
              <w:t>✓</w:t>
            </w:r>
          </w:p>
          <w:p w:rsidR="00A37B38" w:rsidRPr="00F53BDD" w:rsidRDefault="00A37B38" w:rsidP="00D77209">
            <w:pPr>
              <w:pStyle w:val="TableText"/>
              <w:spacing w:before="0" w:after="0"/>
              <w:jc w:val="center"/>
              <w:rPr>
                <w:sz w:val="17"/>
                <w:szCs w:val="17"/>
              </w:rPr>
            </w:pPr>
            <w:r w:rsidRPr="00F53BDD">
              <w:rPr>
                <w:sz w:val="17"/>
                <w:szCs w:val="17"/>
              </w:rPr>
              <w:t>Could monitor participants</w:t>
            </w:r>
            <w:r w:rsidR="00886CED" w:rsidRPr="00F53BDD">
              <w:rPr>
                <w:sz w:val="17"/>
                <w:szCs w:val="17"/>
              </w:rPr>
              <w:t>’</w:t>
            </w:r>
            <w:r w:rsidRPr="00F53BDD">
              <w:rPr>
                <w:sz w:val="17"/>
                <w:szCs w:val="17"/>
              </w:rPr>
              <w:t xml:space="preserve"> accounts for credit and counter-party risks, and advise central government</w:t>
            </w:r>
          </w:p>
        </w:tc>
        <w:tc>
          <w:tcPr>
            <w:tcW w:w="1259" w:type="dxa"/>
            <w:shd w:val="clear" w:color="auto" w:fill="87BDBE"/>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Could monitor participants</w:t>
            </w:r>
            <w:r w:rsidR="00886CED" w:rsidRPr="00F53BDD">
              <w:rPr>
                <w:sz w:val="17"/>
                <w:szCs w:val="17"/>
              </w:rPr>
              <w:t>’</w:t>
            </w:r>
            <w:r w:rsidRPr="00F53BDD">
              <w:rPr>
                <w:sz w:val="17"/>
                <w:szCs w:val="17"/>
              </w:rPr>
              <w:t xml:space="preserve"> accounts for credit and counter-party risks</w:t>
            </w:r>
            <w:r w:rsidR="00886CED" w:rsidRPr="00F53BDD">
              <w:rPr>
                <w:sz w:val="17"/>
                <w:szCs w:val="17"/>
              </w:rPr>
              <w:t>,</w:t>
            </w:r>
            <w:r w:rsidRPr="00F53BDD">
              <w:rPr>
                <w:sz w:val="17"/>
                <w:szCs w:val="17"/>
              </w:rPr>
              <w:t xml:space="preserve"> </w:t>
            </w:r>
            <w:r w:rsidR="002821D6" w:rsidRPr="00F53BDD">
              <w:rPr>
                <w:sz w:val="17"/>
                <w:szCs w:val="17"/>
              </w:rPr>
              <w:t xml:space="preserve">and </w:t>
            </w:r>
            <w:r w:rsidRPr="00F53BDD">
              <w:rPr>
                <w:sz w:val="17"/>
                <w:szCs w:val="17"/>
              </w:rPr>
              <w:t xml:space="preserve">restrict risky </w:t>
            </w:r>
            <w:r w:rsidR="003B3DAD" w:rsidRPr="00F53BDD">
              <w:rPr>
                <w:sz w:val="17"/>
                <w:szCs w:val="17"/>
              </w:rPr>
              <w:t>trades and</w:t>
            </w:r>
            <w:r w:rsidRPr="00F53BDD">
              <w:rPr>
                <w:sz w:val="17"/>
                <w:szCs w:val="17"/>
              </w:rPr>
              <w:t xml:space="preserve"> trading of offenders</w:t>
            </w:r>
          </w:p>
        </w:tc>
        <w:tc>
          <w:tcPr>
            <w:tcW w:w="1259" w:type="dxa"/>
            <w:shd w:val="clear" w:color="auto" w:fill="57A3A4"/>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 xml:space="preserve">Could monitor participants’ </w:t>
            </w:r>
            <w:r w:rsidR="00367393" w:rsidRPr="00F53BDD">
              <w:rPr>
                <w:sz w:val="17"/>
                <w:szCs w:val="17"/>
              </w:rPr>
              <w:t>holdings</w:t>
            </w:r>
            <w:r w:rsidRPr="00F53BDD">
              <w:rPr>
                <w:sz w:val="17"/>
                <w:szCs w:val="17"/>
              </w:rPr>
              <w:t>, restrict risky trades, restrict trading of offenders</w:t>
            </w:r>
            <w:r w:rsidR="0039629E">
              <w:rPr>
                <w:sz w:val="17"/>
                <w:szCs w:val="17"/>
              </w:rPr>
              <w:t>,</w:t>
            </w:r>
            <w:r w:rsidRPr="00F53BDD">
              <w:rPr>
                <w:sz w:val="17"/>
                <w:szCs w:val="17"/>
              </w:rPr>
              <w:t xml:space="preserve"> and amend collateral requirements</w:t>
            </w:r>
          </w:p>
        </w:tc>
      </w:tr>
      <w:tr w:rsidR="00A37B38" w:rsidRPr="00F53BDD" w:rsidTr="00EB5C26">
        <w:tc>
          <w:tcPr>
            <w:tcW w:w="1259" w:type="dxa"/>
          </w:tcPr>
          <w:p w:rsidR="00A37B38" w:rsidRPr="00F53BDD" w:rsidRDefault="00A37B38" w:rsidP="00D77209">
            <w:pPr>
              <w:pStyle w:val="TableText"/>
              <w:spacing w:before="0" w:after="0"/>
              <w:rPr>
                <w:b/>
                <w:bCs/>
                <w:sz w:val="17"/>
                <w:szCs w:val="17"/>
              </w:rPr>
            </w:pPr>
            <w:r w:rsidRPr="00F53BDD">
              <w:rPr>
                <w:b/>
                <w:bCs/>
                <w:sz w:val="17"/>
                <w:szCs w:val="17"/>
              </w:rPr>
              <w:t>Price manipulation</w:t>
            </w:r>
          </w:p>
        </w:tc>
        <w:tc>
          <w:tcPr>
            <w:tcW w:w="1259" w:type="dxa"/>
          </w:tcPr>
          <w:p w:rsidR="00A37B38" w:rsidRPr="00F53BDD" w:rsidRDefault="00A37B38" w:rsidP="00D77209">
            <w:pPr>
              <w:pStyle w:val="TableText"/>
              <w:spacing w:before="0" w:after="0"/>
              <w:jc w:val="center"/>
              <w:rPr>
                <w:sz w:val="17"/>
                <w:szCs w:val="17"/>
              </w:rPr>
            </w:pPr>
            <w:r w:rsidRPr="00F53BDD">
              <w:rPr>
                <w:sz w:val="17"/>
                <w:szCs w:val="17"/>
              </w:rPr>
              <w:t>O</w:t>
            </w:r>
          </w:p>
          <w:p w:rsidR="00A37B38" w:rsidRPr="00F53BDD" w:rsidRDefault="00A37B38" w:rsidP="00D77209">
            <w:pPr>
              <w:pStyle w:val="TableText"/>
              <w:spacing w:before="0" w:after="0"/>
              <w:jc w:val="center"/>
              <w:rPr>
                <w:sz w:val="17"/>
                <w:szCs w:val="17"/>
              </w:rPr>
            </w:pPr>
            <w:r w:rsidRPr="00F53BDD">
              <w:rPr>
                <w:sz w:val="17"/>
                <w:szCs w:val="17"/>
              </w:rPr>
              <w:t>No regulator</w:t>
            </w:r>
          </w:p>
        </w:tc>
        <w:tc>
          <w:tcPr>
            <w:tcW w:w="1259" w:type="dxa"/>
            <w:shd w:val="clear" w:color="auto" w:fill="EDB097"/>
          </w:tcPr>
          <w:p w:rsidR="00A37B38" w:rsidRPr="00F53BDD" w:rsidRDefault="00C0683C" w:rsidP="00C0683C">
            <w:pPr>
              <w:pStyle w:val="TableText"/>
              <w:spacing w:before="0" w:after="0"/>
              <w:jc w:val="center"/>
              <w:rPr>
                <w:sz w:val="17"/>
                <w:szCs w:val="17"/>
              </w:rPr>
            </w:pPr>
            <w:r w:rsidRPr="00F53BDD">
              <w:rPr>
                <w:rFonts w:cs="Segoe UI Symbol"/>
                <w:sz w:val="17"/>
                <w:szCs w:val="17"/>
              </w:rPr>
              <w:t>x</w:t>
            </w:r>
          </w:p>
          <w:p w:rsidR="00A37B38" w:rsidRPr="00F53BDD" w:rsidRDefault="00A37B38" w:rsidP="00C0683C">
            <w:pPr>
              <w:pStyle w:val="TableText"/>
              <w:spacing w:before="0" w:after="0"/>
              <w:jc w:val="center"/>
              <w:rPr>
                <w:sz w:val="17"/>
                <w:szCs w:val="17"/>
              </w:rPr>
            </w:pPr>
            <w:r w:rsidRPr="00F53BDD">
              <w:rPr>
                <w:sz w:val="17"/>
                <w:szCs w:val="17"/>
              </w:rPr>
              <w:t>No oversight of price manipulation</w:t>
            </w:r>
          </w:p>
        </w:tc>
        <w:tc>
          <w:tcPr>
            <w:tcW w:w="1259" w:type="dxa"/>
            <w:shd w:val="clear" w:color="auto" w:fill="EDB097"/>
          </w:tcPr>
          <w:p w:rsidR="00A37B38" w:rsidRPr="00F53BDD" w:rsidRDefault="00C0683C" w:rsidP="00C0683C">
            <w:pPr>
              <w:pStyle w:val="TableText"/>
              <w:spacing w:before="0" w:after="0"/>
              <w:jc w:val="center"/>
              <w:rPr>
                <w:sz w:val="17"/>
                <w:szCs w:val="17"/>
              </w:rPr>
            </w:pPr>
            <w:r w:rsidRPr="00F53BDD">
              <w:rPr>
                <w:rFonts w:cs="Segoe UI Symbol"/>
                <w:sz w:val="17"/>
                <w:szCs w:val="17"/>
              </w:rPr>
              <w:t>x</w:t>
            </w:r>
          </w:p>
          <w:p w:rsidR="00A37B38" w:rsidRPr="00F53BDD" w:rsidRDefault="00A37B38" w:rsidP="00C0683C">
            <w:pPr>
              <w:pStyle w:val="TableText"/>
              <w:spacing w:before="0" w:after="0"/>
              <w:jc w:val="center"/>
              <w:rPr>
                <w:sz w:val="17"/>
                <w:szCs w:val="17"/>
              </w:rPr>
            </w:pPr>
            <w:r w:rsidRPr="00F53BDD">
              <w:rPr>
                <w:sz w:val="17"/>
                <w:szCs w:val="17"/>
              </w:rPr>
              <w:t>No oversight of price manipulation</w:t>
            </w:r>
          </w:p>
        </w:tc>
        <w:tc>
          <w:tcPr>
            <w:tcW w:w="1259" w:type="dxa"/>
            <w:shd w:val="clear" w:color="auto" w:fill="E2F3F0" w:themeFill="accent5" w:themeFillTint="33"/>
          </w:tcPr>
          <w:p w:rsidR="00A37B38" w:rsidRPr="00F53BDD" w:rsidRDefault="00A37B38" w:rsidP="00D77209">
            <w:pPr>
              <w:pStyle w:val="TableText"/>
              <w:spacing w:before="0" w:after="0"/>
              <w:jc w:val="center"/>
              <w:rPr>
                <w:sz w:val="17"/>
                <w:szCs w:val="17"/>
                <w:shd w:val="clear" w:color="auto" w:fill="E8A67D" w:themeFill="accent6" w:themeFillTint="99"/>
              </w:rPr>
            </w:pPr>
            <w:r w:rsidRPr="00F53BDD">
              <w:rPr>
                <w:rFonts w:ascii="Segoe UI Symbol" w:hAnsi="Segoe UI Symbol" w:cs="Segoe UI Symbol"/>
                <w:sz w:val="17"/>
                <w:szCs w:val="17"/>
                <w:shd w:val="clear" w:color="auto" w:fill="E2F3F0" w:themeFill="accent5" w:themeFillTint="33"/>
              </w:rPr>
              <w:t>✓</w:t>
            </w:r>
          </w:p>
          <w:p w:rsidR="00A37B38" w:rsidRPr="00F53BDD" w:rsidRDefault="00A37B38" w:rsidP="00D77209">
            <w:pPr>
              <w:pStyle w:val="TableText"/>
              <w:spacing w:before="0" w:after="0"/>
              <w:jc w:val="center"/>
              <w:rPr>
                <w:sz w:val="17"/>
                <w:szCs w:val="17"/>
              </w:rPr>
            </w:pPr>
            <w:r w:rsidRPr="00F53BDD">
              <w:rPr>
                <w:sz w:val="17"/>
                <w:szCs w:val="17"/>
              </w:rPr>
              <w:t>Could monitor trades and identify potential price manipulation, and advise central government</w:t>
            </w:r>
          </w:p>
        </w:tc>
        <w:tc>
          <w:tcPr>
            <w:tcW w:w="1259" w:type="dxa"/>
            <w:shd w:val="clear" w:color="auto" w:fill="87BDBE"/>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Could monitor trades for potential price manipulation, enforce compliance with primary legislation, and restrict trading of offenders</w:t>
            </w:r>
          </w:p>
        </w:tc>
        <w:tc>
          <w:tcPr>
            <w:tcW w:w="1259" w:type="dxa"/>
            <w:shd w:val="clear" w:color="auto" w:fill="57A3A4"/>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Could monitor participants’ trades for price manipulation, restrict risky trades or traders, address undesirable trading situations, and amend trading rules</w:t>
            </w:r>
          </w:p>
        </w:tc>
      </w:tr>
      <w:tr w:rsidR="00A37B38" w:rsidRPr="00F53BDD" w:rsidTr="00EB5C26">
        <w:tc>
          <w:tcPr>
            <w:tcW w:w="1259" w:type="dxa"/>
          </w:tcPr>
          <w:p w:rsidR="00A37B38" w:rsidRPr="00F53BDD" w:rsidRDefault="00A37B38" w:rsidP="00EB5C26">
            <w:pPr>
              <w:pStyle w:val="TableText"/>
              <w:keepNext/>
              <w:spacing w:before="0" w:after="0"/>
              <w:rPr>
                <w:b/>
                <w:bCs/>
                <w:sz w:val="17"/>
                <w:szCs w:val="17"/>
              </w:rPr>
            </w:pPr>
            <w:r w:rsidRPr="00F53BDD">
              <w:rPr>
                <w:b/>
                <w:bCs/>
                <w:sz w:val="17"/>
                <w:szCs w:val="17"/>
              </w:rPr>
              <w:t>Insider trading</w:t>
            </w:r>
          </w:p>
        </w:tc>
        <w:tc>
          <w:tcPr>
            <w:tcW w:w="1259" w:type="dxa"/>
          </w:tcPr>
          <w:p w:rsidR="00A37B38" w:rsidRPr="00F53BDD" w:rsidRDefault="00A37B38" w:rsidP="00D77209">
            <w:pPr>
              <w:pStyle w:val="TableText"/>
              <w:spacing w:before="0" w:after="0"/>
              <w:jc w:val="center"/>
              <w:rPr>
                <w:sz w:val="17"/>
                <w:szCs w:val="17"/>
              </w:rPr>
            </w:pPr>
            <w:r w:rsidRPr="00F53BDD">
              <w:rPr>
                <w:sz w:val="17"/>
                <w:szCs w:val="17"/>
              </w:rPr>
              <w:t>O</w:t>
            </w:r>
          </w:p>
          <w:p w:rsidR="00A37B38" w:rsidRPr="00F53BDD" w:rsidRDefault="00A37B38" w:rsidP="00D77209">
            <w:pPr>
              <w:pStyle w:val="TableText"/>
              <w:spacing w:before="0" w:after="0"/>
              <w:jc w:val="center"/>
              <w:rPr>
                <w:sz w:val="17"/>
                <w:szCs w:val="17"/>
              </w:rPr>
            </w:pPr>
            <w:r w:rsidRPr="00F53BDD">
              <w:rPr>
                <w:sz w:val="17"/>
                <w:szCs w:val="17"/>
              </w:rPr>
              <w:t>No regulator</w:t>
            </w:r>
          </w:p>
        </w:tc>
        <w:tc>
          <w:tcPr>
            <w:tcW w:w="1259" w:type="dxa"/>
            <w:shd w:val="clear" w:color="auto" w:fill="EDB097"/>
          </w:tcPr>
          <w:p w:rsidR="00A37B38" w:rsidRPr="00F53BDD" w:rsidRDefault="00C0683C" w:rsidP="00C0683C">
            <w:pPr>
              <w:pStyle w:val="TableText"/>
              <w:spacing w:before="0" w:after="0"/>
              <w:jc w:val="center"/>
              <w:rPr>
                <w:sz w:val="17"/>
                <w:szCs w:val="17"/>
              </w:rPr>
            </w:pPr>
            <w:r w:rsidRPr="00F53BDD">
              <w:rPr>
                <w:sz w:val="17"/>
                <w:szCs w:val="17"/>
              </w:rPr>
              <w:t>x</w:t>
            </w:r>
          </w:p>
          <w:p w:rsidR="00A37B38" w:rsidRPr="00F53BDD" w:rsidRDefault="00A37B38" w:rsidP="00C0683C">
            <w:pPr>
              <w:pStyle w:val="TableText"/>
              <w:spacing w:before="0" w:after="0"/>
              <w:jc w:val="center"/>
              <w:rPr>
                <w:sz w:val="17"/>
                <w:szCs w:val="17"/>
              </w:rPr>
            </w:pPr>
            <w:r w:rsidRPr="00F53BDD">
              <w:rPr>
                <w:sz w:val="17"/>
                <w:szCs w:val="17"/>
              </w:rPr>
              <w:t>No oversight of insider trading</w:t>
            </w:r>
          </w:p>
        </w:tc>
        <w:tc>
          <w:tcPr>
            <w:tcW w:w="1259" w:type="dxa"/>
            <w:shd w:val="clear" w:color="auto" w:fill="EDB097"/>
          </w:tcPr>
          <w:p w:rsidR="00A37B38" w:rsidRPr="00F53BDD" w:rsidRDefault="00C0683C" w:rsidP="00C0683C">
            <w:pPr>
              <w:pStyle w:val="TableText"/>
              <w:spacing w:before="0" w:after="0"/>
              <w:jc w:val="center"/>
              <w:rPr>
                <w:sz w:val="17"/>
                <w:szCs w:val="17"/>
              </w:rPr>
            </w:pPr>
            <w:r w:rsidRPr="00F53BDD">
              <w:rPr>
                <w:sz w:val="17"/>
                <w:szCs w:val="17"/>
              </w:rPr>
              <w:t>x</w:t>
            </w:r>
          </w:p>
          <w:p w:rsidR="00A37B38" w:rsidRPr="00F53BDD" w:rsidRDefault="00A37B38" w:rsidP="00C0683C">
            <w:pPr>
              <w:pStyle w:val="TableText"/>
              <w:spacing w:before="0" w:after="0"/>
              <w:jc w:val="center"/>
              <w:rPr>
                <w:sz w:val="17"/>
                <w:szCs w:val="17"/>
              </w:rPr>
            </w:pPr>
            <w:r w:rsidRPr="00F53BDD">
              <w:rPr>
                <w:sz w:val="17"/>
                <w:szCs w:val="17"/>
              </w:rPr>
              <w:t>No oversight of insider trading</w:t>
            </w:r>
          </w:p>
        </w:tc>
        <w:tc>
          <w:tcPr>
            <w:tcW w:w="1259" w:type="dxa"/>
            <w:shd w:val="clear" w:color="auto" w:fill="E2F3F0" w:themeFill="accent5" w:themeFillTint="33"/>
          </w:tcPr>
          <w:p w:rsidR="00A37B38" w:rsidRPr="00F53BDD" w:rsidRDefault="00A37B38" w:rsidP="00D77209">
            <w:pPr>
              <w:pStyle w:val="TableText"/>
              <w:spacing w:before="0" w:after="0"/>
              <w:jc w:val="center"/>
              <w:rPr>
                <w:sz w:val="17"/>
                <w:szCs w:val="17"/>
                <w:shd w:val="clear" w:color="auto" w:fill="E8A67D" w:themeFill="accent6" w:themeFillTint="99"/>
              </w:rPr>
            </w:pPr>
            <w:r w:rsidRPr="00F53BDD">
              <w:rPr>
                <w:rFonts w:ascii="Segoe UI Symbol" w:hAnsi="Segoe UI Symbol" w:cs="Segoe UI Symbol"/>
                <w:sz w:val="17"/>
                <w:szCs w:val="17"/>
                <w:shd w:val="clear" w:color="auto" w:fill="E2F3F0" w:themeFill="accent5" w:themeFillTint="33"/>
              </w:rPr>
              <w:t>✓</w:t>
            </w:r>
          </w:p>
          <w:p w:rsidR="00A37B38" w:rsidRPr="00F53BDD" w:rsidRDefault="00A37B38" w:rsidP="00D77209">
            <w:pPr>
              <w:pStyle w:val="TableText"/>
              <w:spacing w:before="0" w:after="0"/>
              <w:jc w:val="center"/>
              <w:rPr>
                <w:sz w:val="17"/>
                <w:szCs w:val="17"/>
              </w:rPr>
            </w:pPr>
            <w:r w:rsidRPr="00F53BDD">
              <w:rPr>
                <w:sz w:val="17"/>
                <w:szCs w:val="17"/>
              </w:rPr>
              <w:t>Could monitor trades and accounts</w:t>
            </w:r>
            <w:r w:rsidR="00886CED" w:rsidRPr="00F53BDD">
              <w:rPr>
                <w:sz w:val="17"/>
                <w:szCs w:val="17"/>
              </w:rPr>
              <w:t>,</w:t>
            </w:r>
            <w:r w:rsidRPr="00F53BDD">
              <w:rPr>
                <w:sz w:val="17"/>
                <w:szCs w:val="17"/>
              </w:rPr>
              <w:t xml:space="preserve"> identify potential insider trading</w:t>
            </w:r>
            <w:r w:rsidR="0039629E">
              <w:rPr>
                <w:sz w:val="17"/>
                <w:szCs w:val="17"/>
              </w:rPr>
              <w:t>,</w:t>
            </w:r>
            <w:r w:rsidRPr="00F53BDD">
              <w:rPr>
                <w:sz w:val="17"/>
                <w:szCs w:val="17"/>
              </w:rPr>
              <w:t xml:space="preserve"> and advise central government</w:t>
            </w:r>
          </w:p>
        </w:tc>
        <w:tc>
          <w:tcPr>
            <w:tcW w:w="1259" w:type="dxa"/>
            <w:shd w:val="clear" w:color="auto" w:fill="87BDBE"/>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0683C">
            <w:pPr>
              <w:pStyle w:val="TableText"/>
              <w:spacing w:before="0" w:after="0"/>
              <w:jc w:val="center"/>
              <w:rPr>
                <w:sz w:val="17"/>
                <w:szCs w:val="17"/>
              </w:rPr>
            </w:pPr>
            <w:r w:rsidRPr="00F53BDD">
              <w:rPr>
                <w:sz w:val="17"/>
                <w:szCs w:val="17"/>
              </w:rPr>
              <w:t>Could monitor trades and accounts, enforce compliance with primary legislation, and restrict trading of offenders</w:t>
            </w:r>
          </w:p>
        </w:tc>
        <w:tc>
          <w:tcPr>
            <w:tcW w:w="1259" w:type="dxa"/>
            <w:shd w:val="clear" w:color="auto" w:fill="57A3A4"/>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Monitors participants’ accounts and trades for insider trading, restrict</w:t>
            </w:r>
            <w:r w:rsidR="00886CED" w:rsidRPr="00F53BDD">
              <w:rPr>
                <w:sz w:val="17"/>
                <w:szCs w:val="17"/>
              </w:rPr>
              <w:t>s</w:t>
            </w:r>
            <w:r w:rsidRPr="00F53BDD">
              <w:rPr>
                <w:sz w:val="17"/>
                <w:szCs w:val="17"/>
              </w:rPr>
              <w:t xml:space="preserve"> risky trades or traders, address</w:t>
            </w:r>
            <w:r w:rsidR="00886CED" w:rsidRPr="00F53BDD">
              <w:rPr>
                <w:sz w:val="17"/>
                <w:szCs w:val="17"/>
              </w:rPr>
              <w:t>es</w:t>
            </w:r>
            <w:r w:rsidRPr="00F53BDD">
              <w:rPr>
                <w:sz w:val="17"/>
                <w:szCs w:val="17"/>
              </w:rPr>
              <w:t xml:space="preserve"> undesirable trading situations, and amend</w:t>
            </w:r>
            <w:r w:rsidR="00886CED" w:rsidRPr="00F53BDD">
              <w:rPr>
                <w:sz w:val="17"/>
                <w:szCs w:val="17"/>
              </w:rPr>
              <w:t>s</w:t>
            </w:r>
            <w:r w:rsidRPr="00F53BDD">
              <w:rPr>
                <w:sz w:val="17"/>
                <w:szCs w:val="17"/>
              </w:rPr>
              <w:t xml:space="preserve"> trading rules</w:t>
            </w:r>
          </w:p>
        </w:tc>
      </w:tr>
      <w:tr w:rsidR="00A37B38" w:rsidRPr="00F53BDD" w:rsidTr="00EB5C26">
        <w:tc>
          <w:tcPr>
            <w:tcW w:w="1259" w:type="dxa"/>
          </w:tcPr>
          <w:p w:rsidR="00A37B38" w:rsidRPr="00F53BDD" w:rsidRDefault="00A37B38" w:rsidP="00D77209">
            <w:pPr>
              <w:pStyle w:val="TableText"/>
              <w:spacing w:before="0" w:after="0"/>
              <w:rPr>
                <w:b/>
                <w:bCs/>
                <w:sz w:val="17"/>
                <w:szCs w:val="17"/>
              </w:rPr>
            </w:pPr>
            <w:r w:rsidRPr="00F53BDD">
              <w:rPr>
                <w:b/>
                <w:bCs/>
                <w:sz w:val="17"/>
                <w:szCs w:val="17"/>
              </w:rPr>
              <w:t>Money</w:t>
            </w:r>
            <w:r w:rsidR="008A1774" w:rsidRPr="00F53BDD">
              <w:rPr>
                <w:b/>
                <w:bCs/>
                <w:sz w:val="17"/>
                <w:szCs w:val="17"/>
              </w:rPr>
              <w:t xml:space="preserve"> </w:t>
            </w:r>
            <w:r w:rsidRPr="00F53BDD">
              <w:rPr>
                <w:b/>
                <w:bCs/>
                <w:sz w:val="17"/>
                <w:szCs w:val="17"/>
              </w:rPr>
              <w:t>laundering and financing of terrorism</w:t>
            </w:r>
          </w:p>
        </w:tc>
        <w:tc>
          <w:tcPr>
            <w:tcW w:w="1259" w:type="dxa"/>
          </w:tcPr>
          <w:p w:rsidR="00A37B38" w:rsidRPr="00F53BDD" w:rsidRDefault="00A37B38" w:rsidP="00D77209">
            <w:pPr>
              <w:pStyle w:val="TableText"/>
              <w:spacing w:before="0" w:after="0"/>
              <w:jc w:val="center"/>
              <w:rPr>
                <w:sz w:val="17"/>
                <w:szCs w:val="17"/>
              </w:rPr>
            </w:pPr>
            <w:r w:rsidRPr="00F53BDD">
              <w:rPr>
                <w:sz w:val="17"/>
                <w:szCs w:val="17"/>
              </w:rPr>
              <w:t>O</w:t>
            </w:r>
          </w:p>
          <w:p w:rsidR="00A37B38" w:rsidRPr="00F53BDD" w:rsidRDefault="00A37B38" w:rsidP="00D77209">
            <w:pPr>
              <w:pStyle w:val="TableText"/>
              <w:spacing w:before="0" w:after="0"/>
              <w:jc w:val="center"/>
              <w:rPr>
                <w:sz w:val="17"/>
                <w:szCs w:val="17"/>
              </w:rPr>
            </w:pPr>
            <w:r w:rsidRPr="00F53BDD">
              <w:rPr>
                <w:sz w:val="17"/>
                <w:szCs w:val="17"/>
              </w:rPr>
              <w:t>No regulator</w:t>
            </w:r>
          </w:p>
        </w:tc>
        <w:tc>
          <w:tcPr>
            <w:tcW w:w="1259" w:type="dxa"/>
            <w:shd w:val="clear" w:color="auto" w:fill="EDB097"/>
          </w:tcPr>
          <w:p w:rsidR="00A37B38" w:rsidRPr="00F53BDD" w:rsidRDefault="00C0683C" w:rsidP="00C0683C">
            <w:pPr>
              <w:pStyle w:val="TableText"/>
              <w:spacing w:before="0" w:after="0"/>
              <w:jc w:val="center"/>
              <w:rPr>
                <w:sz w:val="17"/>
                <w:szCs w:val="17"/>
              </w:rPr>
            </w:pPr>
            <w:r w:rsidRPr="00F53BDD">
              <w:rPr>
                <w:sz w:val="17"/>
                <w:szCs w:val="17"/>
              </w:rPr>
              <w:t>x</w:t>
            </w:r>
          </w:p>
          <w:p w:rsidR="00A37B38" w:rsidRPr="00F53BDD" w:rsidRDefault="00A37B38" w:rsidP="00C0683C">
            <w:pPr>
              <w:pStyle w:val="TableText"/>
              <w:spacing w:before="0" w:after="0"/>
              <w:jc w:val="center"/>
              <w:rPr>
                <w:sz w:val="17"/>
                <w:szCs w:val="17"/>
              </w:rPr>
            </w:pPr>
            <w:r w:rsidRPr="00F53BDD">
              <w:rPr>
                <w:sz w:val="17"/>
                <w:szCs w:val="17"/>
              </w:rPr>
              <w:t>No oversight of money laundering or price manipulation</w:t>
            </w:r>
          </w:p>
        </w:tc>
        <w:tc>
          <w:tcPr>
            <w:tcW w:w="1259" w:type="dxa"/>
            <w:shd w:val="clear" w:color="auto" w:fill="EDB097"/>
          </w:tcPr>
          <w:p w:rsidR="00A37B38" w:rsidRPr="00F53BDD" w:rsidRDefault="00C0683C" w:rsidP="00C0683C">
            <w:pPr>
              <w:pStyle w:val="TableText"/>
              <w:spacing w:before="0" w:after="0"/>
              <w:jc w:val="center"/>
              <w:rPr>
                <w:sz w:val="17"/>
                <w:szCs w:val="17"/>
              </w:rPr>
            </w:pPr>
            <w:r w:rsidRPr="00F53BDD">
              <w:rPr>
                <w:sz w:val="17"/>
                <w:szCs w:val="17"/>
              </w:rPr>
              <w:t>x</w:t>
            </w:r>
          </w:p>
          <w:p w:rsidR="00A37B38" w:rsidRPr="00F53BDD" w:rsidRDefault="00A37B38" w:rsidP="00C0683C">
            <w:pPr>
              <w:pStyle w:val="TableText"/>
              <w:spacing w:before="0" w:after="0"/>
              <w:jc w:val="center"/>
              <w:rPr>
                <w:sz w:val="17"/>
                <w:szCs w:val="17"/>
              </w:rPr>
            </w:pPr>
            <w:r w:rsidRPr="00F53BDD">
              <w:rPr>
                <w:sz w:val="17"/>
                <w:szCs w:val="17"/>
              </w:rPr>
              <w:t>No oversight of money laundering or price manipulation</w:t>
            </w:r>
          </w:p>
        </w:tc>
        <w:tc>
          <w:tcPr>
            <w:tcW w:w="1259" w:type="dxa"/>
            <w:shd w:val="clear" w:color="auto" w:fill="E2F3F0" w:themeFill="accent5" w:themeFillTint="33"/>
          </w:tcPr>
          <w:p w:rsidR="00A37B38" w:rsidRPr="00F53BDD" w:rsidRDefault="00A37B38" w:rsidP="00D77209">
            <w:pPr>
              <w:pStyle w:val="TableText"/>
              <w:spacing w:before="0" w:after="0"/>
              <w:jc w:val="center"/>
              <w:rPr>
                <w:sz w:val="17"/>
                <w:szCs w:val="17"/>
                <w:shd w:val="clear" w:color="auto" w:fill="E8A67D" w:themeFill="accent6" w:themeFillTint="99"/>
              </w:rPr>
            </w:pPr>
            <w:r w:rsidRPr="00F53BDD">
              <w:rPr>
                <w:rFonts w:ascii="Segoe UI Symbol" w:hAnsi="Segoe UI Symbol" w:cs="Segoe UI Symbol"/>
                <w:sz w:val="17"/>
                <w:szCs w:val="17"/>
                <w:shd w:val="clear" w:color="auto" w:fill="E2F3F0" w:themeFill="accent5" w:themeFillTint="33"/>
              </w:rPr>
              <w:t>✓</w:t>
            </w:r>
          </w:p>
          <w:p w:rsidR="00A37B38" w:rsidRPr="00F53BDD" w:rsidRDefault="00A37B38" w:rsidP="00D77209">
            <w:pPr>
              <w:pStyle w:val="TableText"/>
              <w:spacing w:before="0" w:after="0"/>
              <w:jc w:val="center"/>
              <w:rPr>
                <w:sz w:val="17"/>
                <w:szCs w:val="17"/>
              </w:rPr>
            </w:pPr>
            <w:r w:rsidRPr="00F53BDD">
              <w:rPr>
                <w:sz w:val="17"/>
                <w:szCs w:val="17"/>
              </w:rPr>
              <w:t>Could monitor trades and accounts to identify potential money laundering</w:t>
            </w:r>
            <w:r w:rsidR="00886CED" w:rsidRPr="00F53BDD">
              <w:rPr>
                <w:sz w:val="17"/>
                <w:szCs w:val="17"/>
              </w:rPr>
              <w:t>,</w:t>
            </w:r>
            <w:r w:rsidRPr="00F53BDD">
              <w:rPr>
                <w:sz w:val="17"/>
                <w:szCs w:val="17"/>
              </w:rPr>
              <w:t xml:space="preserve"> and advise central government</w:t>
            </w:r>
          </w:p>
        </w:tc>
        <w:tc>
          <w:tcPr>
            <w:tcW w:w="1259" w:type="dxa"/>
            <w:shd w:val="clear" w:color="auto" w:fill="87BDBE"/>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Monitors trades for money laundering or financing of terrorism activity, enforce</w:t>
            </w:r>
            <w:r w:rsidR="00886CED" w:rsidRPr="00F53BDD">
              <w:rPr>
                <w:sz w:val="17"/>
                <w:szCs w:val="17"/>
              </w:rPr>
              <w:t>s</w:t>
            </w:r>
            <w:r w:rsidRPr="00F53BDD">
              <w:rPr>
                <w:sz w:val="17"/>
                <w:szCs w:val="17"/>
              </w:rPr>
              <w:t xml:space="preserve"> compliance with primary legislation, and restrict</w:t>
            </w:r>
            <w:r w:rsidR="00886CED" w:rsidRPr="00F53BDD">
              <w:rPr>
                <w:sz w:val="17"/>
                <w:szCs w:val="17"/>
              </w:rPr>
              <w:t>s</w:t>
            </w:r>
            <w:r w:rsidRPr="00F53BDD">
              <w:rPr>
                <w:sz w:val="17"/>
                <w:szCs w:val="17"/>
              </w:rPr>
              <w:t xml:space="preserve"> trading for offenders</w:t>
            </w:r>
          </w:p>
        </w:tc>
        <w:tc>
          <w:tcPr>
            <w:tcW w:w="1259" w:type="dxa"/>
            <w:shd w:val="clear" w:color="auto" w:fill="57A3A4"/>
          </w:tcPr>
          <w:p w:rsidR="00A37B38" w:rsidRPr="00F53BDD" w:rsidRDefault="00A37B38" w:rsidP="00C0683C">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6218BD">
            <w:pPr>
              <w:pStyle w:val="TableText"/>
              <w:spacing w:before="0" w:after="0"/>
              <w:jc w:val="center"/>
              <w:rPr>
                <w:sz w:val="17"/>
                <w:szCs w:val="17"/>
              </w:rPr>
            </w:pPr>
            <w:r w:rsidRPr="00F53BDD">
              <w:rPr>
                <w:sz w:val="17"/>
                <w:szCs w:val="17"/>
              </w:rPr>
              <w:t xml:space="preserve">Monitors trades for money laundering </w:t>
            </w:r>
            <w:r w:rsidR="002821D6" w:rsidRPr="00F53BDD">
              <w:rPr>
                <w:sz w:val="17"/>
                <w:szCs w:val="17"/>
              </w:rPr>
              <w:t xml:space="preserve">and </w:t>
            </w:r>
            <w:r w:rsidRPr="00F53BDD">
              <w:rPr>
                <w:sz w:val="17"/>
                <w:szCs w:val="17"/>
              </w:rPr>
              <w:t>financing of terrorism, restricts or remedies undesirable trading situations, and amend</w:t>
            </w:r>
            <w:r w:rsidR="00886CED" w:rsidRPr="00F53BDD">
              <w:rPr>
                <w:sz w:val="17"/>
                <w:szCs w:val="17"/>
              </w:rPr>
              <w:t>s</w:t>
            </w:r>
            <w:r w:rsidRPr="00F53BDD">
              <w:rPr>
                <w:sz w:val="17"/>
                <w:szCs w:val="17"/>
              </w:rPr>
              <w:t xml:space="preserve"> trading rules</w:t>
            </w:r>
          </w:p>
        </w:tc>
      </w:tr>
      <w:tr w:rsidR="00A37B38" w:rsidRPr="00F53BDD" w:rsidTr="00EB5C26">
        <w:tc>
          <w:tcPr>
            <w:tcW w:w="1259" w:type="dxa"/>
            <w:gridSpan w:val="7"/>
          </w:tcPr>
          <w:p w:rsidR="00A37B38" w:rsidRPr="00F53BDD" w:rsidRDefault="00A37B38" w:rsidP="00C0683C">
            <w:pPr>
              <w:pStyle w:val="TableText"/>
              <w:tabs>
                <w:tab w:val="left" w:pos="599"/>
              </w:tabs>
              <w:spacing w:line="276" w:lineRule="auto"/>
              <w:contextualSpacing/>
              <w:rPr>
                <w:rFonts w:cstheme="minorHAnsi"/>
                <w:sz w:val="17"/>
                <w:szCs w:val="17"/>
              </w:rPr>
            </w:pPr>
            <w:r w:rsidRPr="00F53BDD">
              <w:rPr>
                <w:rFonts w:ascii="Segoe UI Symbol" w:hAnsi="Segoe UI Symbol" w:cs="Segoe UI Symbol"/>
                <w:sz w:val="17"/>
                <w:szCs w:val="17"/>
                <w:shd w:val="clear" w:color="auto" w:fill="57A3A4"/>
              </w:rPr>
              <w:t>✓✓✓</w:t>
            </w:r>
            <w:r w:rsidR="00C0683C" w:rsidRPr="00F53BDD">
              <w:rPr>
                <w:sz w:val="17"/>
                <w:szCs w:val="17"/>
              </w:rPr>
              <w:tab/>
            </w:r>
            <w:r w:rsidRPr="00F53BDD">
              <w:rPr>
                <w:rFonts w:cstheme="minorHAnsi"/>
                <w:sz w:val="17"/>
                <w:szCs w:val="17"/>
              </w:rPr>
              <w:t>Strongly addresses risk</w:t>
            </w:r>
          </w:p>
          <w:p w:rsidR="00A37B38" w:rsidRPr="00F53BDD" w:rsidRDefault="00A37B38" w:rsidP="00C0683C">
            <w:pPr>
              <w:pStyle w:val="TableText"/>
              <w:tabs>
                <w:tab w:val="left" w:pos="599"/>
              </w:tabs>
              <w:spacing w:line="276" w:lineRule="auto"/>
              <w:contextualSpacing/>
              <w:rPr>
                <w:rFonts w:cstheme="minorHAnsi"/>
                <w:sz w:val="17"/>
                <w:szCs w:val="17"/>
              </w:rPr>
            </w:pPr>
            <w:r w:rsidRPr="00F53BDD">
              <w:rPr>
                <w:rFonts w:ascii="Segoe UI Symbol" w:hAnsi="Segoe UI Symbol" w:cs="Segoe UI Symbol"/>
                <w:sz w:val="17"/>
                <w:szCs w:val="17"/>
                <w:shd w:val="clear" w:color="auto" w:fill="87BDBE"/>
              </w:rPr>
              <w:t>✓✓</w:t>
            </w:r>
            <w:r w:rsidR="00C0683C" w:rsidRPr="00F53BDD">
              <w:rPr>
                <w:rFonts w:cstheme="minorHAnsi"/>
                <w:sz w:val="17"/>
                <w:szCs w:val="17"/>
              </w:rPr>
              <w:tab/>
            </w:r>
            <w:r w:rsidRPr="00F53BDD">
              <w:rPr>
                <w:rFonts w:cstheme="minorHAnsi"/>
                <w:sz w:val="17"/>
                <w:szCs w:val="17"/>
              </w:rPr>
              <w:t>Addresses risk</w:t>
            </w:r>
          </w:p>
          <w:p w:rsidR="00A37B38" w:rsidRPr="00F53BDD" w:rsidRDefault="00A37B38" w:rsidP="00C0683C">
            <w:pPr>
              <w:pStyle w:val="TableText"/>
              <w:tabs>
                <w:tab w:val="left" w:pos="599"/>
              </w:tabs>
              <w:spacing w:line="276" w:lineRule="auto"/>
              <w:contextualSpacing/>
              <w:rPr>
                <w:rFonts w:cstheme="minorHAnsi"/>
                <w:sz w:val="17"/>
                <w:szCs w:val="17"/>
              </w:rPr>
            </w:pPr>
            <w:r w:rsidRPr="00F53BDD">
              <w:rPr>
                <w:rFonts w:ascii="Segoe UI Symbol" w:hAnsi="Segoe UI Symbol" w:cs="Segoe UI Symbol"/>
                <w:sz w:val="17"/>
                <w:szCs w:val="17"/>
                <w:shd w:val="clear" w:color="auto" w:fill="CFE5E5"/>
              </w:rPr>
              <w:t>✓</w:t>
            </w:r>
            <w:r w:rsidR="00C0683C" w:rsidRPr="00F53BDD">
              <w:rPr>
                <w:rFonts w:cstheme="minorHAnsi"/>
                <w:sz w:val="17"/>
                <w:szCs w:val="17"/>
              </w:rPr>
              <w:tab/>
            </w:r>
            <w:r w:rsidRPr="00F53BDD">
              <w:rPr>
                <w:rFonts w:cstheme="minorHAnsi"/>
                <w:sz w:val="17"/>
                <w:szCs w:val="17"/>
              </w:rPr>
              <w:t>Partially addresses risk</w:t>
            </w:r>
          </w:p>
          <w:p w:rsidR="00A37B38" w:rsidRPr="00F53BDD" w:rsidRDefault="00C0683C" w:rsidP="00C0683C">
            <w:pPr>
              <w:pStyle w:val="TableText"/>
              <w:tabs>
                <w:tab w:val="left" w:pos="599"/>
              </w:tabs>
              <w:spacing w:line="276" w:lineRule="auto"/>
              <w:contextualSpacing/>
              <w:rPr>
                <w:rFonts w:cstheme="minorHAnsi"/>
                <w:sz w:val="17"/>
                <w:szCs w:val="17"/>
              </w:rPr>
            </w:pPr>
            <w:r w:rsidRPr="00F53BDD">
              <w:rPr>
                <w:rFonts w:cs="Segoe UI Symbol"/>
                <w:sz w:val="17"/>
                <w:szCs w:val="17"/>
                <w:shd w:val="clear" w:color="auto" w:fill="EDB097"/>
              </w:rPr>
              <w:t>x</w:t>
            </w:r>
            <w:r w:rsidRPr="00F53BDD">
              <w:rPr>
                <w:rFonts w:cstheme="minorHAnsi"/>
                <w:sz w:val="17"/>
                <w:szCs w:val="17"/>
              </w:rPr>
              <w:tab/>
            </w:r>
            <w:r w:rsidR="00A37B38" w:rsidRPr="00F53BDD">
              <w:rPr>
                <w:rFonts w:cstheme="minorHAnsi"/>
                <w:sz w:val="17"/>
                <w:szCs w:val="17"/>
              </w:rPr>
              <w:t>Does not address risk</w:t>
            </w:r>
          </w:p>
          <w:p w:rsidR="00A37B38" w:rsidRPr="00F53BDD" w:rsidRDefault="00A37B38" w:rsidP="00C0683C">
            <w:pPr>
              <w:pStyle w:val="TableText"/>
              <w:tabs>
                <w:tab w:val="left" w:pos="599"/>
              </w:tabs>
              <w:spacing w:line="276" w:lineRule="auto"/>
              <w:contextualSpacing/>
              <w:rPr>
                <w:rFonts w:cstheme="minorHAnsi"/>
                <w:sz w:val="17"/>
                <w:szCs w:val="17"/>
              </w:rPr>
            </w:pPr>
            <w:r w:rsidRPr="00F53BDD">
              <w:rPr>
                <w:rFonts w:cstheme="minorHAnsi"/>
                <w:sz w:val="17"/>
                <w:szCs w:val="17"/>
              </w:rPr>
              <w:t>O</w:t>
            </w:r>
            <w:r w:rsidR="00C0683C" w:rsidRPr="00F53BDD">
              <w:rPr>
                <w:rFonts w:cstheme="minorHAnsi"/>
                <w:sz w:val="17"/>
                <w:szCs w:val="17"/>
              </w:rPr>
              <w:tab/>
            </w:r>
            <w:r w:rsidRPr="00F53BDD">
              <w:rPr>
                <w:rFonts w:cstheme="minorHAnsi"/>
                <w:sz w:val="17"/>
                <w:szCs w:val="17"/>
              </w:rPr>
              <w:t>Neutral</w:t>
            </w:r>
          </w:p>
        </w:tc>
      </w:tr>
    </w:tbl>
    <w:p w:rsidR="00E807B7" w:rsidRPr="00F53BDD" w:rsidRDefault="00E807B7" w:rsidP="00E807B7">
      <w:pPr>
        <w:pStyle w:val="BodyText"/>
      </w:pPr>
      <w:bookmarkStart w:id="128" w:name="_Toc72152971"/>
    </w:p>
    <w:p w:rsidR="00E807B7" w:rsidRPr="00F53BDD" w:rsidRDefault="00E807B7" w:rsidP="00E807B7">
      <w:pPr>
        <w:pStyle w:val="BodyText"/>
      </w:pPr>
      <w:r w:rsidRPr="00F53BDD">
        <w:br w:type="page"/>
      </w:r>
    </w:p>
    <w:p w:rsidR="00A37B38" w:rsidRPr="00F53BDD" w:rsidRDefault="00A37B38" w:rsidP="00A37B38">
      <w:pPr>
        <w:pStyle w:val="Heading1"/>
      </w:pPr>
      <w:bookmarkStart w:id="129" w:name="_Appendix_C:_Impact"/>
      <w:bookmarkStart w:id="130" w:name="_Toc75250102"/>
      <w:bookmarkEnd w:id="129"/>
      <w:r w:rsidRPr="00F53BDD">
        <w:t xml:space="preserve">Appendix C: Impact </w:t>
      </w:r>
      <w:r w:rsidR="000634FC" w:rsidRPr="00F53BDD">
        <w:t>a</w:t>
      </w:r>
      <w:r w:rsidRPr="00F53BDD">
        <w:t>nalysis</w:t>
      </w:r>
      <w:bookmarkEnd w:id="128"/>
      <w:bookmarkEnd w:id="130"/>
    </w:p>
    <w:p w:rsidR="00A37B38" w:rsidRPr="00F53BDD" w:rsidRDefault="00A37B38" w:rsidP="00A37B38">
      <w:pPr>
        <w:pStyle w:val="Tableheading"/>
      </w:pPr>
      <w:bookmarkStart w:id="131" w:name="_Toc72150042"/>
      <w:bookmarkStart w:id="132" w:name="_Toc75250116"/>
      <w:r w:rsidRPr="00F53BDD">
        <w:t xml:space="preserve">Table </w:t>
      </w:r>
      <w:r w:rsidR="006218BD">
        <w:t>14</w:t>
      </w:r>
      <w:r w:rsidRPr="00F53BDD">
        <w:t xml:space="preserve">: </w:t>
      </w:r>
      <w:r w:rsidR="00D77209" w:rsidRPr="00F53BDD">
        <w:tab/>
      </w:r>
      <w:r w:rsidR="00812092" w:rsidRPr="00F53BDD">
        <w:t>G</w:t>
      </w:r>
      <w:r w:rsidRPr="00F53BDD">
        <w:t xml:space="preserve">overnance of </w:t>
      </w:r>
      <w:r w:rsidR="00812092" w:rsidRPr="00F53BDD">
        <w:t>a</w:t>
      </w:r>
      <w:r w:rsidRPr="00F53BDD">
        <w:t>dvice</w:t>
      </w:r>
      <w:bookmarkEnd w:id="131"/>
      <w:r w:rsidR="00812092" w:rsidRPr="00F53BDD">
        <w:t>: Impact analysis</w:t>
      </w:r>
      <w:bookmarkEnd w:id="132"/>
    </w:p>
    <w:tbl>
      <w:tblPr>
        <w:tblStyle w:val="TableGrid"/>
        <w:tblW w:w="13438"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831"/>
        <w:gridCol w:w="2840"/>
        <w:gridCol w:w="2881"/>
        <w:gridCol w:w="2993"/>
        <w:gridCol w:w="2893"/>
      </w:tblGrid>
      <w:tr w:rsidR="00E807B7" w:rsidRPr="00F53BDD" w:rsidTr="00EB5C26">
        <w:tc>
          <w:tcPr>
            <w:tcW w:w="0" w:type="auto"/>
            <w:shd w:val="clear" w:color="auto" w:fill="1C556C" w:themeFill="accent1"/>
            <w:vAlign w:val="bottom"/>
          </w:tcPr>
          <w:p w:rsidR="00A37B38" w:rsidRPr="00F53BDD" w:rsidRDefault="00A37B38" w:rsidP="007D52FE">
            <w:pPr>
              <w:pStyle w:val="TableText"/>
              <w:rPr>
                <w:b/>
                <w:bCs/>
                <w:color w:val="FFFFFF" w:themeColor="background1"/>
                <w:sz w:val="17"/>
                <w:szCs w:val="17"/>
              </w:rPr>
            </w:pPr>
            <w:r w:rsidRPr="00F53BDD">
              <w:rPr>
                <w:b/>
                <w:bCs/>
                <w:color w:val="FFFFFF" w:themeColor="background1"/>
                <w:sz w:val="17"/>
                <w:szCs w:val="17"/>
              </w:rPr>
              <w:t>Criteri</w:t>
            </w:r>
            <w:r w:rsidR="000F6F8D" w:rsidRPr="00F53BDD">
              <w:rPr>
                <w:b/>
                <w:bCs/>
                <w:color w:val="FFFFFF" w:themeColor="background1"/>
                <w:sz w:val="17"/>
                <w:szCs w:val="17"/>
              </w:rPr>
              <w:t>on</w:t>
            </w:r>
          </w:p>
        </w:tc>
        <w:tc>
          <w:tcPr>
            <w:tcW w:w="0" w:type="auto"/>
            <w:tcBorders>
              <w:bottom w:val="single" w:sz="4" w:space="0" w:color="1C556C" w:themeColor="accent1"/>
            </w:tcBorders>
            <w:shd w:val="clear" w:color="auto" w:fill="1C556C" w:themeFill="accent1"/>
            <w:vAlign w:val="bottom"/>
          </w:tcPr>
          <w:p w:rsidR="00A37B38" w:rsidRPr="00F53BDD" w:rsidRDefault="00A37B38" w:rsidP="007D52FE">
            <w:pPr>
              <w:pStyle w:val="TableText"/>
              <w:jc w:val="center"/>
              <w:rPr>
                <w:b/>
                <w:bCs/>
                <w:color w:val="FFFFFF" w:themeColor="background1"/>
                <w:sz w:val="17"/>
                <w:szCs w:val="17"/>
              </w:rPr>
            </w:pPr>
            <w:r w:rsidRPr="00F53BDD">
              <w:rPr>
                <w:rFonts w:cstheme="minorHAnsi"/>
                <w:b/>
                <w:bCs/>
                <w:color w:val="FFFFFF" w:themeColor="background1"/>
                <w:sz w:val="17"/>
                <w:szCs w:val="17"/>
              </w:rPr>
              <w:t>A1: Status quo</w:t>
            </w:r>
          </w:p>
        </w:tc>
        <w:tc>
          <w:tcPr>
            <w:tcW w:w="0" w:type="auto"/>
            <w:tcBorders>
              <w:bottom w:val="single" w:sz="4" w:space="0" w:color="1C556C" w:themeColor="accent1"/>
            </w:tcBorders>
            <w:shd w:val="clear" w:color="auto" w:fill="1C556C" w:themeFill="accent1"/>
            <w:vAlign w:val="bottom"/>
          </w:tcPr>
          <w:p w:rsidR="00A37B38" w:rsidRPr="00F53BDD" w:rsidRDefault="00A37B38" w:rsidP="007D52FE">
            <w:pPr>
              <w:pStyle w:val="TableText"/>
              <w:jc w:val="center"/>
              <w:rPr>
                <w:b/>
                <w:bCs/>
                <w:color w:val="FFFFFF" w:themeColor="background1"/>
                <w:sz w:val="17"/>
                <w:szCs w:val="17"/>
              </w:rPr>
            </w:pPr>
            <w:r w:rsidRPr="00F53BDD">
              <w:rPr>
                <w:rFonts w:cstheme="minorHAnsi"/>
                <w:b/>
                <w:bCs/>
                <w:color w:val="FFFFFF" w:themeColor="background1"/>
                <w:sz w:val="17"/>
                <w:szCs w:val="17"/>
              </w:rPr>
              <w:t xml:space="preserve">A2: </w:t>
            </w:r>
            <w:r w:rsidR="00BB1A07" w:rsidRPr="00F53BDD">
              <w:rPr>
                <w:rFonts w:cstheme="minorHAnsi"/>
                <w:b/>
                <w:bCs/>
                <w:color w:val="FFFFFF" w:themeColor="background1"/>
                <w:sz w:val="17"/>
                <w:szCs w:val="17"/>
              </w:rPr>
              <w:t>Education campaign</w:t>
            </w:r>
            <w:r w:rsidRPr="00F53BDD">
              <w:rPr>
                <w:rFonts w:cstheme="minorHAnsi"/>
                <w:b/>
                <w:bCs/>
                <w:color w:val="FFFFFF" w:themeColor="background1"/>
                <w:sz w:val="17"/>
                <w:szCs w:val="17"/>
              </w:rPr>
              <w:t xml:space="preserve"> and </w:t>
            </w:r>
            <w:r w:rsidR="00812092" w:rsidRPr="00F53BDD">
              <w:rPr>
                <w:rFonts w:cstheme="minorHAnsi"/>
                <w:b/>
                <w:bCs/>
                <w:color w:val="FFFFFF" w:themeColor="background1"/>
                <w:sz w:val="17"/>
                <w:szCs w:val="17"/>
              </w:rPr>
              <w:t>i</w:t>
            </w:r>
            <w:r w:rsidRPr="00F53BDD">
              <w:rPr>
                <w:rFonts w:cstheme="minorHAnsi"/>
                <w:b/>
                <w:bCs/>
                <w:color w:val="FFFFFF" w:themeColor="background1"/>
                <w:sz w:val="17"/>
                <w:szCs w:val="17"/>
              </w:rPr>
              <w:t>nformation pack</w:t>
            </w:r>
          </w:p>
        </w:tc>
        <w:tc>
          <w:tcPr>
            <w:tcW w:w="0" w:type="auto"/>
            <w:tcBorders>
              <w:bottom w:val="single" w:sz="4" w:space="0" w:color="1C556C" w:themeColor="accent1"/>
            </w:tcBorders>
            <w:shd w:val="clear" w:color="auto" w:fill="1C556C" w:themeFill="accent1"/>
            <w:vAlign w:val="bottom"/>
          </w:tcPr>
          <w:p w:rsidR="00A37B38" w:rsidRPr="00F53BDD" w:rsidRDefault="00A37B38" w:rsidP="007D52FE">
            <w:pPr>
              <w:pStyle w:val="TableText"/>
              <w:jc w:val="center"/>
              <w:rPr>
                <w:b/>
                <w:bCs/>
                <w:color w:val="FFFFFF" w:themeColor="background1"/>
                <w:sz w:val="17"/>
                <w:szCs w:val="17"/>
              </w:rPr>
            </w:pPr>
            <w:r w:rsidRPr="00F53BDD">
              <w:rPr>
                <w:rFonts w:cstheme="minorHAnsi"/>
                <w:b/>
                <w:bCs/>
                <w:color w:val="FFFFFF" w:themeColor="background1"/>
                <w:sz w:val="17"/>
                <w:szCs w:val="17"/>
              </w:rPr>
              <w:t xml:space="preserve">A3: Voluntary </w:t>
            </w:r>
            <w:r w:rsidR="00653C25" w:rsidRPr="00F53BDD">
              <w:rPr>
                <w:rFonts w:cstheme="minorHAnsi"/>
                <w:b/>
                <w:bCs/>
                <w:color w:val="FFFFFF" w:themeColor="background1"/>
                <w:sz w:val="17"/>
                <w:szCs w:val="17"/>
              </w:rPr>
              <w:t>s</w:t>
            </w:r>
            <w:r w:rsidRPr="00F53BDD">
              <w:rPr>
                <w:rFonts w:cstheme="minorHAnsi"/>
                <w:b/>
                <w:bCs/>
                <w:color w:val="FFFFFF" w:themeColor="background1"/>
                <w:sz w:val="17"/>
                <w:szCs w:val="17"/>
              </w:rPr>
              <w:t xml:space="preserve">ector </w:t>
            </w:r>
            <w:r w:rsidR="00653C25" w:rsidRPr="00F53BDD">
              <w:rPr>
                <w:rFonts w:cstheme="minorHAnsi"/>
                <w:b/>
                <w:bCs/>
                <w:color w:val="FFFFFF" w:themeColor="background1"/>
                <w:sz w:val="17"/>
                <w:szCs w:val="17"/>
              </w:rPr>
              <w:t>g</w:t>
            </w:r>
            <w:r w:rsidRPr="00F53BDD">
              <w:rPr>
                <w:rFonts w:cstheme="minorHAnsi"/>
                <w:b/>
                <w:bCs/>
                <w:color w:val="FFFFFF" w:themeColor="background1"/>
                <w:sz w:val="17"/>
                <w:szCs w:val="17"/>
              </w:rPr>
              <w:t>uidelines for NZU advisers</w:t>
            </w:r>
          </w:p>
        </w:tc>
        <w:tc>
          <w:tcPr>
            <w:tcW w:w="0" w:type="auto"/>
            <w:tcBorders>
              <w:bottom w:val="single" w:sz="4" w:space="0" w:color="1C556C" w:themeColor="accent1"/>
            </w:tcBorders>
            <w:shd w:val="clear" w:color="auto" w:fill="1C556C" w:themeFill="accent1"/>
            <w:vAlign w:val="bottom"/>
          </w:tcPr>
          <w:p w:rsidR="00A37B38" w:rsidRPr="00F53BDD" w:rsidRDefault="003B3DAD" w:rsidP="007D52FE">
            <w:pPr>
              <w:pStyle w:val="TableText"/>
              <w:jc w:val="center"/>
              <w:rPr>
                <w:b/>
                <w:bCs/>
                <w:color w:val="FFFFFF" w:themeColor="background1"/>
                <w:sz w:val="17"/>
                <w:szCs w:val="17"/>
              </w:rPr>
            </w:pPr>
            <w:r w:rsidRPr="00F53BDD">
              <w:rPr>
                <w:rFonts w:cstheme="minorHAnsi"/>
                <w:b/>
                <w:bCs/>
                <w:color w:val="FFFFFF" w:themeColor="background1"/>
                <w:sz w:val="17"/>
                <w:szCs w:val="17"/>
              </w:rPr>
              <w:t xml:space="preserve">A4: Code of </w:t>
            </w:r>
            <w:r w:rsidR="00812092" w:rsidRPr="00F53BDD">
              <w:rPr>
                <w:rFonts w:cstheme="minorHAnsi"/>
                <w:b/>
                <w:bCs/>
                <w:color w:val="FFFFFF" w:themeColor="background1"/>
                <w:sz w:val="17"/>
                <w:szCs w:val="17"/>
              </w:rPr>
              <w:t>c</w:t>
            </w:r>
            <w:r w:rsidRPr="00F53BDD">
              <w:rPr>
                <w:rFonts w:cstheme="minorHAnsi"/>
                <w:b/>
                <w:bCs/>
                <w:color w:val="FFFFFF" w:themeColor="background1"/>
                <w:sz w:val="17"/>
                <w:szCs w:val="17"/>
              </w:rPr>
              <w:t xml:space="preserve">onduct, </w:t>
            </w:r>
            <w:r w:rsidR="00653C25" w:rsidRPr="00F53BDD">
              <w:rPr>
                <w:rFonts w:cstheme="minorHAnsi"/>
                <w:b/>
                <w:bCs/>
                <w:color w:val="FFFFFF" w:themeColor="background1"/>
                <w:sz w:val="17"/>
                <w:szCs w:val="17"/>
              </w:rPr>
              <w:t>l</w:t>
            </w:r>
            <w:r w:rsidRPr="00F53BDD">
              <w:rPr>
                <w:rFonts w:cstheme="minorHAnsi"/>
                <w:b/>
                <w:bCs/>
                <w:color w:val="FFFFFF" w:themeColor="background1"/>
                <w:sz w:val="17"/>
                <w:szCs w:val="17"/>
              </w:rPr>
              <w:t xml:space="preserve">icensing and </w:t>
            </w:r>
            <w:r w:rsidR="00653C25" w:rsidRPr="00F53BDD">
              <w:rPr>
                <w:rFonts w:cstheme="minorHAnsi"/>
                <w:b/>
                <w:bCs/>
                <w:color w:val="FFFFFF" w:themeColor="background1"/>
                <w:sz w:val="17"/>
                <w:szCs w:val="17"/>
              </w:rPr>
              <w:t>r</w:t>
            </w:r>
            <w:r w:rsidRPr="00F53BDD">
              <w:rPr>
                <w:rFonts w:cstheme="minorHAnsi"/>
                <w:b/>
                <w:bCs/>
                <w:color w:val="FFFFFF" w:themeColor="background1"/>
                <w:sz w:val="17"/>
                <w:szCs w:val="17"/>
              </w:rPr>
              <w:t>egistration of NZU advisers</w:t>
            </w:r>
          </w:p>
        </w:tc>
      </w:tr>
      <w:tr w:rsidR="00710986" w:rsidRPr="00F53BDD" w:rsidTr="00EB5C26">
        <w:tc>
          <w:tcPr>
            <w:tcW w:w="0" w:type="auto"/>
          </w:tcPr>
          <w:p w:rsidR="00A37B38" w:rsidRPr="00F53BDD" w:rsidRDefault="00A37B38" w:rsidP="00E807B7">
            <w:pPr>
              <w:pStyle w:val="TableTextbold"/>
              <w:spacing w:before="0" w:after="0"/>
              <w:rPr>
                <w:sz w:val="17"/>
                <w:szCs w:val="17"/>
              </w:rPr>
            </w:pPr>
            <w:r w:rsidRPr="00F53BDD">
              <w:rPr>
                <w:sz w:val="17"/>
                <w:szCs w:val="17"/>
              </w:rPr>
              <w:t>Integrity</w:t>
            </w:r>
          </w:p>
        </w:tc>
        <w:tc>
          <w:tcPr>
            <w:tcW w:w="0" w:type="auto"/>
            <w:tcBorders>
              <w:bottom w:val="single" w:sz="4" w:space="0" w:color="1C556C" w:themeColor="accent1"/>
            </w:tcBorders>
            <w:shd w:val="clear" w:color="auto" w:fill="EDB097"/>
            <w:vAlign w:val="center"/>
          </w:tcPr>
          <w:p w:rsidR="00A37B38" w:rsidRPr="00F53BDD" w:rsidRDefault="00E807B7" w:rsidP="00E807B7">
            <w:pPr>
              <w:pStyle w:val="TableText"/>
              <w:spacing w:before="0" w:after="0"/>
              <w:jc w:val="center"/>
              <w:rPr>
                <w:sz w:val="17"/>
                <w:szCs w:val="17"/>
              </w:rPr>
            </w:pPr>
            <w:r w:rsidRPr="00F53BDD">
              <w:rPr>
                <w:rFonts w:cs="Segoe UI Symbol"/>
                <w:sz w:val="17"/>
                <w:szCs w:val="17"/>
              </w:rPr>
              <w:t>x</w:t>
            </w:r>
          </w:p>
          <w:p w:rsidR="00A37B38" w:rsidRPr="00F53BDD" w:rsidRDefault="00A37B38" w:rsidP="00E807B7">
            <w:pPr>
              <w:pStyle w:val="TableText"/>
              <w:spacing w:before="0" w:after="0"/>
              <w:jc w:val="center"/>
              <w:rPr>
                <w:sz w:val="17"/>
                <w:szCs w:val="17"/>
              </w:rPr>
            </w:pPr>
            <w:r w:rsidRPr="00F53BDD">
              <w:rPr>
                <w:sz w:val="17"/>
                <w:szCs w:val="17"/>
              </w:rPr>
              <w:t>There is anecdotal evidence that traders are receiving poor advice</w:t>
            </w:r>
          </w:p>
        </w:tc>
        <w:tc>
          <w:tcPr>
            <w:tcW w:w="0" w:type="auto"/>
            <w:tcBorders>
              <w:bottom w:val="single" w:sz="4" w:space="0" w:color="1C556C" w:themeColor="accent1"/>
            </w:tcBorders>
            <w:shd w:val="clear" w:color="auto" w:fill="CFE5E5"/>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807B7">
            <w:pPr>
              <w:pStyle w:val="TableText"/>
              <w:spacing w:before="0" w:after="0"/>
              <w:jc w:val="center"/>
              <w:rPr>
                <w:sz w:val="17"/>
                <w:szCs w:val="17"/>
              </w:rPr>
            </w:pPr>
            <w:r w:rsidRPr="00F53BDD">
              <w:rPr>
                <w:sz w:val="17"/>
                <w:szCs w:val="17"/>
              </w:rPr>
              <w:t xml:space="preserve">Does not stop bad advice, but helps traders </w:t>
            </w:r>
            <w:r w:rsidR="009E3490" w:rsidRPr="00F53BDD">
              <w:rPr>
                <w:sz w:val="17"/>
                <w:szCs w:val="17"/>
              </w:rPr>
              <w:t xml:space="preserve">do </w:t>
            </w:r>
            <w:r w:rsidRPr="00F53BDD">
              <w:rPr>
                <w:sz w:val="17"/>
                <w:szCs w:val="17"/>
              </w:rPr>
              <w:t>due diligence</w:t>
            </w:r>
          </w:p>
        </w:tc>
        <w:tc>
          <w:tcPr>
            <w:tcW w:w="0" w:type="auto"/>
            <w:tcBorders>
              <w:bottom w:val="single" w:sz="4" w:space="0" w:color="1C556C" w:themeColor="accent1"/>
              <w:right w:val="single" w:sz="4" w:space="0" w:color="1C556C" w:themeColor="accent1"/>
            </w:tcBorders>
            <w:shd w:val="clear" w:color="auto" w:fill="87BDBE"/>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807B7">
            <w:pPr>
              <w:pStyle w:val="TableText"/>
              <w:spacing w:before="0" w:after="0"/>
              <w:jc w:val="center"/>
              <w:rPr>
                <w:sz w:val="17"/>
                <w:szCs w:val="17"/>
              </w:rPr>
            </w:pPr>
            <w:r w:rsidRPr="00F53BDD">
              <w:rPr>
                <w:sz w:val="17"/>
                <w:szCs w:val="17"/>
              </w:rPr>
              <w:t>Sets the expected standard of advice</w:t>
            </w:r>
          </w:p>
        </w:tc>
        <w:tc>
          <w:tcPr>
            <w:tcW w:w="0" w:type="auto"/>
            <w:tcBorders>
              <w:left w:val="single" w:sz="4" w:space="0" w:color="1C556C" w:themeColor="accent1"/>
              <w:bottom w:val="single" w:sz="4" w:space="0" w:color="1C556C" w:themeColor="accent1"/>
            </w:tcBorders>
            <w:shd w:val="clear" w:color="auto" w:fill="57A3A4"/>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Sets the standards of good</w:t>
            </w:r>
            <w:r w:rsidR="00812092" w:rsidRPr="00F53BDD">
              <w:rPr>
                <w:sz w:val="17"/>
                <w:szCs w:val="17"/>
              </w:rPr>
              <w:t xml:space="preserve"> advice</w:t>
            </w:r>
            <w:r w:rsidRPr="00F53BDD">
              <w:rPr>
                <w:sz w:val="17"/>
                <w:szCs w:val="17"/>
              </w:rPr>
              <w:t xml:space="preserve">, and </w:t>
            </w:r>
            <w:r w:rsidR="003B3DAD" w:rsidRPr="00F53BDD">
              <w:rPr>
                <w:sz w:val="17"/>
                <w:szCs w:val="17"/>
              </w:rPr>
              <w:t>there is</w:t>
            </w:r>
            <w:r w:rsidRPr="00F53BDD">
              <w:rPr>
                <w:sz w:val="17"/>
                <w:szCs w:val="17"/>
              </w:rPr>
              <w:t xml:space="preserve"> a penalty for falling below these</w:t>
            </w:r>
          </w:p>
        </w:tc>
      </w:tr>
      <w:tr w:rsidR="008A0C11" w:rsidRPr="00F53BDD" w:rsidTr="00EB5C26">
        <w:tc>
          <w:tcPr>
            <w:tcW w:w="0" w:type="auto"/>
          </w:tcPr>
          <w:p w:rsidR="00A37B38" w:rsidRPr="00F53BDD" w:rsidRDefault="00A37B38" w:rsidP="00E807B7">
            <w:pPr>
              <w:pStyle w:val="TableTextbold"/>
              <w:spacing w:before="0" w:after="0"/>
              <w:rPr>
                <w:sz w:val="17"/>
                <w:szCs w:val="17"/>
              </w:rPr>
            </w:pPr>
            <w:r w:rsidRPr="00F53BDD">
              <w:rPr>
                <w:sz w:val="17"/>
                <w:szCs w:val="17"/>
              </w:rPr>
              <w:t>Minimal complexity and administrative cost</w:t>
            </w:r>
          </w:p>
        </w:tc>
        <w:tc>
          <w:tcPr>
            <w:tcW w:w="0" w:type="auto"/>
            <w:tcBorders>
              <w:bottom w:val="single" w:sz="4" w:space="0" w:color="1C556C" w:themeColor="accent1"/>
            </w:tcBorders>
            <w:shd w:val="clear" w:color="auto" w:fill="CFE5E5"/>
            <w:vAlign w:val="center"/>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Least administrative cost, but the ETS is complex to understand for small traders</w:t>
            </w:r>
          </w:p>
        </w:tc>
        <w:tc>
          <w:tcPr>
            <w:tcW w:w="0" w:type="auto"/>
            <w:tcBorders>
              <w:bottom w:val="single" w:sz="4" w:space="0" w:color="1C556C" w:themeColor="accent1"/>
            </w:tcBorders>
            <w:shd w:val="clear" w:color="auto" w:fill="57A3A4"/>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807B7">
            <w:pPr>
              <w:pStyle w:val="TableText"/>
              <w:spacing w:before="0" w:after="0"/>
              <w:jc w:val="center"/>
              <w:rPr>
                <w:sz w:val="17"/>
                <w:szCs w:val="17"/>
              </w:rPr>
            </w:pPr>
            <w:r w:rsidRPr="00F53BDD">
              <w:rPr>
                <w:sz w:val="17"/>
                <w:szCs w:val="17"/>
              </w:rPr>
              <w:t>Minimises complexity for traders, with no administrative cost for participants and traders</w:t>
            </w:r>
          </w:p>
        </w:tc>
        <w:tc>
          <w:tcPr>
            <w:tcW w:w="0" w:type="auto"/>
            <w:tcBorders>
              <w:bottom w:val="single" w:sz="4" w:space="0" w:color="1C556C" w:themeColor="accent1"/>
            </w:tcBorders>
            <w:shd w:val="clear" w:color="auto" w:fill="57A3A4"/>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807B7">
            <w:pPr>
              <w:pStyle w:val="TableText"/>
              <w:spacing w:before="0" w:after="0"/>
              <w:jc w:val="center"/>
              <w:rPr>
                <w:sz w:val="17"/>
                <w:szCs w:val="17"/>
              </w:rPr>
            </w:pPr>
            <w:r w:rsidRPr="00F53BDD">
              <w:rPr>
                <w:sz w:val="17"/>
                <w:szCs w:val="17"/>
              </w:rPr>
              <w:t>Minimises complexity for advisers, with no administrative cost for participants and traders</w:t>
            </w:r>
          </w:p>
        </w:tc>
        <w:tc>
          <w:tcPr>
            <w:tcW w:w="0" w:type="auto"/>
            <w:shd w:val="clear" w:color="auto" w:fill="EDB097"/>
          </w:tcPr>
          <w:p w:rsidR="00A37B38" w:rsidRPr="00F53BDD" w:rsidRDefault="00710986" w:rsidP="00E807B7">
            <w:pPr>
              <w:pStyle w:val="TableText"/>
              <w:spacing w:before="0" w:after="0"/>
              <w:jc w:val="center"/>
              <w:rPr>
                <w:sz w:val="17"/>
                <w:szCs w:val="17"/>
              </w:rPr>
            </w:pPr>
            <w:r w:rsidRPr="00F53BDD">
              <w:rPr>
                <w:sz w:val="17"/>
                <w:szCs w:val="17"/>
              </w:rPr>
              <w:t>x</w:t>
            </w:r>
          </w:p>
          <w:p w:rsidR="00A37B38" w:rsidRPr="00F53BDD" w:rsidRDefault="00A37B38" w:rsidP="00E807B7">
            <w:pPr>
              <w:pStyle w:val="TableText"/>
              <w:spacing w:before="0" w:after="0"/>
              <w:jc w:val="center"/>
              <w:rPr>
                <w:sz w:val="17"/>
                <w:szCs w:val="17"/>
              </w:rPr>
            </w:pPr>
            <w:r w:rsidRPr="00F53BDD">
              <w:rPr>
                <w:sz w:val="17"/>
                <w:szCs w:val="17"/>
              </w:rPr>
              <w:t>The highest administrative cost for participants</w:t>
            </w:r>
          </w:p>
        </w:tc>
      </w:tr>
      <w:tr w:rsidR="00710986" w:rsidRPr="00F53BDD" w:rsidTr="00EB5C26">
        <w:tc>
          <w:tcPr>
            <w:tcW w:w="0" w:type="auto"/>
          </w:tcPr>
          <w:p w:rsidR="00A37B38" w:rsidRPr="00F53BDD" w:rsidRDefault="00A37B38" w:rsidP="00E807B7">
            <w:pPr>
              <w:pStyle w:val="TableTextbold"/>
              <w:spacing w:before="0" w:after="0"/>
              <w:rPr>
                <w:sz w:val="17"/>
                <w:szCs w:val="17"/>
              </w:rPr>
            </w:pPr>
            <w:r w:rsidRPr="00F53BDD">
              <w:rPr>
                <w:sz w:val="17"/>
                <w:szCs w:val="17"/>
              </w:rPr>
              <w:t>Consistency and proportionality</w:t>
            </w:r>
          </w:p>
        </w:tc>
        <w:tc>
          <w:tcPr>
            <w:tcW w:w="0" w:type="auto"/>
            <w:tcBorders>
              <w:bottom w:val="single" w:sz="4" w:space="0" w:color="1C556C" w:themeColor="accent1"/>
            </w:tcBorders>
            <w:shd w:val="clear" w:color="auto" w:fill="EDB097"/>
            <w:vAlign w:val="center"/>
          </w:tcPr>
          <w:p w:rsidR="00A37B38" w:rsidRPr="00F53BDD" w:rsidRDefault="00E807B7" w:rsidP="00E807B7">
            <w:pPr>
              <w:pStyle w:val="TableText"/>
              <w:spacing w:before="0" w:after="0"/>
              <w:jc w:val="center"/>
              <w:rPr>
                <w:sz w:val="17"/>
                <w:szCs w:val="17"/>
              </w:rPr>
            </w:pPr>
            <w:r w:rsidRPr="00F53BDD">
              <w:rPr>
                <w:rFonts w:cs="Segoe UI Symbol"/>
                <w:sz w:val="17"/>
                <w:szCs w:val="17"/>
              </w:rPr>
              <w:t>x</w:t>
            </w:r>
          </w:p>
          <w:p w:rsidR="00A37B38" w:rsidRPr="00F53BDD" w:rsidRDefault="00A37B38" w:rsidP="00E807B7">
            <w:pPr>
              <w:pStyle w:val="TableText"/>
              <w:spacing w:before="0" w:after="0"/>
              <w:jc w:val="center"/>
              <w:rPr>
                <w:sz w:val="17"/>
                <w:szCs w:val="17"/>
              </w:rPr>
            </w:pPr>
            <w:r w:rsidRPr="00F53BDD">
              <w:rPr>
                <w:sz w:val="17"/>
                <w:szCs w:val="17"/>
              </w:rPr>
              <w:t>Does not address the risks, and small traders</w:t>
            </w:r>
            <w:r w:rsidR="00812092" w:rsidRPr="00F53BDD">
              <w:rPr>
                <w:sz w:val="17"/>
                <w:szCs w:val="17"/>
              </w:rPr>
              <w:t xml:space="preserve"> </w:t>
            </w:r>
            <w:r w:rsidR="009E3490" w:rsidRPr="00F53BDD">
              <w:rPr>
                <w:sz w:val="17"/>
                <w:szCs w:val="17"/>
              </w:rPr>
              <w:t>are</w:t>
            </w:r>
            <w:r w:rsidRPr="00F53BDD">
              <w:rPr>
                <w:sz w:val="17"/>
                <w:szCs w:val="17"/>
              </w:rPr>
              <w:t xml:space="preserve"> disproportionately exposed to poor advice</w:t>
            </w:r>
          </w:p>
        </w:tc>
        <w:tc>
          <w:tcPr>
            <w:tcW w:w="0" w:type="auto"/>
            <w:tcBorders>
              <w:bottom w:val="single" w:sz="4" w:space="0" w:color="1C556C" w:themeColor="accent1"/>
            </w:tcBorders>
            <w:shd w:val="clear" w:color="auto" w:fill="CFE5E5"/>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BB1A07" w:rsidP="00E807B7">
            <w:pPr>
              <w:pStyle w:val="TableText"/>
              <w:spacing w:before="0" w:after="0"/>
              <w:jc w:val="center"/>
              <w:rPr>
                <w:sz w:val="17"/>
                <w:szCs w:val="17"/>
              </w:rPr>
            </w:pPr>
            <w:r w:rsidRPr="00F53BDD">
              <w:rPr>
                <w:sz w:val="17"/>
                <w:szCs w:val="17"/>
              </w:rPr>
              <w:t>Education campaign</w:t>
            </w:r>
            <w:r w:rsidR="00A37B38" w:rsidRPr="00F53BDD">
              <w:rPr>
                <w:sz w:val="17"/>
                <w:szCs w:val="17"/>
              </w:rPr>
              <w:t>s are common practice, but may not be proportional given the risk of harm to traders</w:t>
            </w:r>
          </w:p>
        </w:tc>
        <w:tc>
          <w:tcPr>
            <w:tcW w:w="0" w:type="auto"/>
            <w:tcBorders>
              <w:bottom w:val="single" w:sz="4" w:space="0" w:color="1C556C" w:themeColor="accent1"/>
              <w:right w:val="single" w:sz="4" w:space="0" w:color="1C556C" w:themeColor="accent1"/>
            </w:tcBorders>
            <w:shd w:val="clear" w:color="auto" w:fill="87BDBE"/>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Guidelines are common practice in service-based industries and a proportional response to the evolving market</w:t>
            </w:r>
          </w:p>
        </w:tc>
        <w:tc>
          <w:tcPr>
            <w:tcW w:w="0" w:type="auto"/>
            <w:tcBorders>
              <w:left w:val="single" w:sz="4" w:space="0" w:color="1C556C" w:themeColor="accent1"/>
              <w:bottom w:val="single" w:sz="4" w:space="0" w:color="1C556C" w:themeColor="accent1"/>
            </w:tcBorders>
            <w:shd w:val="clear" w:color="auto" w:fill="EDB097"/>
          </w:tcPr>
          <w:p w:rsidR="00A37B38" w:rsidRPr="00F53BDD" w:rsidRDefault="00710986" w:rsidP="00E807B7">
            <w:pPr>
              <w:pStyle w:val="TableText"/>
              <w:spacing w:before="0" w:after="0"/>
              <w:jc w:val="center"/>
              <w:rPr>
                <w:sz w:val="17"/>
                <w:szCs w:val="17"/>
              </w:rPr>
            </w:pPr>
            <w:r w:rsidRPr="00F53BDD">
              <w:rPr>
                <w:sz w:val="17"/>
                <w:szCs w:val="17"/>
              </w:rPr>
              <w:t>x</w:t>
            </w:r>
          </w:p>
          <w:p w:rsidR="00A37B38" w:rsidRPr="00F53BDD" w:rsidRDefault="00A37B38" w:rsidP="00E807B7">
            <w:pPr>
              <w:pStyle w:val="TableText"/>
              <w:spacing w:before="0" w:after="0"/>
              <w:jc w:val="center"/>
              <w:rPr>
                <w:sz w:val="17"/>
                <w:szCs w:val="17"/>
              </w:rPr>
            </w:pPr>
            <w:r w:rsidRPr="00F53BDD">
              <w:rPr>
                <w:sz w:val="17"/>
                <w:szCs w:val="17"/>
              </w:rPr>
              <w:t>May be too onerous for advisers</w:t>
            </w:r>
            <w:r w:rsidR="009E3490" w:rsidRPr="00F53BDD">
              <w:rPr>
                <w:sz w:val="17"/>
                <w:szCs w:val="17"/>
              </w:rPr>
              <w:t>,</w:t>
            </w:r>
            <w:r w:rsidRPr="00F53BDD">
              <w:rPr>
                <w:sz w:val="17"/>
                <w:szCs w:val="17"/>
              </w:rPr>
              <w:t xml:space="preserve"> given the current evidence of the poor advice risk</w:t>
            </w:r>
          </w:p>
        </w:tc>
      </w:tr>
      <w:tr w:rsidR="008A0C11" w:rsidRPr="00F53BDD" w:rsidTr="00EB5C26">
        <w:tc>
          <w:tcPr>
            <w:tcW w:w="0" w:type="auto"/>
          </w:tcPr>
          <w:p w:rsidR="00A37B38" w:rsidRPr="00F53BDD" w:rsidRDefault="00A37B38" w:rsidP="00E807B7">
            <w:pPr>
              <w:pStyle w:val="TableTextbold"/>
              <w:spacing w:before="0" w:after="0"/>
              <w:rPr>
                <w:sz w:val="17"/>
                <w:szCs w:val="17"/>
              </w:rPr>
            </w:pPr>
            <w:r w:rsidRPr="00F53BDD">
              <w:rPr>
                <w:sz w:val="17"/>
                <w:szCs w:val="17"/>
              </w:rPr>
              <w:t>Clarity and transparency</w:t>
            </w:r>
          </w:p>
        </w:tc>
        <w:tc>
          <w:tcPr>
            <w:tcW w:w="0" w:type="auto"/>
            <w:tcBorders>
              <w:bottom w:val="single" w:sz="4" w:space="0" w:color="1C556C" w:themeColor="accent1"/>
            </w:tcBorders>
            <w:shd w:val="clear" w:color="auto" w:fill="EDB097"/>
            <w:vAlign w:val="center"/>
          </w:tcPr>
          <w:p w:rsidR="00A37B38" w:rsidRPr="00F53BDD" w:rsidRDefault="00E807B7" w:rsidP="00E807B7">
            <w:pPr>
              <w:pStyle w:val="TableText"/>
              <w:spacing w:before="0" w:after="0"/>
              <w:jc w:val="center"/>
              <w:rPr>
                <w:sz w:val="17"/>
                <w:szCs w:val="17"/>
              </w:rPr>
            </w:pPr>
            <w:r w:rsidRPr="00F53BDD">
              <w:rPr>
                <w:rFonts w:cs="Segoe UI Symbol"/>
                <w:sz w:val="17"/>
                <w:szCs w:val="17"/>
              </w:rPr>
              <w:t>x</w:t>
            </w:r>
          </w:p>
          <w:p w:rsidR="00A37B38" w:rsidRPr="00F53BDD" w:rsidRDefault="00A37B38" w:rsidP="00E807B7">
            <w:pPr>
              <w:pStyle w:val="TableText"/>
              <w:spacing w:before="0" w:after="0"/>
              <w:jc w:val="center"/>
              <w:rPr>
                <w:sz w:val="17"/>
                <w:szCs w:val="17"/>
              </w:rPr>
            </w:pPr>
            <w:r w:rsidRPr="00F53BDD">
              <w:rPr>
                <w:sz w:val="17"/>
                <w:szCs w:val="17"/>
              </w:rPr>
              <w:t xml:space="preserve">The information traders need exists, but </w:t>
            </w:r>
            <w:r w:rsidR="009E3490" w:rsidRPr="00F53BDD">
              <w:rPr>
                <w:sz w:val="17"/>
                <w:szCs w:val="17"/>
              </w:rPr>
              <w:t>is not all in one place</w:t>
            </w:r>
          </w:p>
        </w:tc>
        <w:tc>
          <w:tcPr>
            <w:tcW w:w="0" w:type="auto"/>
            <w:tcBorders>
              <w:bottom w:val="single" w:sz="4" w:space="0" w:color="1C556C" w:themeColor="accent1"/>
            </w:tcBorders>
            <w:shd w:val="clear" w:color="auto" w:fill="57A3A4"/>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3B3DAD" w:rsidP="00E807B7">
            <w:pPr>
              <w:pStyle w:val="TableText"/>
              <w:spacing w:before="0" w:after="0"/>
              <w:jc w:val="center"/>
              <w:rPr>
                <w:sz w:val="17"/>
                <w:szCs w:val="17"/>
              </w:rPr>
            </w:pPr>
            <w:r w:rsidRPr="00F53BDD">
              <w:rPr>
                <w:sz w:val="17"/>
                <w:szCs w:val="17"/>
              </w:rPr>
              <w:t>An</w:t>
            </w:r>
            <w:r w:rsidR="00A37B38" w:rsidRPr="00F53BDD">
              <w:rPr>
                <w:sz w:val="17"/>
                <w:szCs w:val="17"/>
              </w:rPr>
              <w:t xml:space="preserve"> information pack can </w:t>
            </w:r>
            <w:r w:rsidR="009E3490" w:rsidRPr="00F53BDD">
              <w:rPr>
                <w:sz w:val="17"/>
                <w:szCs w:val="17"/>
              </w:rPr>
              <w:t xml:space="preserve">give traders </w:t>
            </w:r>
            <w:r w:rsidR="005003F5" w:rsidRPr="00F53BDD">
              <w:rPr>
                <w:sz w:val="17"/>
                <w:szCs w:val="17"/>
              </w:rPr>
              <w:t xml:space="preserve">useful </w:t>
            </w:r>
            <w:r w:rsidR="00A37B38" w:rsidRPr="00F53BDD">
              <w:rPr>
                <w:sz w:val="17"/>
                <w:szCs w:val="17"/>
              </w:rPr>
              <w:t>information</w:t>
            </w:r>
            <w:r w:rsidR="009E3490" w:rsidRPr="00F53BDD">
              <w:rPr>
                <w:sz w:val="17"/>
                <w:szCs w:val="17"/>
              </w:rPr>
              <w:t>,</w:t>
            </w:r>
            <w:r w:rsidR="00A37B38" w:rsidRPr="00F53BDD">
              <w:rPr>
                <w:sz w:val="17"/>
                <w:szCs w:val="17"/>
              </w:rPr>
              <w:t xml:space="preserve"> in one place</w:t>
            </w:r>
          </w:p>
        </w:tc>
        <w:tc>
          <w:tcPr>
            <w:tcW w:w="0" w:type="auto"/>
            <w:tcBorders>
              <w:bottom w:val="single" w:sz="4" w:space="0" w:color="1C556C" w:themeColor="accent1"/>
            </w:tcBorders>
            <w:shd w:val="clear" w:color="auto" w:fill="57A3A4"/>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807B7">
            <w:pPr>
              <w:pStyle w:val="TableText"/>
              <w:spacing w:before="0" w:after="0"/>
              <w:jc w:val="center"/>
              <w:rPr>
                <w:sz w:val="17"/>
                <w:szCs w:val="17"/>
              </w:rPr>
            </w:pPr>
            <w:r w:rsidRPr="00F53BDD">
              <w:rPr>
                <w:sz w:val="17"/>
                <w:szCs w:val="17"/>
              </w:rPr>
              <w:t xml:space="preserve">Guidelines set a public standard of what </w:t>
            </w:r>
            <w:r w:rsidR="009E3490" w:rsidRPr="00F53BDD">
              <w:rPr>
                <w:sz w:val="17"/>
                <w:szCs w:val="17"/>
              </w:rPr>
              <w:t>to expect</w:t>
            </w:r>
            <w:r w:rsidRPr="00F53BDD">
              <w:rPr>
                <w:sz w:val="17"/>
                <w:szCs w:val="17"/>
              </w:rPr>
              <w:t xml:space="preserve"> of an adviser</w:t>
            </w:r>
          </w:p>
        </w:tc>
        <w:tc>
          <w:tcPr>
            <w:tcW w:w="0" w:type="auto"/>
            <w:tcBorders>
              <w:bottom w:val="single" w:sz="4" w:space="0" w:color="1C556C" w:themeColor="accent1"/>
            </w:tcBorders>
            <w:shd w:val="clear" w:color="auto" w:fill="87BDBE"/>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9E3490" w:rsidP="00977597">
            <w:pPr>
              <w:pStyle w:val="TableText"/>
              <w:spacing w:before="0"/>
              <w:jc w:val="center"/>
              <w:rPr>
                <w:sz w:val="17"/>
                <w:szCs w:val="17"/>
              </w:rPr>
            </w:pPr>
            <w:r w:rsidRPr="00F53BDD">
              <w:rPr>
                <w:sz w:val="17"/>
                <w:szCs w:val="17"/>
              </w:rPr>
              <w:t>P</w:t>
            </w:r>
            <w:r w:rsidR="00A37B38" w:rsidRPr="00F53BDD">
              <w:rPr>
                <w:sz w:val="17"/>
                <w:szCs w:val="17"/>
              </w:rPr>
              <w:t xml:space="preserve">rovides the most standardised rules, but </w:t>
            </w:r>
            <w:r w:rsidRPr="00F53BDD">
              <w:rPr>
                <w:sz w:val="17"/>
                <w:szCs w:val="17"/>
              </w:rPr>
              <w:t xml:space="preserve">these </w:t>
            </w:r>
            <w:r w:rsidR="00A37B38" w:rsidRPr="00F53BDD">
              <w:rPr>
                <w:sz w:val="17"/>
                <w:szCs w:val="17"/>
              </w:rPr>
              <w:t xml:space="preserve">are not always clearly understood by traders or the </w:t>
            </w:r>
            <w:r w:rsidR="003B3DAD" w:rsidRPr="00F53BDD">
              <w:rPr>
                <w:sz w:val="17"/>
                <w:szCs w:val="17"/>
              </w:rPr>
              <w:t>public</w:t>
            </w:r>
          </w:p>
        </w:tc>
      </w:tr>
      <w:tr w:rsidR="00A37B38" w:rsidRPr="00F53BDD" w:rsidTr="00EB5C26">
        <w:tc>
          <w:tcPr>
            <w:tcW w:w="0" w:type="auto"/>
          </w:tcPr>
          <w:p w:rsidR="00A37B38" w:rsidRPr="00F53BDD" w:rsidRDefault="00A37B38" w:rsidP="00E807B7">
            <w:pPr>
              <w:pStyle w:val="TableTextbold"/>
              <w:spacing w:before="0" w:after="0"/>
              <w:rPr>
                <w:sz w:val="17"/>
                <w:szCs w:val="17"/>
              </w:rPr>
            </w:pPr>
            <w:r w:rsidRPr="00F53BDD">
              <w:rPr>
                <w:sz w:val="17"/>
                <w:szCs w:val="17"/>
              </w:rPr>
              <w:t>Market efficiency</w:t>
            </w:r>
          </w:p>
        </w:tc>
        <w:tc>
          <w:tcPr>
            <w:tcW w:w="0" w:type="auto"/>
            <w:shd w:val="clear" w:color="auto" w:fill="EDB097"/>
          </w:tcPr>
          <w:p w:rsidR="00A37B38" w:rsidRPr="00F53BDD" w:rsidRDefault="00E807B7" w:rsidP="00E807B7">
            <w:pPr>
              <w:pStyle w:val="TableText"/>
              <w:spacing w:before="0" w:after="0"/>
              <w:jc w:val="center"/>
              <w:rPr>
                <w:sz w:val="17"/>
                <w:szCs w:val="17"/>
              </w:rPr>
            </w:pPr>
            <w:r w:rsidRPr="00F53BDD">
              <w:rPr>
                <w:sz w:val="17"/>
                <w:szCs w:val="17"/>
              </w:rPr>
              <w:t>x</w:t>
            </w:r>
          </w:p>
        </w:tc>
        <w:tc>
          <w:tcPr>
            <w:tcW w:w="0" w:type="auto"/>
            <w:shd w:val="clear" w:color="auto" w:fill="CFE5E5"/>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77597">
            <w:pPr>
              <w:pStyle w:val="TableText"/>
              <w:spacing w:before="0"/>
              <w:jc w:val="center"/>
              <w:rPr>
                <w:sz w:val="17"/>
                <w:szCs w:val="17"/>
              </w:rPr>
            </w:pPr>
            <w:r w:rsidRPr="00F53BDD">
              <w:rPr>
                <w:sz w:val="17"/>
                <w:szCs w:val="17"/>
              </w:rPr>
              <w:t>Education campaigns support efficient price discovery by helping traders better understand the ETS</w:t>
            </w:r>
          </w:p>
        </w:tc>
        <w:tc>
          <w:tcPr>
            <w:tcW w:w="0" w:type="auto"/>
            <w:shd w:val="clear" w:color="auto" w:fill="CFE5E5"/>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807B7">
            <w:pPr>
              <w:pStyle w:val="TableText"/>
              <w:spacing w:before="0" w:after="0"/>
              <w:jc w:val="center"/>
              <w:rPr>
                <w:sz w:val="17"/>
                <w:szCs w:val="17"/>
              </w:rPr>
            </w:pPr>
            <w:r w:rsidRPr="00F53BDD">
              <w:rPr>
                <w:sz w:val="17"/>
                <w:szCs w:val="17"/>
              </w:rPr>
              <w:t xml:space="preserve">Guidelines encourage advisers to give better advice </w:t>
            </w:r>
            <w:r w:rsidR="009E3490" w:rsidRPr="00F53BDD">
              <w:rPr>
                <w:sz w:val="17"/>
                <w:szCs w:val="17"/>
              </w:rPr>
              <w:t>on</w:t>
            </w:r>
            <w:r w:rsidRPr="00F53BDD">
              <w:rPr>
                <w:sz w:val="17"/>
                <w:szCs w:val="17"/>
              </w:rPr>
              <w:t xml:space="preserve"> price discovery</w:t>
            </w:r>
          </w:p>
        </w:tc>
        <w:tc>
          <w:tcPr>
            <w:tcW w:w="0" w:type="auto"/>
            <w:shd w:val="clear" w:color="auto" w:fill="87BDBE"/>
          </w:tcPr>
          <w:p w:rsidR="00A37B38" w:rsidRPr="00F53BDD" w:rsidRDefault="00A37B38" w:rsidP="00E807B7">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9E3490" w:rsidP="00E807B7">
            <w:pPr>
              <w:pStyle w:val="TableText"/>
              <w:spacing w:before="0" w:after="0"/>
              <w:jc w:val="center"/>
              <w:rPr>
                <w:sz w:val="17"/>
                <w:szCs w:val="17"/>
              </w:rPr>
            </w:pPr>
            <w:r w:rsidRPr="00F53BDD">
              <w:rPr>
                <w:sz w:val="17"/>
                <w:szCs w:val="17"/>
              </w:rPr>
              <w:t>I</w:t>
            </w:r>
            <w:r w:rsidR="00A37B38" w:rsidRPr="00F53BDD">
              <w:rPr>
                <w:sz w:val="17"/>
                <w:szCs w:val="17"/>
              </w:rPr>
              <w:t>mproves the quality of advice, and therefore price discovery, through a regulated regime</w:t>
            </w:r>
          </w:p>
        </w:tc>
      </w:tr>
      <w:tr w:rsidR="00A37B38" w:rsidRPr="00F53BDD" w:rsidTr="00EB5C26">
        <w:tc>
          <w:tcPr>
            <w:tcW w:w="0" w:type="auto"/>
            <w:gridSpan w:val="5"/>
          </w:tcPr>
          <w:p w:rsidR="00A37B38" w:rsidRPr="00F53BDD" w:rsidRDefault="00A37B38" w:rsidP="00C8781A">
            <w:pPr>
              <w:pStyle w:val="TableText"/>
              <w:tabs>
                <w:tab w:val="left" w:pos="599"/>
              </w:tabs>
              <w:spacing w:after="0"/>
              <w:rPr>
                <w:rFonts w:eastAsia="Times New Roman"/>
                <w:sz w:val="17"/>
                <w:szCs w:val="17"/>
              </w:rPr>
            </w:pPr>
            <w:r w:rsidRPr="00F53BDD">
              <w:rPr>
                <w:rFonts w:ascii="Segoe UI Symbol" w:eastAsia="Times New Roman" w:hAnsi="Segoe UI Symbol" w:cs="Segoe UI Symbol"/>
                <w:sz w:val="17"/>
                <w:szCs w:val="17"/>
                <w:shd w:val="clear" w:color="auto" w:fill="57A3A4"/>
              </w:rPr>
              <w:t>✓✓✓</w:t>
            </w:r>
            <w:r w:rsidR="00E57C27" w:rsidRPr="00F53BDD">
              <w:rPr>
                <w:sz w:val="17"/>
                <w:szCs w:val="17"/>
              </w:rPr>
              <w:tab/>
            </w:r>
            <w:r w:rsidRPr="00F53BDD">
              <w:rPr>
                <w:rFonts w:eastAsia="Times New Roman"/>
                <w:sz w:val="17"/>
                <w:szCs w:val="17"/>
              </w:rPr>
              <w:t>Strongly meets criteria</w:t>
            </w:r>
          </w:p>
          <w:p w:rsidR="00A37B38" w:rsidRPr="00F53BDD" w:rsidRDefault="00A37B38" w:rsidP="00E57C27">
            <w:pPr>
              <w:tabs>
                <w:tab w:val="left" w:pos="599"/>
              </w:tabs>
              <w:spacing w:before="0" w:after="0" w:line="240" w:lineRule="atLeast"/>
              <w:contextualSpacing/>
              <w:rPr>
                <w:rFonts w:eastAsia="Times New Roman"/>
                <w:sz w:val="17"/>
                <w:szCs w:val="17"/>
              </w:rPr>
            </w:pPr>
            <w:r w:rsidRPr="00F53BDD">
              <w:rPr>
                <w:rFonts w:ascii="Segoe UI Symbol" w:eastAsia="Times New Roman" w:hAnsi="Segoe UI Symbol" w:cs="Segoe UI Symbol"/>
                <w:sz w:val="17"/>
                <w:szCs w:val="17"/>
                <w:shd w:val="clear" w:color="auto" w:fill="87BDBE"/>
              </w:rPr>
              <w:t>✓✓</w:t>
            </w:r>
            <w:r w:rsidR="007F2F6D" w:rsidRPr="00F53BDD">
              <w:rPr>
                <w:rFonts w:eastAsia="Times New Roman"/>
                <w:sz w:val="17"/>
                <w:szCs w:val="17"/>
              </w:rPr>
              <w:tab/>
            </w:r>
            <w:r w:rsidRPr="00F53BDD">
              <w:rPr>
                <w:rFonts w:eastAsia="Times New Roman"/>
                <w:sz w:val="17"/>
                <w:szCs w:val="17"/>
              </w:rPr>
              <w:t>Meets criteria</w:t>
            </w:r>
          </w:p>
          <w:p w:rsidR="00A37B38" w:rsidRDefault="00A37B38" w:rsidP="00E57C27">
            <w:pPr>
              <w:tabs>
                <w:tab w:val="left" w:pos="599"/>
              </w:tabs>
              <w:spacing w:before="0" w:after="0" w:line="240" w:lineRule="atLeast"/>
              <w:contextualSpacing/>
              <w:rPr>
                <w:rFonts w:eastAsia="Times New Roman"/>
                <w:sz w:val="17"/>
                <w:szCs w:val="17"/>
              </w:rPr>
            </w:pPr>
            <w:r w:rsidRPr="00F53BDD">
              <w:rPr>
                <w:rFonts w:ascii="Segoe UI Symbol" w:eastAsia="Times New Roman" w:hAnsi="Segoe UI Symbol" w:cs="Segoe UI Symbol"/>
                <w:sz w:val="17"/>
                <w:szCs w:val="17"/>
                <w:shd w:val="clear" w:color="auto" w:fill="CFE5E5"/>
              </w:rPr>
              <w:t>✓</w:t>
            </w:r>
            <w:r w:rsidR="007F2F6D" w:rsidRPr="00F53BDD">
              <w:rPr>
                <w:rFonts w:eastAsia="Times New Roman"/>
                <w:sz w:val="17"/>
                <w:szCs w:val="17"/>
              </w:rPr>
              <w:tab/>
            </w:r>
            <w:r w:rsidRPr="00F53BDD">
              <w:rPr>
                <w:rFonts w:eastAsia="Times New Roman"/>
                <w:sz w:val="17"/>
                <w:szCs w:val="17"/>
              </w:rPr>
              <w:t>Partially meets criteria</w:t>
            </w:r>
          </w:p>
          <w:p w:rsidR="001F00AC" w:rsidRPr="00F53BDD" w:rsidRDefault="001F00AC" w:rsidP="00E57C27">
            <w:pPr>
              <w:tabs>
                <w:tab w:val="left" w:pos="599"/>
              </w:tabs>
              <w:spacing w:before="0" w:after="0" w:line="240" w:lineRule="atLeast"/>
              <w:contextualSpacing/>
              <w:rPr>
                <w:rFonts w:eastAsia="Times New Roman"/>
                <w:sz w:val="17"/>
                <w:szCs w:val="17"/>
              </w:rPr>
            </w:pPr>
            <w:r w:rsidRPr="00F53BDD">
              <w:rPr>
                <w:rFonts w:eastAsia="Times New Roman"/>
                <w:sz w:val="17"/>
                <w:szCs w:val="17"/>
                <w:shd w:val="clear" w:color="auto" w:fill="EDB097"/>
              </w:rPr>
              <w:t>x</w:t>
            </w:r>
            <w:r w:rsidRPr="00F53BDD">
              <w:rPr>
                <w:rFonts w:eastAsia="Times New Roman"/>
                <w:sz w:val="17"/>
                <w:szCs w:val="17"/>
              </w:rPr>
              <w:tab/>
              <w:t>Does not meet criteria</w:t>
            </w:r>
          </w:p>
          <w:p w:rsidR="00A37B38" w:rsidRPr="00F53BDD" w:rsidRDefault="00A37B38" w:rsidP="00E57C27">
            <w:pPr>
              <w:tabs>
                <w:tab w:val="left" w:pos="599"/>
              </w:tabs>
              <w:spacing w:before="0" w:after="0" w:line="240" w:lineRule="atLeast"/>
              <w:contextualSpacing/>
              <w:rPr>
                <w:rFonts w:eastAsia="Times New Roman"/>
                <w:sz w:val="17"/>
                <w:szCs w:val="17"/>
              </w:rPr>
            </w:pPr>
            <w:r w:rsidRPr="00F53BDD">
              <w:rPr>
                <w:rFonts w:eastAsia="Times New Roman"/>
                <w:sz w:val="17"/>
                <w:szCs w:val="17"/>
              </w:rPr>
              <w:t>O</w:t>
            </w:r>
            <w:r w:rsidR="007F2F6D" w:rsidRPr="00F53BDD">
              <w:rPr>
                <w:rFonts w:eastAsia="Times New Roman"/>
                <w:sz w:val="17"/>
                <w:szCs w:val="17"/>
              </w:rPr>
              <w:tab/>
            </w:r>
            <w:r w:rsidRPr="00F53BDD">
              <w:rPr>
                <w:rFonts w:eastAsia="Times New Roman"/>
                <w:sz w:val="17"/>
                <w:szCs w:val="17"/>
              </w:rPr>
              <w:t>Not applicable</w:t>
            </w:r>
          </w:p>
          <w:p w:rsidR="00A37B38" w:rsidRPr="00F53BDD" w:rsidRDefault="00A37B38" w:rsidP="00E57C27">
            <w:pPr>
              <w:tabs>
                <w:tab w:val="left" w:pos="599"/>
              </w:tabs>
              <w:spacing w:before="0" w:after="0" w:line="240" w:lineRule="atLeast"/>
              <w:contextualSpacing/>
              <w:rPr>
                <w:rFonts w:eastAsia="Times New Roman"/>
                <w:sz w:val="17"/>
                <w:szCs w:val="17"/>
              </w:rPr>
            </w:pPr>
          </w:p>
        </w:tc>
      </w:tr>
    </w:tbl>
    <w:p w:rsidR="00A37B38" w:rsidRPr="00F53BDD" w:rsidRDefault="00A37B38" w:rsidP="00C8781A">
      <w:pPr>
        <w:pStyle w:val="BodyText"/>
      </w:pPr>
      <w:r w:rsidRPr="00F53BDD">
        <w:br w:type="page"/>
      </w:r>
    </w:p>
    <w:p w:rsidR="00A37B38" w:rsidRPr="00F53BDD" w:rsidRDefault="00A37B38" w:rsidP="00A37B38">
      <w:pPr>
        <w:pStyle w:val="Tableheading"/>
      </w:pPr>
      <w:bookmarkStart w:id="133" w:name="_Toc75250117"/>
      <w:bookmarkStart w:id="134" w:name="_Toc72150043"/>
      <w:r w:rsidRPr="00F53BDD">
        <w:t xml:space="preserve">Table </w:t>
      </w:r>
      <w:r w:rsidR="00616B66" w:rsidRPr="00F53BDD">
        <w:t>1</w:t>
      </w:r>
      <w:r w:rsidR="006218BD">
        <w:t>5</w:t>
      </w:r>
      <w:r w:rsidRPr="00F53BDD">
        <w:t xml:space="preserve">: </w:t>
      </w:r>
      <w:r w:rsidR="00295AF2" w:rsidRPr="00F53BDD">
        <w:tab/>
      </w:r>
      <w:r w:rsidR="00812092" w:rsidRPr="00F53BDD">
        <w:t xml:space="preserve">Governance of trading: </w:t>
      </w:r>
      <w:r w:rsidRPr="00F53BDD">
        <w:t>Impact analysis</w:t>
      </w:r>
      <w:bookmarkEnd w:id="133"/>
      <w:r w:rsidRPr="00F53BDD">
        <w:t xml:space="preserve"> </w:t>
      </w:r>
      <w:bookmarkEnd w:id="134"/>
    </w:p>
    <w:tbl>
      <w:tblPr>
        <w:tblStyle w:val="TableGrid"/>
        <w:tblW w:w="13438"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848"/>
        <w:gridCol w:w="2672"/>
        <w:gridCol w:w="2692"/>
        <w:gridCol w:w="3028"/>
        <w:gridCol w:w="3198"/>
      </w:tblGrid>
      <w:tr w:rsidR="00592D37" w:rsidRPr="00F53BDD" w:rsidTr="00EB5C26">
        <w:tc>
          <w:tcPr>
            <w:tcW w:w="0" w:type="auto"/>
            <w:shd w:val="clear" w:color="auto" w:fill="1C556C" w:themeFill="accent1"/>
          </w:tcPr>
          <w:p w:rsidR="00A37B38" w:rsidRPr="00F53BDD" w:rsidRDefault="00A37B38" w:rsidP="00592D37">
            <w:pPr>
              <w:pStyle w:val="TableTextbold"/>
              <w:rPr>
                <w:color w:val="FFFFFF" w:themeColor="background1"/>
                <w:sz w:val="17"/>
                <w:szCs w:val="17"/>
              </w:rPr>
            </w:pPr>
            <w:r w:rsidRPr="00F53BDD">
              <w:rPr>
                <w:color w:val="FFFFFF" w:themeColor="background1"/>
                <w:sz w:val="17"/>
                <w:szCs w:val="17"/>
              </w:rPr>
              <w:t>Criteri</w:t>
            </w:r>
            <w:r w:rsidR="000F6F8D" w:rsidRPr="00F53BDD">
              <w:rPr>
                <w:color w:val="FFFFFF" w:themeColor="background1"/>
                <w:sz w:val="17"/>
                <w:szCs w:val="17"/>
              </w:rPr>
              <w:t>on</w:t>
            </w:r>
          </w:p>
        </w:tc>
        <w:tc>
          <w:tcPr>
            <w:tcW w:w="0" w:type="auto"/>
            <w:tcBorders>
              <w:bottom w:val="single" w:sz="4" w:space="0" w:color="1C556C" w:themeColor="accent1"/>
            </w:tcBorders>
            <w:shd w:val="clear" w:color="auto" w:fill="1C556C" w:themeFill="accent1"/>
          </w:tcPr>
          <w:p w:rsidR="00A37B38" w:rsidRPr="00F53BDD" w:rsidRDefault="00A37B38" w:rsidP="00592D37">
            <w:pPr>
              <w:pStyle w:val="TableTextbold"/>
              <w:jc w:val="center"/>
              <w:rPr>
                <w:rFonts w:cstheme="minorHAnsi"/>
                <w:color w:val="FFFFFF" w:themeColor="background1"/>
                <w:sz w:val="17"/>
                <w:szCs w:val="17"/>
              </w:rPr>
            </w:pPr>
            <w:r w:rsidRPr="00F53BDD">
              <w:rPr>
                <w:rFonts w:cstheme="minorHAnsi"/>
                <w:color w:val="FFFFFF" w:themeColor="background1"/>
                <w:sz w:val="17"/>
                <w:szCs w:val="17"/>
              </w:rPr>
              <w:t>B1: Status quo</w:t>
            </w:r>
          </w:p>
        </w:tc>
        <w:tc>
          <w:tcPr>
            <w:tcW w:w="0" w:type="auto"/>
            <w:tcBorders>
              <w:bottom w:val="single" w:sz="4" w:space="0" w:color="1C556C" w:themeColor="accent1"/>
            </w:tcBorders>
            <w:shd w:val="clear" w:color="auto" w:fill="1C556C" w:themeFill="accent1"/>
          </w:tcPr>
          <w:p w:rsidR="00A37B38" w:rsidRPr="00F53BDD" w:rsidRDefault="00A37B38" w:rsidP="00592D37">
            <w:pPr>
              <w:pStyle w:val="TableTextbold"/>
              <w:jc w:val="center"/>
              <w:rPr>
                <w:rFonts w:cstheme="minorHAnsi"/>
                <w:color w:val="FFFFFF" w:themeColor="background1"/>
                <w:sz w:val="17"/>
                <w:szCs w:val="17"/>
              </w:rPr>
            </w:pPr>
            <w:r w:rsidRPr="00F53BDD">
              <w:rPr>
                <w:rFonts w:cstheme="minorHAnsi"/>
                <w:color w:val="FFFFFF" w:themeColor="background1"/>
                <w:sz w:val="17"/>
                <w:szCs w:val="17"/>
              </w:rPr>
              <w:t>B2 Voluntary reporting of trades</w:t>
            </w:r>
          </w:p>
        </w:tc>
        <w:tc>
          <w:tcPr>
            <w:tcW w:w="0" w:type="auto"/>
            <w:tcBorders>
              <w:bottom w:val="single" w:sz="4" w:space="0" w:color="1C556C" w:themeColor="accent1"/>
            </w:tcBorders>
            <w:shd w:val="clear" w:color="auto" w:fill="1C556C" w:themeFill="accent1"/>
          </w:tcPr>
          <w:p w:rsidR="00A37B38" w:rsidRPr="00F53BDD" w:rsidRDefault="00A37B38" w:rsidP="00592D37">
            <w:pPr>
              <w:pStyle w:val="TableTextbold"/>
              <w:jc w:val="center"/>
              <w:rPr>
                <w:rFonts w:cstheme="minorHAnsi"/>
                <w:color w:val="FFFFFF" w:themeColor="background1"/>
                <w:sz w:val="17"/>
                <w:szCs w:val="17"/>
              </w:rPr>
            </w:pPr>
            <w:r w:rsidRPr="00F53BDD">
              <w:rPr>
                <w:rFonts w:cstheme="minorHAnsi"/>
                <w:color w:val="FFFFFF" w:themeColor="background1"/>
                <w:sz w:val="17"/>
                <w:szCs w:val="17"/>
              </w:rPr>
              <w:t xml:space="preserve">B3: Participant </w:t>
            </w:r>
            <w:r w:rsidR="00653C25" w:rsidRPr="00F53BDD">
              <w:rPr>
                <w:rFonts w:cstheme="minorHAnsi"/>
                <w:color w:val="FFFFFF" w:themeColor="background1"/>
                <w:sz w:val="17"/>
                <w:szCs w:val="17"/>
              </w:rPr>
              <w:t>p</w:t>
            </w:r>
            <w:r w:rsidRPr="00F53BDD">
              <w:rPr>
                <w:rFonts w:cstheme="minorHAnsi"/>
                <w:color w:val="FFFFFF" w:themeColor="background1"/>
                <w:sz w:val="17"/>
                <w:szCs w:val="17"/>
              </w:rPr>
              <w:t xml:space="preserve">osition </w:t>
            </w:r>
            <w:r w:rsidR="00653C25" w:rsidRPr="00F53BDD">
              <w:rPr>
                <w:rFonts w:cstheme="minorHAnsi"/>
                <w:color w:val="FFFFFF" w:themeColor="background1"/>
                <w:sz w:val="17"/>
                <w:szCs w:val="17"/>
              </w:rPr>
              <w:t>r</w:t>
            </w:r>
            <w:r w:rsidRPr="00F53BDD">
              <w:rPr>
                <w:rFonts w:cstheme="minorHAnsi"/>
                <w:color w:val="FFFFFF" w:themeColor="background1"/>
                <w:sz w:val="17"/>
                <w:szCs w:val="17"/>
              </w:rPr>
              <w:t>eporting</w:t>
            </w:r>
          </w:p>
        </w:tc>
        <w:tc>
          <w:tcPr>
            <w:tcW w:w="0" w:type="auto"/>
            <w:tcBorders>
              <w:bottom w:val="single" w:sz="4" w:space="0" w:color="1C556C" w:themeColor="accent1"/>
            </w:tcBorders>
            <w:shd w:val="clear" w:color="auto" w:fill="1C556C" w:themeFill="accent1"/>
          </w:tcPr>
          <w:p w:rsidR="00A37B38" w:rsidRPr="00F53BDD" w:rsidRDefault="00A37B38" w:rsidP="00592D37">
            <w:pPr>
              <w:pStyle w:val="TableTextbold"/>
              <w:jc w:val="center"/>
              <w:rPr>
                <w:rFonts w:cstheme="minorHAnsi"/>
                <w:color w:val="FFFFFF" w:themeColor="background1"/>
                <w:sz w:val="17"/>
                <w:szCs w:val="17"/>
              </w:rPr>
            </w:pPr>
            <w:r w:rsidRPr="00F53BDD">
              <w:rPr>
                <w:rFonts w:cstheme="minorHAnsi"/>
                <w:color w:val="FFFFFF" w:themeColor="background1"/>
                <w:sz w:val="17"/>
                <w:szCs w:val="17"/>
              </w:rPr>
              <w:t>B4: Requiring exchange-based trading</w:t>
            </w:r>
          </w:p>
        </w:tc>
      </w:tr>
      <w:tr w:rsidR="00877E61" w:rsidRPr="00F53BDD" w:rsidTr="00EB5C26">
        <w:tc>
          <w:tcPr>
            <w:tcW w:w="0" w:type="auto"/>
          </w:tcPr>
          <w:p w:rsidR="00A37B38" w:rsidRPr="00F53BDD" w:rsidRDefault="00A37B38" w:rsidP="00050555">
            <w:pPr>
              <w:pStyle w:val="TableTextbold"/>
              <w:spacing w:before="20" w:after="20"/>
              <w:rPr>
                <w:sz w:val="17"/>
                <w:szCs w:val="17"/>
              </w:rPr>
            </w:pPr>
            <w:r w:rsidRPr="00F53BDD">
              <w:rPr>
                <w:sz w:val="17"/>
                <w:szCs w:val="17"/>
              </w:rPr>
              <w:t>Integrity</w:t>
            </w:r>
          </w:p>
        </w:tc>
        <w:tc>
          <w:tcPr>
            <w:tcW w:w="0" w:type="auto"/>
            <w:tcBorders>
              <w:bottom w:val="single" w:sz="4" w:space="0" w:color="1C556C" w:themeColor="accent1"/>
            </w:tcBorders>
            <w:shd w:val="clear" w:color="auto" w:fill="EDB097"/>
          </w:tcPr>
          <w:p w:rsidR="00A37B38" w:rsidRPr="00F53BDD" w:rsidRDefault="00592D37" w:rsidP="00050555">
            <w:pPr>
              <w:pStyle w:val="TableText"/>
              <w:spacing w:before="20" w:after="20"/>
              <w:jc w:val="center"/>
              <w:rPr>
                <w:sz w:val="17"/>
                <w:szCs w:val="17"/>
              </w:rPr>
            </w:pPr>
            <w:r w:rsidRPr="00F53BDD">
              <w:rPr>
                <w:sz w:val="17"/>
                <w:szCs w:val="17"/>
              </w:rPr>
              <w:t>x</w:t>
            </w:r>
          </w:p>
          <w:p w:rsidR="00A37B38" w:rsidRPr="00F53BDD" w:rsidRDefault="00A37B38" w:rsidP="00B359CB">
            <w:pPr>
              <w:pStyle w:val="TableText"/>
              <w:spacing w:before="0"/>
              <w:jc w:val="center"/>
              <w:rPr>
                <w:sz w:val="17"/>
                <w:szCs w:val="17"/>
              </w:rPr>
            </w:pPr>
            <w:r w:rsidRPr="00F53BDD">
              <w:rPr>
                <w:sz w:val="17"/>
                <w:szCs w:val="17"/>
              </w:rPr>
              <w:t>Lack of transparency means market integrity cannot be observed</w:t>
            </w:r>
          </w:p>
        </w:tc>
        <w:tc>
          <w:tcPr>
            <w:tcW w:w="0" w:type="auto"/>
            <w:shd w:val="clear" w:color="auto" w:fill="CFE5E5"/>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050555">
            <w:pPr>
              <w:pStyle w:val="TableText"/>
              <w:spacing w:before="20" w:after="20"/>
              <w:jc w:val="center"/>
              <w:rPr>
                <w:sz w:val="17"/>
                <w:szCs w:val="17"/>
              </w:rPr>
            </w:pPr>
            <w:r w:rsidRPr="00F53BDD">
              <w:rPr>
                <w:sz w:val="17"/>
                <w:szCs w:val="17"/>
              </w:rPr>
              <w:t>Helps with understanding emission reductions, but does not address market integrity</w:t>
            </w:r>
          </w:p>
        </w:tc>
        <w:tc>
          <w:tcPr>
            <w:tcW w:w="0" w:type="auto"/>
            <w:tcBorders>
              <w:bottom w:val="single" w:sz="4" w:space="0" w:color="1C556C" w:themeColor="accent1"/>
              <w:right w:val="single" w:sz="4" w:space="0" w:color="1C556C" w:themeColor="accent1"/>
            </w:tcBorders>
            <w:shd w:val="clear" w:color="auto" w:fill="87BDBE"/>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050555">
            <w:pPr>
              <w:pStyle w:val="TableText"/>
              <w:spacing w:before="20" w:after="20"/>
              <w:jc w:val="center"/>
              <w:rPr>
                <w:sz w:val="17"/>
                <w:szCs w:val="17"/>
              </w:rPr>
            </w:pPr>
            <w:r w:rsidRPr="00F53BDD">
              <w:rPr>
                <w:sz w:val="17"/>
                <w:szCs w:val="17"/>
              </w:rPr>
              <w:t>Helps traders and the regulator better understand market sentiment and trader</w:t>
            </w:r>
            <w:r w:rsidR="00877E61" w:rsidRPr="00F53BDD">
              <w:rPr>
                <w:sz w:val="17"/>
                <w:szCs w:val="17"/>
              </w:rPr>
              <w:t>s’</w:t>
            </w:r>
            <w:r w:rsidRPr="00F53BDD">
              <w:rPr>
                <w:sz w:val="17"/>
                <w:szCs w:val="17"/>
              </w:rPr>
              <w:t xml:space="preserve"> NZU holdings and behaviour</w:t>
            </w:r>
          </w:p>
        </w:tc>
        <w:tc>
          <w:tcPr>
            <w:tcW w:w="0" w:type="auto"/>
            <w:tcBorders>
              <w:left w:val="single" w:sz="4" w:space="0" w:color="1C556C" w:themeColor="accent1"/>
              <w:bottom w:val="single" w:sz="4" w:space="0" w:color="1C556C" w:themeColor="accent1"/>
            </w:tcBorders>
            <w:shd w:val="clear" w:color="auto" w:fill="57A3A4"/>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050555">
            <w:pPr>
              <w:pStyle w:val="TableText"/>
              <w:spacing w:before="20" w:after="20"/>
              <w:jc w:val="center"/>
              <w:rPr>
                <w:sz w:val="17"/>
                <w:szCs w:val="17"/>
              </w:rPr>
            </w:pPr>
            <w:r w:rsidRPr="00F53BDD">
              <w:rPr>
                <w:sz w:val="17"/>
                <w:szCs w:val="17"/>
              </w:rPr>
              <w:t xml:space="preserve">A regulated platform </w:t>
            </w:r>
            <w:r w:rsidR="003B3DAD" w:rsidRPr="00F53BDD">
              <w:rPr>
                <w:sz w:val="17"/>
                <w:szCs w:val="17"/>
              </w:rPr>
              <w:t>can</w:t>
            </w:r>
            <w:r w:rsidRPr="00F53BDD">
              <w:rPr>
                <w:sz w:val="17"/>
                <w:szCs w:val="17"/>
              </w:rPr>
              <w:t xml:space="preserve"> detect misconduct and report on trades</w:t>
            </w:r>
          </w:p>
        </w:tc>
      </w:tr>
      <w:tr w:rsidR="00877E61" w:rsidRPr="00F53BDD" w:rsidTr="00EB5C26">
        <w:tc>
          <w:tcPr>
            <w:tcW w:w="0" w:type="auto"/>
          </w:tcPr>
          <w:p w:rsidR="00A37B38" w:rsidRPr="00F53BDD" w:rsidRDefault="00A37B38" w:rsidP="00050555">
            <w:pPr>
              <w:pStyle w:val="TableTextbold"/>
              <w:spacing w:before="20" w:after="20"/>
              <w:rPr>
                <w:sz w:val="17"/>
                <w:szCs w:val="17"/>
              </w:rPr>
            </w:pPr>
            <w:r w:rsidRPr="00F53BDD">
              <w:rPr>
                <w:sz w:val="17"/>
                <w:szCs w:val="17"/>
              </w:rPr>
              <w:t>Minimal complexity and administrative cost</w:t>
            </w:r>
          </w:p>
        </w:tc>
        <w:tc>
          <w:tcPr>
            <w:tcW w:w="0" w:type="auto"/>
            <w:tcBorders>
              <w:bottom w:val="single" w:sz="4" w:space="0" w:color="1C556C" w:themeColor="accent1"/>
            </w:tcBorders>
            <w:shd w:val="clear" w:color="auto" w:fill="CFE5E5"/>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B359CB">
            <w:pPr>
              <w:pStyle w:val="TableText"/>
              <w:spacing w:before="0"/>
              <w:jc w:val="center"/>
              <w:rPr>
                <w:sz w:val="17"/>
                <w:szCs w:val="17"/>
              </w:rPr>
            </w:pPr>
            <w:r w:rsidRPr="00F53BDD">
              <w:rPr>
                <w:sz w:val="17"/>
                <w:szCs w:val="17"/>
              </w:rPr>
              <w:t>Least administrative cost and complexity for sophisticated traders</w:t>
            </w:r>
          </w:p>
        </w:tc>
        <w:tc>
          <w:tcPr>
            <w:tcW w:w="0" w:type="auto"/>
            <w:shd w:val="clear" w:color="auto" w:fill="CFE5E5"/>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050555">
            <w:pPr>
              <w:pStyle w:val="TableText"/>
              <w:spacing w:before="20" w:after="20"/>
              <w:jc w:val="center"/>
              <w:rPr>
                <w:sz w:val="17"/>
                <w:szCs w:val="17"/>
              </w:rPr>
            </w:pPr>
            <w:r w:rsidRPr="00F53BDD">
              <w:rPr>
                <w:sz w:val="17"/>
                <w:szCs w:val="17"/>
              </w:rPr>
              <w:t>Applied on a voluntary basis, but may be complex for some traders</w:t>
            </w:r>
          </w:p>
        </w:tc>
        <w:tc>
          <w:tcPr>
            <w:tcW w:w="0" w:type="auto"/>
            <w:shd w:val="clear" w:color="auto" w:fill="CFE5E5"/>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050555">
            <w:pPr>
              <w:pStyle w:val="TableText"/>
              <w:spacing w:before="20" w:after="20"/>
              <w:jc w:val="center"/>
              <w:rPr>
                <w:sz w:val="17"/>
                <w:szCs w:val="17"/>
              </w:rPr>
            </w:pPr>
            <w:r w:rsidRPr="00F53BDD">
              <w:rPr>
                <w:sz w:val="17"/>
                <w:szCs w:val="17"/>
              </w:rPr>
              <w:t>Low complexity and administrative cost</w:t>
            </w:r>
            <w:r w:rsidR="00812092" w:rsidRPr="00F53BDD">
              <w:rPr>
                <w:sz w:val="17"/>
                <w:szCs w:val="17"/>
              </w:rPr>
              <w:t>;</w:t>
            </w:r>
            <w:r w:rsidRPr="00F53BDD">
              <w:rPr>
                <w:sz w:val="17"/>
                <w:szCs w:val="17"/>
              </w:rPr>
              <w:t xml:space="preserve"> </w:t>
            </w:r>
            <w:r w:rsidR="00812092" w:rsidRPr="00F53BDD">
              <w:rPr>
                <w:sz w:val="17"/>
                <w:szCs w:val="17"/>
              </w:rPr>
              <w:t>c</w:t>
            </w:r>
            <w:r w:rsidRPr="00F53BDD">
              <w:rPr>
                <w:sz w:val="17"/>
                <w:szCs w:val="17"/>
              </w:rPr>
              <w:t>an be automated</w:t>
            </w:r>
          </w:p>
        </w:tc>
        <w:tc>
          <w:tcPr>
            <w:tcW w:w="0" w:type="auto"/>
            <w:tcBorders>
              <w:bottom w:val="single" w:sz="4" w:space="0" w:color="1C556C" w:themeColor="accent1"/>
            </w:tcBorders>
            <w:shd w:val="clear" w:color="auto" w:fill="87BDBE"/>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050555">
            <w:pPr>
              <w:pStyle w:val="TableText"/>
              <w:spacing w:before="20" w:after="20"/>
              <w:jc w:val="center"/>
              <w:rPr>
                <w:sz w:val="17"/>
                <w:szCs w:val="17"/>
              </w:rPr>
            </w:pPr>
            <w:r w:rsidRPr="00F53BDD">
              <w:rPr>
                <w:sz w:val="17"/>
                <w:szCs w:val="17"/>
              </w:rPr>
              <w:t>Some risk protection for small traders</w:t>
            </w:r>
          </w:p>
        </w:tc>
      </w:tr>
      <w:tr w:rsidR="00877E61" w:rsidRPr="00F53BDD" w:rsidTr="00EB5C26">
        <w:tc>
          <w:tcPr>
            <w:tcW w:w="0" w:type="auto"/>
          </w:tcPr>
          <w:p w:rsidR="00A37B38" w:rsidRPr="00F53BDD" w:rsidRDefault="00A37B38" w:rsidP="00050555">
            <w:pPr>
              <w:pStyle w:val="TableTextbold"/>
              <w:spacing w:before="20" w:after="20"/>
              <w:rPr>
                <w:sz w:val="17"/>
                <w:szCs w:val="17"/>
              </w:rPr>
            </w:pPr>
            <w:r w:rsidRPr="00F53BDD">
              <w:rPr>
                <w:sz w:val="17"/>
                <w:szCs w:val="17"/>
              </w:rPr>
              <w:t>Consistency and proportionality</w:t>
            </w:r>
          </w:p>
        </w:tc>
        <w:tc>
          <w:tcPr>
            <w:tcW w:w="0" w:type="auto"/>
            <w:tcBorders>
              <w:bottom w:val="single" w:sz="4" w:space="0" w:color="1C556C" w:themeColor="accent1"/>
            </w:tcBorders>
            <w:shd w:val="clear" w:color="auto" w:fill="EDB097"/>
          </w:tcPr>
          <w:p w:rsidR="00A37B38" w:rsidRPr="00F53BDD" w:rsidRDefault="00592D37" w:rsidP="00050555">
            <w:pPr>
              <w:pStyle w:val="TableText"/>
              <w:spacing w:before="20" w:after="20"/>
              <w:jc w:val="center"/>
              <w:rPr>
                <w:sz w:val="17"/>
                <w:szCs w:val="17"/>
              </w:rPr>
            </w:pPr>
            <w:r w:rsidRPr="00F53BDD">
              <w:rPr>
                <w:sz w:val="17"/>
                <w:szCs w:val="17"/>
              </w:rPr>
              <w:t>x</w:t>
            </w:r>
          </w:p>
          <w:p w:rsidR="00A37B38" w:rsidRPr="00F53BDD" w:rsidRDefault="00A37B38" w:rsidP="00050555">
            <w:pPr>
              <w:pStyle w:val="TableText"/>
              <w:spacing w:before="20" w:after="20"/>
              <w:jc w:val="center"/>
              <w:rPr>
                <w:sz w:val="17"/>
                <w:szCs w:val="17"/>
              </w:rPr>
            </w:pPr>
            <w:r w:rsidRPr="00F53BDD">
              <w:rPr>
                <w:sz w:val="17"/>
                <w:szCs w:val="17"/>
              </w:rPr>
              <w:t xml:space="preserve">Most markets have some form </w:t>
            </w:r>
            <w:r w:rsidR="00653C25" w:rsidRPr="00F53BDD">
              <w:rPr>
                <w:sz w:val="17"/>
                <w:szCs w:val="17"/>
              </w:rPr>
              <w:t xml:space="preserve">of </w:t>
            </w:r>
            <w:r w:rsidRPr="00F53BDD">
              <w:rPr>
                <w:sz w:val="17"/>
                <w:szCs w:val="17"/>
              </w:rPr>
              <w:t>trading oversight</w:t>
            </w:r>
          </w:p>
        </w:tc>
        <w:tc>
          <w:tcPr>
            <w:tcW w:w="0" w:type="auto"/>
            <w:shd w:val="clear" w:color="auto" w:fill="CFE5E5"/>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050555">
            <w:pPr>
              <w:pStyle w:val="TableText"/>
              <w:spacing w:before="20" w:after="20"/>
              <w:jc w:val="center"/>
              <w:rPr>
                <w:sz w:val="17"/>
                <w:szCs w:val="17"/>
              </w:rPr>
            </w:pPr>
            <w:r w:rsidRPr="00F53BDD">
              <w:rPr>
                <w:sz w:val="17"/>
                <w:szCs w:val="17"/>
              </w:rPr>
              <w:t xml:space="preserve">Transaction reporting occurs in other markets, but may not be </w:t>
            </w:r>
            <w:r w:rsidR="00653C25" w:rsidRPr="00F53BDD">
              <w:rPr>
                <w:sz w:val="17"/>
                <w:szCs w:val="17"/>
              </w:rPr>
              <w:t>enough</w:t>
            </w:r>
            <w:r w:rsidRPr="00F53BDD">
              <w:rPr>
                <w:sz w:val="17"/>
                <w:szCs w:val="17"/>
              </w:rPr>
              <w:t xml:space="preserve"> to detect misconduct</w:t>
            </w:r>
          </w:p>
        </w:tc>
        <w:tc>
          <w:tcPr>
            <w:tcW w:w="0" w:type="auto"/>
            <w:tcBorders>
              <w:bottom w:val="single" w:sz="4" w:space="0" w:color="1C556C" w:themeColor="accent1"/>
            </w:tcBorders>
            <w:shd w:val="clear" w:color="auto" w:fill="CFE5E5"/>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050555">
            <w:pPr>
              <w:pStyle w:val="TableText"/>
              <w:spacing w:before="20" w:after="20"/>
              <w:jc w:val="center"/>
              <w:rPr>
                <w:sz w:val="17"/>
                <w:szCs w:val="17"/>
              </w:rPr>
            </w:pPr>
            <w:r w:rsidRPr="00F53BDD">
              <w:rPr>
                <w:sz w:val="17"/>
                <w:szCs w:val="17"/>
              </w:rPr>
              <w:t>Position reporting can occur in other markets</w:t>
            </w:r>
          </w:p>
        </w:tc>
        <w:tc>
          <w:tcPr>
            <w:tcW w:w="0" w:type="auto"/>
            <w:tcBorders>
              <w:bottom w:val="single" w:sz="4" w:space="0" w:color="1C556C" w:themeColor="accent1"/>
            </w:tcBorders>
            <w:shd w:val="clear" w:color="auto" w:fill="87BDBE"/>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B359CB">
            <w:pPr>
              <w:pStyle w:val="TableText"/>
              <w:spacing w:before="0"/>
              <w:jc w:val="center"/>
              <w:rPr>
                <w:sz w:val="17"/>
                <w:szCs w:val="17"/>
              </w:rPr>
            </w:pPr>
            <w:r w:rsidRPr="00F53BDD">
              <w:rPr>
                <w:sz w:val="17"/>
                <w:szCs w:val="17"/>
              </w:rPr>
              <w:t xml:space="preserve">Exchange-based trading is common practice in financial </w:t>
            </w:r>
            <w:r w:rsidR="003B3DAD" w:rsidRPr="00F53BDD">
              <w:rPr>
                <w:sz w:val="17"/>
                <w:szCs w:val="17"/>
              </w:rPr>
              <w:t>markets and</w:t>
            </w:r>
            <w:r w:rsidRPr="00F53BDD">
              <w:rPr>
                <w:sz w:val="17"/>
                <w:szCs w:val="17"/>
              </w:rPr>
              <w:t xml:space="preserve"> helps expose any misconduct through trade reporting</w:t>
            </w:r>
          </w:p>
        </w:tc>
      </w:tr>
      <w:tr w:rsidR="00877E61" w:rsidRPr="00F53BDD" w:rsidTr="00EB5C26">
        <w:tc>
          <w:tcPr>
            <w:tcW w:w="0" w:type="auto"/>
          </w:tcPr>
          <w:p w:rsidR="00A37B38" w:rsidRPr="00F53BDD" w:rsidRDefault="00A37B38" w:rsidP="00050555">
            <w:pPr>
              <w:pStyle w:val="TableTextbold"/>
              <w:spacing w:before="20" w:after="20"/>
              <w:rPr>
                <w:sz w:val="17"/>
                <w:szCs w:val="17"/>
              </w:rPr>
            </w:pPr>
            <w:r w:rsidRPr="00F53BDD">
              <w:rPr>
                <w:sz w:val="17"/>
                <w:szCs w:val="17"/>
              </w:rPr>
              <w:t>Clarity and transparency</w:t>
            </w:r>
          </w:p>
        </w:tc>
        <w:tc>
          <w:tcPr>
            <w:tcW w:w="0" w:type="auto"/>
            <w:tcBorders>
              <w:bottom w:val="single" w:sz="4" w:space="0" w:color="1C556C" w:themeColor="accent1"/>
            </w:tcBorders>
            <w:shd w:val="clear" w:color="auto" w:fill="EDB097"/>
          </w:tcPr>
          <w:p w:rsidR="00A37B38" w:rsidRPr="00F53BDD" w:rsidRDefault="00592D37" w:rsidP="00050555">
            <w:pPr>
              <w:pStyle w:val="TableText"/>
              <w:spacing w:before="20" w:after="20"/>
              <w:jc w:val="center"/>
              <w:rPr>
                <w:sz w:val="17"/>
                <w:szCs w:val="17"/>
              </w:rPr>
            </w:pPr>
            <w:r w:rsidRPr="00F53BDD">
              <w:rPr>
                <w:sz w:val="17"/>
                <w:szCs w:val="17"/>
              </w:rPr>
              <w:t>x</w:t>
            </w:r>
          </w:p>
          <w:p w:rsidR="00A37B38" w:rsidRPr="00F53BDD" w:rsidRDefault="00877E61" w:rsidP="00B359CB">
            <w:pPr>
              <w:pStyle w:val="TableText"/>
              <w:spacing w:before="0"/>
              <w:jc w:val="center"/>
              <w:rPr>
                <w:sz w:val="17"/>
                <w:szCs w:val="17"/>
              </w:rPr>
            </w:pPr>
            <w:r w:rsidRPr="00F53BDD">
              <w:rPr>
                <w:sz w:val="17"/>
                <w:szCs w:val="17"/>
              </w:rPr>
              <w:t>Over</w:t>
            </w:r>
            <w:r w:rsidR="004735DD">
              <w:rPr>
                <w:sz w:val="17"/>
                <w:szCs w:val="17"/>
              </w:rPr>
              <w:t xml:space="preserve"> </w:t>
            </w:r>
            <w:r w:rsidRPr="00F53BDD">
              <w:rPr>
                <w:sz w:val="17"/>
                <w:szCs w:val="17"/>
              </w:rPr>
              <w:t>the</w:t>
            </w:r>
            <w:r w:rsidR="004735DD">
              <w:rPr>
                <w:sz w:val="17"/>
                <w:szCs w:val="17"/>
              </w:rPr>
              <w:t xml:space="preserve"> </w:t>
            </w:r>
            <w:r w:rsidRPr="00F53BDD">
              <w:rPr>
                <w:sz w:val="17"/>
                <w:szCs w:val="17"/>
              </w:rPr>
              <w:t>counter</w:t>
            </w:r>
            <w:r w:rsidR="00A37B38" w:rsidRPr="00F53BDD">
              <w:rPr>
                <w:sz w:val="17"/>
                <w:szCs w:val="17"/>
              </w:rPr>
              <w:t xml:space="preserve"> trades provide little transparency</w:t>
            </w:r>
          </w:p>
        </w:tc>
        <w:tc>
          <w:tcPr>
            <w:tcW w:w="0" w:type="auto"/>
            <w:tcBorders>
              <w:bottom w:val="single" w:sz="4" w:space="0" w:color="1C556C" w:themeColor="accent1"/>
            </w:tcBorders>
            <w:shd w:val="clear" w:color="auto" w:fill="CFE5E5"/>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653C25" w:rsidP="00050555">
            <w:pPr>
              <w:pStyle w:val="TableText"/>
              <w:spacing w:before="20" w:after="20"/>
              <w:jc w:val="center"/>
              <w:rPr>
                <w:sz w:val="17"/>
                <w:szCs w:val="17"/>
              </w:rPr>
            </w:pPr>
            <w:r w:rsidRPr="00F53BDD">
              <w:rPr>
                <w:sz w:val="17"/>
                <w:szCs w:val="17"/>
              </w:rPr>
              <w:t xml:space="preserve">Gives </w:t>
            </w:r>
            <w:r w:rsidR="00A37B38" w:rsidRPr="00F53BDD">
              <w:rPr>
                <w:sz w:val="17"/>
                <w:szCs w:val="17"/>
              </w:rPr>
              <w:t>some insight into trades, but is unlikely to detect misconduct</w:t>
            </w:r>
          </w:p>
        </w:tc>
        <w:tc>
          <w:tcPr>
            <w:tcW w:w="0" w:type="auto"/>
            <w:tcBorders>
              <w:bottom w:val="single" w:sz="4" w:space="0" w:color="1C556C" w:themeColor="accent1"/>
              <w:right w:val="single" w:sz="4" w:space="0" w:color="1C556C" w:themeColor="accent1"/>
            </w:tcBorders>
            <w:shd w:val="clear" w:color="auto" w:fill="87BDBE"/>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050555">
            <w:pPr>
              <w:pStyle w:val="TableText"/>
              <w:spacing w:before="20" w:after="20"/>
              <w:jc w:val="center"/>
              <w:rPr>
                <w:sz w:val="17"/>
                <w:szCs w:val="17"/>
              </w:rPr>
            </w:pPr>
            <w:r w:rsidRPr="00F53BDD">
              <w:rPr>
                <w:sz w:val="17"/>
                <w:szCs w:val="17"/>
              </w:rPr>
              <w:t>Provides the regulator with more transparency of trades</w:t>
            </w:r>
          </w:p>
        </w:tc>
        <w:tc>
          <w:tcPr>
            <w:tcW w:w="0" w:type="auto"/>
            <w:tcBorders>
              <w:left w:val="single" w:sz="4" w:space="0" w:color="1C556C" w:themeColor="accent1"/>
              <w:bottom w:val="single" w:sz="4" w:space="0" w:color="1C556C" w:themeColor="accent1"/>
            </w:tcBorders>
            <w:shd w:val="clear" w:color="auto" w:fill="57A3A4"/>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050555">
            <w:pPr>
              <w:pStyle w:val="TableText"/>
              <w:spacing w:before="20" w:after="20"/>
              <w:jc w:val="center"/>
              <w:rPr>
                <w:sz w:val="17"/>
                <w:szCs w:val="17"/>
              </w:rPr>
            </w:pPr>
            <w:r w:rsidRPr="00F53BDD">
              <w:rPr>
                <w:sz w:val="17"/>
                <w:szCs w:val="17"/>
              </w:rPr>
              <w:t xml:space="preserve">Exchanges can produce reports and charts </w:t>
            </w:r>
            <w:r w:rsidR="00653C25" w:rsidRPr="00F53BDD">
              <w:rPr>
                <w:sz w:val="17"/>
                <w:szCs w:val="17"/>
              </w:rPr>
              <w:t xml:space="preserve">that </w:t>
            </w:r>
            <w:r w:rsidRPr="00F53BDD">
              <w:rPr>
                <w:sz w:val="17"/>
                <w:szCs w:val="17"/>
              </w:rPr>
              <w:t>improve transparency for the public</w:t>
            </w:r>
          </w:p>
        </w:tc>
      </w:tr>
      <w:tr w:rsidR="00877E61" w:rsidRPr="00F53BDD" w:rsidTr="00EB5C26">
        <w:tc>
          <w:tcPr>
            <w:tcW w:w="0" w:type="auto"/>
          </w:tcPr>
          <w:p w:rsidR="00A37B38" w:rsidRPr="00F53BDD" w:rsidRDefault="00A37B38" w:rsidP="00050555">
            <w:pPr>
              <w:pStyle w:val="TableTextbold"/>
              <w:spacing w:before="20" w:after="20"/>
              <w:rPr>
                <w:sz w:val="17"/>
                <w:szCs w:val="17"/>
              </w:rPr>
            </w:pPr>
            <w:r w:rsidRPr="00F53BDD">
              <w:rPr>
                <w:sz w:val="17"/>
                <w:szCs w:val="17"/>
              </w:rPr>
              <w:t>Market efficiency</w:t>
            </w:r>
          </w:p>
        </w:tc>
        <w:tc>
          <w:tcPr>
            <w:tcW w:w="0" w:type="auto"/>
            <w:shd w:val="clear" w:color="auto" w:fill="EDB097"/>
          </w:tcPr>
          <w:p w:rsidR="00A37B38" w:rsidRPr="00F53BDD" w:rsidRDefault="00592D37" w:rsidP="00050555">
            <w:pPr>
              <w:pStyle w:val="TableText"/>
              <w:spacing w:before="20" w:after="20"/>
              <w:jc w:val="center"/>
              <w:rPr>
                <w:sz w:val="17"/>
                <w:szCs w:val="17"/>
              </w:rPr>
            </w:pPr>
            <w:r w:rsidRPr="00F53BDD">
              <w:rPr>
                <w:sz w:val="17"/>
                <w:szCs w:val="17"/>
              </w:rPr>
              <w:t>x</w:t>
            </w:r>
          </w:p>
          <w:p w:rsidR="00A37B38" w:rsidRPr="00F53BDD" w:rsidRDefault="00A37B38" w:rsidP="00B359CB">
            <w:pPr>
              <w:pStyle w:val="TableText"/>
              <w:spacing w:before="0"/>
              <w:jc w:val="center"/>
              <w:rPr>
                <w:sz w:val="17"/>
                <w:szCs w:val="17"/>
              </w:rPr>
            </w:pPr>
            <w:r w:rsidRPr="00F53BDD">
              <w:rPr>
                <w:sz w:val="17"/>
                <w:szCs w:val="17"/>
              </w:rPr>
              <w:t>O</w:t>
            </w:r>
            <w:r w:rsidR="00877E61" w:rsidRPr="00F53BDD">
              <w:rPr>
                <w:sz w:val="17"/>
                <w:szCs w:val="17"/>
              </w:rPr>
              <w:t>ver</w:t>
            </w:r>
            <w:r w:rsidR="004735DD">
              <w:rPr>
                <w:sz w:val="17"/>
                <w:szCs w:val="17"/>
              </w:rPr>
              <w:t xml:space="preserve"> </w:t>
            </w:r>
            <w:r w:rsidR="00877E61" w:rsidRPr="00F53BDD">
              <w:rPr>
                <w:sz w:val="17"/>
                <w:szCs w:val="17"/>
              </w:rPr>
              <w:t>the</w:t>
            </w:r>
            <w:r w:rsidR="004735DD">
              <w:rPr>
                <w:sz w:val="17"/>
                <w:szCs w:val="17"/>
              </w:rPr>
              <w:t xml:space="preserve"> </w:t>
            </w:r>
            <w:r w:rsidR="00877E61" w:rsidRPr="00F53BDD">
              <w:rPr>
                <w:sz w:val="17"/>
                <w:szCs w:val="17"/>
              </w:rPr>
              <w:t>counter</w:t>
            </w:r>
            <w:r w:rsidRPr="00F53BDD">
              <w:rPr>
                <w:sz w:val="17"/>
                <w:szCs w:val="17"/>
              </w:rPr>
              <w:t xml:space="preserve"> trades do not help with price discovery because the information is </w:t>
            </w:r>
            <w:r w:rsidR="003B3DAD" w:rsidRPr="00F53BDD">
              <w:rPr>
                <w:sz w:val="17"/>
                <w:szCs w:val="17"/>
              </w:rPr>
              <w:t>private</w:t>
            </w:r>
          </w:p>
        </w:tc>
        <w:tc>
          <w:tcPr>
            <w:tcW w:w="0" w:type="auto"/>
            <w:shd w:val="clear" w:color="auto" w:fill="EDB097"/>
          </w:tcPr>
          <w:p w:rsidR="00A37B38" w:rsidRPr="00F53BDD" w:rsidRDefault="00592D37" w:rsidP="00050555">
            <w:pPr>
              <w:pStyle w:val="TableText"/>
              <w:spacing w:before="20" w:after="20"/>
              <w:jc w:val="center"/>
              <w:rPr>
                <w:sz w:val="17"/>
                <w:szCs w:val="17"/>
              </w:rPr>
            </w:pPr>
            <w:r w:rsidRPr="00F53BDD">
              <w:rPr>
                <w:sz w:val="17"/>
                <w:szCs w:val="17"/>
              </w:rPr>
              <w:t>x</w:t>
            </w:r>
          </w:p>
          <w:p w:rsidR="00A37B38" w:rsidRPr="00F53BDD" w:rsidRDefault="00A37B38" w:rsidP="00050555">
            <w:pPr>
              <w:pStyle w:val="TableText"/>
              <w:spacing w:before="20" w:after="20"/>
              <w:jc w:val="center"/>
              <w:rPr>
                <w:sz w:val="17"/>
                <w:szCs w:val="17"/>
              </w:rPr>
            </w:pPr>
            <w:r w:rsidRPr="00F53BDD">
              <w:rPr>
                <w:sz w:val="17"/>
                <w:szCs w:val="17"/>
              </w:rPr>
              <w:t>No verification of trade information, which is important for detecting misconduct</w:t>
            </w:r>
          </w:p>
        </w:tc>
        <w:tc>
          <w:tcPr>
            <w:tcW w:w="0" w:type="auto"/>
            <w:shd w:val="clear" w:color="auto" w:fill="EDB097"/>
          </w:tcPr>
          <w:p w:rsidR="00A37B38" w:rsidRPr="00F53BDD" w:rsidRDefault="00592D37" w:rsidP="00050555">
            <w:pPr>
              <w:pStyle w:val="TableText"/>
              <w:spacing w:before="20" w:after="20"/>
              <w:jc w:val="center"/>
              <w:rPr>
                <w:sz w:val="17"/>
                <w:szCs w:val="17"/>
              </w:rPr>
            </w:pPr>
            <w:r w:rsidRPr="00F53BDD">
              <w:rPr>
                <w:sz w:val="17"/>
                <w:szCs w:val="17"/>
              </w:rPr>
              <w:t>x</w:t>
            </w:r>
          </w:p>
          <w:p w:rsidR="00A37B38" w:rsidRPr="00F53BDD" w:rsidRDefault="00A37B38" w:rsidP="00050555">
            <w:pPr>
              <w:pStyle w:val="TableText"/>
              <w:spacing w:before="20" w:after="20"/>
              <w:jc w:val="center"/>
              <w:rPr>
                <w:sz w:val="17"/>
                <w:szCs w:val="17"/>
              </w:rPr>
            </w:pPr>
            <w:r w:rsidRPr="00F53BDD">
              <w:rPr>
                <w:sz w:val="17"/>
                <w:szCs w:val="17"/>
              </w:rPr>
              <w:t>Does not help with price discovery</w:t>
            </w:r>
            <w:r w:rsidR="00653C25" w:rsidRPr="00F53BDD">
              <w:rPr>
                <w:sz w:val="17"/>
                <w:szCs w:val="17"/>
              </w:rPr>
              <w:t>,</w:t>
            </w:r>
            <w:r w:rsidRPr="00F53BDD">
              <w:rPr>
                <w:sz w:val="17"/>
                <w:szCs w:val="17"/>
              </w:rPr>
              <w:t xml:space="preserve"> because the information is accessed by only the regulator</w:t>
            </w:r>
          </w:p>
        </w:tc>
        <w:tc>
          <w:tcPr>
            <w:tcW w:w="0" w:type="auto"/>
            <w:shd w:val="clear" w:color="auto" w:fill="57A3A4"/>
          </w:tcPr>
          <w:p w:rsidR="00A37B38" w:rsidRPr="00F53BDD" w:rsidRDefault="00A37B38" w:rsidP="00050555">
            <w:pPr>
              <w:pStyle w:val="TableText"/>
              <w:spacing w:before="20" w:after="20"/>
              <w:jc w:val="center"/>
              <w:rPr>
                <w:sz w:val="17"/>
                <w:szCs w:val="17"/>
              </w:rPr>
            </w:pPr>
            <w:r w:rsidRPr="00F53BDD">
              <w:rPr>
                <w:rFonts w:ascii="Segoe UI Symbol" w:hAnsi="Segoe UI Symbol" w:cs="Segoe UI Symbol"/>
                <w:sz w:val="17"/>
                <w:szCs w:val="17"/>
              </w:rPr>
              <w:t>✓✓✓</w:t>
            </w:r>
          </w:p>
          <w:p w:rsidR="00A37B38" w:rsidRPr="00F53BDD" w:rsidRDefault="00A37B38" w:rsidP="00050555">
            <w:pPr>
              <w:pStyle w:val="TableText"/>
              <w:spacing w:before="20" w:after="20"/>
              <w:jc w:val="center"/>
              <w:rPr>
                <w:sz w:val="17"/>
                <w:szCs w:val="17"/>
              </w:rPr>
            </w:pPr>
            <w:r w:rsidRPr="00F53BDD">
              <w:rPr>
                <w:sz w:val="17"/>
                <w:szCs w:val="17"/>
              </w:rPr>
              <w:t xml:space="preserve">Public price and volume trading </w:t>
            </w:r>
            <w:r w:rsidR="00653C25" w:rsidRPr="00F53BDD">
              <w:rPr>
                <w:sz w:val="17"/>
                <w:szCs w:val="17"/>
              </w:rPr>
              <w:t xml:space="preserve">offers </w:t>
            </w:r>
            <w:r w:rsidRPr="00F53BDD">
              <w:rPr>
                <w:sz w:val="17"/>
                <w:szCs w:val="17"/>
              </w:rPr>
              <w:t>the best price discovery</w:t>
            </w:r>
          </w:p>
        </w:tc>
      </w:tr>
      <w:tr w:rsidR="00A37B38" w:rsidRPr="00F53BDD" w:rsidTr="00EB5C26">
        <w:tc>
          <w:tcPr>
            <w:tcW w:w="0" w:type="auto"/>
            <w:gridSpan w:val="5"/>
          </w:tcPr>
          <w:p w:rsidR="00A37B38" w:rsidRPr="00F53BDD" w:rsidRDefault="00A37B38" w:rsidP="00592D37">
            <w:pPr>
              <w:tabs>
                <w:tab w:val="left" w:pos="602"/>
              </w:tabs>
              <w:spacing w:before="0" w:after="60" w:line="240" w:lineRule="atLeast"/>
              <w:contextualSpacing/>
              <w:rPr>
                <w:rFonts w:eastAsia="Times New Roman"/>
                <w:sz w:val="17"/>
                <w:szCs w:val="17"/>
              </w:rPr>
            </w:pPr>
            <w:r w:rsidRPr="00F53BDD">
              <w:rPr>
                <w:rFonts w:ascii="Segoe UI Symbol" w:eastAsia="Times New Roman" w:hAnsi="Segoe UI Symbol" w:cs="Segoe UI Symbol"/>
                <w:sz w:val="17"/>
                <w:szCs w:val="17"/>
                <w:shd w:val="clear" w:color="auto" w:fill="57A3A4"/>
              </w:rPr>
              <w:t>✓✓✓</w:t>
            </w:r>
            <w:r w:rsidR="00592D37" w:rsidRPr="00F53BDD">
              <w:rPr>
                <w:rFonts w:eastAsia="Times New Roman"/>
                <w:sz w:val="17"/>
                <w:szCs w:val="17"/>
              </w:rPr>
              <w:tab/>
            </w:r>
            <w:r w:rsidRPr="00F53BDD">
              <w:rPr>
                <w:rFonts w:eastAsia="Times New Roman"/>
                <w:sz w:val="17"/>
                <w:szCs w:val="17"/>
              </w:rPr>
              <w:t>Strongly meets criteria</w:t>
            </w:r>
          </w:p>
          <w:p w:rsidR="00A37B38" w:rsidRPr="00F53BDD" w:rsidRDefault="00A37B38" w:rsidP="00592D37">
            <w:pPr>
              <w:tabs>
                <w:tab w:val="left" w:pos="602"/>
              </w:tabs>
              <w:spacing w:before="0" w:after="0" w:line="240" w:lineRule="atLeast"/>
              <w:contextualSpacing/>
              <w:rPr>
                <w:rFonts w:eastAsia="Times New Roman"/>
                <w:sz w:val="17"/>
                <w:szCs w:val="17"/>
              </w:rPr>
            </w:pPr>
            <w:r w:rsidRPr="00F53BDD">
              <w:rPr>
                <w:rFonts w:ascii="Segoe UI Symbol" w:eastAsia="Times New Roman" w:hAnsi="Segoe UI Symbol" w:cs="Segoe UI Symbol"/>
                <w:sz w:val="17"/>
                <w:szCs w:val="17"/>
                <w:shd w:val="clear" w:color="auto" w:fill="87BDBE"/>
              </w:rPr>
              <w:t>✓✓</w:t>
            </w:r>
            <w:r w:rsidR="00592D37" w:rsidRPr="00F53BDD">
              <w:rPr>
                <w:rFonts w:eastAsia="Times New Roman"/>
                <w:sz w:val="17"/>
                <w:szCs w:val="17"/>
              </w:rPr>
              <w:tab/>
            </w:r>
            <w:r w:rsidRPr="00F53BDD">
              <w:rPr>
                <w:rFonts w:eastAsia="Times New Roman"/>
                <w:sz w:val="17"/>
                <w:szCs w:val="17"/>
              </w:rPr>
              <w:t>Meets criteria</w:t>
            </w:r>
          </w:p>
          <w:p w:rsidR="001F00AC" w:rsidRPr="00F53BDD" w:rsidRDefault="00A37B38" w:rsidP="00592D37">
            <w:pPr>
              <w:tabs>
                <w:tab w:val="left" w:pos="602"/>
              </w:tabs>
              <w:spacing w:before="0" w:after="0" w:line="240" w:lineRule="atLeast"/>
              <w:contextualSpacing/>
              <w:rPr>
                <w:rFonts w:eastAsia="Times New Roman"/>
                <w:sz w:val="17"/>
                <w:szCs w:val="17"/>
              </w:rPr>
            </w:pPr>
            <w:r w:rsidRPr="00F53BDD">
              <w:rPr>
                <w:rFonts w:ascii="Segoe UI Symbol" w:eastAsia="Times New Roman" w:hAnsi="Segoe UI Symbol" w:cs="Segoe UI Symbol"/>
                <w:sz w:val="17"/>
                <w:szCs w:val="17"/>
                <w:shd w:val="clear" w:color="auto" w:fill="CFE5E5"/>
              </w:rPr>
              <w:t>✓</w:t>
            </w:r>
            <w:r w:rsidR="00592D37" w:rsidRPr="00F53BDD">
              <w:rPr>
                <w:rFonts w:eastAsia="Times New Roman"/>
                <w:sz w:val="17"/>
                <w:szCs w:val="17"/>
              </w:rPr>
              <w:tab/>
            </w:r>
            <w:r w:rsidRPr="00F53BDD">
              <w:rPr>
                <w:rFonts w:eastAsia="Times New Roman"/>
                <w:sz w:val="17"/>
                <w:szCs w:val="17"/>
              </w:rPr>
              <w:t>Partially meets criteria</w:t>
            </w:r>
          </w:p>
          <w:p w:rsidR="00A37B38" w:rsidRPr="00F53BDD" w:rsidRDefault="00592D37" w:rsidP="004735DD">
            <w:pPr>
              <w:pStyle w:val="TableText"/>
              <w:tabs>
                <w:tab w:val="left" w:pos="602"/>
              </w:tabs>
              <w:spacing w:before="0"/>
              <w:contextualSpacing/>
              <w:rPr>
                <w:sz w:val="17"/>
                <w:szCs w:val="17"/>
              </w:rPr>
            </w:pPr>
            <w:r w:rsidRPr="00F53BDD">
              <w:rPr>
                <w:rFonts w:eastAsia="Times New Roman" w:cs="Segoe UI Symbol"/>
                <w:sz w:val="17"/>
                <w:szCs w:val="17"/>
                <w:shd w:val="clear" w:color="auto" w:fill="EDB097"/>
              </w:rPr>
              <w:t>x</w:t>
            </w:r>
            <w:r w:rsidRPr="00F53BDD">
              <w:rPr>
                <w:rFonts w:eastAsia="Times New Roman"/>
                <w:sz w:val="17"/>
                <w:szCs w:val="17"/>
              </w:rPr>
              <w:tab/>
            </w:r>
            <w:r w:rsidR="00A37B38" w:rsidRPr="00F53BDD">
              <w:rPr>
                <w:rFonts w:eastAsia="Times New Roman"/>
                <w:sz w:val="17"/>
                <w:szCs w:val="17"/>
              </w:rPr>
              <w:t>Does not meet criteria</w:t>
            </w:r>
          </w:p>
        </w:tc>
      </w:tr>
    </w:tbl>
    <w:p w:rsidR="00A37B38" w:rsidRPr="00F53BDD" w:rsidRDefault="00A37B38" w:rsidP="00A37B38">
      <w:pPr>
        <w:spacing w:before="0" w:after="200" w:line="276" w:lineRule="auto"/>
        <w:jc w:val="left"/>
      </w:pPr>
      <w:r w:rsidRPr="00F53BDD">
        <w:br w:type="page"/>
      </w:r>
    </w:p>
    <w:p w:rsidR="00A37B38" w:rsidRPr="00F53BDD" w:rsidRDefault="00A37B38" w:rsidP="00EA45A8">
      <w:pPr>
        <w:pStyle w:val="Tableheading"/>
      </w:pPr>
      <w:bookmarkStart w:id="135" w:name="_Toc75250118"/>
      <w:bookmarkStart w:id="136" w:name="_Toc72150044"/>
      <w:r w:rsidRPr="00F53BDD">
        <w:t xml:space="preserve">Table </w:t>
      </w:r>
      <w:r w:rsidR="00616B66" w:rsidRPr="00F53BDD">
        <w:t>1</w:t>
      </w:r>
      <w:r w:rsidR="006218BD">
        <w:t>6</w:t>
      </w:r>
      <w:r w:rsidRPr="00F53BDD">
        <w:t xml:space="preserve">: </w:t>
      </w:r>
      <w:r w:rsidR="00EA45A8" w:rsidRPr="00F53BDD">
        <w:tab/>
      </w:r>
      <w:r w:rsidR="00812092" w:rsidRPr="00F53BDD">
        <w:t xml:space="preserve">Governance of market conduct: </w:t>
      </w:r>
      <w:r w:rsidRPr="00F53BDD">
        <w:t>Impact analysis</w:t>
      </w:r>
      <w:bookmarkEnd w:id="135"/>
      <w:r w:rsidRPr="00F53BDD">
        <w:t xml:space="preserve"> </w:t>
      </w:r>
      <w:bookmarkEnd w:id="136"/>
    </w:p>
    <w:tbl>
      <w:tblPr>
        <w:tblStyle w:val="TableGrid"/>
        <w:tblW w:w="0" w:type="auto"/>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772"/>
        <w:gridCol w:w="2292"/>
        <w:gridCol w:w="2931"/>
        <w:gridCol w:w="3354"/>
        <w:gridCol w:w="3089"/>
      </w:tblGrid>
      <w:tr w:rsidR="0087788A" w:rsidRPr="00F53BDD" w:rsidTr="00552B3A">
        <w:tc>
          <w:tcPr>
            <w:tcW w:w="0" w:type="auto"/>
            <w:shd w:val="clear" w:color="auto" w:fill="1C556C" w:themeFill="accent1"/>
          </w:tcPr>
          <w:p w:rsidR="009A5D60" w:rsidRPr="00F53BDD" w:rsidRDefault="009A5D60" w:rsidP="0087788A">
            <w:pPr>
              <w:pStyle w:val="TableTextbold"/>
              <w:jc w:val="center"/>
              <w:rPr>
                <w:color w:val="FFFFFF" w:themeColor="background1"/>
                <w:sz w:val="17"/>
                <w:szCs w:val="17"/>
              </w:rPr>
            </w:pPr>
          </w:p>
        </w:tc>
        <w:tc>
          <w:tcPr>
            <w:tcW w:w="0" w:type="auto"/>
            <w:tcBorders>
              <w:bottom w:val="single" w:sz="4" w:space="0" w:color="1C556C" w:themeColor="accent1"/>
            </w:tcBorders>
            <w:shd w:val="clear" w:color="auto" w:fill="1C556C" w:themeFill="accent1"/>
          </w:tcPr>
          <w:p w:rsidR="009A5D60" w:rsidRPr="00F53BDD" w:rsidRDefault="009A5D60" w:rsidP="0087788A">
            <w:pPr>
              <w:pStyle w:val="TableTextbold"/>
              <w:jc w:val="center"/>
              <w:rPr>
                <w:color w:val="FFFFFF" w:themeColor="background1"/>
                <w:sz w:val="17"/>
                <w:szCs w:val="17"/>
              </w:rPr>
            </w:pPr>
            <w:r w:rsidRPr="00F53BDD">
              <w:rPr>
                <w:color w:val="FFFFFF" w:themeColor="background1"/>
                <w:sz w:val="17"/>
                <w:szCs w:val="17"/>
              </w:rPr>
              <w:t>C1: Status quo</w:t>
            </w:r>
          </w:p>
        </w:tc>
        <w:tc>
          <w:tcPr>
            <w:tcW w:w="2931" w:type="dxa"/>
            <w:tcBorders>
              <w:bottom w:val="single" w:sz="4" w:space="0" w:color="1C556C" w:themeColor="accent1"/>
            </w:tcBorders>
            <w:shd w:val="clear" w:color="auto" w:fill="1C556C" w:themeFill="accent1"/>
          </w:tcPr>
          <w:p w:rsidR="009A5D60" w:rsidRPr="00F53BDD" w:rsidRDefault="009A5D60" w:rsidP="0087788A">
            <w:pPr>
              <w:pStyle w:val="TableTextbold"/>
              <w:jc w:val="center"/>
              <w:rPr>
                <w:color w:val="FFFFFF" w:themeColor="background1"/>
                <w:sz w:val="17"/>
                <w:szCs w:val="17"/>
              </w:rPr>
            </w:pPr>
            <w:r w:rsidRPr="00F53BDD">
              <w:rPr>
                <w:color w:val="FFFFFF" w:themeColor="background1"/>
                <w:sz w:val="17"/>
                <w:szCs w:val="17"/>
              </w:rPr>
              <w:t>C2: Position and purchase limits</w:t>
            </w:r>
          </w:p>
        </w:tc>
        <w:tc>
          <w:tcPr>
            <w:tcW w:w="3354" w:type="dxa"/>
            <w:tcBorders>
              <w:bottom w:val="single" w:sz="4" w:space="0" w:color="1C556C" w:themeColor="accent1"/>
            </w:tcBorders>
            <w:shd w:val="clear" w:color="auto" w:fill="1C556C" w:themeFill="accent1"/>
          </w:tcPr>
          <w:p w:rsidR="009A5D60" w:rsidRPr="00F53BDD" w:rsidRDefault="009A5D60" w:rsidP="0087788A">
            <w:pPr>
              <w:pStyle w:val="TableTextbold"/>
              <w:jc w:val="center"/>
              <w:rPr>
                <w:color w:val="FFFFFF" w:themeColor="background1"/>
                <w:sz w:val="17"/>
                <w:szCs w:val="17"/>
              </w:rPr>
            </w:pPr>
            <w:r w:rsidRPr="00F53BDD">
              <w:rPr>
                <w:color w:val="FFFFFF" w:themeColor="background1"/>
                <w:sz w:val="17"/>
                <w:szCs w:val="17"/>
              </w:rPr>
              <w:t>C3: Price reporting</w:t>
            </w:r>
          </w:p>
        </w:tc>
        <w:tc>
          <w:tcPr>
            <w:tcW w:w="3089" w:type="dxa"/>
            <w:tcBorders>
              <w:bottom w:val="single" w:sz="4" w:space="0" w:color="1C556C" w:themeColor="accent1"/>
            </w:tcBorders>
            <w:shd w:val="clear" w:color="auto" w:fill="1C556C" w:themeFill="accent1"/>
          </w:tcPr>
          <w:p w:rsidR="009A5D60" w:rsidRPr="00F53BDD" w:rsidRDefault="009A5D60" w:rsidP="0087788A">
            <w:pPr>
              <w:pStyle w:val="TableTextbold"/>
              <w:jc w:val="center"/>
              <w:rPr>
                <w:color w:val="FFFFFF" w:themeColor="background1"/>
                <w:sz w:val="17"/>
                <w:szCs w:val="17"/>
              </w:rPr>
            </w:pPr>
            <w:r w:rsidRPr="00F53BDD">
              <w:rPr>
                <w:color w:val="FFFFFF" w:themeColor="background1"/>
                <w:sz w:val="17"/>
                <w:szCs w:val="17"/>
              </w:rPr>
              <w:t>C4: Full transaction detail reporting</w:t>
            </w:r>
          </w:p>
        </w:tc>
      </w:tr>
      <w:tr w:rsidR="00552B3A" w:rsidRPr="00F53BDD" w:rsidTr="00552B3A">
        <w:tc>
          <w:tcPr>
            <w:tcW w:w="0" w:type="auto"/>
          </w:tcPr>
          <w:p w:rsidR="00A37B38" w:rsidRPr="00F53BDD" w:rsidRDefault="00A37B38" w:rsidP="0087788A">
            <w:pPr>
              <w:pStyle w:val="TableTextbold"/>
              <w:spacing w:before="0" w:after="0"/>
              <w:rPr>
                <w:sz w:val="17"/>
                <w:szCs w:val="17"/>
              </w:rPr>
            </w:pPr>
            <w:r w:rsidRPr="00F53BDD">
              <w:rPr>
                <w:sz w:val="17"/>
                <w:szCs w:val="17"/>
              </w:rPr>
              <w:t>Integrity</w:t>
            </w:r>
          </w:p>
        </w:tc>
        <w:tc>
          <w:tcPr>
            <w:tcW w:w="0" w:type="auto"/>
            <w:tcBorders>
              <w:bottom w:val="single" w:sz="4" w:space="0" w:color="1C556C" w:themeColor="accent1"/>
            </w:tcBorders>
            <w:shd w:val="clear" w:color="auto" w:fill="EDB097"/>
          </w:tcPr>
          <w:p w:rsidR="00A37B38" w:rsidRPr="00F53BDD" w:rsidRDefault="002A0FE2" w:rsidP="0087788A">
            <w:pPr>
              <w:pStyle w:val="TableText"/>
              <w:spacing w:before="0" w:after="0"/>
              <w:jc w:val="center"/>
              <w:rPr>
                <w:sz w:val="17"/>
                <w:szCs w:val="17"/>
              </w:rPr>
            </w:pPr>
            <w:r w:rsidRPr="00F53BDD">
              <w:rPr>
                <w:sz w:val="17"/>
                <w:szCs w:val="17"/>
              </w:rPr>
              <w:t>x</w:t>
            </w:r>
          </w:p>
          <w:p w:rsidR="00A37B38" w:rsidRPr="00F53BDD" w:rsidRDefault="00017016" w:rsidP="0087788A">
            <w:pPr>
              <w:pStyle w:val="TableText"/>
              <w:spacing w:before="0" w:after="0"/>
              <w:jc w:val="center"/>
              <w:rPr>
                <w:sz w:val="17"/>
                <w:szCs w:val="17"/>
              </w:rPr>
            </w:pPr>
            <w:r w:rsidRPr="00F53BDD">
              <w:rPr>
                <w:sz w:val="17"/>
                <w:szCs w:val="17"/>
              </w:rPr>
              <w:t>N</w:t>
            </w:r>
            <w:r w:rsidR="00A37B38" w:rsidRPr="00F53BDD">
              <w:rPr>
                <w:sz w:val="17"/>
                <w:szCs w:val="17"/>
              </w:rPr>
              <w:t>o oversight to prevent misconduct</w:t>
            </w:r>
          </w:p>
        </w:tc>
        <w:tc>
          <w:tcPr>
            <w:tcW w:w="2931" w:type="dxa"/>
            <w:tcBorders>
              <w:bottom w:val="single" w:sz="4" w:space="0" w:color="1C556C" w:themeColor="accent1"/>
            </w:tcBorders>
            <w:shd w:val="clear" w:color="auto" w:fill="87BDBE"/>
          </w:tcPr>
          <w:p w:rsidR="00A37B38" w:rsidRPr="00F53BDD" w:rsidRDefault="00A37B38" w:rsidP="0087788A">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017016" w:rsidP="0087788A">
            <w:pPr>
              <w:pStyle w:val="TableText"/>
              <w:spacing w:before="0" w:after="0"/>
              <w:jc w:val="center"/>
              <w:rPr>
                <w:sz w:val="17"/>
                <w:szCs w:val="17"/>
              </w:rPr>
            </w:pPr>
            <w:r w:rsidRPr="00F53BDD">
              <w:rPr>
                <w:sz w:val="17"/>
                <w:szCs w:val="17"/>
              </w:rPr>
              <w:t>Limits are c</w:t>
            </w:r>
            <w:r w:rsidR="00A37B38" w:rsidRPr="00F53BDD">
              <w:rPr>
                <w:sz w:val="17"/>
                <w:szCs w:val="17"/>
              </w:rPr>
              <w:t>ommon features to prevent market power</w:t>
            </w:r>
          </w:p>
        </w:tc>
        <w:tc>
          <w:tcPr>
            <w:tcW w:w="3354" w:type="dxa"/>
            <w:tcBorders>
              <w:bottom w:val="single" w:sz="4" w:space="0" w:color="1C556C" w:themeColor="accent1"/>
            </w:tcBorders>
            <w:shd w:val="clear" w:color="auto" w:fill="EDB097"/>
          </w:tcPr>
          <w:p w:rsidR="00A37B38" w:rsidRPr="00F53BDD" w:rsidRDefault="002A0FE2" w:rsidP="0087788A">
            <w:pPr>
              <w:pStyle w:val="TableText"/>
              <w:spacing w:before="0" w:after="0"/>
              <w:jc w:val="center"/>
              <w:rPr>
                <w:sz w:val="17"/>
                <w:szCs w:val="17"/>
              </w:rPr>
            </w:pPr>
            <w:r w:rsidRPr="00F53BDD">
              <w:rPr>
                <w:sz w:val="17"/>
                <w:szCs w:val="17"/>
              </w:rPr>
              <w:t>x</w:t>
            </w:r>
          </w:p>
          <w:p w:rsidR="00A37B38" w:rsidRPr="00F53BDD" w:rsidRDefault="00A37B38" w:rsidP="00B359CB">
            <w:pPr>
              <w:pStyle w:val="TableText"/>
              <w:spacing w:before="0"/>
              <w:jc w:val="center"/>
              <w:rPr>
                <w:sz w:val="17"/>
                <w:szCs w:val="17"/>
              </w:rPr>
            </w:pPr>
            <w:r w:rsidRPr="00F53BDD">
              <w:rPr>
                <w:sz w:val="17"/>
                <w:szCs w:val="17"/>
              </w:rPr>
              <w:t>Self-reporting is unlikely to deter traders who are intentionally engaging in misconduct</w:t>
            </w:r>
          </w:p>
        </w:tc>
        <w:tc>
          <w:tcPr>
            <w:tcW w:w="3089" w:type="dxa"/>
            <w:tcBorders>
              <w:bottom w:val="single" w:sz="4" w:space="0" w:color="1C556C" w:themeColor="accent1"/>
            </w:tcBorders>
            <w:shd w:val="clear" w:color="auto" w:fill="EDB097"/>
          </w:tcPr>
          <w:p w:rsidR="00A37B38" w:rsidRPr="00F53BDD" w:rsidRDefault="002A0FE2" w:rsidP="0087788A">
            <w:pPr>
              <w:pStyle w:val="TableText"/>
              <w:spacing w:before="0" w:after="0"/>
              <w:jc w:val="center"/>
              <w:rPr>
                <w:sz w:val="17"/>
                <w:szCs w:val="17"/>
              </w:rPr>
            </w:pPr>
            <w:r w:rsidRPr="00F53BDD">
              <w:rPr>
                <w:sz w:val="17"/>
                <w:szCs w:val="17"/>
              </w:rPr>
              <w:t>x</w:t>
            </w:r>
          </w:p>
          <w:p w:rsidR="00A37B38" w:rsidRPr="00F53BDD" w:rsidRDefault="00A37B38" w:rsidP="0087788A">
            <w:pPr>
              <w:pStyle w:val="TableText"/>
              <w:spacing w:before="0" w:after="0"/>
              <w:jc w:val="center"/>
              <w:rPr>
                <w:sz w:val="17"/>
                <w:szCs w:val="17"/>
              </w:rPr>
            </w:pPr>
            <w:r w:rsidRPr="00F53BDD">
              <w:rPr>
                <w:sz w:val="17"/>
                <w:szCs w:val="17"/>
              </w:rPr>
              <w:t>Self-reporting is unlikely to deter traders who are intentionally engaging in misconduct</w:t>
            </w:r>
          </w:p>
        </w:tc>
      </w:tr>
      <w:tr w:rsidR="00552B3A" w:rsidRPr="00F53BDD" w:rsidTr="00552B3A">
        <w:tc>
          <w:tcPr>
            <w:tcW w:w="0" w:type="auto"/>
          </w:tcPr>
          <w:p w:rsidR="00A37B38" w:rsidRPr="00F53BDD" w:rsidRDefault="00A37B38" w:rsidP="0087788A">
            <w:pPr>
              <w:pStyle w:val="TableTextbold"/>
              <w:spacing w:before="0" w:after="0"/>
              <w:rPr>
                <w:sz w:val="17"/>
                <w:szCs w:val="17"/>
              </w:rPr>
            </w:pPr>
            <w:r w:rsidRPr="00F53BDD">
              <w:rPr>
                <w:sz w:val="17"/>
                <w:szCs w:val="17"/>
              </w:rPr>
              <w:t>Minimal complexity and administrative cost</w:t>
            </w:r>
          </w:p>
        </w:tc>
        <w:tc>
          <w:tcPr>
            <w:tcW w:w="0" w:type="auto"/>
            <w:tcBorders>
              <w:bottom w:val="single" w:sz="4" w:space="0" w:color="1C556C" w:themeColor="accent1"/>
            </w:tcBorders>
            <w:shd w:val="clear" w:color="auto" w:fill="87BDBE"/>
          </w:tcPr>
          <w:p w:rsidR="00A37B38" w:rsidRPr="00F53BDD" w:rsidRDefault="00A37B38" w:rsidP="0087788A">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87788A">
            <w:pPr>
              <w:pStyle w:val="TableText"/>
              <w:spacing w:before="0" w:after="0"/>
              <w:jc w:val="center"/>
              <w:rPr>
                <w:sz w:val="17"/>
                <w:szCs w:val="17"/>
              </w:rPr>
            </w:pPr>
            <w:r w:rsidRPr="00F53BDD">
              <w:rPr>
                <w:sz w:val="17"/>
                <w:szCs w:val="17"/>
              </w:rPr>
              <w:t>Low cost to operate, but does not consider complexity and cost for small participants</w:t>
            </w:r>
          </w:p>
        </w:tc>
        <w:tc>
          <w:tcPr>
            <w:tcW w:w="2931" w:type="dxa"/>
            <w:tcBorders>
              <w:bottom w:val="single" w:sz="4" w:space="0" w:color="1C556C" w:themeColor="accent1"/>
            </w:tcBorders>
            <w:shd w:val="clear" w:color="auto" w:fill="87BDBE"/>
          </w:tcPr>
          <w:p w:rsidR="00A37B38" w:rsidRPr="00F53BDD" w:rsidRDefault="00A37B38" w:rsidP="0087788A">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017016" w:rsidP="0087788A">
            <w:pPr>
              <w:pStyle w:val="TableText"/>
              <w:spacing w:before="0" w:after="0"/>
              <w:jc w:val="center"/>
              <w:rPr>
                <w:sz w:val="17"/>
                <w:szCs w:val="17"/>
              </w:rPr>
            </w:pPr>
            <w:r w:rsidRPr="00F53BDD">
              <w:rPr>
                <w:sz w:val="17"/>
                <w:szCs w:val="17"/>
              </w:rPr>
              <w:t>L</w:t>
            </w:r>
            <w:r w:rsidR="00A37B38" w:rsidRPr="00F53BDD">
              <w:rPr>
                <w:sz w:val="17"/>
                <w:szCs w:val="17"/>
              </w:rPr>
              <w:t xml:space="preserve">imits can be </w:t>
            </w:r>
            <w:r w:rsidRPr="00F53BDD">
              <w:rPr>
                <w:sz w:val="17"/>
                <w:szCs w:val="17"/>
              </w:rPr>
              <w:t xml:space="preserve">set </w:t>
            </w:r>
            <w:r w:rsidR="00A37B38" w:rsidRPr="00F53BDD">
              <w:rPr>
                <w:sz w:val="17"/>
                <w:szCs w:val="17"/>
              </w:rPr>
              <w:t>via the NZ ETR</w:t>
            </w:r>
          </w:p>
        </w:tc>
        <w:tc>
          <w:tcPr>
            <w:tcW w:w="3354" w:type="dxa"/>
            <w:tcBorders>
              <w:bottom w:val="single" w:sz="4" w:space="0" w:color="1C556C" w:themeColor="accent1"/>
            </w:tcBorders>
            <w:shd w:val="clear" w:color="auto" w:fill="87BDBE"/>
          </w:tcPr>
          <w:p w:rsidR="00A37B38" w:rsidRPr="00F53BDD" w:rsidRDefault="00A37B38" w:rsidP="0087788A">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B359CB">
            <w:pPr>
              <w:pStyle w:val="TableText"/>
              <w:spacing w:before="0"/>
              <w:jc w:val="center"/>
              <w:rPr>
                <w:sz w:val="17"/>
                <w:szCs w:val="17"/>
              </w:rPr>
            </w:pPr>
            <w:r w:rsidRPr="00F53BDD">
              <w:rPr>
                <w:sz w:val="17"/>
                <w:szCs w:val="17"/>
              </w:rPr>
              <w:t>Easy to implement because this option involves adding a ‘price’ field to an existing NZ</w:t>
            </w:r>
            <w:r w:rsidR="00552B3A" w:rsidRPr="00F53BDD">
              <w:rPr>
                <w:sz w:val="17"/>
                <w:szCs w:val="17"/>
              </w:rPr>
              <w:t> </w:t>
            </w:r>
            <w:r w:rsidRPr="00F53BDD">
              <w:rPr>
                <w:sz w:val="17"/>
                <w:szCs w:val="17"/>
              </w:rPr>
              <w:t>ETR report</w:t>
            </w:r>
          </w:p>
        </w:tc>
        <w:tc>
          <w:tcPr>
            <w:tcW w:w="3089" w:type="dxa"/>
            <w:shd w:val="clear" w:color="auto" w:fill="EDB097"/>
          </w:tcPr>
          <w:p w:rsidR="00A37B38" w:rsidRPr="00F53BDD" w:rsidRDefault="002A0FE2" w:rsidP="0087788A">
            <w:pPr>
              <w:pStyle w:val="TableText"/>
              <w:spacing w:before="0" w:after="0"/>
              <w:jc w:val="center"/>
              <w:rPr>
                <w:sz w:val="17"/>
                <w:szCs w:val="17"/>
              </w:rPr>
            </w:pPr>
            <w:r w:rsidRPr="00F53BDD">
              <w:rPr>
                <w:sz w:val="17"/>
                <w:szCs w:val="17"/>
              </w:rPr>
              <w:t>x</w:t>
            </w:r>
          </w:p>
          <w:p w:rsidR="00A37B38" w:rsidRPr="00F53BDD" w:rsidRDefault="00A37B38" w:rsidP="0087788A">
            <w:pPr>
              <w:pStyle w:val="TableText"/>
              <w:spacing w:before="0" w:after="0"/>
              <w:jc w:val="center"/>
              <w:rPr>
                <w:sz w:val="17"/>
                <w:szCs w:val="17"/>
              </w:rPr>
            </w:pPr>
            <w:r w:rsidRPr="00F53BDD">
              <w:rPr>
                <w:sz w:val="17"/>
                <w:szCs w:val="17"/>
              </w:rPr>
              <w:t xml:space="preserve">Requires reporting on several fields and is likely to be </w:t>
            </w:r>
            <w:r w:rsidR="00044F74" w:rsidRPr="00F53BDD">
              <w:rPr>
                <w:sz w:val="17"/>
                <w:szCs w:val="17"/>
              </w:rPr>
              <w:t xml:space="preserve">too </w:t>
            </w:r>
            <w:r w:rsidRPr="00F53BDD">
              <w:rPr>
                <w:sz w:val="17"/>
                <w:szCs w:val="17"/>
              </w:rPr>
              <w:t xml:space="preserve">burdensome </w:t>
            </w:r>
            <w:r w:rsidR="00017016" w:rsidRPr="00F53BDD">
              <w:rPr>
                <w:sz w:val="17"/>
                <w:szCs w:val="17"/>
              </w:rPr>
              <w:t xml:space="preserve">for </w:t>
            </w:r>
            <w:r w:rsidRPr="00F53BDD">
              <w:rPr>
                <w:sz w:val="17"/>
                <w:szCs w:val="17"/>
              </w:rPr>
              <w:t>traders</w:t>
            </w:r>
          </w:p>
        </w:tc>
      </w:tr>
      <w:tr w:rsidR="00552B3A" w:rsidRPr="00F53BDD" w:rsidTr="00552B3A">
        <w:tc>
          <w:tcPr>
            <w:tcW w:w="0" w:type="auto"/>
          </w:tcPr>
          <w:p w:rsidR="00A37B38" w:rsidRPr="00F53BDD" w:rsidRDefault="00A37B38" w:rsidP="0087788A">
            <w:pPr>
              <w:pStyle w:val="TableTextbold"/>
              <w:spacing w:before="0" w:after="0"/>
              <w:rPr>
                <w:sz w:val="17"/>
                <w:szCs w:val="17"/>
              </w:rPr>
            </w:pPr>
            <w:r w:rsidRPr="00F53BDD">
              <w:rPr>
                <w:sz w:val="17"/>
                <w:szCs w:val="17"/>
              </w:rPr>
              <w:t>Consistency and proportionality</w:t>
            </w:r>
          </w:p>
        </w:tc>
        <w:tc>
          <w:tcPr>
            <w:tcW w:w="0" w:type="auto"/>
            <w:tcBorders>
              <w:bottom w:val="single" w:sz="4" w:space="0" w:color="1C556C" w:themeColor="accent1"/>
            </w:tcBorders>
            <w:shd w:val="clear" w:color="auto" w:fill="EDB097"/>
          </w:tcPr>
          <w:p w:rsidR="00A37B38" w:rsidRPr="00F53BDD" w:rsidRDefault="002A0FE2" w:rsidP="0087788A">
            <w:pPr>
              <w:pStyle w:val="TableText"/>
              <w:spacing w:before="0" w:after="0"/>
              <w:jc w:val="center"/>
              <w:rPr>
                <w:sz w:val="17"/>
                <w:szCs w:val="17"/>
              </w:rPr>
            </w:pPr>
            <w:r w:rsidRPr="00F53BDD">
              <w:rPr>
                <w:sz w:val="17"/>
                <w:szCs w:val="17"/>
              </w:rPr>
              <w:t>x</w:t>
            </w:r>
          </w:p>
          <w:p w:rsidR="00A37B38" w:rsidRPr="00F53BDD" w:rsidRDefault="00A37B38" w:rsidP="00B359CB">
            <w:pPr>
              <w:pStyle w:val="TableText"/>
              <w:spacing w:before="0"/>
              <w:jc w:val="center"/>
              <w:rPr>
                <w:sz w:val="17"/>
                <w:szCs w:val="17"/>
              </w:rPr>
            </w:pPr>
            <w:r w:rsidRPr="00F53BDD">
              <w:rPr>
                <w:sz w:val="17"/>
                <w:szCs w:val="17"/>
              </w:rPr>
              <w:t>Most international ETSs and markets have some form of governance and oversight</w:t>
            </w:r>
          </w:p>
        </w:tc>
        <w:tc>
          <w:tcPr>
            <w:tcW w:w="2931" w:type="dxa"/>
            <w:tcBorders>
              <w:bottom w:val="single" w:sz="4" w:space="0" w:color="1C556C" w:themeColor="accent1"/>
            </w:tcBorders>
            <w:shd w:val="clear" w:color="auto" w:fill="87BDBE"/>
          </w:tcPr>
          <w:p w:rsidR="00A37B38" w:rsidRPr="00F53BDD" w:rsidRDefault="00A37B38" w:rsidP="0087788A">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044F74" w:rsidP="0087788A">
            <w:pPr>
              <w:pStyle w:val="TableText"/>
              <w:spacing w:before="0" w:after="0"/>
              <w:jc w:val="center"/>
              <w:rPr>
                <w:sz w:val="17"/>
                <w:szCs w:val="17"/>
              </w:rPr>
            </w:pPr>
            <w:r w:rsidRPr="00F53BDD">
              <w:rPr>
                <w:sz w:val="17"/>
                <w:szCs w:val="17"/>
              </w:rPr>
              <w:t>L</w:t>
            </w:r>
            <w:r w:rsidR="00A37B38" w:rsidRPr="00F53BDD">
              <w:rPr>
                <w:sz w:val="17"/>
                <w:szCs w:val="17"/>
              </w:rPr>
              <w:t>imits are common features in financial markets</w:t>
            </w:r>
          </w:p>
        </w:tc>
        <w:tc>
          <w:tcPr>
            <w:tcW w:w="3354" w:type="dxa"/>
            <w:tcBorders>
              <w:bottom w:val="single" w:sz="4" w:space="0" w:color="1C556C" w:themeColor="accent1"/>
            </w:tcBorders>
            <w:shd w:val="clear" w:color="auto" w:fill="EDB097"/>
          </w:tcPr>
          <w:p w:rsidR="00A37B38" w:rsidRPr="00F53BDD" w:rsidRDefault="002A0FE2" w:rsidP="0087788A">
            <w:pPr>
              <w:pStyle w:val="TableText"/>
              <w:spacing w:before="0" w:after="0"/>
              <w:jc w:val="center"/>
              <w:rPr>
                <w:sz w:val="17"/>
                <w:szCs w:val="17"/>
              </w:rPr>
            </w:pPr>
            <w:r w:rsidRPr="00F53BDD">
              <w:rPr>
                <w:sz w:val="17"/>
                <w:szCs w:val="17"/>
              </w:rPr>
              <w:t>x</w:t>
            </w:r>
          </w:p>
          <w:p w:rsidR="00A37B38" w:rsidRPr="00F53BDD" w:rsidRDefault="00A37B38" w:rsidP="0087788A">
            <w:pPr>
              <w:pStyle w:val="TableText"/>
              <w:spacing w:before="0" w:after="0"/>
              <w:jc w:val="center"/>
              <w:rPr>
                <w:sz w:val="17"/>
                <w:szCs w:val="17"/>
              </w:rPr>
            </w:pPr>
            <w:r w:rsidRPr="00F53BDD">
              <w:rPr>
                <w:sz w:val="17"/>
                <w:szCs w:val="17"/>
              </w:rPr>
              <w:t>Does not address the risks of misconduct, money laundering or financing of terrorism because the prices are not validated</w:t>
            </w:r>
          </w:p>
        </w:tc>
        <w:tc>
          <w:tcPr>
            <w:tcW w:w="3089" w:type="dxa"/>
            <w:tcBorders>
              <w:bottom w:val="single" w:sz="4" w:space="0" w:color="1C556C" w:themeColor="accent1"/>
            </w:tcBorders>
            <w:shd w:val="clear" w:color="auto" w:fill="EDB097"/>
          </w:tcPr>
          <w:p w:rsidR="00A37B38" w:rsidRPr="00F53BDD" w:rsidRDefault="002A0FE2" w:rsidP="0087788A">
            <w:pPr>
              <w:pStyle w:val="TableText"/>
              <w:spacing w:before="0" w:after="0"/>
              <w:jc w:val="center"/>
              <w:rPr>
                <w:sz w:val="17"/>
                <w:szCs w:val="17"/>
              </w:rPr>
            </w:pPr>
            <w:r w:rsidRPr="00F53BDD">
              <w:rPr>
                <w:sz w:val="17"/>
                <w:szCs w:val="17"/>
              </w:rPr>
              <w:t>x</w:t>
            </w:r>
          </w:p>
          <w:p w:rsidR="00A37B38" w:rsidRPr="00F53BDD" w:rsidRDefault="00A37B38" w:rsidP="0087788A">
            <w:pPr>
              <w:pStyle w:val="TableText"/>
              <w:spacing w:before="0" w:after="0"/>
              <w:jc w:val="center"/>
              <w:rPr>
                <w:sz w:val="17"/>
                <w:szCs w:val="17"/>
              </w:rPr>
            </w:pPr>
            <w:r w:rsidRPr="00F53BDD">
              <w:rPr>
                <w:sz w:val="17"/>
                <w:szCs w:val="17"/>
              </w:rPr>
              <w:t xml:space="preserve">Not proportional given the level of risk of misconduct and likely to be </w:t>
            </w:r>
            <w:r w:rsidR="00044F74" w:rsidRPr="00F53BDD">
              <w:rPr>
                <w:sz w:val="17"/>
                <w:szCs w:val="17"/>
              </w:rPr>
              <w:t xml:space="preserve">too </w:t>
            </w:r>
            <w:r w:rsidRPr="00F53BDD">
              <w:rPr>
                <w:sz w:val="17"/>
                <w:szCs w:val="17"/>
              </w:rPr>
              <w:t xml:space="preserve">burdensome </w:t>
            </w:r>
            <w:r w:rsidR="00044F74" w:rsidRPr="00F53BDD">
              <w:rPr>
                <w:sz w:val="17"/>
                <w:szCs w:val="17"/>
              </w:rPr>
              <w:t xml:space="preserve">for </w:t>
            </w:r>
            <w:r w:rsidRPr="00F53BDD">
              <w:rPr>
                <w:sz w:val="17"/>
                <w:szCs w:val="17"/>
              </w:rPr>
              <w:t>traders</w:t>
            </w:r>
          </w:p>
        </w:tc>
      </w:tr>
      <w:tr w:rsidR="00552B3A" w:rsidRPr="00F53BDD" w:rsidTr="00552B3A">
        <w:tc>
          <w:tcPr>
            <w:tcW w:w="0" w:type="auto"/>
          </w:tcPr>
          <w:p w:rsidR="00A37B38" w:rsidRPr="00F53BDD" w:rsidRDefault="00A37B38" w:rsidP="0087788A">
            <w:pPr>
              <w:pStyle w:val="TableTextbold"/>
              <w:spacing w:before="0" w:after="0"/>
              <w:rPr>
                <w:sz w:val="17"/>
                <w:szCs w:val="17"/>
              </w:rPr>
            </w:pPr>
            <w:r w:rsidRPr="00F53BDD">
              <w:rPr>
                <w:sz w:val="17"/>
                <w:szCs w:val="17"/>
              </w:rPr>
              <w:t>Clarity and transparency</w:t>
            </w:r>
          </w:p>
        </w:tc>
        <w:tc>
          <w:tcPr>
            <w:tcW w:w="0" w:type="auto"/>
            <w:tcBorders>
              <w:bottom w:val="single" w:sz="4" w:space="0" w:color="1C556C" w:themeColor="accent1"/>
            </w:tcBorders>
            <w:shd w:val="clear" w:color="auto" w:fill="EDB097"/>
          </w:tcPr>
          <w:p w:rsidR="00A37B38" w:rsidRPr="00F53BDD" w:rsidRDefault="002A0FE2" w:rsidP="0087788A">
            <w:pPr>
              <w:pStyle w:val="TableText"/>
              <w:spacing w:before="0" w:after="0"/>
              <w:jc w:val="center"/>
              <w:rPr>
                <w:sz w:val="17"/>
                <w:szCs w:val="17"/>
              </w:rPr>
            </w:pPr>
            <w:r w:rsidRPr="00F53BDD">
              <w:rPr>
                <w:sz w:val="17"/>
                <w:szCs w:val="17"/>
              </w:rPr>
              <w:t>x</w:t>
            </w:r>
          </w:p>
          <w:p w:rsidR="00A37B38" w:rsidRPr="00F53BDD" w:rsidRDefault="00A37B38" w:rsidP="0087788A">
            <w:pPr>
              <w:pStyle w:val="TableText"/>
              <w:spacing w:before="0" w:after="0"/>
              <w:jc w:val="center"/>
              <w:rPr>
                <w:sz w:val="17"/>
                <w:szCs w:val="17"/>
              </w:rPr>
            </w:pPr>
            <w:r w:rsidRPr="00F53BDD">
              <w:rPr>
                <w:sz w:val="17"/>
                <w:szCs w:val="17"/>
              </w:rPr>
              <w:t>Complex to understand and not transparent</w:t>
            </w:r>
          </w:p>
        </w:tc>
        <w:tc>
          <w:tcPr>
            <w:tcW w:w="2931" w:type="dxa"/>
            <w:tcBorders>
              <w:bottom w:val="single" w:sz="4" w:space="0" w:color="1C556C" w:themeColor="accent1"/>
            </w:tcBorders>
            <w:shd w:val="clear" w:color="auto" w:fill="57A3A4"/>
          </w:tcPr>
          <w:p w:rsidR="00A37B38" w:rsidRPr="00F53BDD" w:rsidRDefault="00A37B38" w:rsidP="0087788A">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B359CB">
            <w:pPr>
              <w:pStyle w:val="TableText"/>
              <w:spacing w:before="0"/>
              <w:jc w:val="center"/>
              <w:rPr>
                <w:sz w:val="17"/>
                <w:szCs w:val="17"/>
              </w:rPr>
            </w:pPr>
            <w:r w:rsidRPr="00F53BDD">
              <w:rPr>
                <w:sz w:val="17"/>
                <w:szCs w:val="17"/>
              </w:rPr>
              <w:t xml:space="preserve">Limits are a simple mechanism to understand, the limits are public, and </w:t>
            </w:r>
            <w:r w:rsidR="003B3DAD" w:rsidRPr="00F53BDD">
              <w:rPr>
                <w:sz w:val="17"/>
                <w:szCs w:val="17"/>
              </w:rPr>
              <w:t>it is</w:t>
            </w:r>
            <w:r w:rsidRPr="00F53BDD">
              <w:rPr>
                <w:sz w:val="17"/>
                <w:szCs w:val="17"/>
              </w:rPr>
              <w:t xml:space="preserve"> easy to monitor limits</w:t>
            </w:r>
          </w:p>
        </w:tc>
        <w:tc>
          <w:tcPr>
            <w:tcW w:w="3354" w:type="dxa"/>
            <w:tcBorders>
              <w:bottom w:val="single" w:sz="4" w:space="0" w:color="1C556C" w:themeColor="accent1"/>
            </w:tcBorders>
            <w:shd w:val="clear" w:color="auto" w:fill="CFE5E5"/>
          </w:tcPr>
          <w:p w:rsidR="00A37B38" w:rsidRPr="00F53BDD" w:rsidRDefault="00A37B38" w:rsidP="0087788A">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87788A">
            <w:pPr>
              <w:pStyle w:val="TableText"/>
              <w:spacing w:before="0" w:after="0"/>
              <w:jc w:val="center"/>
              <w:rPr>
                <w:sz w:val="17"/>
                <w:szCs w:val="17"/>
              </w:rPr>
            </w:pPr>
            <w:r w:rsidRPr="00F53BDD">
              <w:rPr>
                <w:sz w:val="17"/>
                <w:szCs w:val="17"/>
              </w:rPr>
              <w:t>Clear to understand but the information is not validated and not shared publicly</w:t>
            </w:r>
          </w:p>
        </w:tc>
        <w:tc>
          <w:tcPr>
            <w:tcW w:w="3089" w:type="dxa"/>
            <w:tcBorders>
              <w:bottom w:val="single" w:sz="4" w:space="0" w:color="1C556C" w:themeColor="accent1"/>
            </w:tcBorders>
            <w:shd w:val="clear" w:color="auto" w:fill="CFE5E5"/>
          </w:tcPr>
          <w:p w:rsidR="00A37B38" w:rsidRPr="00F53BDD" w:rsidRDefault="00A37B38" w:rsidP="0087788A">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87788A">
            <w:pPr>
              <w:pStyle w:val="TableText"/>
              <w:spacing w:before="0" w:after="0"/>
              <w:jc w:val="center"/>
              <w:rPr>
                <w:sz w:val="17"/>
                <w:szCs w:val="17"/>
              </w:rPr>
            </w:pPr>
            <w:r w:rsidRPr="00F53BDD">
              <w:rPr>
                <w:sz w:val="17"/>
                <w:szCs w:val="17"/>
              </w:rPr>
              <w:t>Clear to understand but the information is not validated and not shared publicly</w:t>
            </w:r>
          </w:p>
        </w:tc>
      </w:tr>
      <w:tr w:rsidR="00392CCD" w:rsidRPr="00F53BDD" w:rsidTr="00552B3A">
        <w:tc>
          <w:tcPr>
            <w:tcW w:w="0" w:type="auto"/>
          </w:tcPr>
          <w:p w:rsidR="00A37B38" w:rsidRPr="00F53BDD" w:rsidRDefault="00A37B38" w:rsidP="0087788A">
            <w:pPr>
              <w:pStyle w:val="TableTextbold"/>
              <w:spacing w:before="0" w:after="0"/>
              <w:rPr>
                <w:sz w:val="17"/>
                <w:szCs w:val="17"/>
              </w:rPr>
            </w:pPr>
            <w:r w:rsidRPr="00F53BDD">
              <w:rPr>
                <w:sz w:val="17"/>
                <w:szCs w:val="17"/>
              </w:rPr>
              <w:t>Market efficiency</w:t>
            </w:r>
          </w:p>
        </w:tc>
        <w:tc>
          <w:tcPr>
            <w:tcW w:w="0" w:type="auto"/>
            <w:shd w:val="clear" w:color="auto" w:fill="EDB097"/>
          </w:tcPr>
          <w:p w:rsidR="00A37B38" w:rsidRPr="00F53BDD" w:rsidRDefault="002A0FE2" w:rsidP="0087788A">
            <w:pPr>
              <w:pStyle w:val="TableText"/>
              <w:spacing w:before="0" w:after="0"/>
              <w:jc w:val="center"/>
              <w:rPr>
                <w:sz w:val="17"/>
                <w:szCs w:val="17"/>
              </w:rPr>
            </w:pPr>
            <w:r w:rsidRPr="00F53BDD">
              <w:rPr>
                <w:sz w:val="17"/>
                <w:szCs w:val="17"/>
              </w:rPr>
              <w:t>x</w:t>
            </w:r>
          </w:p>
          <w:p w:rsidR="00A37B38" w:rsidRPr="00F53BDD" w:rsidRDefault="00A37B38" w:rsidP="0087788A">
            <w:pPr>
              <w:pStyle w:val="TableText"/>
              <w:spacing w:before="0" w:after="0"/>
              <w:jc w:val="center"/>
              <w:rPr>
                <w:sz w:val="17"/>
                <w:szCs w:val="17"/>
              </w:rPr>
            </w:pPr>
            <w:r w:rsidRPr="00F53BDD">
              <w:rPr>
                <w:sz w:val="17"/>
                <w:szCs w:val="17"/>
              </w:rPr>
              <w:t xml:space="preserve">Poor price discovery with </w:t>
            </w:r>
            <w:r w:rsidR="00877E61" w:rsidRPr="00F53BDD">
              <w:rPr>
                <w:sz w:val="17"/>
                <w:szCs w:val="17"/>
              </w:rPr>
              <w:t>over</w:t>
            </w:r>
            <w:r w:rsidR="004735DD">
              <w:rPr>
                <w:sz w:val="17"/>
                <w:szCs w:val="17"/>
              </w:rPr>
              <w:t xml:space="preserve"> </w:t>
            </w:r>
            <w:r w:rsidR="00877E61" w:rsidRPr="00F53BDD">
              <w:rPr>
                <w:sz w:val="17"/>
                <w:szCs w:val="17"/>
              </w:rPr>
              <w:t>the</w:t>
            </w:r>
            <w:r w:rsidR="004735DD">
              <w:rPr>
                <w:sz w:val="17"/>
                <w:szCs w:val="17"/>
              </w:rPr>
              <w:t xml:space="preserve"> </w:t>
            </w:r>
            <w:r w:rsidR="00877E61" w:rsidRPr="00F53BDD">
              <w:rPr>
                <w:sz w:val="17"/>
                <w:szCs w:val="17"/>
              </w:rPr>
              <w:t xml:space="preserve">counter </w:t>
            </w:r>
            <w:r w:rsidRPr="00F53BDD">
              <w:rPr>
                <w:sz w:val="17"/>
                <w:szCs w:val="17"/>
              </w:rPr>
              <w:t>trades</w:t>
            </w:r>
          </w:p>
        </w:tc>
        <w:tc>
          <w:tcPr>
            <w:tcW w:w="2931" w:type="dxa"/>
            <w:shd w:val="clear" w:color="auto" w:fill="87BDBE"/>
          </w:tcPr>
          <w:p w:rsidR="00A37B38" w:rsidRPr="00F53BDD" w:rsidRDefault="00A37B38" w:rsidP="0087788A">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B359CB">
            <w:pPr>
              <w:pStyle w:val="TableText"/>
              <w:spacing w:before="0"/>
              <w:jc w:val="center"/>
              <w:rPr>
                <w:sz w:val="17"/>
                <w:szCs w:val="17"/>
              </w:rPr>
            </w:pPr>
            <w:r w:rsidRPr="00F53BDD">
              <w:rPr>
                <w:sz w:val="17"/>
                <w:szCs w:val="17"/>
              </w:rPr>
              <w:t>Fairer NZU by limiting a trader’s ability to manipulate prices and corner the market</w:t>
            </w:r>
          </w:p>
        </w:tc>
        <w:tc>
          <w:tcPr>
            <w:tcW w:w="3354" w:type="dxa"/>
            <w:shd w:val="clear" w:color="auto" w:fill="EDB097"/>
          </w:tcPr>
          <w:p w:rsidR="00A37B38" w:rsidRPr="00F53BDD" w:rsidRDefault="002A0FE2" w:rsidP="0087788A">
            <w:pPr>
              <w:pStyle w:val="TableText"/>
              <w:spacing w:before="0" w:after="0"/>
              <w:jc w:val="center"/>
              <w:rPr>
                <w:sz w:val="17"/>
                <w:szCs w:val="17"/>
              </w:rPr>
            </w:pPr>
            <w:r w:rsidRPr="00F53BDD">
              <w:rPr>
                <w:sz w:val="17"/>
                <w:szCs w:val="17"/>
              </w:rPr>
              <w:t>x</w:t>
            </w:r>
          </w:p>
          <w:p w:rsidR="00A37B38" w:rsidRPr="00F53BDD" w:rsidRDefault="00A37B38" w:rsidP="0087788A">
            <w:pPr>
              <w:pStyle w:val="TableText"/>
              <w:spacing w:before="0" w:after="0"/>
              <w:jc w:val="center"/>
              <w:rPr>
                <w:sz w:val="17"/>
                <w:szCs w:val="17"/>
              </w:rPr>
            </w:pPr>
            <w:r w:rsidRPr="00F53BDD">
              <w:rPr>
                <w:sz w:val="17"/>
                <w:szCs w:val="17"/>
              </w:rPr>
              <w:t>This information is in the registry and not public, so does not aid with price discovery</w:t>
            </w:r>
          </w:p>
        </w:tc>
        <w:tc>
          <w:tcPr>
            <w:tcW w:w="3089" w:type="dxa"/>
            <w:shd w:val="clear" w:color="auto" w:fill="EDB097"/>
          </w:tcPr>
          <w:p w:rsidR="00A37B38" w:rsidRPr="00F53BDD" w:rsidRDefault="002A0FE2" w:rsidP="0087788A">
            <w:pPr>
              <w:pStyle w:val="TableText"/>
              <w:spacing w:before="0" w:after="0"/>
              <w:jc w:val="center"/>
              <w:rPr>
                <w:sz w:val="17"/>
                <w:szCs w:val="17"/>
              </w:rPr>
            </w:pPr>
            <w:r w:rsidRPr="00F53BDD">
              <w:rPr>
                <w:sz w:val="17"/>
                <w:szCs w:val="17"/>
              </w:rPr>
              <w:t>x</w:t>
            </w:r>
          </w:p>
          <w:p w:rsidR="00A37B38" w:rsidRPr="00F53BDD" w:rsidRDefault="00A37B38" w:rsidP="0087788A">
            <w:pPr>
              <w:pStyle w:val="TableText"/>
              <w:spacing w:before="0" w:after="0"/>
              <w:jc w:val="center"/>
              <w:rPr>
                <w:sz w:val="17"/>
                <w:szCs w:val="17"/>
              </w:rPr>
            </w:pPr>
            <w:r w:rsidRPr="00F53BDD">
              <w:rPr>
                <w:sz w:val="17"/>
                <w:szCs w:val="17"/>
              </w:rPr>
              <w:t>This information is in the registry and not public, so does not aid with price discovery</w:t>
            </w:r>
          </w:p>
        </w:tc>
      </w:tr>
      <w:tr w:rsidR="00A37B38" w:rsidRPr="00F53BDD" w:rsidTr="00EA45A8">
        <w:tc>
          <w:tcPr>
            <w:tcW w:w="0" w:type="auto"/>
            <w:gridSpan w:val="5"/>
          </w:tcPr>
          <w:p w:rsidR="00A37B38" w:rsidRPr="00F53BDD" w:rsidRDefault="004735DD" w:rsidP="00582EDC">
            <w:pPr>
              <w:tabs>
                <w:tab w:val="left" w:pos="580"/>
              </w:tabs>
              <w:spacing w:before="0" w:after="60" w:line="240" w:lineRule="atLeast"/>
              <w:contextualSpacing/>
              <w:rPr>
                <w:rFonts w:eastAsia="Times New Roman"/>
                <w:sz w:val="17"/>
                <w:szCs w:val="17"/>
              </w:rPr>
            </w:pPr>
            <w:r w:rsidRPr="00F53BDD">
              <w:rPr>
                <w:rFonts w:ascii="Segoe UI Symbol" w:eastAsia="Times New Roman" w:hAnsi="Segoe UI Symbol" w:cs="Segoe UI Symbol"/>
                <w:sz w:val="17"/>
                <w:szCs w:val="17"/>
                <w:shd w:val="clear" w:color="auto" w:fill="57A3A4"/>
              </w:rPr>
              <w:t>✓✓✓</w:t>
            </w:r>
            <w:r w:rsidR="00582EDC" w:rsidRPr="00F53BDD">
              <w:rPr>
                <w:rFonts w:eastAsia="Times New Roman"/>
                <w:sz w:val="17"/>
                <w:szCs w:val="17"/>
              </w:rPr>
              <w:tab/>
            </w:r>
            <w:r w:rsidR="00A37B38" w:rsidRPr="00F53BDD">
              <w:rPr>
                <w:rFonts w:eastAsia="Times New Roman"/>
                <w:sz w:val="17"/>
                <w:szCs w:val="17"/>
              </w:rPr>
              <w:t>Strongly meets criteria</w:t>
            </w:r>
          </w:p>
          <w:p w:rsidR="00A37B38" w:rsidRPr="00F53BDD" w:rsidRDefault="004735DD" w:rsidP="00582EDC">
            <w:pPr>
              <w:tabs>
                <w:tab w:val="left" w:pos="580"/>
              </w:tabs>
              <w:spacing w:before="0" w:after="0" w:line="240" w:lineRule="atLeast"/>
              <w:contextualSpacing/>
              <w:rPr>
                <w:rFonts w:eastAsia="Times New Roman"/>
                <w:sz w:val="17"/>
                <w:szCs w:val="17"/>
              </w:rPr>
            </w:pPr>
            <w:r w:rsidRPr="00F53BDD">
              <w:rPr>
                <w:rFonts w:ascii="Segoe UI Symbol" w:eastAsia="Times New Roman" w:hAnsi="Segoe UI Symbol" w:cs="Segoe UI Symbol"/>
                <w:sz w:val="17"/>
                <w:szCs w:val="17"/>
                <w:shd w:val="clear" w:color="auto" w:fill="87BDBE"/>
              </w:rPr>
              <w:t>✓✓</w:t>
            </w:r>
            <w:r w:rsidR="00582EDC" w:rsidRPr="00F53BDD">
              <w:rPr>
                <w:rFonts w:eastAsia="Times New Roman"/>
                <w:sz w:val="17"/>
                <w:szCs w:val="17"/>
              </w:rPr>
              <w:tab/>
            </w:r>
            <w:r w:rsidR="00A37B38" w:rsidRPr="00F53BDD">
              <w:rPr>
                <w:rFonts w:eastAsia="Times New Roman"/>
                <w:sz w:val="17"/>
                <w:szCs w:val="17"/>
              </w:rPr>
              <w:t>Meets criteria</w:t>
            </w:r>
          </w:p>
          <w:p w:rsidR="001F00AC" w:rsidRPr="00F53BDD" w:rsidRDefault="00A37B38" w:rsidP="00582EDC">
            <w:pPr>
              <w:tabs>
                <w:tab w:val="left" w:pos="580"/>
              </w:tabs>
              <w:spacing w:before="0" w:after="0" w:line="240" w:lineRule="atLeast"/>
              <w:contextualSpacing/>
              <w:rPr>
                <w:rFonts w:eastAsia="Times New Roman"/>
                <w:sz w:val="17"/>
                <w:szCs w:val="17"/>
              </w:rPr>
            </w:pPr>
            <w:r w:rsidRPr="00F53BDD">
              <w:rPr>
                <w:rFonts w:ascii="Segoe UI Symbol" w:eastAsia="Times New Roman" w:hAnsi="Segoe UI Symbol" w:cs="Segoe UI Symbol"/>
                <w:sz w:val="17"/>
                <w:szCs w:val="17"/>
                <w:shd w:val="clear" w:color="auto" w:fill="CFE5E5"/>
              </w:rPr>
              <w:t>✓</w:t>
            </w:r>
            <w:r w:rsidR="00582EDC" w:rsidRPr="00F53BDD">
              <w:rPr>
                <w:rFonts w:eastAsia="Times New Roman"/>
                <w:sz w:val="17"/>
                <w:szCs w:val="17"/>
              </w:rPr>
              <w:tab/>
            </w:r>
            <w:r w:rsidRPr="00F53BDD">
              <w:rPr>
                <w:rFonts w:eastAsia="Times New Roman"/>
                <w:sz w:val="17"/>
                <w:szCs w:val="17"/>
              </w:rPr>
              <w:t>Partially meets criteria</w:t>
            </w:r>
          </w:p>
          <w:p w:rsidR="00A37B38" w:rsidRPr="00F53BDD" w:rsidRDefault="00582EDC" w:rsidP="00582EDC">
            <w:pPr>
              <w:tabs>
                <w:tab w:val="left" w:pos="580"/>
              </w:tabs>
              <w:spacing w:before="0" w:after="0" w:line="240" w:lineRule="atLeast"/>
              <w:contextualSpacing/>
              <w:rPr>
                <w:rFonts w:eastAsia="Times New Roman"/>
                <w:sz w:val="17"/>
                <w:szCs w:val="17"/>
              </w:rPr>
            </w:pPr>
            <w:r w:rsidRPr="00F53BDD">
              <w:rPr>
                <w:rFonts w:eastAsia="Times New Roman" w:cs="Segoe UI Symbol"/>
                <w:sz w:val="17"/>
                <w:szCs w:val="17"/>
                <w:shd w:val="clear" w:color="auto" w:fill="EDB097"/>
              </w:rPr>
              <w:t>x</w:t>
            </w:r>
            <w:r w:rsidRPr="00F53BDD">
              <w:rPr>
                <w:rFonts w:eastAsia="Times New Roman"/>
                <w:sz w:val="17"/>
                <w:szCs w:val="17"/>
              </w:rPr>
              <w:tab/>
            </w:r>
            <w:r w:rsidR="00A37B38" w:rsidRPr="00F53BDD">
              <w:rPr>
                <w:rFonts w:eastAsia="Times New Roman"/>
                <w:sz w:val="17"/>
                <w:szCs w:val="17"/>
              </w:rPr>
              <w:t>Does not meet criteria</w:t>
            </w:r>
          </w:p>
        </w:tc>
      </w:tr>
    </w:tbl>
    <w:p w:rsidR="005C5249" w:rsidRPr="00F53BDD" w:rsidRDefault="005C5249">
      <w:pPr>
        <w:spacing w:before="0" w:after="200" w:line="276" w:lineRule="auto"/>
        <w:jc w:val="left"/>
      </w:pPr>
      <w:bookmarkStart w:id="137" w:name="_Toc72150045"/>
      <w:r w:rsidRPr="00F53BDD">
        <w:br w:type="page"/>
      </w:r>
    </w:p>
    <w:p w:rsidR="00A37B38" w:rsidRPr="00F53BDD" w:rsidRDefault="00A37B38" w:rsidP="00582EDC">
      <w:pPr>
        <w:pStyle w:val="Tableheading"/>
      </w:pPr>
      <w:bookmarkStart w:id="138" w:name="_Toc75250119"/>
      <w:r w:rsidRPr="00F53BDD">
        <w:t xml:space="preserve">Table </w:t>
      </w:r>
      <w:r w:rsidR="009A5D60" w:rsidRPr="00F53BDD">
        <w:t>1</w:t>
      </w:r>
      <w:r w:rsidR="006218BD">
        <w:t>7</w:t>
      </w:r>
      <w:r w:rsidRPr="00F53BDD">
        <w:t xml:space="preserve">: </w:t>
      </w:r>
      <w:r w:rsidR="00582EDC" w:rsidRPr="00F53BDD">
        <w:tab/>
      </w:r>
      <w:r w:rsidR="00812092" w:rsidRPr="00F53BDD">
        <w:t xml:space="preserve">Appointing a regulator: </w:t>
      </w:r>
      <w:r w:rsidRPr="00F53BDD">
        <w:t>Impact analysis</w:t>
      </w:r>
      <w:bookmarkEnd w:id="138"/>
      <w:r w:rsidRPr="00F53BDD">
        <w:t xml:space="preserve"> </w:t>
      </w:r>
      <w:bookmarkEnd w:id="137"/>
    </w:p>
    <w:tbl>
      <w:tblPr>
        <w:tblStyle w:val="TableGrid"/>
        <w:tblW w:w="0" w:type="auto"/>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561"/>
        <w:gridCol w:w="2126"/>
        <w:gridCol w:w="1984"/>
        <w:gridCol w:w="2430"/>
        <w:gridCol w:w="1931"/>
        <w:gridCol w:w="1715"/>
        <w:gridCol w:w="1691"/>
      </w:tblGrid>
      <w:tr w:rsidR="00C74268" w:rsidRPr="00F53BDD" w:rsidTr="005032E6">
        <w:tc>
          <w:tcPr>
            <w:tcW w:w="1560" w:type="dxa"/>
            <w:shd w:val="clear" w:color="auto" w:fill="1C556C" w:themeFill="accent1"/>
            <w:vAlign w:val="bottom"/>
          </w:tcPr>
          <w:p w:rsidR="00A37B38" w:rsidRPr="00F53BDD" w:rsidRDefault="00A37B38" w:rsidP="00C74268">
            <w:pPr>
              <w:pStyle w:val="TableTextbold"/>
              <w:spacing w:before="40" w:after="40" w:line="240" w:lineRule="auto"/>
              <w:rPr>
                <w:color w:val="FFFFFF" w:themeColor="background1"/>
                <w:sz w:val="17"/>
                <w:szCs w:val="17"/>
              </w:rPr>
            </w:pPr>
            <w:r w:rsidRPr="00F53BDD">
              <w:rPr>
                <w:color w:val="FFFFFF" w:themeColor="background1"/>
                <w:sz w:val="17"/>
                <w:szCs w:val="17"/>
              </w:rPr>
              <w:t>Criteri</w:t>
            </w:r>
            <w:r w:rsidR="00FF01B2" w:rsidRPr="00F53BDD">
              <w:rPr>
                <w:color w:val="FFFFFF" w:themeColor="background1"/>
                <w:sz w:val="17"/>
                <w:szCs w:val="17"/>
              </w:rPr>
              <w:t>on</w:t>
            </w:r>
          </w:p>
        </w:tc>
        <w:tc>
          <w:tcPr>
            <w:tcW w:w="2126" w:type="dxa"/>
            <w:tcBorders>
              <w:bottom w:val="single" w:sz="4" w:space="0" w:color="1C556C" w:themeColor="accent1"/>
            </w:tcBorders>
            <w:shd w:val="clear" w:color="auto" w:fill="1C556C" w:themeFill="accent1"/>
            <w:vAlign w:val="bottom"/>
          </w:tcPr>
          <w:p w:rsidR="00A37B38" w:rsidRPr="00F53BDD" w:rsidRDefault="00A37B38" w:rsidP="00C74268">
            <w:pPr>
              <w:pStyle w:val="TableTextbold"/>
              <w:spacing w:before="40" w:after="40" w:line="240" w:lineRule="auto"/>
              <w:rPr>
                <w:color w:val="FFFFFF" w:themeColor="background1"/>
                <w:sz w:val="17"/>
                <w:szCs w:val="17"/>
              </w:rPr>
            </w:pPr>
            <w:r w:rsidRPr="00F53BDD">
              <w:rPr>
                <w:color w:val="FFFFFF" w:themeColor="background1"/>
                <w:sz w:val="17"/>
                <w:szCs w:val="17"/>
              </w:rPr>
              <w:t>D1: Status quo</w:t>
            </w:r>
          </w:p>
        </w:tc>
        <w:tc>
          <w:tcPr>
            <w:tcW w:w="1984" w:type="dxa"/>
            <w:tcBorders>
              <w:bottom w:val="single" w:sz="4" w:space="0" w:color="1C556C" w:themeColor="accent1"/>
            </w:tcBorders>
            <w:shd w:val="clear" w:color="auto" w:fill="1C556C" w:themeFill="accent1"/>
            <w:vAlign w:val="bottom"/>
          </w:tcPr>
          <w:p w:rsidR="00A37B38" w:rsidRPr="00F53BDD" w:rsidRDefault="00A37B38" w:rsidP="00C74268">
            <w:pPr>
              <w:pStyle w:val="TableTextbold"/>
              <w:spacing w:before="40" w:after="40" w:line="240" w:lineRule="auto"/>
              <w:rPr>
                <w:color w:val="FFFFFF" w:themeColor="background1"/>
                <w:sz w:val="17"/>
                <w:szCs w:val="17"/>
              </w:rPr>
            </w:pPr>
            <w:r w:rsidRPr="00F53BDD">
              <w:rPr>
                <w:color w:val="FFFFFF" w:themeColor="background1"/>
                <w:sz w:val="17"/>
                <w:szCs w:val="17"/>
              </w:rPr>
              <w:t>D2: Self-</w:t>
            </w:r>
            <w:r w:rsidR="00812092" w:rsidRPr="00F53BDD">
              <w:rPr>
                <w:color w:val="FFFFFF" w:themeColor="background1"/>
                <w:sz w:val="17"/>
                <w:szCs w:val="17"/>
              </w:rPr>
              <w:t>r</w:t>
            </w:r>
            <w:r w:rsidRPr="00F53BDD">
              <w:rPr>
                <w:color w:val="FFFFFF" w:themeColor="background1"/>
                <w:sz w:val="17"/>
                <w:szCs w:val="17"/>
              </w:rPr>
              <w:t>egulating body</w:t>
            </w:r>
          </w:p>
        </w:tc>
        <w:tc>
          <w:tcPr>
            <w:tcW w:w="2430" w:type="dxa"/>
            <w:tcBorders>
              <w:bottom w:val="single" w:sz="4" w:space="0" w:color="1C556C" w:themeColor="accent1"/>
            </w:tcBorders>
            <w:shd w:val="clear" w:color="auto" w:fill="1C556C" w:themeFill="accent1"/>
            <w:vAlign w:val="bottom"/>
          </w:tcPr>
          <w:p w:rsidR="00A37B38" w:rsidRPr="00F53BDD" w:rsidRDefault="00A37B38" w:rsidP="00C74268">
            <w:pPr>
              <w:pStyle w:val="TableTextbold"/>
              <w:spacing w:before="40" w:after="40" w:line="240" w:lineRule="auto"/>
              <w:rPr>
                <w:color w:val="FFFFFF" w:themeColor="background1"/>
                <w:sz w:val="17"/>
                <w:szCs w:val="17"/>
              </w:rPr>
            </w:pPr>
            <w:r w:rsidRPr="00F53BDD">
              <w:rPr>
                <w:color w:val="FFFFFF" w:themeColor="background1"/>
                <w:sz w:val="17"/>
                <w:szCs w:val="17"/>
              </w:rPr>
              <w:t>D3: Advisory regulator</w:t>
            </w:r>
          </w:p>
        </w:tc>
        <w:tc>
          <w:tcPr>
            <w:tcW w:w="0" w:type="auto"/>
            <w:tcBorders>
              <w:bottom w:val="single" w:sz="4" w:space="0" w:color="1C556C" w:themeColor="accent1"/>
            </w:tcBorders>
            <w:shd w:val="clear" w:color="auto" w:fill="1C556C" w:themeFill="accent1"/>
            <w:vAlign w:val="bottom"/>
          </w:tcPr>
          <w:p w:rsidR="00A37B38" w:rsidRPr="00F53BDD" w:rsidRDefault="00A37B38" w:rsidP="00C74268">
            <w:pPr>
              <w:pStyle w:val="TableTextbold"/>
              <w:spacing w:before="40" w:after="40" w:line="240" w:lineRule="auto"/>
              <w:rPr>
                <w:color w:val="FFFFFF" w:themeColor="background1"/>
                <w:sz w:val="17"/>
                <w:szCs w:val="17"/>
              </w:rPr>
            </w:pPr>
            <w:r w:rsidRPr="00F53BDD">
              <w:rPr>
                <w:color w:val="FFFFFF" w:themeColor="background1"/>
                <w:sz w:val="17"/>
                <w:szCs w:val="17"/>
              </w:rPr>
              <w:t xml:space="preserve">D4: Market </w:t>
            </w:r>
            <w:r w:rsidR="00812092" w:rsidRPr="00F53BDD">
              <w:rPr>
                <w:color w:val="FFFFFF" w:themeColor="background1"/>
                <w:sz w:val="17"/>
                <w:szCs w:val="17"/>
              </w:rPr>
              <w:t>m</w:t>
            </w:r>
            <w:r w:rsidRPr="00F53BDD">
              <w:rPr>
                <w:color w:val="FFFFFF" w:themeColor="background1"/>
                <w:sz w:val="17"/>
                <w:szCs w:val="17"/>
              </w:rPr>
              <w:t>onitoring regulator</w:t>
            </w:r>
          </w:p>
        </w:tc>
        <w:tc>
          <w:tcPr>
            <w:tcW w:w="0" w:type="auto"/>
            <w:tcBorders>
              <w:bottom w:val="single" w:sz="4" w:space="0" w:color="1C556C" w:themeColor="accent1"/>
            </w:tcBorders>
            <w:shd w:val="clear" w:color="auto" w:fill="1C556C" w:themeFill="accent1"/>
            <w:vAlign w:val="bottom"/>
          </w:tcPr>
          <w:p w:rsidR="00A37B38" w:rsidRPr="00F53BDD" w:rsidRDefault="00A37B38" w:rsidP="00C74268">
            <w:pPr>
              <w:pStyle w:val="TableTextbold"/>
              <w:spacing w:before="40" w:after="40" w:line="240" w:lineRule="auto"/>
              <w:rPr>
                <w:color w:val="FFFFFF" w:themeColor="background1"/>
                <w:sz w:val="17"/>
                <w:szCs w:val="17"/>
              </w:rPr>
            </w:pPr>
            <w:r w:rsidRPr="00F53BDD">
              <w:rPr>
                <w:color w:val="FFFFFF" w:themeColor="background1"/>
                <w:sz w:val="17"/>
                <w:szCs w:val="17"/>
              </w:rPr>
              <w:t xml:space="preserve">D5: Market </w:t>
            </w:r>
            <w:r w:rsidR="00812092" w:rsidRPr="00F53BDD">
              <w:rPr>
                <w:color w:val="FFFFFF" w:themeColor="background1"/>
                <w:sz w:val="17"/>
                <w:szCs w:val="17"/>
              </w:rPr>
              <w:t>c</w:t>
            </w:r>
            <w:r w:rsidRPr="00F53BDD">
              <w:rPr>
                <w:color w:val="FFFFFF" w:themeColor="background1"/>
                <w:sz w:val="17"/>
                <w:szCs w:val="17"/>
              </w:rPr>
              <w:t>ompliance regulator</w:t>
            </w:r>
          </w:p>
        </w:tc>
        <w:tc>
          <w:tcPr>
            <w:tcW w:w="0" w:type="auto"/>
            <w:tcBorders>
              <w:bottom w:val="single" w:sz="4" w:space="0" w:color="1C556C" w:themeColor="accent1"/>
            </w:tcBorders>
            <w:shd w:val="clear" w:color="auto" w:fill="1C556C" w:themeFill="accent1"/>
            <w:vAlign w:val="bottom"/>
          </w:tcPr>
          <w:p w:rsidR="00A37B38" w:rsidRPr="00F53BDD" w:rsidRDefault="00A37B38" w:rsidP="00C74268">
            <w:pPr>
              <w:pStyle w:val="TableTextbold"/>
              <w:spacing w:before="40" w:after="40" w:line="240" w:lineRule="auto"/>
              <w:rPr>
                <w:color w:val="FFFFFF" w:themeColor="background1"/>
                <w:sz w:val="17"/>
                <w:szCs w:val="17"/>
              </w:rPr>
            </w:pPr>
            <w:r w:rsidRPr="00F53BDD">
              <w:rPr>
                <w:color w:val="FFFFFF" w:themeColor="background1"/>
                <w:sz w:val="17"/>
                <w:szCs w:val="17"/>
              </w:rPr>
              <w:t xml:space="preserve">D6: Market </w:t>
            </w:r>
            <w:r w:rsidR="00812092" w:rsidRPr="00F53BDD">
              <w:rPr>
                <w:color w:val="FFFFFF" w:themeColor="background1"/>
                <w:sz w:val="17"/>
                <w:szCs w:val="17"/>
              </w:rPr>
              <w:t>d</w:t>
            </w:r>
            <w:r w:rsidRPr="00F53BDD">
              <w:rPr>
                <w:color w:val="FFFFFF" w:themeColor="background1"/>
                <w:sz w:val="17"/>
                <w:szCs w:val="17"/>
              </w:rPr>
              <w:t xml:space="preserve">esign regulator </w:t>
            </w:r>
          </w:p>
        </w:tc>
      </w:tr>
      <w:tr w:rsidR="00C74268" w:rsidRPr="00F53BDD" w:rsidTr="005032E6">
        <w:tc>
          <w:tcPr>
            <w:tcW w:w="1560" w:type="dxa"/>
          </w:tcPr>
          <w:p w:rsidR="00A37B38" w:rsidRPr="00F53BDD" w:rsidRDefault="00A37B38" w:rsidP="008D2BB4">
            <w:pPr>
              <w:pStyle w:val="TableTextbold"/>
              <w:spacing w:after="0" w:line="240" w:lineRule="auto"/>
              <w:rPr>
                <w:sz w:val="17"/>
                <w:szCs w:val="17"/>
              </w:rPr>
            </w:pPr>
            <w:r w:rsidRPr="00F53BDD">
              <w:rPr>
                <w:sz w:val="17"/>
                <w:szCs w:val="17"/>
              </w:rPr>
              <w:t>Integrity</w:t>
            </w:r>
          </w:p>
        </w:tc>
        <w:tc>
          <w:tcPr>
            <w:tcW w:w="2126" w:type="dxa"/>
            <w:shd w:val="clear" w:color="auto" w:fill="EDB097"/>
          </w:tcPr>
          <w:p w:rsidR="00A37B38" w:rsidRPr="00F53BDD" w:rsidRDefault="00C74268" w:rsidP="00C74268">
            <w:pPr>
              <w:pStyle w:val="TableText"/>
              <w:spacing w:before="0" w:after="0"/>
              <w:jc w:val="center"/>
              <w:rPr>
                <w:sz w:val="17"/>
                <w:szCs w:val="17"/>
              </w:rPr>
            </w:pPr>
            <w:r w:rsidRPr="00F53BDD">
              <w:rPr>
                <w:sz w:val="17"/>
                <w:szCs w:val="17"/>
              </w:rPr>
              <w:t>x</w:t>
            </w:r>
          </w:p>
          <w:p w:rsidR="00A37B38" w:rsidRPr="00F53BDD" w:rsidRDefault="00A37B38" w:rsidP="00C74268">
            <w:pPr>
              <w:pStyle w:val="TableText"/>
              <w:spacing w:before="0" w:after="0"/>
              <w:jc w:val="center"/>
              <w:rPr>
                <w:sz w:val="17"/>
                <w:szCs w:val="17"/>
              </w:rPr>
            </w:pPr>
            <w:r w:rsidRPr="00F53BDD">
              <w:rPr>
                <w:sz w:val="17"/>
                <w:szCs w:val="17"/>
              </w:rPr>
              <w:t>Low integrity because there is no oversight of the market</w:t>
            </w:r>
          </w:p>
        </w:tc>
        <w:tc>
          <w:tcPr>
            <w:tcW w:w="1984" w:type="dxa"/>
            <w:shd w:val="clear" w:color="auto" w:fill="CFE5E5"/>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A good industry body can set industry expectations</w:t>
            </w:r>
          </w:p>
        </w:tc>
        <w:tc>
          <w:tcPr>
            <w:tcW w:w="2430" w:type="dxa"/>
            <w:shd w:val="clear" w:color="auto" w:fill="CFE5E5"/>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135D4C" w:rsidP="00C74268">
            <w:pPr>
              <w:pStyle w:val="TableText"/>
              <w:spacing w:before="0" w:after="0"/>
              <w:jc w:val="center"/>
              <w:rPr>
                <w:sz w:val="17"/>
                <w:szCs w:val="17"/>
              </w:rPr>
            </w:pPr>
            <w:r w:rsidRPr="00F53BDD">
              <w:rPr>
                <w:sz w:val="17"/>
                <w:szCs w:val="17"/>
              </w:rPr>
              <w:t>I</w:t>
            </w:r>
            <w:r w:rsidR="00A37B38" w:rsidRPr="00F53BDD">
              <w:rPr>
                <w:sz w:val="17"/>
                <w:szCs w:val="17"/>
              </w:rPr>
              <w:t xml:space="preserve">ndependent from the industry and can </w:t>
            </w:r>
            <w:r w:rsidR="003B3DAD" w:rsidRPr="00F53BDD">
              <w:rPr>
                <w:sz w:val="17"/>
                <w:szCs w:val="17"/>
              </w:rPr>
              <w:t>advise</w:t>
            </w:r>
            <w:r w:rsidR="00A37B38" w:rsidRPr="00F53BDD">
              <w:rPr>
                <w:sz w:val="17"/>
                <w:szCs w:val="17"/>
              </w:rPr>
              <w:t xml:space="preserve"> </w:t>
            </w:r>
            <w:r w:rsidRPr="00F53BDD">
              <w:rPr>
                <w:sz w:val="17"/>
                <w:szCs w:val="17"/>
              </w:rPr>
              <w:t>the G</w:t>
            </w:r>
            <w:r w:rsidR="00A37B38" w:rsidRPr="00F53BDD">
              <w:rPr>
                <w:sz w:val="17"/>
                <w:szCs w:val="17"/>
              </w:rPr>
              <w:t>overnment on improvements to the ETS</w:t>
            </w:r>
          </w:p>
        </w:tc>
        <w:tc>
          <w:tcPr>
            <w:tcW w:w="0" w:type="auto"/>
            <w:shd w:val="clear" w:color="auto" w:fill="87BDBE"/>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B359CB">
            <w:pPr>
              <w:pStyle w:val="TableText"/>
              <w:spacing w:before="0"/>
              <w:jc w:val="center"/>
              <w:rPr>
                <w:sz w:val="17"/>
                <w:szCs w:val="17"/>
              </w:rPr>
            </w:pPr>
            <w:r w:rsidRPr="00F53BDD">
              <w:rPr>
                <w:sz w:val="17"/>
                <w:szCs w:val="17"/>
              </w:rPr>
              <w:t xml:space="preserve">Has access to market </w:t>
            </w:r>
            <w:r w:rsidR="003B3DAD" w:rsidRPr="00F53BDD">
              <w:rPr>
                <w:sz w:val="17"/>
                <w:szCs w:val="17"/>
              </w:rPr>
              <w:t>information and</w:t>
            </w:r>
            <w:r w:rsidRPr="00F53BDD">
              <w:rPr>
                <w:sz w:val="17"/>
                <w:szCs w:val="17"/>
              </w:rPr>
              <w:t xml:space="preserve"> can develop a deeper insight into market governance issues</w:t>
            </w:r>
          </w:p>
        </w:tc>
        <w:tc>
          <w:tcPr>
            <w:tcW w:w="0" w:type="auto"/>
            <w:tcBorders>
              <w:bottom w:val="single" w:sz="4" w:space="0" w:color="1C556C" w:themeColor="accent1"/>
            </w:tcBorders>
            <w:shd w:val="clear" w:color="auto" w:fill="57A3A4"/>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Can issue penalties for poor conduct</w:t>
            </w:r>
          </w:p>
        </w:tc>
        <w:tc>
          <w:tcPr>
            <w:tcW w:w="0" w:type="auto"/>
            <w:tcBorders>
              <w:bottom w:val="single" w:sz="4" w:space="0" w:color="1C556C" w:themeColor="accent1"/>
            </w:tcBorders>
            <w:shd w:val="clear" w:color="auto" w:fill="57A3A4"/>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Can issue penalties and amend the market rules to prevent further misconduct</w:t>
            </w:r>
          </w:p>
        </w:tc>
      </w:tr>
      <w:tr w:rsidR="00C74268" w:rsidRPr="00F53BDD" w:rsidTr="005032E6">
        <w:tc>
          <w:tcPr>
            <w:tcW w:w="1560" w:type="dxa"/>
          </w:tcPr>
          <w:p w:rsidR="00A37B38" w:rsidRPr="00F53BDD" w:rsidRDefault="00A37B38" w:rsidP="008D2BB4">
            <w:pPr>
              <w:pStyle w:val="TableTextbold"/>
              <w:spacing w:after="0" w:line="240" w:lineRule="auto"/>
              <w:rPr>
                <w:sz w:val="17"/>
                <w:szCs w:val="17"/>
              </w:rPr>
            </w:pPr>
            <w:r w:rsidRPr="00F53BDD">
              <w:rPr>
                <w:sz w:val="17"/>
                <w:szCs w:val="17"/>
              </w:rPr>
              <w:t>Minimal complexity and administrative cost</w:t>
            </w:r>
          </w:p>
        </w:tc>
        <w:tc>
          <w:tcPr>
            <w:tcW w:w="2126" w:type="dxa"/>
            <w:shd w:val="clear" w:color="auto" w:fill="EDB097"/>
          </w:tcPr>
          <w:p w:rsidR="00A37B38" w:rsidRPr="00F53BDD" w:rsidRDefault="00C74268" w:rsidP="00C74268">
            <w:pPr>
              <w:pStyle w:val="TableText"/>
              <w:spacing w:before="0" w:after="0"/>
              <w:jc w:val="center"/>
              <w:rPr>
                <w:sz w:val="17"/>
                <w:szCs w:val="17"/>
              </w:rPr>
            </w:pPr>
            <w:r w:rsidRPr="00F53BDD">
              <w:rPr>
                <w:sz w:val="17"/>
                <w:szCs w:val="17"/>
              </w:rPr>
              <w:t>x</w:t>
            </w:r>
          </w:p>
          <w:p w:rsidR="00A37B38" w:rsidRPr="00F53BDD" w:rsidRDefault="00A37B38" w:rsidP="00C74268">
            <w:pPr>
              <w:pStyle w:val="TableText"/>
              <w:spacing w:before="0" w:after="0"/>
              <w:jc w:val="center"/>
              <w:rPr>
                <w:sz w:val="17"/>
                <w:szCs w:val="17"/>
              </w:rPr>
            </w:pPr>
            <w:r w:rsidRPr="00F53BDD">
              <w:rPr>
                <w:sz w:val="17"/>
                <w:szCs w:val="17"/>
              </w:rPr>
              <w:t>Not having any governance makes the</w:t>
            </w:r>
            <w:r w:rsidR="00C74268" w:rsidRPr="00F53BDD">
              <w:rPr>
                <w:sz w:val="17"/>
                <w:szCs w:val="17"/>
              </w:rPr>
              <w:t xml:space="preserve"> </w:t>
            </w:r>
            <w:r w:rsidR="00135D4C" w:rsidRPr="00F53BDD">
              <w:rPr>
                <w:sz w:val="17"/>
                <w:szCs w:val="17"/>
              </w:rPr>
              <w:t>NZ</w:t>
            </w:r>
            <w:r w:rsidR="00C74268" w:rsidRPr="00F53BDD">
              <w:rPr>
                <w:sz w:val="17"/>
                <w:szCs w:val="17"/>
              </w:rPr>
              <w:t> </w:t>
            </w:r>
            <w:r w:rsidRPr="00F53BDD">
              <w:rPr>
                <w:sz w:val="17"/>
                <w:szCs w:val="17"/>
              </w:rPr>
              <w:t>ETS difficult to understand and navigate</w:t>
            </w:r>
          </w:p>
        </w:tc>
        <w:tc>
          <w:tcPr>
            <w:tcW w:w="1984" w:type="dxa"/>
            <w:tcBorders>
              <w:bottom w:val="single" w:sz="4" w:space="0" w:color="1C556C" w:themeColor="accent1"/>
            </w:tcBorders>
            <w:shd w:val="clear" w:color="auto" w:fill="CFE5E5"/>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Potentially low administrative cost for industry</w:t>
            </w:r>
          </w:p>
        </w:tc>
        <w:tc>
          <w:tcPr>
            <w:tcW w:w="2430" w:type="dxa"/>
            <w:tcBorders>
              <w:bottom w:val="single" w:sz="4" w:space="0" w:color="1C556C" w:themeColor="accent1"/>
            </w:tcBorders>
            <w:shd w:val="clear" w:color="auto" w:fill="CFE5E5"/>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 xml:space="preserve">Some administrative cost to </w:t>
            </w:r>
            <w:r w:rsidR="00135D4C" w:rsidRPr="00F53BDD">
              <w:rPr>
                <w:sz w:val="17"/>
                <w:szCs w:val="17"/>
              </w:rPr>
              <w:t>the G</w:t>
            </w:r>
            <w:r w:rsidRPr="00F53BDD">
              <w:rPr>
                <w:sz w:val="17"/>
                <w:szCs w:val="17"/>
              </w:rPr>
              <w:t>overnment, but with limited data collection powers</w:t>
            </w:r>
          </w:p>
        </w:tc>
        <w:tc>
          <w:tcPr>
            <w:tcW w:w="0" w:type="auto"/>
            <w:shd w:val="clear" w:color="auto" w:fill="87BDBE"/>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 xml:space="preserve">Some administrative cost to </w:t>
            </w:r>
            <w:r w:rsidR="00135D4C" w:rsidRPr="00F53BDD">
              <w:rPr>
                <w:sz w:val="17"/>
                <w:szCs w:val="17"/>
              </w:rPr>
              <w:t>the G</w:t>
            </w:r>
            <w:r w:rsidRPr="00F53BDD">
              <w:rPr>
                <w:sz w:val="17"/>
                <w:szCs w:val="17"/>
              </w:rPr>
              <w:t>overnment</w:t>
            </w:r>
          </w:p>
        </w:tc>
        <w:tc>
          <w:tcPr>
            <w:tcW w:w="0" w:type="auto"/>
            <w:tcBorders>
              <w:bottom w:val="single" w:sz="4" w:space="0" w:color="1C556C" w:themeColor="accent1"/>
            </w:tcBorders>
            <w:shd w:val="clear" w:color="auto" w:fill="CFE5E5"/>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B359CB">
            <w:pPr>
              <w:pStyle w:val="TableText"/>
              <w:spacing w:before="0"/>
              <w:jc w:val="center"/>
              <w:rPr>
                <w:sz w:val="17"/>
                <w:szCs w:val="17"/>
              </w:rPr>
            </w:pPr>
            <w:r w:rsidRPr="00F53BDD">
              <w:rPr>
                <w:sz w:val="17"/>
                <w:szCs w:val="17"/>
              </w:rPr>
              <w:t>More functions to administer, therefore higher cost and complexity</w:t>
            </w:r>
          </w:p>
        </w:tc>
        <w:tc>
          <w:tcPr>
            <w:tcW w:w="0" w:type="auto"/>
            <w:tcBorders>
              <w:bottom w:val="single" w:sz="4" w:space="0" w:color="1C556C" w:themeColor="accent1"/>
            </w:tcBorders>
            <w:shd w:val="clear" w:color="auto" w:fill="EDB097"/>
          </w:tcPr>
          <w:p w:rsidR="00A37B38" w:rsidRPr="00F53BDD" w:rsidRDefault="00C74268" w:rsidP="00C74268">
            <w:pPr>
              <w:pStyle w:val="TableText"/>
              <w:spacing w:before="0" w:after="0"/>
              <w:jc w:val="center"/>
              <w:rPr>
                <w:sz w:val="17"/>
                <w:szCs w:val="17"/>
              </w:rPr>
            </w:pPr>
            <w:r w:rsidRPr="00F53BDD">
              <w:rPr>
                <w:sz w:val="17"/>
                <w:szCs w:val="17"/>
              </w:rPr>
              <w:t>x</w:t>
            </w:r>
          </w:p>
          <w:p w:rsidR="00A37B38" w:rsidRPr="00F53BDD" w:rsidRDefault="00A37B38" w:rsidP="00C74268">
            <w:pPr>
              <w:pStyle w:val="TableText"/>
              <w:spacing w:before="0" w:after="0"/>
              <w:jc w:val="center"/>
              <w:rPr>
                <w:sz w:val="17"/>
                <w:szCs w:val="17"/>
              </w:rPr>
            </w:pPr>
            <w:r w:rsidRPr="00F53BDD">
              <w:rPr>
                <w:sz w:val="17"/>
                <w:szCs w:val="17"/>
              </w:rPr>
              <w:t>The most expensive and complex options to administer</w:t>
            </w:r>
          </w:p>
        </w:tc>
      </w:tr>
      <w:tr w:rsidR="00C74268" w:rsidRPr="00F53BDD" w:rsidTr="005032E6">
        <w:tc>
          <w:tcPr>
            <w:tcW w:w="1560" w:type="dxa"/>
          </w:tcPr>
          <w:p w:rsidR="00A37B38" w:rsidRPr="00F53BDD" w:rsidRDefault="00A37B38" w:rsidP="008D2BB4">
            <w:pPr>
              <w:pStyle w:val="TableTextbold"/>
              <w:spacing w:after="0" w:line="240" w:lineRule="auto"/>
              <w:rPr>
                <w:sz w:val="17"/>
                <w:szCs w:val="17"/>
              </w:rPr>
            </w:pPr>
            <w:r w:rsidRPr="00F53BDD">
              <w:rPr>
                <w:sz w:val="17"/>
                <w:szCs w:val="17"/>
              </w:rPr>
              <w:t>Consistency and proportionality</w:t>
            </w:r>
          </w:p>
        </w:tc>
        <w:tc>
          <w:tcPr>
            <w:tcW w:w="2126" w:type="dxa"/>
            <w:shd w:val="clear" w:color="auto" w:fill="EDB097"/>
          </w:tcPr>
          <w:p w:rsidR="00A37B38" w:rsidRPr="00F53BDD" w:rsidRDefault="00C74268" w:rsidP="00C74268">
            <w:pPr>
              <w:pStyle w:val="TableText"/>
              <w:spacing w:before="0" w:after="0"/>
              <w:jc w:val="center"/>
              <w:rPr>
                <w:sz w:val="17"/>
                <w:szCs w:val="17"/>
              </w:rPr>
            </w:pPr>
            <w:r w:rsidRPr="00F53BDD">
              <w:rPr>
                <w:sz w:val="17"/>
                <w:szCs w:val="17"/>
              </w:rPr>
              <w:t>x</w:t>
            </w:r>
          </w:p>
          <w:p w:rsidR="00A37B38" w:rsidRPr="00F53BDD" w:rsidRDefault="00A37B38" w:rsidP="00C74268">
            <w:pPr>
              <w:pStyle w:val="TableText"/>
              <w:spacing w:before="0" w:after="0"/>
              <w:jc w:val="center"/>
              <w:rPr>
                <w:sz w:val="17"/>
                <w:szCs w:val="17"/>
              </w:rPr>
            </w:pPr>
            <w:r w:rsidRPr="00F53BDD">
              <w:rPr>
                <w:sz w:val="17"/>
                <w:szCs w:val="17"/>
              </w:rPr>
              <w:t>Markets and international ETS</w:t>
            </w:r>
            <w:r w:rsidR="00135D4C" w:rsidRPr="00F53BDD">
              <w:rPr>
                <w:sz w:val="17"/>
                <w:szCs w:val="17"/>
              </w:rPr>
              <w:t>s</w:t>
            </w:r>
            <w:r w:rsidRPr="00F53BDD">
              <w:rPr>
                <w:sz w:val="17"/>
                <w:szCs w:val="17"/>
              </w:rPr>
              <w:t xml:space="preserve"> ordinarily have some form of governance</w:t>
            </w:r>
          </w:p>
        </w:tc>
        <w:tc>
          <w:tcPr>
            <w:tcW w:w="1984" w:type="dxa"/>
            <w:shd w:val="clear" w:color="auto" w:fill="EDB097"/>
          </w:tcPr>
          <w:p w:rsidR="00A37B38" w:rsidRPr="00F53BDD" w:rsidRDefault="00C74268" w:rsidP="00C74268">
            <w:pPr>
              <w:pStyle w:val="TableText"/>
              <w:spacing w:before="0" w:after="0"/>
              <w:jc w:val="center"/>
              <w:rPr>
                <w:sz w:val="17"/>
                <w:szCs w:val="17"/>
              </w:rPr>
            </w:pPr>
            <w:r w:rsidRPr="00F53BDD">
              <w:rPr>
                <w:sz w:val="17"/>
                <w:szCs w:val="17"/>
              </w:rPr>
              <w:t>x</w:t>
            </w:r>
          </w:p>
          <w:p w:rsidR="00A37B38" w:rsidRPr="00F53BDD" w:rsidRDefault="00A37B38" w:rsidP="00C74268">
            <w:pPr>
              <w:pStyle w:val="TableText"/>
              <w:spacing w:before="0" w:after="0"/>
              <w:jc w:val="center"/>
              <w:rPr>
                <w:sz w:val="17"/>
                <w:szCs w:val="17"/>
              </w:rPr>
            </w:pPr>
            <w:r w:rsidRPr="00F53BDD">
              <w:rPr>
                <w:sz w:val="17"/>
                <w:szCs w:val="17"/>
              </w:rPr>
              <w:t>Not proportional to the potential risk of misconduct and final harm</w:t>
            </w:r>
          </w:p>
        </w:tc>
        <w:tc>
          <w:tcPr>
            <w:tcW w:w="2430" w:type="dxa"/>
            <w:shd w:val="clear" w:color="auto" w:fill="CFE5E5"/>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The independent nature of an advisory regulator supports effective governance</w:t>
            </w:r>
          </w:p>
        </w:tc>
        <w:tc>
          <w:tcPr>
            <w:tcW w:w="0" w:type="auto"/>
            <w:shd w:val="clear" w:color="auto" w:fill="87BDBE"/>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Monitoring and reporting powers provide better detection and insight into misconduct</w:t>
            </w:r>
          </w:p>
        </w:tc>
        <w:tc>
          <w:tcPr>
            <w:tcW w:w="0" w:type="auto"/>
            <w:shd w:val="clear" w:color="auto" w:fill="57A3A4"/>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The ability to enforce compliance effective for good governance</w:t>
            </w:r>
          </w:p>
        </w:tc>
        <w:tc>
          <w:tcPr>
            <w:tcW w:w="0" w:type="auto"/>
            <w:tcBorders>
              <w:bottom w:val="single" w:sz="4" w:space="0" w:color="1C556C" w:themeColor="accent1"/>
            </w:tcBorders>
            <w:shd w:val="clear" w:color="auto" w:fill="CFE5E5"/>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The ability to amend market rules may not be proportional at this stage</w:t>
            </w:r>
          </w:p>
        </w:tc>
      </w:tr>
      <w:tr w:rsidR="00C74268" w:rsidRPr="00F53BDD" w:rsidTr="005032E6">
        <w:tc>
          <w:tcPr>
            <w:tcW w:w="1560" w:type="dxa"/>
          </w:tcPr>
          <w:p w:rsidR="00A37B38" w:rsidRPr="00F53BDD" w:rsidRDefault="00A37B38" w:rsidP="008D2BB4">
            <w:pPr>
              <w:pStyle w:val="TableTextbold"/>
              <w:spacing w:after="0" w:line="240" w:lineRule="auto"/>
              <w:rPr>
                <w:sz w:val="17"/>
                <w:szCs w:val="17"/>
              </w:rPr>
            </w:pPr>
            <w:r w:rsidRPr="00F53BDD">
              <w:rPr>
                <w:sz w:val="17"/>
                <w:szCs w:val="17"/>
              </w:rPr>
              <w:t>Clarity and transparency</w:t>
            </w:r>
          </w:p>
        </w:tc>
        <w:tc>
          <w:tcPr>
            <w:tcW w:w="2126" w:type="dxa"/>
            <w:shd w:val="clear" w:color="auto" w:fill="EDB097"/>
          </w:tcPr>
          <w:p w:rsidR="00A37B38" w:rsidRPr="00F53BDD" w:rsidRDefault="00C74268" w:rsidP="00C74268">
            <w:pPr>
              <w:pStyle w:val="TableText"/>
              <w:spacing w:before="0" w:after="0"/>
              <w:jc w:val="center"/>
              <w:rPr>
                <w:sz w:val="17"/>
                <w:szCs w:val="17"/>
              </w:rPr>
            </w:pPr>
            <w:r w:rsidRPr="00F53BDD">
              <w:rPr>
                <w:sz w:val="17"/>
                <w:szCs w:val="17"/>
              </w:rPr>
              <w:t>x</w:t>
            </w:r>
          </w:p>
          <w:p w:rsidR="00A37B38" w:rsidRPr="00F53BDD" w:rsidRDefault="00A37B38" w:rsidP="00C74268">
            <w:pPr>
              <w:pStyle w:val="TableText"/>
              <w:spacing w:before="0" w:after="0"/>
              <w:jc w:val="center"/>
              <w:rPr>
                <w:sz w:val="17"/>
                <w:szCs w:val="17"/>
              </w:rPr>
            </w:pPr>
            <w:r w:rsidRPr="00F53BDD">
              <w:rPr>
                <w:sz w:val="17"/>
                <w:szCs w:val="17"/>
              </w:rPr>
              <w:t>OTC trades provide no transparency of conduct</w:t>
            </w:r>
          </w:p>
        </w:tc>
        <w:tc>
          <w:tcPr>
            <w:tcW w:w="1984" w:type="dxa"/>
            <w:shd w:val="clear" w:color="auto" w:fill="EDB097"/>
          </w:tcPr>
          <w:p w:rsidR="00A37B38" w:rsidRPr="00F53BDD" w:rsidRDefault="00C74268" w:rsidP="00C74268">
            <w:pPr>
              <w:pStyle w:val="TableText"/>
              <w:spacing w:before="0" w:after="0"/>
              <w:jc w:val="center"/>
              <w:rPr>
                <w:sz w:val="17"/>
                <w:szCs w:val="17"/>
              </w:rPr>
            </w:pPr>
            <w:r w:rsidRPr="00F53BDD">
              <w:rPr>
                <w:sz w:val="17"/>
                <w:szCs w:val="17"/>
              </w:rPr>
              <w:t>x</w:t>
            </w:r>
          </w:p>
          <w:p w:rsidR="00A37B38" w:rsidRPr="00F53BDD" w:rsidRDefault="00A37B38" w:rsidP="00C74268">
            <w:pPr>
              <w:pStyle w:val="TableText"/>
              <w:spacing w:before="0" w:after="0"/>
              <w:jc w:val="center"/>
              <w:rPr>
                <w:sz w:val="17"/>
                <w:szCs w:val="17"/>
              </w:rPr>
            </w:pPr>
            <w:r w:rsidRPr="00F53BDD">
              <w:rPr>
                <w:sz w:val="17"/>
                <w:szCs w:val="17"/>
              </w:rPr>
              <w:t>Provides little additional insight into market behaviour and misconduct</w:t>
            </w:r>
          </w:p>
        </w:tc>
        <w:tc>
          <w:tcPr>
            <w:tcW w:w="2430" w:type="dxa"/>
            <w:tcBorders>
              <w:bottom w:val="single" w:sz="4" w:space="0" w:color="1C556C" w:themeColor="accent1"/>
            </w:tcBorders>
            <w:shd w:val="clear" w:color="auto" w:fill="CFE5E5"/>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An independent regulator ensures misconduct is reported where discovered. However, limited transparency due to lack of information collecting powers</w:t>
            </w:r>
          </w:p>
        </w:tc>
        <w:tc>
          <w:tcPr>
            <w:tcW w:w="0" w:type="auto"/>
            <w:tcBorders>
              <w:bottom w:val="single" w:sz="4" w:space="0" w:color="1C556C" w:themeColor="accent1"/>
            </w:tcBorders>
            <w:shd w:val="clear" w:color="auto" w:fill="87BDBE"/>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Monitoring and reporting powers provides better detection and insight into misconduct</w:t>
            </w:r>
          </w:p>
        </w:tc>
        <w:tc>
          <w:tcPr>
            <w:tcW w:w="0" w:type="auto"/>
            <w:tcBorders>
              <w:bottom w:val="single" w:sz="4" w:space="0" w:color="1C556C" w:themeColor="accent1"/>
            </w:tcBorders>
            <w:shd w:val="clear" w:color="auto" w:fill="57A3A4"/>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Enforcement and penalties send a public signal to industry of acceptable behaviour</w:t>
            </w:r>
          </w:p>
        </w:tc>
        <w:tc>
          <w:tcPr>
            <w:tcW w:w="0" w:type="auto"/>
            <w:tcBorders>
              <w:bottom w:val="single" w:sz="4" w:space="0" w:color="1C556C" w:themeColor="accent1"/>
            </w:tcBorders>
            <w:shd w:val="clear" w:color="auto" w:fill="57A3A4"/>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Market rules are clear and transparent, and amended in consultation with industry</w:t>
            </w:r>
          </w:p>
        </w:tc>
      </w:tr>
      <w:tr w:rsidR="00C74268" w:rsidRPr="00F53BDD" w:rsidTr="00C74268">
        <w:tc>
          <w:tcPr>
            <w:tcW w:w="1560" w:type="dxa"/>
          </w:tcPr>
          <w:p w:rsidR="00A37B38" w:rsidRPr="00F53BDD" w:rsidRDefault="00A37B38" w:rsidP="008D2BB4">
            <w:pPr>
              <w:pStyle w:val="TableTextbold"/>
              <w:spacing w:after="0" w:line="240" w:lineRule="auto"/>
              <w:rPr>
                <w:sz w:val="17"/>
                <w:szCs w:val="17"/>
              </w:rPr>
            </w:pPr>
            <w:r w:rsidRPr="00F53BDD">
              <w:rPr>
                <w:sz w:val="17"/>
                <w:szCs w:val="17"/>
              </w:rPr>
              <w:t>Market efficiency</w:t>
            </w:r>
          </w:p>
        </w:tc>
        <w:tc>
          <w:tcPr>
            <w:tcW w:w="2126" w:type="dxa"/>
            <w:shd w:val="clear" w:color="auto" w:fill="EDB097"/>
          </w:tcPr>
          <w:p w:rsidR="00A37B38" w:rsidRPr="00F53BDD" w:rsidRDefault="00C74268" w:rsidP="00C74268">
            <w:pPr>
              <w:pStyle w:val="TableText"/>
              <w:spacing w:before="0" w:after="0"/>
              <w:jc w:val="center"/>
              <w:rPr>
                <w:sz w:val="17"/>
                <w:szCs w:val="17"/>
              </w:rPr>
            </w:pPr>
            <w:r w:rsidRPr="00F53BDD">
              <w:rPr>
                <w:sz w:val="17"/>
                <w:szCs w:val="17"/>
              </w:rPr>
              <w:t>x</w:t>
            </w:r>
          </w:p>
          <w:p w:rsidR="00A37B38" w:rsidRPr="00F53BDD" w:rsidRDefault="00A37B38" w:rsidP="00C74268">
            <w:pPr>
              <w:pStyle w:val="TableText"/>
              <w:spacing w:before="0" w:after="0"/>
              <w:jc w:val="center"/>
              <w:rPr>
                <w:sz w:val="17"/>
                <w:szCs w:val="17"/>
              </w:rPr>
            </w:pPr>
            <w:r w:rsidRPr="00F53BDD">
              <w:rPr>
                <w:sz w:val="17"/>
                <w:szCs w:val="17"/>
              </w:rPr>
              <w:t>OTC trades provide no information useful for price discovery</w:t>
            </w:r>
          </w:p>
        </w:tc>
        <w:tc>
          <w:tcPr>
            <w:tcW w:w="1984" w:type="dxa"/>
            <w:shd w:val="clear" w:color="auto" w:fill="EDB097"/>
          </w:tcPr>
          <w:p w:rsidR="00A37B38" w:rsidRPr="00F53BDD" w:rsidRDefault="00C74268" w:rsidP="00C74268">
            <w:pPr>
              <w:pStyle w:val="TableText"/>
              <w:spacing w:before="0" w:after="0"/>
              <w:jc w:val="center"/>
              <w:rPr>
                <w:sz w:val="17"/>
                <w:szCs w:val="17"/>
              </w:rPr>
            </w:pPr>
            <w:r w:rsidRPr="00F53BDD">
              <w:rPr>
                <w:sz w:val="17"/>
                <w:szCs w:val="17"/>
              </w:rPr>
              <w:t>x</w:t>
            </w:r>
          </w:p>
          <w:p w:rsidR="00A37B38" w:rsidRPr="00F53BDD" w:rsidRDefault="00A37B38" w:rsidP="00C74268">
            <w:pPr>
              <w:pStyle w:val="TableText"/>
              <w:spacing w:before="0" w:after="0"/>
              <w:jc w:val="center"/>
              <w:rPr>
                <w:sz w:val="17"/>
                <w:szCs w:val="17"/>
              </w:rPr>
            </w:pPr>
            <w:r w:rsidRPr="00F53BDD">
              <w:rPr>
                <w:sz w:val="17"/>
                <w:szCs w:val="17"/>
              </w:rPr>
              <w:t>No obligation to report or provide any information useful for price discovery</w:t>
            </w:r>
          </w:p>
        </w:tc>
        <w:tc>
          <w:tcPr>
            <w:tcW w:w="2430" w:type="dxa"/>
            <w:tcBorders>
              <w:right w:val="single" w:sz="4" w:space="0" w:color="1C556C" w:themeColor="accent1"/>
            </w:tcBorders>
            <w:shd w:val="clear" w:color="auto" w:fill="EDB097"/>
          </w:tcPr>
          <w:p w:rsidR="00A37B38" w:rsidRPr="00F53BDD" w:rsidRDefault="00C74268" w:rsidP="00C74268">
            <w:pPr>
              <w:pStyle w:val="TableText"/>
              <w:spacing w:before="0" w:after="0"/>
              <w:jc w:val="center"/>
              <w:rPr>
                <w:sz w:val="17"/>
                <w:szCs w:val="17"/>
              </w:rPr>
            </w:pPr>
            <w:r w:rsidRPr="00F53BDD">
              <w:rPr>
                <w:sz w:val="17"/>
                <w:szCs w:val="17"/>
              </w:rPr>
              <w:t>x</w:t>
            </w:r>
          </w:p>
          <w:p w:rsidR="00A37B38" w:rsidRPr="00F53BDD" w:rsidRDefault="00A37B38" w:rsidP="00C74268">
            <w:pPr>
              <w:pStyle w:val="TableText"/>
              <w:spacing w:before="0" w:after="0"/>
              <w:jc w:val="center"/>
              <w:rPr>
                <w:sz w:val="17"/>
                <w:szCs w:val="17"/>
              </w:rPr>
            </w:pPr>
            <w:r w:rsidRPr="00F53BDD">
              <w:rPr>
                <w:sz w:val="17"/>
                <w:szCs w:val="17"/>
              </w:rPr>
              <w:t>Some limited reporting helps with price discovery</w:t>
            </w:r>
          </w:p>
        </w:tc>
        <w:tc>
          <w:tcPr>
            <w:tcW w:w="0" w:type="auto"/>
            <w:tcBorders>
              <w:left w:val="single" w:sz="4" w:space="0" w:color="1C556C" w:themeColor="accent1"/>
            </w:tcBorders>
            <w:shd w:val="clear" w:color="auto" w:fill="57A3A4"/>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Access to market information and public reporting aid</w:t>
            </w:r>
            <w:r w:rsidR="00135D4C" w:rsidRPr="00F53BDD">
              <w:rPr>
                <w:sz w:val="17"/>
                <w:szCs w:val="17"/>
              </w:rPr>
              <w:t>s</w:t>
            </w:r>
            <w:r w:rsidRPr="00F53BDD">
              <w:rPr>
                <w:sz w:val="17"/>
                <w:szCs w:val="17"/>
              </w:rPr>
              <w:t xml:space="preserve"> price discovery</w:t>
            </w:r>
          </w:p>
        </w:tc>
        <w:tc>
          <w:tcPr>
            <w:tcW w:w="0" w:type="auto"/>
            <w:shd w:val="clear" w:color="auto" w:fill="57A3A4"/>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Access to market information and public reporting aids price discovery</w:t>
            </w:r>
          </w:p>
        </w:tc>
        <w:tc>
          <w:tcPr>
            <w:tcW w:w="0" w:type="auto"/>
            <w:shd w:val="clear" w:color="auto" w:fill="57A3A4"/>
          </w:tcPr>
          <w:p w:rsidR="00A37B38" w:rsidRPr="00F53BDD" w:rsidRDefault="00A37B38" w:rsidP="00C7426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C74268">
            <w:pPr>
              <w:pStyle w:val="TableText"/>
              <w:spacing w:before="0" w:after="0"/>
              <w:jc w:val="center"/>
              <w:rPr>
                <w:sz w:val="17"/>
                <w:szCs w:val="17"/>
              </w:rPr>
            </w:pPr>
            <w:r w:rsidRPr="00F53BDD">
              <w:rPr>
                <w:sz w:val="17"/>
                <w:szCs w:val="17"/>
              </w:rPr>
              <w:t>Access to market information and public reporting aids price discovery</w:t>
            </w:r>
          </w:p>
        </w:tc>
      </w:tr>
      <w:tr w:rsidR="00A37B38" w:rsidRPr="00F53BDD" w:rsidTr="00C74268">
        <w:tc>
          <w:tcPr>
            <w:tcW w:w="0" w:type="auto"/>
            <w:gridSpan w:val="7"/>
          </w:tcPr>
          <w:p w:rsidR="008D2BB4" w:rsidRPr="00F53BDD" w:rsidRDefault="008D2BB4" w:rsidP="008D2BB4">
            <w:pPr>
              <w:tabs>
                <w:tab w:val="left" w:pos="580"/>
              </w:tabs>
              <w:spacing w:before="0" w:after="60" w:line="240" w:lineRule="atLeast"/>
              <w:contextualSpacing/>
              <w:rPr>
                <w:rFonts w:eastAsia="Times New Roman"/>
                <w:sz w:val="17"/>
                <w:szCs w:val="17"/>
              </w:rPr>
            </w:pPr>
            <w:r w:rsidRPr="00F53BDD">
              <w:rPr>
                <w:rFonts w:ascii="Segoe UI Symbol" w:eastAsia="Times New Roman" w:hAnsi="Segoe UI Symbol" w:cs="Segoe UI Symbol"/>
                <w:sz w:val="17"/>
                <w:szCs w:val="17"/>
                <w:shd w:val="clear" w:color="auto" w:fill="57A3A4"/>
              </w:rPr>
              <w:t>✓✓✓</w:t>
            </w:r>
            <w:r w:rsidRPr="00F53BDD">
              <w:rPr>
                <w:rFonts w:eastAsia="Times New Roman"/>
                <w:sz w:val="17"/>
                <w:szCs w:val="17"/>
              </w:rPr>
              <w:tab/>
              <w:t>Strongly meets criteria</w:t>
            </w:r>
          </w:p>
          <w:p w:rsidR="008D2BB4" w:rsidRPr="00F53BDD" w:rsidRDefault="008D2BB4" w:rsidP="008D2BB4">
            <w:pPr>
              <w:tabs>
                <w:tab w:val="left" w:pos="580"/>
              </w:tabs>
              <w:spacing w:before="0" w:after="0" w:line="240" w:lineRule="atLeast"/>
              <w:contextualSpacing/>
              <w:rPr>
                <w:rFonts w:eastAsia="Times New Roman"/>
                <w:sz w:val="17"/>
                <w:szCs w:val="17"/>
              </w:rPr>
            </w:pPr>
            <w:r w:rsidRPr="00F53BDD">
              <w:rPr>
                <w:rFonts w:ascii="Segoe UI Symbol" w:eastAsia="Times New Roman" w:hAnsi="Segoe UI Symbol" w:cs="Segoe UI Symbol"/>
                <w:sz w:val="17"/>
                <w:szCs w:val="17"/>
                <w:shd w:val="clear" w:color="auto" w:fill="87BDBE"/>
              </w:rPr>
              <w:t>✓✓</w:t>
            </w:r>
            <w:r w:rsidRPr="00F53BDD">
              <w:rPr>
                <w:rFonts w:eastAsia="Times New Roman"/>
                <w:sz w:val="17"/>
                <w:szCs w:val="17"/>
              </w:rPr>
              <w:tab/>
              <w:t>Meets criteria</w:t>
            </w:r>
          </w:p>
          <w:p w:rsidR="001F00AC" w:rsidRPr="00F53BDD" w:rsidRDefault="008D2BB4" w:rsidP="008D2BB4">
            <w:pPr>
              <w:tabs>
                <w:tab w:val="left" w:pos="580"/>
              </w:tabs>
              <w:spacing w:before="0" w:after="0" w:line="240" w:lineRule="atLeast"/>
              <w:contextualSpacing/>
              <w:rPr>
                <w:rFonts w:eastAsia="Times New Roman"/>
                <w:sz w:val="17"/>
                <w:szCs w:val="17"/>
              </w:rPr>
            </w:pPr>
            <w:r w:rsidRPr="00F53BDD">
              <w:rPr>
                <w:rFonts w:ascii="Segoe UI Symbol" w:eastAsia="Times New Roman" w:hAnsi="Segoe UI Symbol" w:cs="Segoe UI Symbol"/>
                <w:sz w:val="17"/>
                <w:szCs w:val="17"/>
                <w:shd w:val="clear" w:color="auto" w:fill="CFE5E5"/>
              </w:rPr>
              <w:t>✓</w:t>
            </w:r>
            <w:r w:rsidRPr="00F53BDD">
              <w:rPr>
                <w:rFonts w:eastAsia="Times New Roman"/>
                <w:sz w:val="17"/>
                <w:szCs w:val="17"/>
              </w:rPr>
              <w:tab/>
              <w:t>Partially meets criteria</w:t>
            </w:r>
          </w:p>
          <w:p w:rsidR="00A37B38" w:rsidRPr="008D2BB4" w:rsidRDefault="008D2BB4" w:rsidP="008D2BB4">
            <w:pPr>
              <w:tabs>
                <w:tab w:val="left" w:pos="605"/>
              </w:tabs>
              <w:spacing w:before="0" w:after="0" w:line="240" w:lineRule="auto"/>
              <w:contextualSpacing/>
              <w:rPr>
                <w:rFonts w:ascii="Segoe UI Symbol" w:eastAsia="Times New Roman" w:hAnsi="Segoe UI Symbol" w:cs="Segoe UI Symbol"/>
                <w:sz w:val="17"/>
                <w:szCs w:val="17"/>
                <w:shd w:val="clear" w:color="auto" w:fill="57A3A4"/>
              </w:rPr>
            </w:pPr>
            <w:r w:rsidRPr="00F53BDD">
              <w:rPr>
                <w:rFonts w:eastAsia="Times New Roman" w:cs="Segoe UI Symbol"/>
                <w:sz w:val="17"/>
                <w:szCs w:val="17"/>
                <w:shd w:val="clear" w:color="auto" w:fill="EDB097"/>
              </w:rPr>
              <w:t>x</w:t>
            </w:r>
            <w:r w:rsidRPr="00F53BDD">
              <w:rPr>
                <w:rFonts w:eastAsia="Times New Roman"/>
                <w:sz w:val="17"/>
                <w:szCs w:val="17"/>
              </w:rPr>
              <w:tab/>
              <w:t>Does not meet criteria</w:t>
            </w:r>
          </w:p>
        </w:tc>
      </w:tr>
    </w:tbl>
    <w:p w:rsidR="00A37B38" w:rsidRPr="00F53BDD" w:rsidRDefault="00A37B38" w:rsidP="00A37B38">
      <w:pPr>
        <w:pStyle w:val="Heading1"/>
        <w:spacing w:after="0"/>
      </w:pPr>
      <w:bookmarkStart w:id="139" w:name="_Appendix_D:_Analysis"/>
      <w:bookmarkStart w:id="140" w:name="_Toc72152972"/>
      <w:bookmarkStart w:id="141" w:name="_Toc75250103"/>
      <w:bookmarkEnd w:id="139"/>
      <w:r w:rsidRPr="00F53BDD">
        <w:t xml:space="preserve">Appendix D: </w:t>
      </w:r>
      <w:bookmarkEnd w:id="140"/>
      <w:r w:rsidR="00872FAA" w:rsidRPr="00F53BDD">
        <w:t>Analysis of scenarios</w:t>
      </w:r>
      <w:bookmarkEnd w:id="141"/>
    </w:p>
    <w:p w:rsidR="008C6B56" w:rsidRPr="00F53BDD" w:rsidRDefault="008C6B56" w:rsidP="00C74268">
      <w:pPr>
        <w:pStyle w:val="BodyText"/>
      </w:pPr>
      <w:bookmarkStart w:id="142" w:name="_Toc72152973"/>
      <w:r w:rsidRPr="00F53BDD">
        <w:t xml:space="preserve">These tables set out the assessment of the three scenarios that combine different options – see </w:t>
      </w:r>
      <w:hyperlink w:anchor="_Section_8:_Scenarios" w:history="1">
        <w:r w:rsidRPr="00F53BDD">
          <w:rPr>
            <w:rStyle w:val="Hyperlink"/>
          </w:rPr>
          <w:t>section 8</w:t>
        </w:r>
      </w:hyperlink>
      <w:r w:rsidRPr="00F53BDD">
        <w:t>.</w:t>
      </w:r>
    </w:p>
    <w:p w:rsidR="00A37B38" w:rsidRPr="00F53BDD" w:rsidRDefault="00A37B38" w:rsidP="00545135">
      <w:pPr>
        <w:pStyle w:val="Heading3"/>
        <w:rPr>
          <w:color w:val="2C9986" w:themeColor="accent4"/>
          <w:sz w:val="36"/>
          <w:szCs w:val="36"/>
        </w:rPr>
      </w:pPr>
      <w:r w:rsidRPr="00F53BDD">
        <w:rPr>
          <w:color w:val="2C9986" w:themeColor="accent4"/>
          <w:sz w:val="36"/>
          <w:szCs w:val="36"/>
        </w:rPr>
        <w:t xml:space="preserve">Non-regulatory </w:t>
      </w:r>
      <w:r w:rsidR="000634FC" w:rsidRPr="00F53BDD">
        <w:rPr>
          <w:color w:val="2C9986" w:themeColor="accent4"/>
          <w:sz w:val="36"/>
          <w:szCs w:val="36"/>
        </w:rPr>
        <w:t>s</w:t>
      </w:r>
      <w:r w:rsidRPr="00F53BDD">
        <w:rPr>
          <w:color w:val="2C9986" w:themeColor="accent4"/>
          <w:sz w:val="36"/>
          <w:szCs w:val="36"/>
        </w:rPr>
        <w:t>cenario</w:t>
      </w:r>
      <w:bookmarkEnd w:id="142"/>
    </w:p>
    <w:p w:rsidR="00A37B38" w:rsidRPr="00F53BDD" w:rsidRDefault="00A37B38" w:rsidP="00E31DF2">
      <w:pPr>
        <w:pStyle w:val="Tableheading"/>
      </w:pPr>
      <w:bookmarkStart w:id="143" w:name="_Toc75250120"/>
      <w:r w:rsidRPr="00F53BDD">
        <w:t xml:space="preserve">Table </w:t>
      </w:r>
      <w:r w:rsidR="009A5D60" w:rsidRPr="00F53BDD">
        <w:t>1</w:t>
      </w:r>
      <w:r w:rsidR="006218BD">
        <w:t>8</w:t>
      </w:r>
      <w:r w:rsidRPr="00F53BDD">
        <w:t xml:space="preserve">: </w:t>
      </w:r>
      <w:r w:rsidR="00E31DF2" w:rsidRPr="00F53BDD">
        <w:tab/>
      </w:r>
      <w:r w:rsidRPr="00F53BDD">
        <w:t>Risk coverage</w:t>
      </w:r>
      <w:r w:rsidR="00E27749" w:rsidRPr="00F53BDD">
        <w:t xml:space="preserve"> analysis</w:t>
      </w:r>
      <w:r w:rsidRPr="00F53BDD">
        <w:t xml:space="preserve"> </w:t>
      </w:r>
      <w:r w:rsidR="00872FAA" w:rsidRPr="00F53BDD">
        <w:t xml:space="preserve">of </w:t>
      </w:r>
      <w:r w:rsidRPr="00F53BDD">
        <w:t xml:space="preserve">non-regulatory </w:t>
      </w:r>
      <w:r w:rsidR="00E27749" w:rsidRPr="00F53BDD">
        <w:t>scenario</w:t>
      </w:r>
      <w:bookmarkEnd w:id="143"/>
    </w:p>
    <w:tbl>
      <w:tblPr>
        <w:tblStyle w:val="TableGrid31"/>
        <w:tblW w:w="0" w:type="auto"/>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213"/>
        <w:gridCol w:w="2131"/>
        <w:gridCol w:w="2389"/>
        <w:gridCol w:w="2667"/>
        <w:gridCol w:w="2675"/>
        <w:gridCol w:w="2363"/>
      </w:tblGrid>
      <w:tr w:rsidR="00E31DF2" w:rsidRPr="00F53BDD" w:rsidTr="006949A3">
        <w:trPr>
          <w:tblHeader/>
        </w:trPr>
        <w:tc>
          <w:tcPr>
            <w:tcW w:w="0" w:type="auto"/>
            <w:shd w:val="clear" w:color="auto" w:fill="1C556C" w:themeFill="accent1"/>
            <w:vAlign w:val="bottom"/>
          </w:tcPr>
          <w:p w:rsidR="00D155DD" w:rsidRPr="00F53BDD" w:rsidRDefault="00D155DD" w:rsidP="00E31DF2">
            <w:pPr>
              <w:pStyle w:val="TableTextbold"/>
              <w:spacing w:line="240" w:lineRule="auto"/>
              <w:rPr>
                <w:color w:val="FFFFFF" w:themeColor="background1"/>
                <w:sz w:val="17"/>
                <w:szCs w:val="17"/>
              </w:rPr>
            </w:pPr>
            <w:r w:rsidRPr="00F53BDD">
              <w:rPr>
                <w:color w:val="FFFFFF" w:themeColor="background1"/>
                <w:sz w:val="17"/>
                <w:szCs w:val="17"/>
              </w:rPr>
              <w:t>Risk</w:t>
            </w:r>
          </w:p>
        </w:tc>
        <w:tc>
          <w:tcPr>
            <w:tcW w:w="2147" w:type="dxa"/>
            <w:tcBorders>
              <w:bottom w:val="single" w:sz="4" w:space="0" w:color="1C556C" w:themeColor="accent1"/>
            </w:tcBorders>
            <w:shd w:val="clear" w:color="auto" w:fill="1C556C" w:themeFill="accent1"/>
            <w:vAlign w:val="bottom"/>
          </w:tcPr>
          <w:p w:rsidR="00D155DD" w:rsidRPr="00F53BDD" w:rsidRDefault="00D155DD" w:rsidP="00E31DF2">
            <w:pPr>
              <w:pStyle w:val="TableTextbold"/>
              <w:spacing w:line="240" w:lineRule="auto"/>
              <w:rPr>
                <w:color w:val="FFFFFF" w:themeColor="background1"/>
                <w:sz w:val="17"/>
                <w:szCs w:val="17"/>
              </w:rPr>
            </w:pPr>
            <w:r w:rsidRPr="00F53BDD">
              <w:rPr>
                <w:color w:val="FFFFFF" w:themeColor="background1"/>
                <w:sz w:val="17"/>
                <w:szCs w:val="17"/>
              </w:rPr>
              <w:t xml:space="preserve">A2: </w:t>
            </w:r>
            <w:r w:rsidR="00BB1A07" w:rsidRPr="00F53BDD">
              <w:rPr>
                <w:color w:val="FFFFFF" w:themeColor="background1"/>
                <w:sz w:val="17"/>
                <w:szCs w:val="17"/>
              </w:rPr>
              <w:t>Education campaign</w:t>
            </w:r>
            <w:r w:rsidRPr="00F53BDD">
              <w:rPr>
                <w:color w:val="FFFFFF" w:themeColor="background1"/>
                <w:sz w:val="17"/>
                <w:szCs w:val="17"/>
              </w:rPr>
              <w:t xml:space="preserve"> and </w:t>
            </w:r>
            <w:r w:rsidR="00872FAA" w:rsidRPr="00F53BDD">
              <w:rPr>
                <w:color w:val="FFFFFF" w:themeColor="background1"/>
                <w:sz w:val="17"/>
                <w:szCs w:val="17"/>
              </w:rPr>
              <w:t>i</w:t>
            </w:r>
            <w:r w:rsidRPr="00F53BDD">
              <w:rPr>
                <w:color w:val="FFFFFF" w:themeColor="background1"/>
                <w:sz w:val="17"/>
                <w:szCs w:val="17"/>
              </w:rPr>
              <w:t>nformation pack</w:t>
            </w:r>
          </w:p>
        </w:tc>
        <w:tc>
          <w:tcPr>
            <w:tcW w:w="2409" w:type="dxa"/>
            <w:tcBorders>
              <w:bottom w:val="single" w:sz="4" w:space="0" w:color="1C556C" w:themeColor="accent1"/>
            </w:tcBorders>
            <w:shd w:val="clear" w:color="auto" w:fill="1C556C" w:themeFill="accent1"/>
            <w:vAlign w:val="bottom"/>
          </w:tcPr>
          <w:p w:rsidR="00D155DD" w:rsidRPr="00F53BDD" w:rsidRDefault="00D155DD" w:rsidP="00E31DF2">
            <w:pPr>
              <w:pStyle w:val="TableTextbold"/>
              <w:spacing w:line="240" w:lineRule="auto"/>
              <w:rPr>
                <w:color w:val="FFFFFF" w:themeColor="background1"/>
                <w:sz w:val="17"/>
                <w:szCs w:val="17"/>
              </w:rPr>
            </w:pPr>
            <w:r w:rsidRPr="00F53BDD">
              <w:rPr>
                <w:color w:val="FFFFFF" w:themeColor="background1"/>
                <w:sz w:val="17"/>
                <w:szCs w:val="17"/>
              </w:rPr>
              <w:t xml:space="preserve">A3: Voluntary </w:t>
            </w:r>
            <w:r w:rsidR="00872FAA" w:rsidRPr="00F53BDD">
              <w:rPr>
                <w:color w:val="FFFFFF" w:themeColor="background1"/>
                <w:sz w:val="17"/>
                <w:szCs w:val="17"/>
              </w:rPr>
              <w:t>s</w:t>
            </w:r>
            <w:r w:rsidRPr="00F53BDD">
              <w:rPr>
                <w:color w:val="FFFFFF" w:themeColor="background1"/>
                <w:sz w:val="17"/>
                <w:szCs w:val="17"/>
              </w:rPr>
              <w:t xml:space="preserve">ector </w:t>
            </w:r>
            <w:r w:rsidR="00872FAA" w:rsidRPr="00F53BDD">
              <w:rPr>
                <w:color w:val="FFFFFF" w:themeColor="background1"/>
                <w:sz w:val="17"/>
                <w:szCs w:val="17"/>
              </w:rPr>
              <w:t>g</w:t>
            </w:r>
            <w:r w:rsidRPr="00F53BDD">
              <w:rPr>
                <w:color w:val="FFFFFF" w:themeColor="background1"/>
                <w:sz w:val="17"/>
                <w:szCs w:val="17"/>
              </w:rPr>
              <w:t>uidelines for NZU advisers</w:t>
            </w:r>
          </w:p>
        </w:tc>
        <w:tc>
          <w:tcPr>
            <w:tcW w:w="2689" w:type="dxa"/>
            <w:shd w:val="clear" w:color="auto" w:fill="1C556C" w:themeFill="accent1"/>
            <w:vAlign w:val="bottom"/>
          </w:tcPr>
          <w:p w:rsidR="00D155DD" w:rsidRPr="00F53BDD" w:rsidRDefault="00D155DD" w:rsidP="00E31DF2">
            <w:pPr>
              <w:pStyle w:val="TableTextbold"/>
              <w:spacing w:line="240" w:lineRule="auto"/>
              <w:rPr>
                <w:color w:val="FFFFFF" w:themeColor="background1"/>
                <w:sz w:val="17"/>
                <w:szCs w:val="17"/>
              </w:rPr>
            </w:pPr>
            <w:r w:rsidRPr="00F53BDD">
              <w:rPr>
                <w:color w:val="FFFFFF" w:themeColor="background1"/>
                <w:sz w:val="17"/>
                <w:szCs w:val="17"/>
              </w:rPr>
              <w:t>B2 Voluntary reporting of trades</w:t>
            </w:r>
          </w:p>
        </w:tc>
        <w:tc>
          <w:tcPr>
            <w:tcW w:w="2698" w:type="dxa"/>
            <w:shd w:val="clear" w:color="auto" w:fill="1C556C" w:themeFill="accent1"/>
            <w:vAlign w:val="bottom"/>
          </w:tcPr>
          <w:p w:rsidR="00D155DD" w:rsidRPr="00F53BDD" w:rsidRDefault="00D155DD" w:rsidP="00E31DF2">
            <w:pPr>
              <w:pStyle w:val="TableTextbold"/>
              <w:spacing w:line="240" w:lineRule="auto"/>
              <w:rPr>
                <w:color w:val="FFFFFF" w:themeColor="background1"/>
                <w:sz w:val="17"/>
                <w:szCs w:val="17"/>
              </w:rPr>
            </w:pPr>
            <w:r w:rsidRPr="00F53BDD">
              <w:rPr>
                <w:color w:val="FFFFFF" w:themeColor="background1"/>
                <w:sz w:val="17"/>
                <w:szCs w:val="17"/>
              </w:rPr>
              <w:t xml:space="preserve">C3: </w:t>
            </w:r>
            <w:r w:rsidR="00F04383" w:rsidRPr="00F53BDD">
              <w:rPr>
                <w:color w:val="FFFFFF" w:themeColor="background1"/>
                <w:sz w:val="17"/>
                <w:szCs w:val="17"/>
              </w:rPr>
              <w:t>Price reporting</w:t>
            </w:r>
          </w:p>
        </w:tc>
        <w:tc>
          <w:tcPr>
            <w:tcW w:w="2380" w:type="dxa"/>
            <w:tcBorders>
              <w:bottom w:val="single" w:sz="4" w:space="0" w:color="1C556C" w:themeColor="accent1"/>
            </w:tcBorders>
            <w:shd w:val="clear" w:color="auto" w:fill="1C556C" w:themeFill="accent1"/>
            <w:vAlign w:val="bottom"/>
          </w:tcPr>
          <w:p w:rsidR="00D155DD" w:rsidRPr="00F53BDD" w:rsidRDefault="00D155DD" w:rsidP="00E31DF2">
            <w:pPr>
              <w:pStyle w:val="TableTextbold"/>
              <w:spacing w:line="240" w:lineRule="auto"/>
              <w:rPr>
                <w:color w:val="FFFFFF" w:themeColor="background1"/>
                <w:sz w:val="17"/>
                <w:szCs w:val="17"/>
              </w:rPr>
            </w:pPr>
            <w:r w:rsidRPr="00F53BDD">
              <w:rPr>
                <w:color w:val="FFFFFF" w:themeColor="background1"/>
                <w:sz w:val="17"/>
                <w:szCs w:val="17"/>
              </w:rPr>
              <w:t>D3: Advisory regulator</w:t>
            </w:r>
          </w:p>
        </w:tc>
      </w:tr>
      <w:tr w:rsidR="00A37B38" w:rsidRPr="00F53BDD" w:rsidTr="006949A3">
        <w:tc>
          <w:tcPr>
            <w:tcW w:w="0" w:type="auto"/>
            <w:shd w:val="clear" w:color="auto" w:fill="auto"/>
          </w:tcPr>
          <w:p w:rsidR="00A37B38" w:rsidRPr="00F53BDD" w:rsidRDefault="00A37B38" w:rsidP="001F00AC">
            <w:pPr>
              <w:pStyle w:val="TableTextbold"/>
              <w:spacing w:after="0" w:line="240" w:lineRule="auto"/>
              <w:rPr>
                <w:rFonts w:eastAsia="Times New Roman"/>
                <w:sz w:val="17"/>
                <w:szCs w:val="17"/>
              </w:rPr>
            </w:pPr>
            <w:r w:rsidRPr="00F53BDD">
              <w:rPr>
                <w:rFonts w:eastAsia="Times New Roman"/>
                <w:sz w:val="17"/>
                <w:szCs w:val="17"/>
              </w:rPr>
              <w:t>Poor advice</w:t>
            </w:r>
          </w:p>
        </w:tc>
        <w:tc>
          <w:tcPr>
            <w:tcW w:w="2147" w:type="dxa"/>
            <w:shd w:val="clear" w:color="auto" w:fill="CFE5E5"/>
          </w:tcPr>
          <w:p w:rsidR="00A37B38" w:rsidRPr="00F53BDD" w:rsidRDefault="00A37B38" w:rsidP="00981A61">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Quality of NZU adviser advice may improve if they engage with the information pack</w:t>
            </w:r>
          </w:p>
        </w:tc>
        <w:tc>
          <w:tcPr>
            <w:tcW w:w="2409" w:type="dxa"/>
            <w:shd w:val="clear" w:color="auto" w:fill="CFE5E5"/>
          </w:tcPr>
          <w:p w:rsidR="00A37B38" w:rsidRPr="00F53BDD" w:rsidRDefault="00A37B38" w:rsidP="00981A61">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81A61">
            <w:pPr>
              <w:pStyle w:val="TableText"/>
              <w:spacing w:before="0" w:after="0"/>
              <w:jc w:val="center"/>
              <w:rPr>
                <w:sz w:val="17"/>
                <w:szCs w:val="17"/>
              </w:rPr>
            </w:pPr>
            <w:r w:rsidRPr="00F53BDD">
              <w:rPr>
                <w:sz w:val="17"/>
                <w:szCs w:val="17"/>
              </w:rPr>
              <w:t>Quality of adviser advice may improve if they engage with the guidelines and information</w:t>
            </w:r>
          </w:p>
        </w:tc>
        <w:tc>
          <w:tcPr>
            <w:tcW w:w="2689" w:type="dxa"/>
            <w:shd w:val="clear" w:color="auto" w:fill="auto"/>
          </w:tcPr>
          <w:p w:rsidR="00A37B38" w:rsidRPr="001F00AC" w:rsidRDefault="00A37B38" w:rsidP="001F00AC">
            <w:pPr>
              <w:pStyle w:val="TableText"/>
              <w:spacing w:before="0" w:after="0"/>
              <w:jc w:val="center"/>
              <w:rPr>
                <w:sz w:val="17"/>
                <w:szCs w:val="17"/>
              </w:rPr>
            </w:pPr>
            <w:r w:rsidRPr="001F00AC">
              <w:rPr>
                <w:sz w:val="17"/>
                <w:szCs w:val="17"/>
              </w:rPr>
              <w:t>O</w:t>
            </w:r>
          </w:p>
          <w:p w:rsidR="00A37B38" w:rsidRPr="001F00AC" w:rsidRDefault="00A37B38" w:rsidP="001F00AC">
            <w:pPr>
              <w:pStyle w:val="TableText"/>
              <w:spacing w:before="0" w:after="0"/>
              <w:jc w:val="center"/>
              <w:rPr>
                <w:sz w:val="17"/>
                <w:szCs w:val="17"/>
              </w:rPr>
            </w:pPr>
            <w:r w:rsidRPr="001F00AC">
              <w:rPr>
                <w:sz w:val="17"/>
                <w:szCs w:val="17"/>
              </w:rPr>
              <w:t>Not applicable</w:t>
            </w:r>
          </w:p>
        </w:tc>
        <w:tc>
          <w:tcPr>
            <w:tcW w:w="2698" w:type="dxa"/>
            <w:shd w:val="clear" w:color="auto" w:fill="auto"/>
          </w:tcPr>
          <w:p w:rsidR="00A37B38" w:rsidRPr="001F00AC" w:rsidRDefault="00A37B38" w:rsidP="001F00AC">
            <w:pPr>
              <w:pStyle w:val="TableText"/>
              <w:spacing w:before="0" w:after="0"/>
              <w:jc w:val="center"/>
              <w:rPr>
                <w:sz w:val="17"/>
                <w:szCs w:val="17"/>
              </w:rPr>
            </w:pPr>
            <w:r w:rsidRPr="001F00AC">
              <w:rPr>
                <w:sz w:val="17"/>
                <w:szCs w:val="17"/>
              </w:rPr>
              <w:t>O</w:t>
            </w:r>
          </w:p>
          <w:p w:rsidR="00A37B38" w:rsidRPr="001F00AC" w:rsidRDefault="00A37B38" w:rsidP="001F00AC">
            <w:pPr>
              <w:pStyle w:val="TableText"/>
              <w:spacing w:before="0" w:after="0"/>
              <w:jc w:val="center"/>
              <w:rPr>
                <w:sz w:val="17"/>
                <w:szCs w:val="17"/>
              </w:rPr>
            </w:pPr>
            <w:r w:rsidRPr="001F00AC">
              <w:rPr>
                <w:sz w:val="17"/>
                <w:szCs w:val="17"/>
              </w:rPr>
              <w:t>Not applicable</w:t>
            </w:r>
          </w:p>
        </w:tc>
        <w:tc>
          <w:tcPr>
            <w:tcW w:w="2380" w:type="dxa"/>
            <w:shd w:val="clear" w:color="auto" w:fill="CFE5E5"/>
          </w:tcPr>
          <w:p w:rsidR="00A37B38" w:rsidRPr="00F53BDD" w:rsidRDefault="00A37B38" w:rsidP="00981A61">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81A61">
            <w:pPr>
              <w:pStyle w:val="TableText"/>
              <w:spacing w:before="0" w:after="0"/>
              <w:jc w:val="center"/>
              <w:rPr>
                <w:sz w:val="17"/>
                <w:szCs w:val="17"/>
              </w:rPr>
            </w:pPr>
            <w:r w:rsidRPr="00F53BDD">
              <w:rPr>
                <w:sz w:val="17"/>
                <w:szCs w:val="17"/>
              </w:rPr>
              <w:t>Could set industry standard for quality advice, applied on a voluntary basis</w:t>
            </w:r>
          </w:p>
        </w:tc>
      </w:tr>
      <w:tr w:rsidR="00A37B38" w:rsidRPr="00F53BDD" w:rsidTr="006949A3">
        <w:tc>
          <w:tcPr>
            <w:tcW w:w="0" w:type="auto"/>
            <w:shd w:val="clear" w:color="auto" w:fill="auto"/>
          </w:tcPr>
          <w:p w:rsidR="00A37B38" w:rsidRPr="00F53BDD" w:rsidRDefault="00A37B38" w:rsidP="001F00AC">
            <w:pPr>
              <w:pStyle w:val="TableTextbold"/>
              <w:spacing w:after="0" w:line="240" w:lineRule="auto"/>
              <w:rPr>
                <w:rFonts w:eastAsia="Times New Roman"/>
                <w:sz w:val="17"/>
                <w:szCs w:val="17"/>
              </w:rPr>
            </w:pPr>
            <w:r w:rsidRPr="00F53BDD">
              <w:rPr>
                <w:rFonts w:eastAsia="Times New Roman"/>
                <w:sz w:val="17"/>
                <w:szCs w:val="17"/>
              </w:rPr>
              <w:t>Conflict of interest</w:t>
            </w:r>
          </w:p>
        </w:tc>
        <w:tc>
          <w:tcPr>
            <w:tcW w:w="2147" w:type="dxa"/>
            <w:shd w:val="clear" w:color="auto" w:fill="CFE5E5"/>
          </w:tcPr>
          <w:p w:rsidR="00A37B38" w:rsidRPr="00F53BDD" w:rsidRDefault="00A37B38" w:rsidP="00981A61">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81A61">
            <w:pPr>
              <w:pStyle w:val="TableText"/>
              <w:spacing w:before="0" w:after="0"/>
              <w:jc w:val="center"/>
              <w:rPr>
                <w:sz w:val="17"/>
                <w:szCs w:val="17"/>
              </w:rPr>
            </w:pPr>
            <w:r w:rsidRPr="00F53BDD">
              <w:rPr>
                <w:sz w:val="17"/>
                <w:szCs w:val="17"/>
              </w:rPr>
              <w:t>Helps participants do their due diligence regarding conflicts of interests</w:t>
            </w:r>
          </w:p>
        </w:tc>
        <w:tc>
          <w:tcPr>
            <w:tcW w:w="2409" w:type="dxa"/>
            <w:shd w:val="clear" w:color="auto" w:fill="CFE5E5"/>
          </w:tcPr>
          <w:p w:rsidR="00A37B38" w:rsidRPr="00F53BDD" w:rsidRDefault="00A37B38" w:rsidP="00981A61">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Guidelines may improve adviser’s awareness of when they have a conflict of interest</w:t>
            </w:r>
          </w:p>
        </w:tc>
        <w:tc>
          <w:tcPr>
            <w:tcW w:w="2689" w:type="dxa"/>
            <w:tcBorders>
              <w:bottom w:val="single" w:sz="4" w:space="0" w:color="1C556C" w:themeColor="accent1"/>
            </w:tcBorders>
            <w:shd w:val="clear" w:color="auto" w:fill="auto"/>
          </w:tcPr>
          <w:p w:rsidR="00A37B38" w:rsidRPr="00F53BDD" w:rsidRDefault="00A37B38" w:rsidP="00E31DF2">
            <w:pPr>
              <w:pStyle w:val="TableText"/>
              <w:spacing w:before="0" w:after="0" w:line="240" w:lineRule="auto"/>
              <w:jc w:val="center"/>
              <w:rPr>
                <w:rFonts w:asciiTheme="minorHAnsi" w:hAnsiTheme="minorHAnsi" w:cstheme="minorHAnsi"/>
                <w:sz w:val="17"/>
                <w:szCs w:val="17"/>
              </w:rPr>
            </w:pPr>
            <w:r w:rsidRPr="00F53BDD">
              <w:rPr>
                <w:rFonts w:asciiTheme="minorHAnsi" w:hAnsiTheme="minorHAnsi" w:cstheme="minorHAnsi"/>
                <w:sz w:val="17"/>
                <w:szCs w:val="17"/>
              </w:rPr>
              <w:t>O</w:t>
            </w:r>
          </w:p>
          <w:p w:rsidR="00A37B38" w:rsidRPr="00F53BDD" w:rsidRDefault="00A37B38" w:rsidP="00E31DF2">
            <w:pPr>
              <w:pStyle w:val="TableText"/>
              <w:spacing w:before="0" w:after="0" w:line="240" w:lineRule="auto"/>
              <w:jc w:val="center"/>
              <w:rPr>
                <w:rFonts w:asciiTheme="minorHAnsi" w:eastAsia="Times New Roman" w:hAnsiTheme="minorHAnsi" w:cstheme="minorHAnsi"/>
                <w:sz w:val="17"/>
                <w:szCs w:val="17"/>
              </w:rPr>
            </w:pPr>
            <w:r w:rsidRPr="00F53BDD">
              <w:rPr>
                <w:rFonts w:asciiTheme="minorHAnsi" w:hAnsiTheme="minorHAnsi" w:cstheme="minorHAnsi"/>
                <w:sz w:val="17"/>
                <w:szCs w:val="17"/>
              </w:rPr>
              <w:t>Not applicable</w:t>
            </w:r>
          </w:p>
        </w:tc>
        <w:tc>
          <w:tcPr>
            <w:tcW w:w="2698" w:type="dxa"/>
            <w:tcBorders>
              <w:bottom w:val="single" w:sz="4" w:space="0" w:color="1C556C" w:themeColor="accent1"/>
            </w:tcBorders>
            <w:shd w:val="clear" w:color="auto" w:fill="auto"/>
          </w:tcPr>
          <w:p w:rsidR="00A37B38" w:rsidRPr="00F53BDD" w:rsidRDefault="00A37B38" w:rsidP="00E31DF2">
            <w:pPr>
              <w:pStyle w:val="TableText"/>
              <w:spacing w:before="0" w:after="0" w:line="240" w:lineRule="auto"/>
              <w:jc w:val="center"/>
              <w:rPr>
                <w:rFonts w:asciiTheme="minorHAnsi" w:hAnsiTheme="minorHAnsi" w:cstheme="minorHAnsi"/>
                <w:sz w:val="17"/>
                <w:szCs w:val="17"/>
              </w:rPr>
            </w:pPr>
            <w:r w:rsidRPr="00F53BDD">
              <w:rPr>
                <w:rFonts w:asciiTheme="minorHAnsi" w:hAnsiTheme="minorHAnsi" w:cstheme="minorHAnsi"/>
                <w:sz w:val="17"/>
                <w:szCs w:val="17"/>
              </w:rPr>
              <w:t>O</w:t>
            </w:r>
          </w:p>
          <w:p w:rsidR="00A37B38" w:rsidRPr="00F53BDD" w:rsidRDefault="00A37B38" w:rsidP="00E31DF2">
            <w:pPr>
              <w:pStyle w:val="TableText"/>
              <w:spacing w:before="0" w:after="0" w:line="240" w:lineRule="auto"/>
              <w:jc w:val="center"/>
              <w:rPr>
                <w:rFonts w:asciiTheme="minorHAnsi" w:eastAsia="Times New Roman" w:hAnsiTheme="minorHAnsi" w:cstheme="minorHAnsi"/>
                <w:sz w:val="17"/>
                <w:szCs w:val="17"/>
              </w:rPr>
            </w:pPr>
            <w:r w:rsidRPr="00F53BDD">
              <w:rPr>
                <w:rFonts w:asciiTheme="minorHAnsi" w:hAnsiTheme="minorHAnsi" w:cstheme="minorHAnsi"/>
                <w:sz w:val="17"/>
                <w:szCs w:val="17"/>
              </w:rPr>
              <w:t>Not applicable</w:t>
            </w:r>
          </w:p>
        </w:tc>
        <w:tc>
          <w:tcPr>
            <w:tcW w:w="2380" w:type="dxa"/>
            <w:tcBorders>
              <w:bottom w:val="single" w:sz="4" w:space="0" w:color="1C556C" w:themeColor="accent1"/>
            </w:tcBorders>
            <w:shd w:val="clear" w:color="auto" w:fill="CFE5E5"/>
          </w:tcPr>
          <w:p w:rsidR="00A37B38" w:rsidRPr="00F53BDD" w:rsidRDefault="00A37B38" w:rsidP="00981A61">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981A61">
            <w:pPr>
              <w:pStyle w:val="TableText"/>
              <w:spacing w:before="0" w:after="0"/>
              <w:jc w:val="center"/>
              <w:rPr>
                <w:sz w:val="17"/>
                <w:szCs w:val="17"/>
              </w:rPr>
            </w:pPr>
            <w:r w:rsidRPr="00F53BDD">
              <w:rPr>
                <w:sz w:val="17"/>
                <w:szCs w:val="17"/>
              </w:rPr>
              <w:t>Could recommended against trading when conflicted, applied on a voluntary basis</w:t>
            </w:r>
          </w:p>
        </w:tc>
      </w:tr>
      <w:tr w:rsidR="00A37B38" w:rsidRPr="00F53BDD" w:rsidTr="006949A3">
        <w:tc>
          <w:tcPr>
            <w:tcW w:w="0" w:type="auto"/>
            <w:shd w:val="clear" w:color="auto" w:fill="auto"/>
          </w:tcPr>
          <w:p w:rsidR="00A37B38" w:rsidRPr="00F53BDD" w:rsidRDefault="00A37B38" w:rsidP="001F00AC">
            <w:pPr>
              <w:pStyle w:val="TableTextbold"/>
              <w:spacing w:after="0" w:line="240" w:lineRule="auto"/>
              <w:rPr>
                <w:rFonts w:eastAsia="Times New Roman"/>
                <w:sz w:val="17"/>
                <w:szCs w:val="17"/>
              </w:rPr>
            </w:pPr>
            <w:r w:rsidRPr="00F53BDD">
              <w:rPr>
                <w:rFonts w:eastAsia="Times New Roman"/>
                <w:sz w:val="17"/>
                <w:szCs w:val="17"/>
              </w:rPr>
              <w:t>Transparency, monitoring and oversight of trades</w:t>
            </w:r>
          </w:p>
        </w:tc>
        <w:tc>
          <w:tcPr>
            <w:tcW w:w="2147" w:type="dxa"/>
            <w:tcBorders>
              <w:bottom w:val="single" w:sz="4" w:space="0" w:color="1C556C" w:themeColor="accent1"/>
            </w:tcBorders>
            <w:shd w:val="clear" w:color="auto" w:fill="auto"/>
          </w:tcPr>
          <w:p w:rsidR="00A37B38" w:rsidRPr="00F53BDD" w:rsidRDefault="00A37B38" w:rsidP="00981A61">
            <w:pPr>
              <w:pStyle w:val="TableText"/>
              <w:spacing w:before="0" w:after="0"/>
              <w:jc w:val="center"/>
              <w:rPr>
                <w:sz w:val="17"/>
                <w:szCs w:val="17"/>
              </w:rPr>
            </w:pPr>
            <w:r w:rsidRPr="00F53BDD">
              <w:rPr>
                <w:sz w:val="17"/>
                <w:szCs w:val="17"/>
              </w:rPr>
              <w:t>O</w:t>
            </w:r>
          </w:p>
          <w:p w:rsidR="00A37B38" w:rsidRPr="00F53BDD" w:rsidRDefault="00A37B38" w:rsidP="00981A61">
            <w:pPr>
              <w:pStyle w:val="TableText"/>
              <w:spacing w:before="0" w:after="0"/>
              <w:jc w:val="center"/>
              <w:rPr>
                <w:sz w:val="17"/>
                <w:szCs w:val="17"/>
              </w:rPr>
            </w:pPr>
            <w:r w:rsidRPr="00F53BDD">
              <w:rPr>
                <w:sz w:val="17"/>
                <w:szCs w:val="17"/>
              </w:rPr>
              <w:t>Not applicable</w:t>
            </w:r>
          </w:p>
        </w:tc>
        <w:tc>
          <w:tcPr>
            <w:tcW w:w="2409" w:type="dxa"/>
            <w:shd w:val="clear" w:color="auto" w:fill="auto"/>
          </w:tcPr>
          <w:p w:rsidR="00A37B38" w:rsidRPr="00F53BDD" w:rsidRDefault="00A37B38" w:rsidP="00981A61">
            <w:pPr>
              <w:pStyle w:val="TableText"/>
              <w:spacing w:before="0" w:after="0"/>
              <w:jc w:val="center"/>
              <w:rPr>
                <w:sz w:val="17"/>
                <w:szCs w:val="17"/>
              </w:rPr>
            </w:pPr>
            <w:r w:rsidRPr="00F53BDD">
              <w:rPr>
                <w:sz w:val="17"/>
                <w:szCs w:val="17"/>
              </w:rPr>
              <w:t>O</w:t>
            </w:r>
          </w:p>
          <w:p w:rsidR="00A37B38" w:rsidRPr="00F53BDD" w:rsidRDefault="00A37B38" w:rsidP="00981A61">
            <w:pPr>
              <w:pStyle w:val="TableText"/>
              <w:spacing w:before="0" w:after="0"/>
              <w:jc w:val="center"/>
              <w:rPr>
                <w:sz w:val="17"/>
                <w:szCs w:val="17"/>
              </w:rPr>
            </w:pPr>
            <w:r w:rsidRPr="00F53BDD">
              <w:rPr>
                <w:sz w:val="17"/>
                <w:szCs w:val="17"/>
              </w:rPr>
              <w:t>Not applicable</w:t>
            </w:r>
          </w:p>
        </w:tc>
        <w:tc>
          <w:tcPr>
            <w:tcW w:w="2689" w:type="dxa"/>
            <w:shd w:val="clear" w:color="auto" w:fill="CFE5E5"/>
          </w:tcPr>
          <w:p w:rsidR="00A37B38" w:rsidRPr="00F53BDD" w:rsidRDefault="00A37B38" w:rsidP="00981A61">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31DF2">
            <w:pPr>
              <w:pStyle w:val="TableText"/>
              <w:spacing w:before="0" w:after="0" w:line="240" w:lineRule="auto"/>
              <w:jc w:val="center"/>
              <w:rPr>
                <w:rFonts w:asciiTheme="minorHAnsi" w:eastAsia="Times New Roman" w:hAnsiTheme="minorHAnsi" w:cstheme="minorHAnsi"/>
                <w:sz w:val="17"/>
                <w:szCs w:val="17"/>
              </w:rPr>
            </w:pPr>
            <w:r w:rsidRPr="00F53BDD">
              <w:rPr>
                <w:rFonts w:asciiTheme="minorHAnsi" w:hAnsiTheme="minorHAnsi" w:cstheme="minorHAnsi"/>
                <w:sz w:val="17"/>
                <w:szCs w:val="17"/>
              </w:rPr>
              <w:t>Provides some transparency of trade for reporting participants</w:t>
            </w:r>
          </w:p>
        </w:tc>
        <w:tc>
          <w:tcPr>
            <w:tcW w:w="2698" w:type="dxa"/>
            <w:shd w:val="clear" w:color="auto" w:fill="87BDBE"/>
          </w:tcPr>
          <w:p w:rsidR="00A37B38" w:rsidRPr="00F53BDD" w:rsidRDefault="00A37B38" w:rsidP="00981A61">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Reporting transaction price increases transparency for a regulator</w:t>
            </w:r>
          </w:p>
        </w:tc>
        <w:tc>
          <w:tcPr>
            <w:tcW w:w="2380" w:type="dxa"/>
            <w:shd w:val="clear" w:color="auto" w:fill="EDB097"/>
          </w:tcPr>
          <w:p w:rsidR="00A37B38" w:rsidRPr="00F53BDD" w:rsidRDefault="00E31DF2" w:rsidP="00981A61">
            <w:pPr>
              <w:pStyle w:val="TableText"/>
              <w:spacing w:before="0" w:after="0"/>
              <w:jc w:val="center"/>
              <w:rPr>
                <w:sz w:val="17"/>
                <w:szCs w:val="17"/>
              </w:rPr>
            </w:pPr>
            <w:r w:rsidRPr="00F53BDD">
              <w:rPr>
                <w:sz w:val="17"/>
                <w:szCs w:val="17"/>
              </w:rPr>
              <w:t>x</w:t>
            </w:r>
          </w:p>
          <w:p w:rsidR="00A37B38" w:rsidRPr="00F53BDD" w:rsidRDefault="00A37B38" w:rsidP="00981A61">
            <w:pPr>
              <w:pStyle w:val="TableText"/>
              <w:spacing w:before="0" w:after="0"/>
              <w:jc w:val="center"/>
              <w:rPr>
                <w:sz w:val="17"/>
                <w:szCs w:val="17"/>
              </w:rPr>
            </w:pPr>
            <w:r w:rsidRPr="00F53BDD">
              <w:rPr>
                <w:sz w:val="17"/>
                <w:szCs w:val="17"/>
              </w:rPr>
              <w:t>No oversight of transactions</w:t>
            </w:r>
          </w:p>
        </w:tc>
      </w:tr>
      <w:tr w:rsidR="00A37B38" w:rsidRPr="00F53BDD" w:rsidTr="006949A3">
        <w:tc>
          <w:tcPr>
            <w:tcW w:w="0" w:type="auto"/>
            <w:shd w:val="clear" w:color="auto" w:fill="auto"/>
          </w:tcPr>
          <w:p w:rsidR="00A37B38" w:rsidRPr="00F53BDD" w:rsidRDefault="00A37B38" w:rsidP="001F00AC">
            <w:pPr>
              <w:pStyle w:val="TableTextbold"/>
              <w:spacing w:after="0" w:line="240" w:lineRule="auto"/>
              <w:rPr>
                <w:rFonts w:eastAsia="Times New Roman"/>
                <w:sz w:val="17"/>
                <w:szCs w:val="17"/>
              </w:rPr>
            </w:pPr>
            <w:r w:rsidRPr="00F53BDD">
              <w:rPr>
                <w:rFonts w:eastAsia="Times New Roman"/>
                <w:sz w:val="17"/>
                <w:szCs w:val="17"/>
              </w:rPr>
              <w:t>Credit and counter-party risk</w:t>
            </w:r>
          </w:p>
        </w:tc>
        <w:tc>
          <w:tcPr>
            <w:tcW w:w="2147" w:type="dxa"/>
            <w:shd w:val="clear" w:color="auto" w:fill="CFE5E5"/>
          </w:tcPr>
          <w:p w:rsidR="00A37B38" w:rsidRPr="00F53BDD" w:rsidRDefault="00A37B38" w:rsidP="00981A61">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 xml:space="preserve">Could help participants </w:t>
            </w:r>
            <w:r w:rsidR="00FE5D7D" w:rsidRPr="00F53BDD">
              <w:rPr>
                <w:sz w:val="17"/>
                <w:szCs w:val="17"/>
              </w:rPr>
              <w:t>d</w:t>
            </w:r>
            <w:r w:rsidR="002A7C7D" w:rsidRPr="00F53BDD">
              <w:rPr>
                <w:sz w:val="17"/>
                <w:szCs w:val="17"/>
              </w:rPr>
              <w:t>o</w:t>
            </w:r>
            <w:r w:rsidR="00FE5D7D" w:rsidRPr="00F53BDD">
              <w:rPr>
                <w:sz w:val="17"/>
                <w:szCs w:val="17"/>
              </w:rPr>
              <w:t xml:space="preserve"> </w:t>
            </w:r>
            <w:r w:rsidRPr="00F53BDD">
              <w:rPr>
                <w:sz w:val="17"/>
                <w:szCs w:val="17"/>
              </w:rPr>
              <w:t xml:space="preserve">due diligence when </w:t>
            </w:r>
            <w:r w:rsidR="003B3DAD" w:rsidRPr="00F53BDD">
              <w:rPr>
                <w:sz w:val="17"/>
                <w:szCs w:val="17"/>
              </w:rPr>
              <w:t>entering</w:t>
            </w:r>
            <w:r w:rsidRPr="00F53BDD">
              <w:rPr>
                <w:sz w:val="17"/>
                <w:szCs w:val="17"/>
              </w:rPr>
              <w:t xml:space="preserve"> trades</w:t>
            </w:r>
          </w:p>
        </w:tc>
        <w:tc>
          <w:tcPr>
            <w:tcW w:w="2409" w:type="dxa"/>
            <w:shd w:val="clear" w:color="auto" w:fill="auto"/>
          </w:tcPr>
          <w:p w:rsidR="00A37B38" w:rsidRPr="00F53BDD" w:rsidRDefault="00A37B38" w:rsidP="00981A61">
            <w:pPr>
              <w:pStyle w:val="TableText"/>
              <w:spacing w:before="0" w:after="0"/>
              <w:jc w:val="center"/>
              <w:rPr>
                <w:sz w:val="17"/>
                <w:szCs w:val="17"/>
              </w:rPr>
            </w:pPr>
            <w:r w:rsidRPr="00F53BDD">
              <w:rPr>
                <w:sz w:val="17"/>
                <w:szCs w:val="17"/>
              </w:rPr>
              <w:t>O</w:t>
            </w:r>
          </w:p>
          <w:p w:rsidR="00A37B38" w:rsidRPr="00F53BDD" w:rsidRDefault="00A37B38" w:rsidP="00981A61">
            <w:pPr>
              <w:pStyle w:val="TableText"/>
              <w:spacing w:before="0" w:after="0"/>
              <w:jc w:val="center"/>
              <w:rPr>
                <w:sz w:val="17"/>
                <w:szCs w:val="17"/>
              </w:rPr>
            </w:pPr>
            <w:r w:rsidRPr="00F53BDD">
              <w:rPr>
                <w:sz w:val="17"/>
                <w:szCs w:val="17"/>
              </w:rPr>
              <w:t>Not applicable</w:t>
            </w:r>
          </w:p>
        </w:tc>
        <w:tc>
          <w:tcPr>
            <w:tcW w:w="2689" w:type="dxa"/>
            <w:tcBorders>
              <w:bottom w:val="single" w:sz="4" w:space="0" w:color="1C556C" w:themeColor="accent1"/>
            </w:tcBorders>
            <w:shd w:val="clear" w:color="auto" w:fill="auto"/>
          </w:tcPr>
          <w:p w:rsidR="00A37B38" w:rsidRPr="001F00AC" w:rsidRDefault="00A37B38" w:rsidP="001F00AC">
            <w:pPr>
              <w:pStyle w:val="TableText"/>
              <w:spacing w:before="0" w:after="0"/>
              <w:jc w:val="center"/>
              <w:rPr>
                <w:sz w:val="17"/>
                <w:szCs w:val="17"/>
              </w:rPr>
            </w:pPr>
            <w:r w:rsidRPr="001F00AC">
              <w:rPr>
                <w:sz w:val="17"/>
                <w:szCs w:val="17"/>
              </w:rPr>
              <w:t>O</w:t>
            </w:r>
          </w:p>
          <w:p w:rsidR="00A37B38" w:rsidRPr="00F53BDD" w:rsidRDefault="003B5262" w:rsidP="00E31DF2">
            <w:pPr>
              <w:pStyle w:val="TableText"/>
              <w:spacing w:before="0" w:after="0" w:line="240" w:lineRule="auto"/>
              <w:jc w:val="center"/>
              <w:rPr>
                <w:rFonts w:asciiTheme="minorHAnsi" w:eastAsia="Times New Roman" w:hAnsiTheme="minorHAnsi" w:cstheme="minorHAnsi"/>
                <w:sz w:val="17"/>
                <w:szCs w:val="17"/>
              </w:rPr>
            </w:pPr>
            <w:r w:rsidRPr="00F53BDD">
              <w:rPr>
                <w:rFonts w:asciiTheme="minorHAnsi" w:eastAsia="Times New Roman" w:hAnsiTheme="minorHAnsi" w:cstheme="minorHAnsi"/>
                <w:sz w:val="17"/>
                <w:szCs w:val="17"/>
              </w:rPr>
              <w:t>Not applicable</w:t>
            </w:r>
          </w:p>
        </w:tc>
        <w:tc>
          <w:tcPr>
            <w:tcW w:w="2698" w:type="dxa"/>
            <w:tcBorders>
              <w:bottom w:val="single" w:sz="4" w:space="0" w:color="1C556C" w:themeColor="accent1"/>
            </w:tcBorders>
            <w:shd w:val="clear" w:color="auto" w:fill="auto"/>
          </w:tcPr>
          <w:p w:rsidR="00A37B38" w:rsidRPr="001F00AC" w:rsidRDefault="00A37B38" w:rsidP="001F00AC">
            <w:pPr>
              <w:pStyle w:val="TableText"/>
              <w:spacing w:before="0" w:after="0"/>
              <w:jc w:val="center"/>
              <w:rPr>
                <w:sz w:val="17"/>
                <w:szCs w:val="17"/>
              </w:rPr>
            </w:pPr>
            <w:r w:rsidRPr="001F00AC">
              <w:rPr>
                <w:sz w:val="17"/>
                <w:szCs w:val="17"/>
              </w:rPr>
              <w:t>O</w:t>
            </w:r>
          </w:p>
          <w:p w:rsidR="00A37B38" w:rsidRPr="00F53BDD" w:rsidRDefault="003B5262" w:rsidP="00E31DF2">
            <w:pPr>
              <w:pStyle w:val="TableText"/>
              <w:spacing w:before="0" w:after="0" w:line="240" w:lineRule="auto"/>
              <w:jc w:val="center"/>
              <w:rPr>
                <w:rFonts w:asciiTheme="minorHAnsi" w:eastAsia="Times New Roman" w:hAnsiTheme="minorHAnsi" w:cstheme="minorHAnsi"/>
                <w:sz w:val="17"/>
                <w:szCs w:val="17"/>
                <w:shd w:val="clear" w:color="auto" w:fill="B4C6E7"/>
              </w:rPr>
            </w:pPr>
            <w:r w:rsidRPr="00F53BDD">
              <w:rPr>
                <w:rFonts w:asciiTheme="minorHAnsi" w:eastAsia="Times New Roman" w:hAnsiTheme="minorHAnsi" w:cstheme="minorHAnsi"/>
                <w:sz w:val="17"/>
                <w:szCs w:val="17"/>
              </w:rPr>
              <w:t>Not applicable</w:t>
            </w:r>
          </w:p>
        </w:tc>
        <w:tc>
          <w:tcPr>
            <w:tcW w:w="2380" w:type="dxa"/>
            <w:shd w:val="clear" w:color="auto" w:fill="EDB097"/>
          </w:tcPr>
          <w:p w:rsidR="00A37B38" w:rsidRPr="00F53BDD" w:rsidRDefault="00E31DF2" w:rsidP="00981A61">
            <w:pPr>
              <w:pStyle w:val="TableText"/>
              <w:spacing w:before="0" w:after="0"/>
              <w:jc w:val="center"/>
              <w:rPr>
                <w:sz w:val="17"/>
                <w:szCs w:val="17"/>
              </w:rPr>
            </w:pPr>
            <w:r w:rsidRPr="00F53BDD">
              <w:rPr>
                <w:sz w:val="17"/>
                <w:szCs w:val="17"/>
              </w:rPr>
              <w:t>x</w:t>
            </w:r>
          </w:p>
          <w:p w:rsidR="00A37B38" w:rsidRPr="00F53BDD" w:rsidRDefault="00A37B38" w:rsidP="00981A61">
            <w:pPr>
              <w:pStyle w:val="TableText"/>
              <w:spacing w:before="0" w:after="0"/>
              <w:jc w:val="center"/>
              <w:rPr>
                <w:sz w:val="17"/>
                <w:szCs w:val="17"/>
              </w:rPr>
            </w:pPr>
            <w:r w:rsidRPr="00F53BDD">
              <w:rPr>
                <w:sz w:val="17"/>
                <w:szCs w:val="17"/>
              </w:rPr>
              <w:t>No oversight of credit or counter-party risk</w:t>
            </w:r>
          </w:p>
        </w:tc>
      </w:tr>
      <w:tr w:rsidR="00A37B38" w:rsidRPr="00F53BDD" w:rsidTr="006949A3">
        <w:tc>
          <w:tcPr>
            <w:tcW w:w="0" w:type="auto"/>
            <w:shd w:val="clear" w:color="auto" w:fill="auto"/>
          </w:tcPr>
          <w:p w:rsidR="00A37B38" w:rsidRPr="00F53BDD" w:rsidRDefault="00A37B38" w:rsidP="001F00AC">
            <w:pPr>
              <w:pStyle w:val="TableTextbold"/>
              <w:spacing w:after="0" w:line="240" w:lineRule="auto"/>
              <w:rPr>
                <w:rFonts w:eastAsia="Times New Roman"/>
                <w:sz w:val="17"/>
                <w:szCs w:val="17"/>
              </w:rPr>
            </w:pPr>
            <w:r w:rsidRPr="00F53BDD">
              <w:rPr>
                <w:rFonts w:eastAsia="Times New Roman"/>
                <w:sz w:val="17"/>
                <w:szCs w:val="17"/>
              </w:rPr>
              <w:t>Price manipulation</w:t>
            </w:r>
          </w:p>
        </w:tc>
        <w:tc>
          <w:tcPr>
            <w:tcW w:w="2147" w:type="dxa"/>
            <w:shd w:val="clear" w:color="auto" w:fill="auto"/>
          </w:tcPr>
          <w:p w:rsidR="00A37B38" w:rsidRPr="001F00AC" w:rsidRDefault="00A37B38" w:rsidP="001F00AC">
            <w:pPr>
              <w:pStyle w:val="TableText"/>
              <w:spacing w:before="0" w:after="0"/>
              <w:jc w:val="center"/>
              <w:rPr>
                <w:sz w:val="17"/>
                <w:szCs w:val="17"/>
              </w:rPr>
            </w:pPr>
            <w:r w:rsidRPr="001F00AC">
              <w:rPr>
                <w:sz w:val="17"/>
                <w:szCs w:val="17"/>
              </w:rPr>
              <w:t>O</w:t>
            </w:r>
          </w:p>
          <w:p w:rsidR="00A37B38" w:rsidRPr="00F53BDD" w:rsidRDefault="00A37B38" w:rsidP="00E31DF2">
            <w:pPr>
              <w:pStyle w:val="TableText"/>
              <w:spacing w:before="0" w:after="0" w:line="240" w:lineRule="auto"/>
              <w:jc w:val="center"/>
              <w:rPr>
                <w:rFonts w:asciiTheme="minorHAnsi" w:eastAsia="Times New Roman" w:hAnsiTheme="minorHAnsi" w:cstheme="minorHAnsi"/>
                <w:sz w:val="17"/>
                <w:szCs w:val="17"/>
              </w:rPr>
            </w:pPr>
            <w:r w:rsidRPr="00F53BDD">
              <w:rPr>
                <w:rFonts w:asciiTheme="minorHAnsi" w:eastAsia="Times New Roman" w:hAnsiTheme="minorHAnsi" w:cstheme="minorHAnsi"/>
                <w:sz w:val="17"/>
                <w:szCs w:val="17"/>
              </w:rPr>
              <w:t>Not applicable</w:t>
            </w:r>
          </w:p>
        </w:tc>
        <w:tc>
          <w:tcPr>
            <w:tcW w:w="2409" w:type="dxa"/>
            <w:shd w:val="clear" w:color="auto" w:fill="auto"/>
          </w:tcPr>
          <w:p w:rsidR="00A37B38" w:rsidRPr="001F00AC" w:rsidRDefault="00A37B38" w:rsidP="001F00AC">
            <w:pPr>
              <w:pStyle w:val="TableText"/>
              <w:spacing w:before="0" w:after="0"/>
              <w:jc w:val="center"/>
              <w:rPr>
                <w:sz w:val="17"/>
                <w:szCs w:val="17"/>
              </w:rPr>
            </w:pPr>
            <w:r w:rsidRPr="001F00AC">
              <w:rPr>
                <w:sz w:val="17"/>
                <w:szCs w:val="17"/>
              </w:rPr>
              <w:t>O</w:t>
            </w:r>
          </w:p>
          <w:p w:rsidR="00A37B38" w:rsidRPr="001F00AC" w:rsidRDefault="00A37B38" w:rsidP="001F00AC">
            <w:pPr>
              <w:pStyle w:val="TableText"/>
              <w:spacing w:before="0" w:after="0"/>
              <w:jc w:val="center"/>
              <w:rPr>
                <w:sz w:val="17"/>
                <w:szCs w:val="17"/>
              </w:rPr>
            </w:pPr>
            <w:r w:rsidRPr="001F00AC">
              <w:rPr>
                <w:sz w:val="17"/>
                <w:szCs w:val="17"/>
              </w:rPr>
              <w:t>Not applicable</w:t>
            </w:r>
          </w:p>
        </w:tc>
        <w:tc>
          <w:tcPr>
            <w:tcW w:w="2689" w:type="dxa"/>
            <w:shd w:val="clear" w:color="auto" w:fill="EDB097"/>
          </w:tcPr>
          <w:p w:rsidR="00A37B38" w:rsidRPr="00F53BDD" w:rsidRDefault="00E31DF2" w:rsidP="00981A61">
            <w:pPr>
              <w:pStyle w:val="TableText"/>
              <w:spacing w:before="0" w:after="0"/>
              <w:jc w:val="center"/>
              <w:rPr>
                <w:sz w:val="17"/>
                <w:szCs w:val="17"/>
              </w:rPr>
            </w:pPr>
            <w:r w:rsidRPr="00F53BDD">
              <w:rPr>
                <w:sz w:val="17"/>
                <w:szCs w:val="17"/>
              </w:rPr>
              <w:t>x</w:t>
            </w:r>
          </w:p>
          <w:p w:rsidR="00A37B38" w:rsidRPr="00F53BDD" w:rsidRDefault="00A37B38" w:rsidP="00981A61">
            <w:pPr>
              <w:pStyle w:val="TableText"/>
              <w:spacing w:before="0" w:after="0"/>
              <w:jc w:val="center"/>
              <w:rPr>
                <w:sz w:val="17"/>
                <w:szCs w:val="17"/>
              </w:rPr>
            </w:pPr>
            <w:r w:rsidRPr="00F53BDD">
              <w:rPr>
                <w:sz w:val="17"/>
                <w:szCs w:val="17"/>
              </w:rPr>
              <w:t>Parties that engage in price manipulation are unlikely to report</w:t>
            </w:r>
          </w:p>
        </w:tc>
        <w:tc>
          <w:tcPr>
            <w:tcW w:w="2698" w:type="dxa"/>
            <w:shd w:val="clear" w:color="auto" w:fill="87BDBE"/>
          </w:tcPr>
          <w:p w:rsidR="00A37B38" w:rsidRPr="00F53BDD" w:rsidRDefault="00A37B38" w:rsidP="00981A61">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Helps a regulator monitor and detect unusual trades that could indicate price manipulation</w:t>
            </w:r>
          </w:p>
        </w:tc>
        <w:tc>
          <w:tcPr>
            <w:tcW w:w="2380" w:type="dxa"/>
            <w:shd w:val="clear" w:color="auto" w:fill="EDB097"/>
          </w:tcPr>
          <w:p w:rsidR="00A37B38" w:rsidRPr="00F53BDD" w:rsidRDefault="00E31DF2" w:rsidP="00981A61">
            <w:pPr>
              <w:pStyle w:val="TableText"/>
              <w:spacing w:before="0" w:after="0"/>
              <w:jc w:val="center"/>
              <w:rPr>
                <w:sz w:val="17"/>
                <w:szCs w:val="17"/>
              </w:rPr>
            </w:pPr>
            <w:r w:rsidRPr="00F53BDD">
              <w:rPr>
                <w:sz w:val="17"/>
                <w:szCs w:val="17"/>
              </w:rPr>
              <w:t>x</w:t>
            </w:r>
          </w:p>
          <w:p w:rsidR="00A37B38" w:rsidRPr="00F53BDD" w:rsidRDefault="00A37B38" w:rsidP="00981A61">
            <w:pPr>
              <w:pStyle w:val="TableText"/>
              <w:spacing w:before="0" w:after="0"/>
              <w:jc w:val="center"/>
              <w:rPr>
                <w:sz w:val="17"/>
                <w:szCs w:val="17"/>
              </w:rPr>
            </w:pPr>
            <w:r w:rsidRPr="00F53BDD">
              <w:rPr>
                <w:sz w:val="17"/>
                <w:szCs w:val="17"/>
              </w:rPr>
              <w:t>No oversight of price manipulation</w:t>
            </w:r>
          </w:p>
        </w:tc>
      </w:tr>
      <w:tr w:rsidR="00A37B38" w:rsidRPr="00F53BDD" w:rsidTr="006949A3">
        <w:tc>
          <w:tcPr>
            <w:tcW w:w="0" w:type="auto"/>
            <w:shd w:val="clear" w:color="auto" w:fill="auto"/>
          </w:tcPr>
          <w:p w:rsidR="00A37B38" w:rsidRPr="00F53BDD" w:rsidRDefault="00A37B38" w:rsidP="001F00AC">
            <w:pPr>
              <w:pStyle w:val="TableTextbold"/>
              <w:spacing w:after="0" w:line="240" w:lineRule="auto"/>
              <w:rPr>
                <w:rFonts w:eastAsia="Times New Roman"/>
                <w:sz w:val="17"/>
                <w:szCs w:val="17"/>
              </w:rPr>
            </w:pPr>
            <w:r w:rsidRPr="00F53BDD">
              <w:rPr>
                <w:rFonts w:eastAsia="Times New Roman"/>
                <w:sz w:val="17"/>
                <w:szCs w:val="17"/>
              </w:rPr>
              <w:t>Insider trading</w:t>
            </w:r>
          </w:p>
        </w:tc>
        <w:tc>
          <w:tcPr>
            <w:tcW w:w="2147" w:type="dxa"/>
            <w:shd w:val="clear" w:color="auto" w:fill="auto"/>
          </w:tcPr>
          <w:p w:rsidR="00A37B38" w:rsidRPr="001F00AC" w:rsidRDefault="00A37B38" w:rsidP="001F00AC">
            <w:pPr>
              <w:pStyle w:val="TableText"/>
              <w:spacing w:before="0" w:after="0"/>
              <w:jc w:val="center"/>
              <w:rPr>
                <w:sz w:val="17"/>
                <w:szCs w:val="17"/>
              </w:rPr>
            </w:pPr>
            <w:r w:rsidRPr="001F00AC">
              <w:rPr>
                <w:sz w:val="17"/>
                <w:szCs w:val="17"/>
              </w:rPr>
              <w:t>O</w:t>
            </w:r>
          </w:p>
          <w:p w:rsidR="00A37B38" w:rsidRPr="00F53BDD" w:rsidRDefault="00A37B38" w:rsidP="00EB5C26">
            <w:pPr>
              <w:pStyle w:val="TableText"/>
              <w:spacing w:before="0" w:after="0" w:line="240" w:lineRule="auto"/>
              <w:jc w:val="center"/>
              <w:rPr>
                <w:rFonts w:asciiTheme="minorHAnsi" w:eastAsia="Times New Roman" w:hAnsiTheme="minorHAnsi" w:cstheme="minorHAnsi"/>
                <w:sz w:val="17"/>
                <w:szCs w:val="17"/>
              </w:rPr>
            </w:pPr>
            <w:r w:rsidRPr="00F53BDD">
              <w:rPr>
                <w:rFonts w:asciiTheme="minorHAnsi" w:eastAsia="Times New Roman" w:hAnsiTheme="minorHAnsi" w:cstheme="minorHAnsi"/>
                <w:sz w:val="17"/>
                <w:szCs w:val="17"/>
              </w:rPr>
              <w:t>Not applicable</w:t>
            </w:r>
          </w:p>
        </w:tc>
        <w:tc>
          <w:tcPr>
            <w:tcW w:w="2409" w:type="dxa"/>
            <w:shd w:val="clear" w:color="auto" w:fill="auto"/>
          </w:tcPr>
          <w:p w:rsidR="00A37B38" w:rsidRPr="001F00AC" w:rsidRDefault="00A37B38" w:rsidP="001F00AC">
            <w:pPr>
              <w:pStyle w:val="TableText"/>
              <w:spacing w:before="0" w:after="0"/>
              <w:jc w:val="center"/>
              <w:rPr>
                <w:sz w:val="17"/>
                <w:szCs w:val="17"/>
              </w:rPr>
            </w:pPr>
            <w:r w:rsidRPr="001F00AC">
              <w:rPr>
                <w:sz w:val="17"/>
                <w:szCs w:val="17"/>
              </w:rPr>
              <w:t>O</w:t>
            </w:r>
          </w:p>
          <w:p w:rsidR="00A37B38" w:rsidRPr="00F53BDD" w:rsidRDefault="00A37B38" w:rsidP="00EB5C26">
            <w:pPr>
              <w:pStyle w:val="TableText"/>
              <w:spacing w:before="0" w:after="0" w:line="240" w:lineRule="auto"/>
              <w:jc w:val="center"/>
              <w:rPr>
                <w:rFonts w:asciiTheme="minorHAnsi" w:eastAsia="Times New Roman" w:hAnsiTheme="minorHAnsi" w:cstheme="minorHAnsi"/>
                <w:sz w:val="17"/>
                <w:szCs w:val="17"/>
              </w:rPr>
            </w:pPr>
            <w:r w:rsidRPr="00F53BDD">
              <w:rPr>
                <w:rFonts w:asciiTheme="minorHAnsi" w:eastAsia="Times New Roman" w:hAnsiTheme="minorHAnsi" w:cstheme="minorHAnsi"/>
                <w:sz w:val="17"/>
                <w:szCs w:val="17"/>
              </w:rPr>
              <w:t>Not applicable</w:t>
            </w:r>
          </w:p>
        </w:tc>
        <w:tc>
          <w:tcPr>
            <w:tcW w:w="2689" w:type="dxa"/>
            <w:shd w:val="clear" w:color="auto" w:fill="EDB097"/>
          </w:tcPr>
          <w:p w:rsidR="00A37B38" w:rsidRPr="00F53BDD" w:rsidRDefault="00E31DF2" w:rsidP="00EB5C26">
            <w:pPr>
              <w:pStyle w:val="TableText"/>
              <w:spacing w:before="0" w:after="0"/>
              <w:jc w:val="center"/>
              <w:rPr>
                <w:sz w:val="17"/>
                <w:szCs w:val="17"/>
              </w:rPr>
            </w:pPr>
            <w:r w:rsidRPr="00F53BDD">
              <w:rPr>
                <w:sz w:val="17"/>
                <w:szCs w:val="17"/>
              </w:rPr>
              <w:t>x</w:t>
            </w:r>
          </w:p>
          <w:p w:rsidR="00A37B38" w:rsidRPr="00F53BDD" w:rsidRDefault="00A37B38" w:rsidP="00EB5C26">
            <w:pPr>
              <w:pStyle w:val="TableText"/>
              <w:spacing w:before="0" w:after="0"/>
              <w:jc w:val="center"/>
              <w:rPr>
                <w:sz w:val="17"/>
                <w:szCs w:val="17"/>
              </w:rPr>
            </w:pPr>
            <w:r w:rsidRPr="00F53BDD">
              <w:rPr>
                <w:sz w:val="17"/>
                <w:szCs w:val="17"/>
              </w:rPr>
              <w:t>Parties that engage in insider trading are unlikely to report</w:t>
            </w:r>
          </w:p>
        </w:tc>
        <w:tc>
          <w:tcPr>
            <w:tcW w:w="2698" w:type="dxa"/>
            <w:shd w:val="clear" w:color="auto" w:fill="87BDBE"/>
          </w:tcPr>
          <w:p w:rsidR="00A37B38" w:rsidRPr="00F53BDD" w:rsidRDefault="00A37B38" w:rsidP="00EB5C26">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Helps a regulator monitor and detect unusual trades that could indicate insider trading</w:t>
            </w:r>
          </w:p>
        </w:tc>
        <w:tc>
          <w:tcPr>
            <w:tcW w:w="2380" w:type="dxa"/>
            <w:tcBorders>
              <w:bottom w:val="single" w:sz="4" w:space="0" w:color="1C556C" w:themeColor="accent1"/>
            </w:tcBorders>
            <w:shd w:val="clear" w:color="auto" w:fill="EDB097"/>
          </w:tcPr>
          <w:p w:rsidR="00A37B38" w:rsidRPr="00F53BDD" w:rsidRDefault="00E31DF2" w:rsidP="00EB5C26">
            <w:pPr>
              <w:pStyle w:val="TableText"/>
              <w:spacing w:before="0" w:after="0"/>
              <w:jc w:val="center"/>
              <w:rPr>
                <w:sz w:val="17"/>
                <w:szCs w:val="17"/>
              </w:rPr>
            </w:pPr>
            <w:r w:rsidRPr="00F53BDD">
              <w:rPr>
                <w:sz w:val="17"/>
                <w:szCs w:val="17"/>
              </w:rPr>
              <w:t>x</w:t>
            </w:r>
          </w:p>
          <w:p w:rsidR="00A37B38" w:rsidRPr="00F53BDD" w:rsidRDefault="00A37B38" w:rsidP="00EB5C26">
            <w:pPr>
              <w:pStyle w:val="TableText"/>
              <w:spacing w:before="0" w:after="0"/>
              <w:jc w:val="center"/>
              <w:rPr>
                <w:sz w:val="17"/>
                <w:szCs w:val="17"/>
              </w:rPr>
            </w:pPr>
            <w:r w:rsidRPr="00F53BDD">
              <w:rPr>
                <w:sz w:val="17"/>
                <w:szCs w:val="17"/>
              </w:rPr>
              <w:t>No oversight of insider trading</w:t>
            </w:r>
          </w:p>
        </w:tc>
      </w:tr>
      <w:tr w:rsidR="00A37B38" w:rsidRPr="00F53BDD" w:rsidTr="006949A3">
        <w:tc>
          <w:tcPr>
            <w:tcW w:w="0" w:type="auto"/>
            <w:shd w:val="clear" w:color="auto" w:fill="auto"/>
          </w:tcPr>
          <w:p w:rsidR="00A37B38" w:rsidRPr="00F53BDD" w:rsidRDefault="00A37B38" w:rsidP="00EB5C26">
            <w:pPr>
              <w:pStyle w:val="TableTextbold"/>
              <w:keepNext/>
              <w:spacing w:before="0" w:after="0" w:line="240" w:lineRule="auto"/>
              <w:rPr>
                <w:rFonts w:eastAsia="Times New Roman"/>
                <w:sz w:val="17"/>
                <w:szCs w:val="17"/>
              </w:rPr>
            </w:pPr>
            <w:r w:rsidRPr="00F53BDD">
              <w:rPr>
                <w:rFonts w:eastAsia="Times New Roman"/>
                <w:sz w:val="17"/>
                <w:szCs w:val="17"/>
              </w:rPr>
              <w:t>Money</w:t>
            </w:r>
            <w:r w:rsidR="00FE5D7D" w:rsidRPr="00F53BDD">
              <w:rPr>
                <w:rFonts w:eastAsia="Times New Roman"/>
                <w:sz w:val="17"/>
                <w:szCs w:val="17"/>
              </w:rPr>
              <w:t xml:space="preserve"> </w:t>
            </w:r>
            <w:r w:rsidRPr="00F53BDD">
              <w:rPr>
                <w:rFonts w:eastAsia="Times New Roman"/>
                <w:sz w:val="17"/>
                <w:szCs w:val="17"/>
              </w:rPr>
              <w:t>laundering and financing of terrorism</w:t>
            </w:r>
          </w:p>
        </w:tc>
        <w:tc>
          <w:tcPr>
            <w:tcW w:w="2147" w:type="dxa"/>
            <w:shd w:val="clear" w:color="auto" w:fill="auto"/>
          </w:tcPr>
          <w:p w:rsidR="00A37B38" w:rsidRPr="00F53BDD" w:rsidRDefault="00A37B38" w:rsidP="00EB5C26">
            <w:pPr>
              <w:pStyle w:val="TableText"/>
              <w:keepNext/>
              <w:spacing w:before="0" w:after="0" w:line="240" w:lineRule="auto"/>
              <w:jc w:val="center"/>
              <w:rPr>
                <w:rFonts w:asciiTheme="minorHAnsi" w:eastAsia="Times New Roman" w:hAnsiTheme="minorHAnsi" w:cstheme="minorHAnsi"/>
                <w:sz w:val="17"/>
                <w:szCs w:val="17"/>
              </w:rPr>
            </w:pPr>
            <w:r w:rsidRPr="00F53BDD">
              <w:rPr>
                <w:rFonts w:asciiTheme="minorHAnsi" w:eastAsia="Times New Roman" w:hAnsiTheme="minorHAnsi" w:cstheme="minorHAnsi"/>
                <w:sz w:val="17"/>
                <w:szCs w:val="17"/>
              </w:rPr>
              <w:t>O</w:t>
            </w:r>
          </w:p>
          <w:p w:rsidR="00A37B38" w:rsidRPr="00F53BDD" w:rsidRDefault="00A37B38" w:rsidP="00EB5C26">
            <w:pPr>
              <w:pStyle w:val="TableText"/>
              <w:keepNext/>
              <w:spacing w:before="0" w:after="0" w:line="240" w:lineRule="auto"/>
              <w:jc w:val="center"/>
              <w:rPr>
                <w:rFonts w:asciiTheme="minorHAnsi" w:eastAsia="Times New Roman" w:hAnsiTheme="minorHAnsi" w:cstheme="minorHAnsi"/>
                <w:sz w:val="17"/>
                <w:szCs w:val="17"/>
              </w:rPr>
            </w:pPr>
            <w:r w:rsidRPr="00F53BDD">
              <w:rPr>
                <w:rFonts w:asciiTheme="minorHAnsi" w:eastAsia="Times New Roman" w:hAnsiTheme="minorHAnsi" w:cstheme="minorHAnsi"/>
                <w:sz w:val="17"/>
                <w:szCs w:val="17"/>
              </w:rPr>
              <w:t>Not applicable</w:t>
            </w:r>
          </w:p>
        </w:tc>
        <w:tc>
          <w:tcPr>
            <w:tcW w:w="2409" w:type="dxa"/>
            <w:shd w:val="clear" w:color="auto" w:fill="E2F3F0" w:themeFill="accent5" w:themeFillTint="33"/>
          </w:tcPr>
          <w:p w:rsidR="00A37B38" w:rsidRPr="00F53BDD" w:rsidRDefault="00A37B38" w:rsidP="00EB5C26">
            <w:pPr>
              <w:pStyle w:val="TableText"/>
              <w:keepNext/>
              <w:spacing w:before="0" w:after="0" w:line="240" w:lineRule="auto"/>
              <w:jc w:val="center"/>
              <w:rPr>
                <w:rFonts w:asciiTheme="minorHAnsi" w:hAnsiTheme="minorHAnsi" w:cstheme="minorHAnsi"/>
                <w:sz w:val="17"/>
                <w:szCs w:val="17"/>
                <w:shd w:val="clear" w:color="auto" w:fill="F7E1D3" w:themeFill="accent6" w:themeFillTint="33"/>
              </w:rPr>
            </w:pPr>
            <w:r w:rsidRPr="00F53BDD">
              <w:rPr>
                <w:rFonts w:ascii="Segoe UI Symbol" w:hAnsi="Segoe UI Symbol" w:cs="Segoe UI Symbol"/>
                <w:sz w:val="17"/>
                <w:szCs w:val="17"/>
                <w:shd w:val="clear" w:color="auto" w:fill="E2F3F0" w:themeFill="accent5" w:themeFillTint="33"/>
              </w:rPr>
              <w:t>✓</w:t>
            </w:r>
          </w:p>
          <w:p w:rsidR="00A37B38" w:rsidRPr="00F53BDD" w:rsidRDefault="00A37B38" w:rsidP="0005378B">
            <w:pPr>
              <w:pStyle w:val="TableText"/>
              <w:keepNext/>
              <w:spacing w:before="0" w:line="240" w:lineRule="auto"/>
              <w:jc w:val="center"/>
              <w:rPr>
                <w:rFonts w:asciiTheme="minorHAnsi" w:eastAsia="Times New Roman" w:hAnsiTheme="minorHAnsi" w:cstheme="minorHAnsi"/>
                <w:sz w:val="17"/>
                <w:szCs w:val="17"/>
              </w:rPr>
            </w:pPr>
            <w:r w:rsidRPr="00F53BDD">
              <w:rPr>
                <w:rFonts w:asciiTheme="minorHAnsi" w:hAnsiTheme="minorHAnsi" w:cstheme="minorHAnsi"/>
                <w:sz w:val="17"/>
                <w:szCs w:val="17"/>
              </w:rPr>
              <w:t>Guidelines c</w:t>
            </w:r>
            <w:r w:rsidRPr="00F53BDD">
              <w:rPr>
                <w:rFonts w:asciiTheme="minorHAnsi" w:eastAsia="Times New Roman" w:hAnsiTheme="minorHAnsi" w:cstheme="minorHAnsi"/>
                <w:sz w:val="17"/>
                <w:szCs w:val="17"/>
              </w:rPr>
              <w:t xml:space="preserve">ould </w:t>
            </w:r>
            <w:r w:rsidRPr="00F53BDD">
              <w:rPr>
                <w:rFonts w:asciiTheme="minorHAnsi" w:hAnsiTheme="minorHAnsi" w:cstheme="minorHAnsi"/>
                <w:sz w:val="17"/>
                <w:szCs w:val="17"/>
              </w:rPr>
              <w:t xml:space="preserve">raise </w:t>
            </w:r>
            <w:r w:rsidR="003B3DAD" w:rsidRPr="00F53BDD">
              <w:rPr>
                <w:rFonts w:asciiTheme="minorHAnsi" w:hAnsiTheme="minorHAnsi" w:cstheme="minorHAnsi"/>
                <w:sz w:val="17"/>
                <w:szCs w:val="17"/>
              </w:rPr>
              <w:t>advisers</w:t>
            </w:r>
            <w:r w:rsidR="002A7C7D" w:rsidRPr="00F53BDD">
              <w:rPr>
                <w:rFonts w:asciiTheme="minorHAnsi" w:hAnsiTheme="minorHAnsi" w:cstheme="minorHAnsi"/>
                <w:sz w:val="17"/>
                <w:szCs w:val="17"/>
              </w:rPr>
              <w:t>’</w:t>
            </w:r>
            <w:r w:rsidRPr="00F53BDD">
              <w:rPr>
                <w:rFonts w:asciiTheme="minorHAnsi" w:hAnsiTheme="minorHAnsi" w:cstheme="minorHAnsi"/>
                <w:sz w:val="17"/>
                <w:szCs w:val="17"/>
              </w:rPr>
              <w:t xml:space="preserve"> awareness of </w:t>
            </w:r>
            <w:r w:rsidRPr="00F53BDD">
              <w:rPr>
                <w:rFonts w:asciiTheme="minorHAnsi" w:eastAsia="Times New Roman" w:hAnsiTheme="minorHAnsi" w:cstheme="minorHAnsi"/>
                <w:sz w:val="17"/>
                <w:szCs w:val="17"/>
              </w:rPr>
              <w:t>money laundering or financing of terrorism</w:t>
            </w:r>
            <w:r w:rsidR="002A7C7D" w:rsidRPr="00F53BDD">
              <w:rPr>
                <w:rFonts w:asciiTheme="minorHAnsi" w:eastAsia="Times New Roman" w:hAnsiTheme="minorHAnsi" w:cstheme="minorHAnsi"/>
                <w:sz w:val="17"/>
                <w:szCs w:val="17"/>
              </w:rPr>
              <w:t>,</w:t>
            </w:r>
            <w:r w:rsidRPr="00F53BDD">
              <w:rPr>
                <w:rFonts w:asciiTheme="minorHAnsi" w:eastAsia="Times New Roman" w:hAnsiTheme="minorHAnsi" w:cstheme="minorHAnsi"/>
                <w:sz w:val="17"/>
                <w:szCs w:val="17"/>
              </w:rPr>
              <w:t xml:space="preserve"> and </w:t>
            </w:r>
            <w:r w:rsidRPr="00F53BDD">
              <w:rPr>
                <w:rFonts w:asciiTheme="minorHAnsi" w:hAnsiTheme="minorHAnsi" w:cstheme="minorHAnsi"/>
                <w:sz w:val="17"/>
                <w:szCs w:val="17"/>
              </w:rPr>
              <w:t>prompt reporting of suspicious activities</w:t>
            </w:r>
          </w:p>
        </w:tc>
        <w:tc>
          <w:tcPr>
            <w:tcW w:w="2689" w:type="dxa"/>
            <w:shd w:val="clear" w:color="auto" w:fill="EDB097"/>
          </w:tcPr>
          <w:p w:rsidR="00A37B38" w:rsidRPr="00F53BDD" w:rsidRDefault="00981A61" w:rsidP="00EB5C26">
            <w:pPr>
              <w:pStyle w:val="TableText"/>
              <w:keepNext/>
              <w:spacing w:before="0" w:after="0"/>
              <w:jc w:val="center"/>
              <w:rPr>
                <w:sz w:val="17"/>
                <w:szCs w:val="17"/>
              </w:rPr>
            </w:pPr>
            <w:r w:rsidRPr="00F53BDD">
              <w:rPr>
                <w:sz w:val="17"/>
                <w:szCs w:val="17"/>
              </w:rPr>
              <w:t>x</w:t>
            </w:r>
          </w:p>
          <w:p w:rsidR="00A37B38" w:rsidRPr="00F53BDD" w:rsidRDefault="00A37B38" w:rsidP="00EB5C26">
            <w:pPr>
              <w:pStyle w:val="TableText"/>
              <w:keepNext/>
              <w:spacing w:before="0" w:after="0"/>
              <w:jc w:val="center"/>
              <w:rPr>
                <w:sz w:val="17"/>
                <w:szCs w:val="17"/>
              </w:rPr>
            </w:pPr>
            <w:r w:rsidRPr="00F53BDD">
              <w:rPr>
                <w:sz w:val="17"/>
                <w:szCs w:val="17"/>
              </w:rPr>
              <w:t>Parties that engage in money laundering or financing of terrorism are unlikely to report</w:t>
            </w:r>
          </w:p>
        </w:tc>
        <w:tc>
          <w:tcPr>
            <w:tcW w:w="2698" w:type="dxa"/>
            <w:shd w:val="clear" w:color="auto" w:fill="87BDBE"/>
          </w:tcPr>
          <w:p w:rsidR="00A37B38" w:rsidRPr="00F53BDD" w:rsidRDefault="00A37B38" w:rsidP="00EB5C26">
            <w:pPr>
              <w:pStyle w:val="TableText"/>
              <w:keepN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EB5C26">
            <w:pPr>
              <w:pStyle w:val="TableText"/>
              <w:keepNext/>
              <w:spacing w:before="0" w:after="0"/>
              <w:jc w:val="center"/>
              <w:rPr>
                <w:sz w:val="17"/>
                <w:szCs w:val="17"/>
              </w:rPr>
            </w:pPr>
            <w:r w:rsidRPr="00F53BDD">
              <w:rPr>
                <w:sz w:val="17"/>
                <w:szCs w:val="17"/>
              </w:rPr>
              <w:t xml:space="preserve">Helps a regulator monitor and detect unusual trades that could indicate money laundering </w:t>
            </w:r>
            <w:r w:rsidR="00190D9A" w:rsidRPr="00F53BDD">
              <w:rPr>
                <w:sz w:val="17"/>
                <w:szCs w:val="17"/>
              </w:rPr>
              <w:t xml:space="preserve">or </w:t>
            </w:r>
            <w:r w:rsidRPr="00F53BDD">
              <w:rPr>
                <w:sz w:val="17"/>
                <w:szCs w:val="17"/>
              </w:rPr>
              <w:t>financing of terrorism</w:t>
            </w:r>
          </w:p>
        </w:tc>
        <w:tc>
          <w:tcPr>
            <w:tcW w:w="2380" w:type="dxa"/>
            <w:shd w:val="clear" w:color="auto" w:fill="EDB097"/>
          </w:tcPr>
          <w:p w:rsidR="00A37B38" w:rsidRPr="00F53BDD" w:rsidRDefault="00981A61" w:rsidP="00EB5C26">
            <w:pPr>
              <w:pStyle w:val="TableText"/>
              <w:keepNext/>
              <w:spacing w:before="0" w:after="0"/>
              <w:jc w:val="center"/>
              <w:rPr>
                <w:sz w:val="17"/>
                <w:szCs w:val="17"/>
              </w:rPr>
            </w:pPr>
            <w:r w:rsidRPr="00F53BDD">
              <w:rPr>
                <w:rFonts w:ascii="Segoe UI Symbol" w:hAnsi="Segoe UI Symbol" w:cs="Segoe UI Symbol"/>
                <w:sz w:val="17"/>
                <w:szCs w:val="17"/>
              </w:rPr>
              <w:t>x</w:t>
            </w:r>
          </w:p>
          <w:p w:rsidR="00A37B38" w:rsidRPr="00F53BDD" w:rsidRDefault="00A37B38" w:rsidP="00EB5C26">
            <w:pPr>
              <w:pStyle w:val="TableText"/>
              <w:keepNext/>
              <w:spacing w:before="0" w:after="0"/>
              <w:jc w:val="center"/>
              <w:rPr>
                <w:sz w:val="17"/>
                <w:szCs w:val="17"/>
              </w:rPr>
            </w:pPr>
            <w:r w:rsidRPr="00F53BDD">
              <w:rPr>
                <w:sz w:val="17"/>
                <w:szCs w:val="17"/>
              </w:rPr>
              <w:t>No oversight of money laundering or price manipulation</w:t>
            </w:r>
          </w:p>
        </w:tc>
      </w:tr>
      <w:tr w:rsidR="00A37B38" w:rsidRPr="00F53BDD" w:rsidTr="00E31DF2">
        <w:tc>
          <w:tcPr>
            <w:tcW w:w="0" w:type="auto"/>
            <w:gridSpan w:val="6"/>
            <w:shd w:val="clear" w:color="auto" w:fill="auto"/>
          </w:tcPr>
          <w:p w:rsidR="001F00AC" w:rsidRPr="00F53BDD" w:rsidRDefault="001F00AC" w:rsidP="001F00AC">
            <w:pPr>
              <w:pStyle w:val="TableText"/>
              <w:tabs>
                <w:tab w:val="left" w:pos="599"/>
              </w:tabs>
              <w:spacing w:line="276" w:lineRule="auto"/>
              <w:contextualSpacing/>
              <w:rPr>
                <w:rFonts w:cstheme="minorHAnsi"/>
                <w:sz w:val="17"/>
                <w:szCs w:val="17"/>
              </w:rPr>
            </w:pPr>
            <w:r w:rsidRPr="00F53BDD">
              <w:rPr>
                <w:rFonts w:ascii="Segoe UI Symbol" w:hAnsi="Segoe UI Symbol" w:cs="Segoe UI Symbol"/>
                <w:sz w:val="17"/>
                <w:szCs w:val="17"/>
                <w:shd w:val="clear" w:color="auto" w:fill="57A3A4"/>
              </w:rPr>
              <w:t>✓✓✓</w:t>
            </w:r>
            <w:r w:rsidRPr="00F53BDD">
              <w:rPr>
                <w:sz w:val="17"/>
                <w:szCs w:val="17"/>
              </w:rPr>
              <w:tab/>
            </w:r>
            <w:r w:rsidRPr="00F53BDD">
              <w:rPr>
                <w:rFonts w:cstheme="minorHAnsi"/>
                <w:sz w:val="17"/>
                <w:szCs w:val="17"/>
              </w:rPr>
              <w:t>Strongly addresses risk</w:t>
            </w:r>
          </w:p>
          <w:p w:rsidR="001F00AC" w:rsidRPr="00F53BDD" w:rsidRDefault="001F00AC" w:rsidP="001F00AC">
            <w:pPr>
              <w:pStyle w:val="TableText"/>
              <w:tabs>
                <w:tab w:val="left" w:pos="599"/>
              </w:tabs>
              <w:spacing w:line="276" w:lineRule="auto"/>
              <w:contextualSpacing/>
              <w:rPr>
                <w:rFonts w:cstheme="minorHAnsi"/>
                <w:sz w:val="17"/>
                <w:szCs w:val="17"/>
              </w:rPr>
            </w:pPr>
            <w:r w:rsidRPr="00F53BDD">
              <w:rPr>
                <w:rFonts w:ascii="Segoe UI Symbol" w:hAnsi="Segoe UI Symbol" w:cs="Segoe UI Symbol"/>
                <w:sz w:val="17"/>
                <w:szCs w:val="17"/>
                <w:shd w:val="clear" w:color="auto" w:fill="87BDBE"/>
              </w:rPr>
              <w:t>✓✓</w:t>
            </w:r>
            <w:r w:rsidRPr="00F53BDD">
              <w:rPr>
                <w:rFonts w:cstheme="minorHAnsi"/>
                <w:sz w:val="17"/>
                <w:szCs w:val="17"/>
              </w:rPr>
              <w:tab/>
              <w:t>Addresses risk</w:t>
            </w:r>
          </w:p>
          <w:p w:rsidR="001F00AC" w:rsidRDefault="001F00AC" w:rsidP="001F00AC">
            <w:pPr>
              <w:pStyle w:val="TableText"/>
              <w:tabs>
                <w:tab w:val="left" w:pos="599"/>
              </w:tabs>
              <w:spacing w:line="276" w:lineRule="auto"/>
              <w:contextualSpacing/>
              <w:rPr>
                <w:rFonts w:cstheme="minorHAnsi"/>
                <w:sz w:val="17"/>
                <w:szCs w:val="17"/>
              </w:rPr>
            </w:pPr>
            <w:r w:rsidRPr="00F53BDD">
              <w:rPr>
                <w:rFonts w:ascii="Segoe UI Symbol" w:hAnsi="Segoe UI Symbol" w:cs="Segoe UI Symbol"/>
                <w:sz w:val="17"/>
                <w:szCs w:val="17"/>
                <w:shd w:val="clear" w:color="auto" w:fill="CFE5E5"/>
              </w:rPr>
              <w:t>✓</w:t>
            </w:r>
            <w:r w:rsidRPr="00F53BDD">
              <w:rPr>
                <w:rFonts w:cstheme="minorHAnsi"/>
                <w:sz w:val="17"/>
                <w:szCs w:val="17"/>
              </w:rPr>
              <w:tab/>
              <w:t>Partially addresses risk</w:t>
            </w:r>
          </w:p>
          <w:p w:rsidR="001F00AC" w:rsidRDefault="001F00AC" w:rsidP="001F00AC">
            <w:pPr>
              <w:pStyle w:val="TableText"/>
              <w:tabs>
                <w:tab w:val="left" w:pos="599"/>
              </w:tabs>
              <w:spacing w:line="276" w:lineRule="auto"/>
              <w:contextualSpacing/>
              <w:rPr>
                <w:rFonts w:cstheme="minorHAnsi"/>
                <w:sz w:val="17"/>
                <w:szCs w:val="17"/>
              </w:rPr>
            </w:pPr>
            <w:r w:rsidRPr="00F53BDD">
              <w:rPr>
                <w:rFonts w:cs="Segoe UI Symbol"/>
                <w:sz w:val="17"/>
                <w:szCs w:val="17"/>
                <w:shd w:val="clear" w:color="auto" w:fill="EDB097"/>
              </w:rPr>
              <w:t>x</w:t>
            </w:r>
            <w:r w:rsidRPr="00F53BDD">
              <w:rPr>
                <w:rFonts w:cstheme="minorHAnsi"/>
                <w:sz w:val="17"/>
                <w:szCs w:val="17"/>
              </w:rPr>
              <w:tab/>
              <w:t>Does not address risk</w:t>
            </w:r>
          </w:p>
          <w:p w:rsidR="001F00AC" w:rsidRPr="00F53BDD" w:rsidRDefault="001F00AC" w:rsidP="001F00AC">
            <w:pPr>
              <w:pStyle w:val="TableText"/>
              <w:tabs>
                <w:tab w:val="left" w:pos="599"/>
              </w:tabs>
              <w:spacing w:line="276" w:lineRule="auto"/>
              <w:contextualSpacing/>
              <w:rPr>
                <w:rFonts w:cstheme="minorHAnsi"/>
                <w:sz w:val="17"/>
                <w:szCs w:val="17"/>
              </w:rPr>
            </w:pPr>
            <w:r w:rsidRPr="00F53BDD">
              <w:rPr>
                <w:rFonts w:eastAsia="Times New Roman"/>
                <w:sz w:val="17"/>
                <w:szCs w:val="17"/>
              </w:rPr>
              <w:t>O</w:t>
            </w:r>
            <w:r>
              <w:rPr>
                <w:rFonts w:eastAsia="Times New Roman"/>
                <w:sz w:val="17"/>
                <w:szCs w:val="17"/>
              </w:rPr>
              <w:tab/>
              <w:t>Not applicable</w:t>
            </w:r>
          </w:p>
          <w:p w:rsidR="001F00AC" w:rsidRPr="001F00AC" w:rsidRDefault="001F00AC" w:rsidP="001F00AC">
            <w:pPr>
              <w:pStyle w:val="TableText"/>
              <w:tabs>
                <w:tab w:val="left" w:pos="599"/>
              </w:tabs>
              <w:spacing w:line="276" w:lineRule="auto"/>
              <w:contextualSpacing/>
              <w:rPr>
                <w:rFonts w:cstheme="minorHAnsi"/>
                <w:sz w:val="17"/>
                <w:szCs w:val="17"/>
              </w:rPr>
            </w:pPr>
          </w:p>
        </w:tc>
      </w:tr>
    </w:tbl>
    <w:p w:rsidR="00981A61" w:rsidRPr="00F53BDD" w:rsidRDefault="00981A61" w:rsidP="00981A61">
      <w:pPr>
        <w:pStyle w:val="BodyText"/>
      </w:pPr>
    </w:p>
    <w:p w:rsidR="00981A61" w:rsidRPr="00F53BDD" w:rsidRDefault="00981A61">
      <w:pPr>
        <w:spacing w:before="0" w:after="200" w:line="276" w:lineRule="auto"/>
        <w:jc w:val="left"/>
        <w:rPr>
          <w:b/>
          <w:sz w:val="20"/>
        </w:rPr>
      </w:pPr>
      <w:r w:rsidRPr="00F53BDD">
        <w:br w:type="page"/>
      </w:r>
    </w:p>
    <w:p w:rsidR="00A37B38" w:rsidRPr="00F53BDD" w:rsidRDefault="00A37B38" w:rsidP="00981A61">
      <w:pPr>
        <w:pStyle w:val="Tableheading"/>
      </w:pPr>
      <w:bookmarkStart w:id="144" w:name="_Toc75250121"/>
      <w:r w:rsidRPr="00F53BDD">
        <w:t xml:space="preserve">Table </w:t>
      </w:r>
      <w:r w:rsidR="00616B66" w:rsidRPr="00F53BDD">
        <w:t>1</w:t>
      </w:r>
      <w:r w:rsidR="006218BD">
        <w:t>9</w:t>
      </w:r>
      <w:r w:rsidRPr="00F53BDD">
        <w:t>:</w:t>
      </w:r>
      <w:r w:rsidRPr="00F53BDD">
        <w:rPr>
          <w:rFonts w:eastAsia="Times New Roman"/>
          <w:lang w:eastAsia="en-US"/>
        </w:rPr>
        <w:t xml:space="preserve"> </w:t>
      </w:r>
      <w:r w:rsidR="00981A61" w:rsidRPr="00F53BDD">
        <w:rPr>
          <w:rFonts w:eastAsia="Times New Roman"/>
          <w:lang w:eastAsia="en-US"/>
        </w:rPr>
        <w:tab/>
      </w:r>
      <w:r w:rsidRPr="00F53BDD">
        <w:rPr>
          <w:rFonts w:eastAsia="Times New Roman"/>
          <w:lang w:eastAsia="en-US"/>
        </w:rPr>
        <w:t xml:space="preserve">Impact analysis </w:t>
      </w:r>
      <w:r w:rsidR="000634FC" w:rsidRPr="00F53BDD">
        <w:rPr>
          <w:rFonts w:eastAsia="Times New Roman"/>
          <w:lang w:eastAsia="en-US"/>
        </w:rPr>
        <w:t xml:space="preserve">of </w:t>
      </w:r>
      <w:r w:rsidRPr="00F53BDD">
        <w:rPr>
          <w:rFonts w:eastAsia="Times New Roman"/>
        </w:rPr>
        <w:t xml:space="preserve">non-regulatory </w:t>
      </w:r>
      <w:r w:rsidR="00E27749" w:rsidRPr="00F53BDD">
        <w:rPr>
          <w:rFonts w:eastAsia="Times New Roman"/>
          <w:lang w:eastAsia="en-US"/>
        </w:rPr>
        <w:t>scenario</w:t>
      </w:r>
      <w:bookmarkEnd w:id="144"/>
    </w:p>
    <w:tbl>
      <w:tblPr>
        <w:tblStyle w:val="TableGrid31"/>
        <w:tblW w:w="13438"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ayout w:type="fixed"/>
        <w:tblLook w:val="04A0" w:firstRow="1" w:lastRow="0" w:firstColumn="1" w:lastColumn="0" w:noHBand="0" w:noVBand="1"/>
      </w:tblPr>
      <w:tblGrid>
        <w:gridCol w:w="1615"/>
        <w:gridCol w:w="1970"/>
        <w:gridCol w:w="2330"/>
        <w:gridCol w:w="2330"/>
        <w:gridCol w:w="2688"/>
        <w:gridCol w:w="2505"/>
      </w:tblGrid>
      <w:tr w:rsidR="00B745F4" w:rsidRPr="00F53BDD" w:rsidTr="00EB5C26">
        <w:tc>
          <w:tcPr>
            <w:tcW w:w="601" w:type="pct"/>
            <w:shd w:val="clear" w:color="auto" w:fill="1C556C" w:themeFill="accent1"/>
            <w:vAlign w:val="bottom"/>
          </w:tcPr>
          <w:p w:rsidR="00D155DD" w:rsidRPr="00F53BDD" w:rsidRDefault="00D155DD" w:rsidP="006042C5">
            <w:pPr>
              <w:pStyle w:val="TableTextbold"/>
              <w:spacing w:line="240" w:lineRule="auto"/>
              <w:rPr>
                <w:rFonts w:eastAsia="Times New Roman"/>
                <w:color w:val="FFFFFF" w:themeColor="background1"/>
                <w:sz w:val="17"/>
                <w:szCs w:val="17"/>
              </w:rPr>
            </w:pPr>
            <w:r w:rsidRPr="00F53BDD">
              <w:rPr>
                <w:rFonts w:eastAsia="Times New Roman"/>
                <w:color w:val="FFFFFF" w:themeColor="background1"/>
                <w:sz w:val="17"/>
                <w:szCs w:val="17"/>
              </w:rPr>
              <w:t>Criteri</w:t>
            </w:r>
            <w:r w:rsidR="002A7C7D" w:rsidRPr="00F53BDD">
              <w:rPr>
                <w:rFonts w:eastAsia="Times New Roman"/>
                <w:color w:val="FFFFFF" w:themeColor="background1"/>
                <w:sz w:val="17"/>
                <w:szCs w:val="17"/>
              </w:rPr>
              <w:t>on</w:t>
            </w:r>
          </w:p>
        </w:tc>
        <w:tc>
          <w:tcPr>
            <w:tcW w:w="733" w:type="pct"/>
            <w:tcBorders>
              <w:bottom w:val="single" w:sz="4" w:space="0" w:color="1C556C" w:themeColor="accent1"/>
            </w:tcBorders>
            <w:shd w:val="clear" w:color="auto" w:fill="1C556C" w:themeFill="accent1"/>
            <w:vAlign w:val="bottom"/>
          </w:tcPr>
          <w:p w:rsidR="00D155DD" w:rsidRPr="00F53BDD" w:rsidRDefault="00D155DD" w:rsidP="006042C5">
            <w:pPr>
              <w:pStyle w:val="TableTextbold"/>
              <w:spacing w:line="240" w:lineRule="auto"/>
              <w:rPr>
                <w:rFonts w:eastAsia="Times New Roman"/>
                <w:color w:val="FFFFFF" w:themeColor="background1"/>
                <w:sz w:val="17"/>
                <w:szCs w:val="17"/>
              </w:rPr>
            </w:pPr>
            <w:r w:rsidRPr="00F53BDD">
              <w:rPr>
                <w:color w:val="FFFFFF" w:themeColor="background1"/>
                <w:sz w:val="17"/>
                <w:szCs w:val="17"/>
              </w:rPr>
              <w:t xml:space="preserve">A2: </w:t>
            </w:r>
            <w:r w:rsidR="00BB1A07" w:rsidRPr="00F53BDD">
              <w:rPr>
                <w:color w:val="FFFFFF" w:themeColor="background1"/>
                <w:sz w:val="17"/>
                <w:szCs w:val="17"/>
              </w:rPr>
              <w:t>Education campaign</w:t>
            </w:r>
            <w:r w:rsidRPr="00F53BDD">
              <w:rPr>
                <w:color w:val="FFFFFF" w:themeColor="background1"/>
                <w:sz w:val="17"/>
                <w:szCs w:val="17"/>
              </w:rPr>
              <w:t xml:space="preserve"> and Information pack</w:t>
            </w:r>
          </w:p>
        </w:tc>
        <w:tc>
          <w:tcPr>
            <w:tcW w:w="867" w:type="pct"/>
            <w:tcBorders>
              <w:bottom w:val="single" w:sz="4" w:space="0" w:color="1C556C" w:themeColor="accent1"/>
            </w:tcBorders>
            <w:shd w:val="clear" w:color="auto" w:fill="1C556C" w:themeFill="accent1"/>
            <w:vAlign w:val="bottom"/>
          </w:tcPr>
          <w:p w:rsidR="00D155DD" w:rsidRPr="00F53BDD" w:rsidRDefault="00D155DD" w:rsidP="006042C5">
            <w:pPr>
              <w:pStyle w:val="TableTextbold"/>
              <w:spacing w:line="240" w:lineRule="auto"/>
              <w:rPr>
                <w:rFonts w:eastAsia="Times New Roman"/>
                <w:color w:val="FFFFFF" w:themeColor="background1"/>
                <w:sz w:val="17"/>
                <w:szCs w:val="17"/>
              </w:rPr>
            </w:pPr>
            <w:r w:rsidRPr="00F53BDD">
              <w:rPr>
                <w:color w:val="FFFFFF" w:themeColor="background1"/>
                <w:sz w:val="17"/>
                <w:szCs w:val="17"/>
              </w:rPr>
              <w:t xml:space="preserve">A3: Voluntary </w:t>
            </w:r>
            <w:r w:rsidR="00DD24CF" w:rsidRPr="00F53BDD">
              <w:rPr>
                <w:color w:val="FFFFFF" w:themeColor="background1"/>
                <w:sz w:val="17"/>
                <w:szCs w:val="17"/>
              </w:rPr>
              <w:t>s</w:t>
            </w:r>
            <w:r w:rsidRPr="00F53BDD">
              <w:rPr>
                <w:color w:val="FFFFFF" w:themeColor="background1"/>
                <w:sz w:val="17"/>
                <w:szCs w:val="17"/>
              </w:rPr>
              <w:t xml:space="preserve">ector </w:t>
            </w:r>
            <w:r w:rsidR="00DD24CF" w:rsidRPr="00F53BDD">
              <w:rPr>
                <w:color w:val="FFFFFF" w:themeColor="background1"/>
                <w:sz w:val="17"/>
                <w:szCs w:val="17"/>
              </w:rPr>
              <w:t>g</w:t>
            </w:r>
            <w:r w:rsidRPr="00F53BDD">
              <w:rPr>
                <w:color w:val="FFFFFF" w:themeColor="background1"/>
                <w:sz w:val="17"/>
                <w:szCs w:val="17"/>
              </w:rPr>
              <w:t>uidelines for NZU advisers</w:t>
            </w:r>
          </w:p>
        </w:tc>
        <w:tc>
          <w:tcPr>
            <w:tcW w:w="867" w:type="pct"/>
            <w:tcBorders>
              <w:bottom w:val="single" w:sz="4" w:space="0" w:color="1C556C" w:themeColor="accent1"/>
            </w:tcBorders>
            <w:shd w:val="clear" w:color="auto" w:fill="1C556C" w:themeFill="accent1"/>
            <w:vAlign w:val="bottom"/>
          </w:tcPr>
          <w:p w:rsidR="00D155DD" w:rsidRPr="00F53BDD" w:rsidRDefault="00D155DD" w:rsidP="006042C5">
            <w:pPr>
              <w:pStyle w:val="TableTextbold"/>
              <w:spacing w:line="240" w:lineRule="auto"/>
              <w:rPr>
                <w:rFonts w:eastAsia="Times New Roman"/>
                <w:color w:val="FFFFFF" w:themeColor="background1"/>
                <w:sz w:val="17"/>
                <w:szCs w:val="17"/>
              </w:rPr>
            </w:pPr>
            <w:r w:rsidRPr="00F53BDD">
              <w:rPr>
                <w:color w:val="FFFFFF" w:themeColor="background1"/>
                <w:sz w:val="17"/>
                <w:szCs w:val="17"/>
              </w:rPr>
              <w:t>B2 Voluntary reporting of trades</w:t>
            </w:r>
          </w:p>
        </w:tc>
        <w:tc>
          <w:tcPr>
            <w:tcW w:w="1000" w:type="pct"/>
            <w:tcBorders>
              <w:bottom w:val="single" w:sz="4" w:space="0" w:color="1C556C" w:themeColor="accent1"/>
            </w:tcBorders>
            <w:shd w:val="clear" w:color="auto" w:fill="1C556C" w:themeFill="accent1"/>
            <w:vAlign w:val="bottom"/>
          </w:tcPr>
          <w:p w:rsidR="00D155DD" w:rsidRPr="00F53BDD" w:rsidRDefault="00D155DD" w:rsidP="006042C5">
            <w:pPr>
              <w:pStyle w:val="TableTextbold"/>
              <w:spacing w:line="240" w:lineRule="auto"/>
              <w:rPr>
                <w:rFonts w:eastAsia="Times New Roman"/>
                <w:color w:val="FFFFFF" w:themeColor="background1"/>
                <w:sz w:val="17"/>
                <w:szCs w:val="17"/>
              </w:rPr>
            </w:pPr>
            <w:r w:rsidRPr="00F53BDD">
              <w:rPr>
                <w:color w:val="FFFFFF" w:themeColor="background1"/>
                <w:sz w:val="17"/>
                <w:szCs w:val="17"/>
              </w:rPr>
              <w:t xml:space="preserve">C3: </w:t>
            </w:r>
            <w:r w:rsidR="00F04383" w:rsidRPr="00F53BDD">
              <w:rPr>
                <w:color w:val="FFFFFF" w:themeColor="background1"/>
                <w:sz w:val="17"/>
                <w:szCs w:val="17"/>
              </w:rPr>
              <w:t>Price reporting</w:t>
            </w:r>
          </w:p>
        </w:tc>
        <w:tc>
          <w:tcPr>
            <w:tcW w:w="932" w:type="pct"/>
            <w:tcBorders>
              <w:bottom w:val="single" w:sz="4" w:space="0" w:color="1C556C" w:themeColor="accent1"/>
            </w:tcBorders>
            <w:shd w:val="clear" w:color="auto" w:fill="1C556C" w:themeFill="accent1"/>
            <w:vAlign w:val="bottom"/>
          </w:tcPr>
          <w:p w:rsidR="00D155DD" w:rsidRPr="00F53BDD" w:rsidRDefault="00D155DD" w:rsidP="006042C5">
            <w:pPr>
              <w:pStyle w:val="TableTextbold"/>
              <w:spacing w:line="240" w:lineRule="auto"/>
              <w:rPr>
                <w:rFonts w:eastAsia="Calibri"/>
                <w:color w:val="FFFFFF" w:themeColor="background1"/>
                <w:sz w:val="17"/>
                <w:szCs w:val="17"/>
                <w:lang w:eastAsia="en-US"/>
              </w:rPr>
            </w:pPr>
            <w:r w:rsidRPr="00F53BDD">
              <w:rPr>
                <w:color w:val="FFFFFF" w:themeColor="background1"/>
                <w:sz w:val="17"/>
                <w:szCs w:val="17"/>
              </w:rPr>
              <w:t>D3: Advisory regulator</w:t>
            </w:r>
          </w:p>
        </w:tc>
      </w:tr>
      <w:tr w:rsidR="00A37B38" w:rsidRPr="00F53BDD" w:rsidTr="00EB5C26">
        <w:tc>
          <w:tcPr>
            <w:tcW w:w="601" w:type="pct"/>
          </w:tcPr>
          <w:p w:rsidR="00A37B38" w:rsidRPr="00F53BDD" w:rsidRDefault="00A37B38" w:rsidP="006042C5">
            <w:pPr>
              <w:pStyle w:val="TableTextbold"/>
              <w:spacing w:before="0" w:after="0" w:line="240" w:lineRule="auto"/>
              <w:rPr>
                <w:rFonts w:eastAsia="Times New Roman"/>
                <w:sz w:val="17"/>
                <w:szCs w:val="17"/>
              </w:rPr>
            </w:pPr>
            <w:r w:rsidRPr="00F53BDD">
              <w:rPr>
                <w:rFonts w:eastAsia="Times New Roman"/>
                <w:sz w:val="17"/>
                <w:szCs w:val="17"/>
              </w:rPr>
              <w:t>Integrity</w:t>
            </w:r>
          </w:p>
        </w:tc>
        <w:tc>
          <w:tcPr>
            <w:tcW w:w="733" w:type="pct"/>
            <w:tcBorders>
              <w:bottom w:val="single" w:sz="4" w:space="0" w:color="1C556C" w:themeColor="accent1"/>
            </w:tcBorders>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line="240" w:lineRule="auto"/>
              <w:jc w:val="center"/>
              <w:rPr>
                <w:sz w:val="17"/>
                <w:szCs w:val="17"/>
              </w:rPr>
            </w:pPr>
            <w:r w:rsidRPr="00F53BDD">
              <w:rPr>
                <w:sz w:val="17"/>
                <w:szCs w:val="17"/>
              </w:rPr>
              <w:t>Does not stop the provision of bad advice, but helps traders perform due diligence</w:t>
            </w:r>
          </w:p>
        </w:tc>
        <w:tc>
          <w:tcPr>
            <w:tcW w:w="867" w:type="pct"/>
            <w:tcBorders>
              <w:bottom w:val="single" w:sz="4" w:space="0" w:color="1C556C" w:themeColor="accent1"/>
            </w:tcBorders>
            <w:shd w:val="clear" w:color="auto" w:fill="87BDBE"/>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Sets the standard of good</w:t>
            </w:r>
            <w:r w:rsidR="002A7C7D" w:rsidRPr="00F53BDD">
              <w:rPr>
                <w:sz w:val="17"/>
                <w:szCs w:val="17"/>
              </w:rPr>
              <w:t xml:space="preserve"> </w:t>
            </w:r>
            <w:r w:rsidR="00D84768" w:rsidRPr="00F53BDD">
              <w:rPr>
                <w:sz w:val="17"/>
                <w:szCs w:val="17"/>
              </w:rPr>
              <w:t>conduct</w:t>
            </w:r>
          </w:p>
        </w:tc>
        <w:tc>
          <w:tcPr>
            <w:tcW w:w="867" w:type="pct"/>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Helps with understanding emission reductions, but does not address market integrity</w:t>
            </w:r>
          </w:p>
        </w:tc>
        <w:tc>
          <w:tcPr>
            <w:tcW w:w="1000" w:type="pct"/>
            <w:tcBorders>
              <w:bottom w:val="single" w:sz="4" w:space="0" w:color="1C556C" w:themeColor="accent1"/>
            </w:tcBorders>
            <w:shd w:val="clear" w:color="auto" w:fill="EDB097"/>
          </w:tcPr>
          <w:p w:rsidR="00A37B38" w:rsidRPr="00F53BDD" w:rsidRDefault="00531690" w:rsidP="006042C5">
            <w:pPr>
              <w:pStyle w:val="TableText"/>
              <w:spacing w:before="0" w:after="0" w:line="240" w:lineRule="auto"/>
              <w:jc w:val="center"/>
              <w:rPr>
                <w:sz w:val="17"/>
                <w:szCs w:val="17"/>
              </w:rPr>
            </w:pPr>
            <w:r w:rsidRPr="00F53BDD">
              <w:rPr>
                <w:sz w:val="17"/>
                <w:szCs w:val="17"/>
              </w:rPr>
              <w:t>x</w:t>
            </w:r>
          </w:p>
          <w:p w:rsidR="00A37B38" w:rsidRPr="00F53BDD" w:rsidRDefault="00A37B38" w:rsidP="006042C5">
            <w:pPr>
              <w:pStyle w:val="TableText"/>
              <w:spacing w:before="0" w:after="0" w:line="240" w:lineRule="auto"/>
              <w:jc w:val="center"/>
              <w:rPr>
                <w:sz w:val="17"/>
                <w:szCs w:val="17"/>
              </w:rPr>
            </w:pPr>
            <w:r w:rsidRPr="00F53BDD">
              <w:rPr>
                <w:sz w:val="17"/>
                <w:szCs w:val="17"/>
              </w:rPr>
              <w:t>Self-reporting is unlikely to deter traders who are engaging in misconduct</w:t>
            </w:r>
          </w:p>
        </w:tc>
        <w:tc>
          <w:tcPr>
            <w:tcW w:w="932" w:type="pct"/>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 xml:space="preserve">They are independent from the industry and can </w:t>
            </w:r>
            <w:r w:rsidR="003B3DAD" w:rsidRPr="00F53BDD">
              <w:rPr>
                <w:sz w:val="17"/>
                <w:szCs w:val="17"/>
              </w:rPr>
              <w:t>advise</w:t>
            </w:r>
            <w:r w:rsidRPr="00F53BDD">
              <w:rPr>
                <w:sz w:val="17"/>
                <w:szCs w:val="17"/>
              </w:rPr>
              <w:t xml:space="preserve"> </w:t>
            </w:r>
            <w:r w:rsidR="002A7C7D" w:rsidRPr="00F53BDD">
              <w:rPr>
                <w:sz w:val="17"/>
                <w:szCs w:val="17"/>
              </w:rPr>
              <w:t>the G</w:t>
            </w:r>
            <w:r w:rsidRPr="00F53BDD">
              <w:rPr>
                <w:sz w:val="17"/>
                <w:szCs w:val="17"/>
              </w:rPr>
              <w:t>overnment on improvements to the ETS</w:t>
            </w:r>
          </w:p>
        </w:tc>
      </w:tr>
      <w:tr w:rsidR="00A37B38" w:rsidRPr="00F53BDD" w:rsidTr="00EB5C26">
        <w:tc>
          <w:tcPr>
            <w:tcW w:w="601" w:type="pct"/>
          </w:tcPr>
          <w:p w:rsidR="00A37B38" w:rsidRPr="00F53BDD" w:rsidRDefault="00A37B38" w:rsidP="006042C5">
            <w:pPr>
              <w:pStyle w:val="TableTextbold"/>
              <w:spacing w:before="0" w:after="0" w:line="240" w:lineRule="auto"/>
              <w:rPr>
                <w:rFonts w:eastAsia="Times New Roman"/>
                <w:sz w:val="17"/>
                <w:szCs w:val="17"/>
              </w:rPr>
            </w:pPr>
            <w:r w:rsidRPr="00F53BDD">
              <w:rPr>
                <w:rFonts w:eastAsia="Times New Roman"/>
                <w:sz w:val="17"/>
                <w:szCs w:val="17"/>
              </w:rPr>
              <w:t>Minimal complexity and administrative cost</w:t>
            </w:r>
          </w:p>
        </w:tc>
        <w:tc>
          <w:tcPr>
            <w:tcW w:w="733" w:type="pct"/>
            <w:tcBorders>
              <w:bottom w:val="single" w:sz="4" w:space="0" w:color="1C556C" w:themeColor="accent1"/>
            </w:tcBorders>
            <w:shd w:val="clear" w:color="auto" w:fill="57A3A4"/>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line="240" w:lineRule="auto"/>
              <w:jc w:val="center"/>
              <w:rPr>
                <w:sz w:val="17"/>
                <w:szCs w:val="17"/>
              </w:rPr>
            </w:pPr>
            <w:r w:rsidRPr="00F53BDD">
              <w:rPr>
                <w:sz w:val="17"/>
                <w:szCs w:val="17"/>
              </w:rPr>
              <w:t>Minimises complexity for traders, with no administrative cost for participants and traders</w:t>
            </w:r>
          </w:p>
        </w:tc>
        <w:tc>
          <w:tcPr>
            <w:tcW w:w="867" w:type="pct"/>
            <w:tcBorders>
              <w:bottom w:val="single" w:sz="4" w:space="0" w:color="1C556C" w:themeColor="accent1"/>
            </w:tcBorders>
            <w:shd w:val="clear" w:color="auto" w:fill="57A3A4"/>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Minimises complexity for advisers, with no administrative cost for participants and traders</w:t>
            </w:r>
          </w:p>
        </w:tc>
        <w:tc>
          <w:tcPr>
            <w:tcW w:w="867" w:type="pct"/>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Applied on a voluntary basis, but may be complex for some traders</w:t>
            </w:r>
          </w:p>
        </w:tc>
        <w:tc>
          <w:tcPr>
            <w:tcW w:w="1000" w:type="pct"/>
            <w:tcBorders>
              <w:bottom w:val="single" w:sz="4" w:space="0" w:color="1C556C" w:themeColor="accent1"/>
            </w:tcBorders>
            <w:shd w:val="clear" w:color="auto" w:fill="87BDBE"/>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Easy to implement because this option involves adding a ‘price’ field to an existing NZ ETR report</w:t>
            </w:r>
          </w:p>
        </w:tc>
        <w:tc>
          <w:tcPr>
            <w:tcW w:w="932" w:type="pct"/>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 xml:space="preserve">Some administrative cost to </w:t>
            </w:r>
            <w:r w:rsidR="002A7C7D" w:rsidRPr="00F53BDD">
              <w:rPr>
                <w:sz w:val="17"/>
                <w:szCs w:val="17"/>
              </w:rPr>
              <w:t>the G</w:t>
            </w:r>
            <w:r w:rsidRPr="00F53BDD">
              <w:rPr>
                <w:sz w:val="17"/>
                <w:szCs w:val="17"/>
              </w:rPr>
              <w:t>overnment, but with limited data collection powers</w:t>
            </w:r>
          </w:p>
        </w:tc>
      </w:tr>
      <w:tr w:rsidR="00A37B38" w:rsidRPr="00F53BDD" w:rsidTr="00EB5C26">
        <w:tc>
          <w:tcPr>
            <w:tcW w:w="601" w:type="pct"/>
          </w:tcPr>
          <w:p w:rsidR="00A37B38" w:rsidRPr="00F53BDD" w:rsidRDefault="00A37B38" w:rsidP="006042C5">
            <w:pPr>
              <w:pStyle w:val="TableTextbold"/>
              <w:spacing w:before="0" w:after="0" w:line="240" w:lineRule="auto"/>
              <w:rPr>
                <w:rFonts w:eastAsia="Times New Roman"/>
                <w:sz w:val="17"/>
                <w:szCs w:val="17"/>
              </w:rPr>
            </w:pPr>
            <w:r w:rsidRPr="00F53BDD">
              <w:rPr>
                <w:rFonts w:eastAsia="Times New Roman"/>
                <w:sz w:val="17"/>
                <w:szCs w:val="17"/>
              </w:rPr>
              <w:t>Consistency and proportionality</w:t>
            </w:r>
          </w:p>
        </w:tc>
        <w:tc>
          <w:tcPr>
            <w:tcW w:w="733" w:type="pct"/>
            <w:tcBorders>
              <w:bottom w:val="single" w:sz="4" w:space="0" w:color="1C556C" w:themeColor="accent1"/>
            </w:tcBorders>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BB1A07" w:rsidP="0005378B">
            <w:pPr>
              <w:pStyle w:val="TableText"/>
              <w:spacing w:before="0" w:line="240" w:lineRule="auto"/>
              <w:jc w:val="center"/>
              <w:rPr>
                <w:sz w:val="17"/>
                <w:szCs w:val="17"/>
              </w:rPr>
            </w:pPr>
            <w:r w:rsidRPr="00F53BDD">
              <w:rPr>
                <w:sz w:val="17"/>
                <w:szCs w:val="17"/>
              </w:rPr>
              <w:t>Education campaign</w:t>
            </w:r>
            <w:r w:rsidR="00A37B38" w:rsidRPr="00F53BDD">
              <w:rPr>
                <w:sz w:val="17"/>
                <w:szCs w:val="17"/>
              </w:rPr>
              <w:t>s are common practice, but may not be proportional given the risk of harm to traders</w:t>
            </w:r>
          </w:p>
        </w:tc>
        <w:tc>
          <w:tcPr>
            <w:tcW w:w="867" w:type="pct"/>
            <w:tcBorders>
              <w:bottom w:val="single" w:sz="4" w:space="0" w:color="1C556C" w:themeColor="accent1"/>
            </w:tcBorders>
            <w:shd w:val="clear" w:color="auto" w:fill="87BDBE"/>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Guidelines are common practice in service-based industries and a proportional response to the ETS’s evolving market</w:t>
            </w:r>
          </w:p>
        </w:tc>
        <w:tc>
          <w:tcPr>
            <w:tcW w:w="867" w:type="pct"/>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Transaction reporting occurs in other markets, but may not be a proportional response to detect misconduct</w:t>
            </w:r>
          </w:p>
        </w:tc>
        <w:tc>
          <w:tcPr>
            <w:tcW w:w="1000" w:type="pct"/>
            <w:tcBorders>
              <w:bottom w:val="single" w:sz="4" w:space="0" w:color="1C556C" w:themeColor="accent1"/>
            </w:tcBorders>
            <w:shd w:val="clear" w:color="auto" w:fill="EDB097"/>
          </w:tcPr>
          <w:p w:rsidR="00A37B38" w:rsidRPr="00F53BDD" w:rsidRDefault="006042C5" w:rsidP="006042C5">
            <w:pPr>
              <w:pStyle w:val="TableText"/>
              <w:spacing w:before="0" w:after="0" w:line="240" w:lineRule="auto"/>
              <w:jc w:val="center"/>
              <w:rPr>
                <w:sz w:val="17"/>
                <w:szCs w:val="17"/>
              </w:rPr>
            </w:pPr>
            <w:r w:rsidRPr="00F53BDD">
              <w:rPr>
                <w:sz w:val="17"/>
                <w:szCs w:val="17"/>
              </w:rPr>
              <w:t>x</w:t>
            </w:r>
          </w:p>
          <w:p w:rsidR="00A37B38" w:rsidRPr="00F53BDD" w:rsidRDefault="00A37B38" w:rsidP="006042C5">
            <w:pPr>
              <w:pStyle w:val="TableText"/>
              <w:spacing w:before="0" w:after="0" w:line="240" w:lineRule="auto"/>
              <w:jc w:val="center"/>
              <w:rPr>
                <w:sz w:val="17"/>
                <w:szCs w:val="17"/>
              </w:rPr>
            </w:pPr>
            <w:r w:rsidRPr="00F53BDD">
              <w:rPr>
                <w:sz w:val="17"/>
                <w:szCs w:val="17"/>
              </w:rPr>
              <w:t>Does not address the risks of misconduct, money laundering or financing of terrorism because the prices are not validated</w:t>
            </w:r>
          </w:p>
        </w:tc>
        <w:tc>
          <w:tcPr>
            <w:tcW w:w="932" w:type="pct"/>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The independent nature of an advisory regulator supports effective governance</w:t>
            </w:r>
          </w:p>
        </w:tc>
      </w:tr>
      <w:tr w:rsidR="00A37B38" w:rsidRPr="00F53BDD" w:rsidTr="00EB5C26">
        <w:tc>
          <w:tcPr>
            <w:tcW w:w="601" w:type="pct"/>
          </w:tcPr>
          <w:p w:rsidR="00A37B38" w:rsidRPr="00F53BDD" w:rsidRDefault="00A37B38" w:rsidP="006042C5">
            <w:pPr>
              <w:pStyle w:val="TableTextbold"/>
              <w:spacing w:before="0" w:after="0" w:line="240" w:lineRule="auto"/>
              <w:rPr>
                <w:rFonts w:eastAsia="Times New Roman"/>
                <w:sz w:val="17"/>
                <w:szCs w:val="17"/>
              </w:rPr>
            </w:pPr>
            <w:r w:rsidRPr="00F53BDD">
              <w:rPr>
                <w:rFonts w:eastAsia="Times New Roman"/>
                <w:sz w:val="17"/>
                <w:szCs w:val="17"/>
              </w:rPr>
              <w:t>Clarity and transparency</w:t>
            </w:r>
          </w:p>
        </w:tc>
        <w:tc>
          <w:tcPr>
            <w:tcW w:w="733" w:type="pct"/>
            <w:tcBorders>
              <w:bottom w:val="single" w:sz="4" w:space="0" w:color="1C556C" w:themeColor="accent1"/>
            </w:tcBorders>
            <w:shd w:val="clear" w:color="auto" w:fill="57A3A4"/>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3B3DAD" w:rsidP="006042C5">
            <w:pPr>
              <w:pStyle w:val="TableText"/>
              <w:spacing w:before="0" w:after="0" w:line="240" w:lineRule="auto"/>
              <w:jc w:val="center"/>
              <w:rPr>
                <w:sz w:val="17"/>
                <w:szCs w:val="17"/>
              </w:rPr>
            </w:pPr>
            <w:r w:rsidRPr="00F53BDD">
              <w:rPr>
                <w:sz w:val="17"/>
                <w:szCs w:val="17"/>
              </w:rPr>
              <w:t>An</w:t>
            </w:r>
            <w:r w:rsidR="00A37B38" w:rsidRPr="00F53BDD">
              <w:rPr>
                <w:sz w:val="17"/>
                <w:szCs w:val="17"/>
              </w:rPr>
              <w:t xml:space="preserve"> information pack can present all the information traders need in one place</w:t>
            </w:r>
          </w:p>
        </w:tc>
        <w:tc>
          <w:tcPr>
            <w:tcW w:w="867" w:type="pct"/>
            <w:shd w:val="clear" w:color="auto" w:fill="57A3A4"/>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 xml:space="preserve">Guidelines set a public standard of what </w:t>
            </w:r>
            <w:r w:rsidR="002A7C7D" w:rsidRPr="00F53BDD">
              <w:rPr>
                <w:sz w:val="17"/>
                <w:szCs w:val="17"/>
              </w:rPr>
              <w:t>to expect</w:t>
            </w:r>
            <w:r w:rsidRPr="00F53BDD">
              <w:rPr>
                <w:sz w:val="17"/>
                <w:szCs w:val="17"/>
              </w:rPr>
              <w:t xml:space="preserve"> of an adviser</w:t>
            </w:r>
          </w:p>
        </w:tc>
        <w:tc>
          <w:tcPr>
            <w:tcW w:w="867" w:type="pct"/>
            <w:tcBorders>
              <w:bottom w:val="single" w:sz="4" w:space="0" w:color="1C556C" w:themeColor="accent1"/>
            </w:tcBorders>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Provides some insight into trades, but is unlikely to detect misconduct</w:t>
            </w:r>
          </w:p>
        </w:tc>
        <w:tc>
          <w:tcPr>
            <w:tcW w:w="1000" w:type="pct"/>
            <w:tcBorders>
              <w:bottom w:val="single" w:sz="4" w:space="0" w:color="1C556C" w:themeColor="accent1"/>
            </w:tcBorders>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Clear to understand but the information is not validated and not shared publicly</w:t>
            </w:r>
          </w:p>
        </w:tc>
        <w:tc>
          <w:tcPr>
            <w:tcW w:w="932" w:type="pct"/>
            <w:tcBorders>
              <w:bottom w:val="single" w:sz="4" w:space="0" w:color="1C556C" w:themeColor="accent1"/>
            </w:tcBorders>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line="240" w:lineRule="auto"/>
              <w:jc w:val="center"/>
              <w:rPr>
                <w:sz w:val="17"/>
                <w:szCs w:val="17"/>
              </w:rPr>
            </w:pPr>
            <w:r w:rsidRPr="00F53BDD">
              <w:rPr>
                <w:sz w:val="17"/>
                <w:szCs w:val="17"/>
              </w:rPr>
              <w:t>Limited transparency given lack of information collecting powers, but an independent regulator ensures misconduct is reported where discovered</w:t>
            </w:r>
          </w:p>
        </w:tc>
      </w:tr>
      <w:tr w:rsidR="00A37B38" w:rsidRPr="00F53BDD" w:rsidTr="00EB5C26">
        <w:tc>
          <w:tcPr>
            <w:tcW w:w="601" w:type="pct"/>
          </w:tcPr>
          <w:p w:rsidR="00A37B38" w:rsidRPr="00F53BDD" w:rsidRDefault="00A37B38" w:rsidP="006042C5">
            <w:pPr>
              <w:pStyle w:val="TableTextbold"/>
              <w:spacing w:before="0" w:after="0" w:line="240" w:lineRule="auto"/>
              <w:rPr>
                <w:rFonts w:eastAsia="Times New Roman"/>
                <w:sz w:val="17"/>
                <w:szCs w:val="17"/>
              </w:rPr>
            </w:pPr>
            <w:r w:rsidRPr="00F53BDD">
              <w:rPr>
                <w:rFonts w:eastAsia="Times New Roman"/>
                <w:sz w:val="17"/>
                <w:szCs w:val="17"/>
              </w:rPr>
              <w:t>Market efficiency</w:t>
            </w:r>
          </w:p>
        </w:tc>
        <w:tc>
          <w:tcPr>
            <w:tcW w:w="733" w:type="pct"/>
            <w:shd w:val="clear" w:color="auto" w:fill="CFE5E5"/>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line="240" w:lineRule="auto"/>
              <w:jc w:val="center"/>
              <w:rPr>
                <w:sz w:val="17"/>
                <w:szCs w:val="17"/>
              </w:rPr>
            </w:pPr>
            <w:r w:rsidRPr="00F53BDD">
              <w:rPr>
                <w:sz w:val="17"/>
                <w:szCs w:val="17"/>
              </w:rPr>
              <w:t>Education campaigns support efficient price discovery by helping traders better understand the ETS</w:t>
            </w:r>
          </w:p>
        </w:tc>
        <w:tc>
          <w:tcPr>
            <w:tcW w:w="867" w:type="pct"/>
            <w:shd w:val="clear" w:color="auto" w:fill="E2F3F0" w:themeFill="accent5" w:themeFillTint="33"/>
          </w:tcPr>
          <w:p w:rsidR="00A37B38" w:rsidRPr="00F53BDD" w:rsidRDefault="00A37B38" w:rsidP="006042C5">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6042C5">
            <w:pPr>
              <w:pStyle w:val="TableText"/>
              <w:spacing w:before="0" w:after="0" w:line="240" w:lineRule="auto"/>
              <w:jc w:val="center"/>
              <w:rPr>
                <w:sz w:val="17"/>
                <w:szCs w:val="17"/>
              </w:rPr>
            </w:pPr>
            <w:r w:rsidRPr="00F53BDD">
              <w:rPr>
                <w:sz w:val="17"/>
                <w:szCs w:val="17"/>
              </w:rPr>
              <w:t xml:space="preserve">Guidelines encourage advisers to give better advice to traders </w:t>
            </w:r>
            <w:r w:rsidR="002A7C7D" w:rsidRPr="00F53BDD">
              <w:rPr>
                <w:sz w:val="17"/>
                <w:szCs w:val="17"/>
              </w:rPr>
              <w:t xml:space="preserve">on </w:t>
            </w:r>
            <w:r w:rsidRPr="00F53BDD">
              <w:rPr>
                <w:sz w:val="17"/>
                <w:szCs w:val="17"/>
              </w:rPr>
              <w:t>price discovery</w:t>
            </w:r>
          </w:p>
        </w:tc>
        <w:tc>
          <w:tcPr>
            <w:tcW w:w="867" w:type="pct"/>
            <w:shd w:val="clear" w:color="auto" w:fill="EDB097"/>
          </w:tcPr>
          <w:p w:rsidR="00A37B38" w:rsidRPr="00F53BDD" w:rsidRDefault="00531690" w:rsidP="006042C5">
            <w:pPr>
              <w:pStyle w:val="TableText"/>
              <w:spacing w:before="0" w:after="0" w:line="240" w:lineRule="auto"/>
              <w:jc w:val="center"/>
              <w:rPr>
                <w:sz w:val="17"/>
                <w:szCs w:val="17"/>
              </w:rPr>
            </w:pPr>
            <w:r w:rsidRPr="00F53BDD">
              <w:rPr>
                <w:sz w:val="17"/>
                <w:szCs w:val="17"/>
              </w:rPr>
              <w:t>x</w:t>
            </w:r>
          </w:p>
          <w:p w:rsidR="00A37B38" w:rsidRPr="00F53BDD" w:rsidRDefault="00A37B38" w:rsidP="006042C5">
            <w:pPr>
              <w:pStyle w:val="TableText"/>
              <w:spacing w:before="0" w:after="0" w:line="240" w:lineRule="auto"/>
              <w:jc w:val="center"/>
              <w:rPr>
                <w:sz w:val="17"/>
                <w:szCs w:val="17"/>
              </w:rPr>
            </w:pPr>
            <w:r w:rsidRPr="00F53BDD">
              <w:rPr>
                <w:sz w:val="17"/>
                <w:szCs w:val="17"/>
              </w:rPr>
              <w:t>No verification of trade information, which is important for detecting misconduct</w:t>
            </w:r>
          </w:p>
        </w:tc>
        <w:tc>
          <w:tcPr>
            <w:tcW w:w="1000" w:type="pct"/>
            <w:shd w:val="clear" w:color="auto" w:fill="EDB097"/>
          </w:tcPr>
          <w:p w:rsidR="00A37B38" w:rsidRPr="00F53BDD" w:rsidRDefault="00531690" w:rsidP="006042C5">
            <w:pPr>
              <w:pStyle w:val="TableText"/>
              <w:spacing w:before="0" w:after="0" w:line="240" w:lineRule="auto"/>
              <w:jc w:val="center"/>
              <w:rPr>
                <w:sz w:val="17"/>
                <w:szCs w:val="17"/>
              </w:rPr>
            </w:pPr>
            <w:r w:rsidRPr="00F53BDD">
              <w:rPr>
                <w:sz w:val="17"/>
                <w:szCs w:val="17"/>
              </w:rPr>
              <w:t>x</w:t>
            </w:r>
          </w:p>
          <w:p w:rsidR="00A37B38" w:rsidRPr="00F53BDD" w:rsidRDefault="00A37B38" w:rsidP="006042C5">
            <w:pPr>
              <w:pStyle w:val="TableText"/>
              <w:spacing w:before="0" w:after="0" w:line="240" w:lineRule="auto"/>
              <w:jc w:val="center"/>
              <w:rPr>
                <w:sz w:val="17"/>
                <w:szCs w:val="17"/>
              </w:rPr>
            </w:pPr>
            <w:r w:rsidRPr="00F53BDD">
              <w:rPr>
                <w:sz w:val="17"/>
                <w:szCs w:val="17"/>
              </w:rPr>
              <w:t>This information is in the registry and not public, so does not aid price discovery</w:t>
            </w:r>
          </w:p>
        </w:tc>
        <w:tc>
          <w:tcPr>
            <w:tcW w:w="932" w:type="pct"/>
            <w:shd w:val="clear" w:color="auto" w:fill="EDB097"/>
          </w:tcPr>
          <w:p w:rsidR="00A37B38" w:rsidRPr="00F53BDD" w:rsidRDefault="00531690" w:rsidP="006042C5">
            <w:pPr>
              <w:pStyle w:val="TableText"/>
              <w:spacing w:before="0" w:after="0" w:line="240" w:lineRule="auto"/>
              <w:jc w:val="center"/>
              <w:rPr>
                <w:sz w:val="17"/>
                <w:szCs w:val="17"/>
              </w:rPr>
            </w:pPr>
            <w:r w:rsidRPr="00F53BDD">
              <w:rPr>
                <w:sz w:val="17"/>
                <w:szCs w:val="17"/>
              </w:rPr>
              <w:t>x</w:t>
            </w:r>
          </w:p>
          <w:p w:rsidR="00A37B38" w:rsidRPr="00F53BDD" w:rsidRDefault="00A37B38" w:rsidP="006042C5">
            <w:pPr>
              <w:pStyle w:val="TableText"/>
              <w:spacing w:before="0" w:after="0" w:line="240" w:lineRule="auto"/>
              <w:jc w:val="center"/>
              <w:rPr>
                <w:sz w:val="17"/>
                <w:szCs w:val="17"/>
              </w:rPr>
            </w:pPr>
            <w:r w:rsidRPr="00F53BDD">
              <w:rPr>
                <w:sz w:val="17"/>
                <w:szCs w:val="17"/>
              </w:rPr>
              <w:t>Some limited reporting helps with price discovery</w:t>
            </w:r>
          </w:p>
        </w:tc>
      </w:tr>
      <w:tr w:rsidR="00A37B38" w:rsidRPr="00F53BDD" w:rsidTr="00EB5C26">
        <w:tc>
          <w:tcPr>
            <w:tcW w:w="5000" w:type="pct"/>
            <w:gridSpan w:val="6"/>
          </w:tcPr>
          <w:p w:rsidR="00C467B5" w:rsidRPr="00F53BDD" w:rsidRDefault="00C467B5" w:rsidP="00C467B5">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57A3A4"/>
              </w:rPr>
              <w:t>✓✓✓</w:t>
            </w:r>
            <w:r w:rsidRPr="00F53BDD">
              <w:rPr>
                <w:rFonts w:asciiTheme="minorHAnsi" w:eastAsia="Times New Roman" w:hAnsiTheme="minorHAnsi" w:cstheme="minorHAnsi"/>
                <w:sz w:val="17"/>
                <w:szCs w:val="17"/>
              </w:rPr>
              <w:tab/>
              <w:t>Strongly meets criteria</w:t>
            </w:r>
          </w:p>
          <w:p w:rsidR="00C467B5" w:rsidRPr="00F53BDD" w:rsidRDefault="00C467B5" w:rsidP="00C467B5">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87BDBE"/>
              </w:rPr>
              <w:t>✓✓</w:t>
            </w:r>
            <w:r w:rsidRPr="00F53BDD">
              <w:rPr>
                <w:rFonts w:asciiTheme="minorHAnsi" w:eastAsia="Times New Roman" w:hAnsiTheme="minorHAnsi" w:cstheme="minorHAnsi"/>
                <w:sz w:val="17"/>
                <w:szCs w:val="17"/>
              </w:rPr>
              <w:tab/>
              <w:t>Meets criteria</w:t>
            </w:r>
          </w:p>
          <w:p w:rsidR="00C467B5" w:rsidRPr="00C467B5" w:rsidRDefault="00C467B5" w:rsidP="00C467B5">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CFE5E5"/>
              </w:rPr>
              <w:t>✓</w:t>
            </w:r>
            <w:r w:rsidRPr="00F53BDD">
              <w:rPr>
                <w:rFonts w:asciiTheme="minorHAnsi" w:eastAsia="Times New Roman" w:hAnsiTheme="minorHAnsi" w:cstheme="minorHAnsi"/>
                <w:sz w:val="17"/>
                <w:szCs w:val="17"/>
              </w:rPr>
              <w:tab/>
              <w:t>Partially meets criteria</w:t>
            </w:r>
          </w:p>
          <w:p w:rsidR="00C467B5" w:rsidRPr="00F53BDD" w:rsidRDefault="00C467B5" w:rsidP="00C467B5">
            <w:pPr>
              <w:tabs>
                <w:tab w:val="left" w:pos="560"/>
                <w:tab w:val="center" w:pos="4513"/>
                <w:tab w:val="right" w:pos="9026"/>
              </w:tabs>
              <w:spacing w:before="0" w:after="0" w:line="240" w:lineRule="auto"/>
              <w:contextualSpacing/>
              <w:jc w:val="left"/>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EDB097"/>
              </w:rPr>
              <w:t>x</w:t>
            </w:r>
            <w:r w:rsidRPr="00F53BDD">
              <w:rPr>
                <w:rFonts w:asciiTheme="minorHAnsi" w:eastAsia="Times New Roman" w:hAnsiTheme="minorHAnsi" w:cstheme="minorHAnsi"/>
                <w:sz w:val="17"/>
                <w:szCs w:val="17"/>
              </w:rPr>
              <w:tab/>
              <w:t>Does not meet criteria</w:t>
            </w:r>
          </w:p>
        </w:tc>
      </w:tr>
    </w:tbl>
    <w:p w:rsidR="00A37B38" w:rsidRPr="00F53BDD" w:rsidRDefault="00A37B38" w:rsidP="006042C5">
      <w:pPr>
        <w:pStyle w:val="BodyText"/>
        <w:spacing w:after="0"/>
      </w:pPr>
      <w:r w:rsidRPr="00F53BDD">
        <w:br w:type="page"/>
      </w:r>
    </w:p>
    <w:p w:rsidR="00A37B38" w:rsidRPr="00F53BDD" w:rsidRDefault="00A37B38" w:rsidP="00545135">
      <w:pPr>
        <w:pStyle w:val="Heading3"/>
        <w:rPr>
          <w:color w:val="2C9986" w:themeColor="accent4"/>
          <w:sz w:val="36"/>
          <w:szCs w:val="36"/>
        </w:rPr>
      </w:pPr>
      <w:bookmarkStart w:id="145" w:name="_Toc72152974"/>
      <w:r w:rsidRPr="00F53BDD">
        <w:rPr>
          <w:color w:val="2C9986" w:themeColor="accent4"/>
          <w:sz w:val="36"/>
          <w:szCs w:val="36"/>
        </w:rPr>
        <w:t xml:space="preserve">Balanced </w:t>
      </w:r>
      <w:r w:rsidR="000634FC" w:rsidRPr="00F53BDD">
        <w:rPr>
          <w:color w:val="2C9986" w:themeColor="accent4"/>
          <w:sz w:val="36"/>
          <w:szCs w:val="36"/>
        </w:rPr>
        <w:t>s</w:t>
      </w:r>
      <w:r w:rsidRPr="00F53BDD">
        <w:rPr>
          <w:color w:val="2C9986" w:themeColor="accent4"/>
          <w:sz w:val="36"/>
          <w:szCs w:val="36"/>
        </w:rPr>
        <w:t>cenario</w:t>
      </w:r>
      <w:bookmarkEnd w:id="145"/>
    </w:p>
    <w:p w:rsidR="00A37B38" w:rsidRPr="00F53BDD" w:rsidRDefault="00A37B38" w:rsidP="006042C5">
      <w:pPr>
        <w:pStyle w:val="Tableheading"/>
      </w:pPr>
      <w:bookmarkStart w:id="146" w:name="_Toc75250122"/>
      <w:r w:rsidRPr="00F53BDD">
        <w:t xml:space="preserve">Table </w:t>
      </w:r>
      <w:r w:rsidR="006218BD">
        <w:t>20</w:t>
      </w:r>
      <w:r w:rsidRPr="00F53BDD">
        <w:t xml:space="preserve">: </w:t>
      </w:r>
      <w:r w:rsidR="006042C5" w:rsidRPr="00F53BDD">
        <w:tab/>
      </w:r>
      <w:r w:rsidRPr="00F53BDD">
        <w:t xml:space="preserve">Risk coverage </w:t>
      </w:r>
      <w:r w:rsidR="00E27749" w:rsidRPr="00F53BDD">
        <w:t xml:space="preserve">analysis </w:t>
      </w:r>
      <w:r w:rsidR="00DD24CF" w:rsidRPr="00F53BDD">
        <w:t xml:space="preserve">of </w:t>
      </w:r>
      <w:r w:rsidRPr="00F53BDD">
        <w:t xml:space="preserve">balanced </w:t>
      </w:r>
      <w:r w:rsidR="00E27749" w:rsidRPr="00F53BDD">
        <w:t>scenario</w:t>
      </w:r>
      <w:bookmarkEnd w:id="146"/>
      <w:r w:rsidRPr="00F53BDD">
        <w:t xml:space="preserve"> </w:t>
      </w:r>
    </w:p>
    <w:tbl>
      <w:tblPr>
        <w:tblStyle w:val="TableGrid"/>
        <w:tblW w:w="5018" w:type="pct"/>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564"/>
        <w:gridCol w:w="3196"/>
        <w:gridCol w:w="3126"/>
        <w:gridCol w:w="2042"/>
        <w:gridCol w:w="3558"/>
      </w:tblGrid>
      <w:tr w:rsidR="00573691" w:rsidRPr="00F53BDD" w:rsidTr="000E5F38">
        <w:tc>
          <w:tcPr>
            <w:tcW w:w="580" w:type="pct"/>
            <w:shd w:val="clear" w:color="auto" w:fill="1C556C" w:themeFill="accent1"/>
            <w:vAlign w:val="bottom"/>
          </w:tcPr>
          <w:p w:rsidR="00D155DD" w:rsidRPr="00F53BDD" w:rsidRDefault="00D155DD" w:rsidP="00573691">
            <w:pPr>
              <w:pStyle w:val="TableTextbold"/>
              <w:spacing w:line="240" w:lineRule="auto"/>
              <w:rPr>
                <w:color w:val="FFFFFF" w:themeColor="background1"/>
                <w:sz w:val="17"/>
                <w:szCs w:val="17"/>
              </w:rPr>
            </w:pPr>
            <w:r w:rsidRPr="00F53BDD">
              <w:rPr>
                <w:color w:val="FFFFFF" w:themeColor="background1"/>
                <w:sz w:val="17"/>
                <w:szCs w:val="17"/>
              </w:rPr>
              <w:t>Risk</w:t>
            </w:r>
          </w:p>
        </w:tc>
        <w:tc>
          <w:tcPr>
            <w:tcW w:w="1185" w:type="pct"/>
            <w:tcBorders>
              <w:bottom w:val="single" w:sz="4" w:space="0" w:color="1C556C" w:themeColor="accent1"/>
            </w:tcBorders>
            <w:shd w:val="clear" w:color="auto" w:fill="1C556C" w:themeFill="accent1"/>
            <w:vAlign w:val="bottom"/>
          </w:tcPr>
          <w:p w:rsidR="00D155DD" w:rsidRPr="00F53BDD" w:rsidRDefault="00D155DD" w:rsidP="00573691">
            <w:pPr>
              <w:pStyle w:val="TableTextbold"/>
              <w:spacing w:line="240" w:lineRule="auto"/>
              <w:rPr>
                <w:color w:val="FFFFFF" w:themeColor="background1"/>
                <w:sz w:val="17"/>
                <w:szCs w:val="17"/>
              </w:rPr>
            </w:pPr>
            <w:r w:rsidRPr="00F53BDD">
              <w:rPr>
                <w:color w:val="FFFFFF" w:themeColor="background1"/>
                <w:sz w:val="17"/>
                <w:szCs w:val="17"/>
              </w:rPr>
              <w:t xml:space="preserve">A3: Voluntary </w:t>
            </w:r>
            <w:r w:rsidR="002A7C7D" w:rsidRPr="00F53BDD">
              <w:rPr>
                <w:color w:val="FFFFFF" w:themeColor="background1"/>
                <w:sz w:val="17"/>
                <w:szCs w:val="17"/>
              </w:rPr>
              <w:t>s</w:t>
            </w:r>
            <w:r w:rsidRPr="00F53BDD">
              <w:rPr>
                <w:color w:val="FFFFFF" w:themeColor="background1"/>
                <w:sz w:val="17"/>
                <w:szCs w:val="17"/>
              </w:rPr>
              <w:t xml:space="preserve">ector </w:t>
            </w:r>
            <w:r w:rsidR="002A7C7D" w:rsidRPr="00F53BDD">
              <w:rPr>
                <w:color w:val="FFFFFF" w:themeColor="background1"/>
                <w:sz w:val="17"/>
                <w:szCs w:val="17"/>
              </w:rPr>
              <w:t>g</w:t>
            </w:r>
            <w:r w:rsidRPr="00F53BDD">
              <w:rPr>
                <w:color w:val="FFFFFF" w:themeColor="background1"/>
                <w:sz w:val="17"/>
                <w:szCs w:val="17"/>
              </w:rPr>
              <w:t>uidelines for NZU advisers + co-regulation</w:t>
            </w:r>
            <w:r w:rsidRPr="00F53BDD" w:rsidDel="006B528C">
              <w:rPr>
                <w:color w:val="FFFFFF" w:themeColor="background1"/>
                <w:sz w:val="17"/>
                <w:szCs w:val="17"/>
              </w:rPr>
              <w:t xml:space="preserve"> </w:t>
            </w:r>
          </w:p>
        </w:tc>
        <w:tc>
          <w:tcPr>
            <w:tcW w:w="1159" w:type="pct"/>
            <w:tcBorders>
              <w:bottom w:val="single" w:sz="4" w:space="0" w:color="1C556C" w:themeColor="accent1"/>
            </w:tcBorders>
            <w:shd w:val="clear" w:color="auto" w:fill="1C556C" w:themeFill="accent1"/>
            <w:vAlign w:val="bottom"/>
          </w:tcPr>
          <w:p w:rsidR="00D155DD" w:rsidRPr="00F53BDD" w:rsidRDefault="00D155DD" w:rsidP="00573691">
            <w:pPr>
              <w:pStyle w:val="TableTextbold"/>
              <w:spacing w:line="240" w:lineRule="auto"/>
              <w:rPr>
                <w:color w:val="FFFFFF" w:themeColor="background1"/>
                <w:sz w:val="17"/>
                <w:szCs w:val="17"/>
              </w:rPr>
            </w:pPr>
            <w:r w:rsidRPr="00F53BDD">
              <w:rPr>
                <w:color w:val="FFFFFF" w:themeColor="background1"/>
                <w:sz w:val="17"/>
                <w:szCs w:val="17"/>
              </w:rPr>
              <w:t>B4: Requiring exchange-based trading</w:t>
            </w:r>
          </w:p>
        </w:tc>
        <w:tc>
          <w:tcPr>
            <w:tcW w:w="757" w:type="pct"/>
            <w:shd w:val="clear" w:color="auto" w:fill="1C556C" w:themeFill="accent1"/>
            <w:vAlign w:val="bottom"/>
          </w:tcPr>
          <w:p w:rsidR="00D155DD" w:rsidRPr="00F53BDD" w:rsidRDefault="00D155DD" w:rsidP="00573691">
            <w:pPr>
              <w:pStyle w:val="TableTextbold"/>
              <w:spacing w:line="240" w:lineRule="auto"/>
              <w:rPr>
                <w:color w:val="FFFFFF" w:themeColor="background1"/>
                <w:sz w:val="17"/>
                <w:szCs w:val="17"/>
              </w:rPr>
            </w:pPr>
            <w:r w:rsidRPr="00F53BDD">
              <w:rPr>
                <w:color w:val="FFFFFF" w:themeColor="background1"/>
                <w:sz w:val="17"/>
                <w:szCs w:val="17"/>
              </w:rPr>
              <w:t xml:space="preserve">C2: Position and purchase </w:t>
            </w:r>
            <w:r w:rsidR="002A7C7D" w:rsidRPr="00F53BDD">
              <w:rPr>
                <w:color w:val="FFFFFF" w:themeColor="background1"/>
                <w:sz w:val="17"/>
                <w:szCs w:val="17"/>
              </w:rPr>
              <w:t>l</w:t>
            </w:r>
            <w:r w:rsidRPr="00F53BDD">
              <w:rPr>
                <w:color w:val="FFFFFF" w:themeColor="background1"/>
                <w:sz w:val="17"/>
                <w:szCs w:val="17"/>
              </w:rPr>
              <w:t>imits</w:t>
            </w:r>
          </w:p>
        </w:tc>
        <w:tc>
          <w:tcPr>
            <w:tcW w:w="1318" w:type="pct"/>
            <w:tcBorders>
              <w:bottom w:val="single" w:sz="4" w:space="0" w:color="1C556C" w:themeColor="accent1"/>
            </w:tcBorders>
            <w:shd w:val="clear" w:color="auto" w:fill="1C556C" w:themeFill="accent1"/>
            <w:vAlign w:val="bottom"/>
          </w:tcPr>
          <w:p w:rsidR="00D155DD" w:rsidRPr="00F53BDD" w:rsidRDefault="00D155DD" w:rsidP="00573691">
            <w:pPr>
              <w:pStyle w:val="TableTextbold"/>
              <w:spacing w:line="240" w:lineRule="auto"/>
              <w:rPr>
                <w:color w:val="FFFFFF" w:themeColor="background1"/>
                <w:sz w:val="17"/>
                <w:szCs w:val="17"/>
              </w:rPr>
            </w:pPr>
            <w:r w:rsidRPr="00F53BDD">
              <w:rPr>
                <w:color w:val="FFFFFF" w:themeColor="background1"/>
                <w:sz w:val="17"/>
                <w:szCs w:val="17"/>
              </w:rPr>
              <w:t xml:space="preserve">D5: Market </w:t>
            </w:r>
            <w:r w:rsidR="002A7C7D" w:rsidRPr="00F53BDD">
              <w:rPr>
                <w:color w:val="FFFFFF" w:themeColor="background1"/>
                <w:sz w:val="17"/>
                <w:szCs w:val="17"/>
              </w:rPr>
              <w:t>c</w:t>
            </w:r>
            <w:r w:rsidRPr="00F53BDD">
              <w:rPr>
                <w:color w:val="FFFFFF" w:themeColor="background1"/>
                <w:sz w:val="17"/>
                <w:szCs w:val="17"/>
              </w:rPr>
              <w:t>ompliance regulator</w:t>
            </w:r>
          </w:p>
        </w:tc>
      </w:tr>
      <w:tr w:rsidR="00A37B38" w:rsidRPr="00F53BDD" w:rsidTr="000E5F38">
        <w:tc>
          <w:tcPr>
            <w:tcW w:w="580" w:type="pct"/>
            <w:shd w:val="clear" w:color="auto" w:fill="auto"/>
          </w:tcPr>
          <w:p w:rsidR="00A37B38" w:rsidRPr="00F53BDD" w:rsidRDefault="00A37B38" w:rsidP="00573691">
            <w:pPr>
              <w:pStyle w:val="TableTextbold"/>
              <w:spacing w:before="0" w:after="0" w:line="240" w:lineRule="auto"/>
              <w:rPr>
                <w:sz w:val="17"/>
                <w:szCs w:val="17"/>
              </w:rPr>
            </w:pPr>
            <w:r w:rsidRPr="00F53BDD">
              <w:rPr>
                <w:sz w:val="17"/>
                <w:szCs w:val="17"/>
              </w:rPr>
              <w:t>Poor advice</w:t>
            </w:r>
          </w:p>
        </w:tc>
        <w:tc>
          <w:tcPr>
            <w:tcW w:w="1185" w:type="pct"/>
            <w:tcBorders>
              <w:bottom w:val="single" w:sz="4" w:space="0" w:color="1C556C" w:themeColor="accent1"/>
            </w:tcBorders>
            <w:shd w:val="clear" w:color="auto" w:fill="87BDBE"/>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Improved quality of advice with the information pack + regulated by regulator</w:t>
            </w:r>
          </w:p>
        </w:tc>
        <w:tc>
          <w:tcPr>
            <w:tcW w:w="1159" w:type="pct"/>
            <w:shd w:val="clear" w:color="auto" w:fill="CFE5E5"/>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line="240" w:lineRule="auto"/>
              <w:jc w:val="center"/>
              <w:rPr>
                <w:sz w:val="17"/>
                <w:szCs w:val="17"/>
              </w:rPr>
            </w:pPr>
            <w:r w:rsidRPr="00F53BDD">
              <w:rPr>
                <w:sz w:val="17"/>
                <w:szCs w:val="17"/>
              </w:rPr>
              <w:t>Exchanges could be required to ensure independent participants are informed of the risks of trading</w:t>
            </w:r>
          </w:p>
        </w:tc>
        <w:tc>
          <w:tcPr>
            <w:tcW w:w="757" w:type="pct"/>
            <w:shd w:val="clear" w:color="auto" w:fill="auto"/>
          </w:tcPr>
          <w:p w:rsidR="00A37B38" w:rsidRPr="00F53BDD" w:rsidRDefault="00A37B38" w:rsidP="00573691">
            <w:pPr>
              <w:pStyle w:val="TableText"/>
              <w:spacing w:before="0" w:after="0" w:line="240" w:lineRule="auto"/>
              <w:jc w:val="center"/>
              <w:rPr>
                <w:sz w:val="17"/>
                <w:szCs w:val="17"/>
              </w:rPr>
            </w:pPr>
            <w:r w:rsidRPr="00F53BDD">
              <w:rPr>
                <w:sz w:val="17"/>
                <w:szCs w:val="17"/>
              </w:rPr>
              <w:t>O</w:t>
            </w:r>
          </w:p>
          <w:p w:rsidR="00A37B38" w:rsidRPr="00F53BDD" w:rsidRDefault="00A37B38" w:rsidP="00573691">
            <w:pPr>
              <w:pStyle w:val="TableText"/>
              <w:spacing w:before="0" w:after="0" w:line="240" w:lineRule="auto"/>
              <w:jc w:val="center"/>
              <w:rPr>
                <w:sz w:val="17"/>
                <w:szCs w:val="17"/>
              </w:rPr>
            </w:pPr>
            <w:r w:rsidRPr="00F53BDD">
              <w:rPr>
                <w:sz w:val="17"/>
                <w:szCs w:val="17"/>
              </w:rPr>
              <w:t>Not applicable</w:t>
            </w:r>
          </w:p>
        </w:tc>
        <w:tc>
          <w:tcPr>
            <w:tcW w:w="1318" w:type="pct"/>
            <w:shd w:val="clear" w:color="auto" w:fill="87BDBE"/>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Could require reporting and enforce compliance with primary legislation</w:t>
            </w:r>
          </w:p>
        </w:tc>
      </w:tr>
      <w:tr w:rsidR="00A37B38" w:rsidRPr="00F53BDD" w:rsidTr="000E5F38">
        <w:tc>
          <w:tcPr>
            <w:tcW w:w="580" w:type="pct"/>
            <w:shd w:val="clear" w:color="auto" w:fill="auto"/>
          </w:tcPr>
          <w:p w:rsidR="00A37B38" w:rsidRPr="00F53BDD" w:rsidRDefault="00A37B38" w:rsidP="00573691">
            <w:pPr>
              <w:pStyle w:val="TableTextbold"/>
              <w:spacing w:before="0" w:after="0" w:line="240" w:lineRule="auto"/>
              <w:rPr>
                <w:sz w:val="17"/>
                <w:szCs w:val="17"/>
              </w:rPr>
            </w:pPr>
            <w:r w:rsidRPr="00F53BDD">
              <w:rPr>
                <w:sz w:val="17"/>
                <w:szCs w:val="17"/>
              </w:rPr>
              <w:t>Conflict of interest</w:t>
            </w:r>
          </w:p>
        </w:tc>
        <w:tc>
          <w:tcPr>
            <w:tcW w:w="1185" w:type="pct"/>
            <w:shd w:val="clear" w:color="auto" w:fill="CFE5E5"/>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2A7C7D" w:rsidP="0005378B">
            <w:pPr>
              <w:pStyle w:val="TableText"/>
              <w:spacing w:before="0" w:line="240" w:lineRule="auto"/>
              <w:jc w:val="center"/>
              <w:rPr>
                <w:sz w:val="17"/>
                <w:szCs w:val="17"/>
              </w:rPr>
            </w:pPr>
            <w:r w:rsidRPr="00F53BDD">
              <w:rPr>
                <w:sz w:val="17"/>
                <w:szCs w:val="17"/>
              </w:rPr>
              <w:t>A</w:t>
            </w:r>
            <w:r w:rsidR="00A37B38" w:rsidRPr="00F53BDD">
              <w:rPr>
                <w:sz w:val="17"/>
                <w:szCs w:val="17"/>
              </w:rPr>
              <w:t>dvisers can be regulated by compliance regulator when conflict exists</w:t>
            </w:r>
          </w:p>
        </w:tc>
        <w:tc>
          <w:tcPr>
            <w:tcW w:w="1159" w:type="pct"/>
            <w:tcBorders>
              <w:bottom w:val="single" w:sz="4" w:space="0" w:color="1C556C" w:themeColor="accent1"/>
            </w:tcBorders>
            <w:shd w:val="clear" w:color="auto" w:fill="auto"/>
          </w:tcPr>
          <w:p w:rsidR="00A37B38" w:rsidRPr="00F53BDD" w:rsidRDefault="00A37B38" w:rsidP="00573691">
            <w:pPr>
              <w:pStyle w:val="TableText"/>
              <w:spacing w:before="0" w:after="0" w:line="240" w:lineRule="auto"/>
              <w:jc w:val="center"/>
              <w:rPr>
                <w:sz w:val="17"/>
                <w:szCs w:val="17"/>
              </w:rPr>
            </w:pPr>
            <w:r w:rsidRPr="00F53BDD">
              <w:rPr>
                <w:sz w:val="17"/>
                <w:szCs w:val="17"/>
              </w:rPr>
              <w:t>O</w:t>
            </w:r>
          </w:p>
          <w:p w:rsidR="00A37B38" w:rsidRPr="00F53BDD" w:rsidRDefault="00A37B38" w:rsidP="00573691">
            <w:pPr>
              <w:pStyle w:val="TableText"/>
              <w:spacing w:before="0" w:after="0" w:line="240" w:lineRule="auto"/>
              <w:jc w:val="center"/>
              <w:rPr>
                <w:sz w:val="17"/>
                <w:szCs w:val="17"/>
              </w:rPr>
            </w:pPr>
            <w:r w:rsidRPr="00F53BDD">
              <w:rPr>
                <w:sz w:val="17"/>
                <w:szCs w:val="17"/>
              </w:rPr>
              <w:t>Not applicable</w:t>
            </w:r>
          </w:p>
        </w:tc>
        <w:tc>
          <w:tcPr>
            <w:tcW w:w="757" w:type="pct"/>
            <w:tcBorders>
              <w:bottom w:val="single" w:sz="4" w:space="0" w:color="1C556C" w:themeColor="accent1"/>
            </w:tcBorders>
            <w:shd w:val="clear" w:color="auto" w:fill="auto"/>
          </w:tcPr>
          <w:p w:rsidR="00A37B38" w:rsidRPr="00F53BDD" w:rsidRDefault="00A37B38" w:rsidP="00573691">
            <w:pPr>
              <w:pStyle w:val="TableText"/>
              <w:spacing w:before="0" w:after="0" w:line="240" w:lineRule="auto"/>
              <w:jc w:val="center"/>
              <w:rPr>
                <w:sz w:val="17"/>
                <w:szCs w:val="17"/>
              </w:rPr>
            </w:pPr>
            <w:r w:rsidRPr="00F53BDD">
              <w:rPr>
                <w:sz w:val="17"/>
                <w:szCs w:val="17"/>
              </w:rPr>
              <w:t>O</w:t>
            </w:r>
          </w:p>
          <w:p w:rsidR="00A37B38" w:rsidRPr="00F53BDD" w:rsidRDefault="00A37B38" w:rsidP="00573691">
            <w:pPr>
              <w:pStyle w:val="TableText"/>
              <w:spacing w:before="0" w:after="0" w:line="240" w:lineRule="auto"/>
              <w:jc w:val="center"/>
              <w:rPr>
                <w:sz w:val="17"/>
                <w:szCs w:val="17"/>
              </w:rPr>
            </w:pPr>
            <w:r w:rsidRPr="00F53BDD">
              <w:rPr>
                <w:sz w:val="17"/>
                <w:szCs w:val="17"/>
              </w:rPr>
              <w:t>Not applicable</w:t>
            </w:r>
          </w:p>
        </w:tc>
        <w:tc>
          <w:tcPr>
            <w:tcW w:w="1318" w:type="pct"/>
            <w:shd w:val="clear" w:color="auto" w:fill="87BDBE"/>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Could require reporting, and enforce compliance with primary legislation</w:t>
            </w:r>
          </w:p>
        </w:tc>
      </w:tr>
      <w:tr w:rsidR="00A37B38" w:rsidRPr="00F53BDD" w:rsidTr="000E5F38">
        <w:tc>
          <w:tcPr>
            <w:tcW w:w="580" w:type="pct"/>
            <w:shd w:val="clear" w:color="auto" w:fill="auto"/>
          </w:tcPr>
          <w:p w:rsidR="00A37B38" w:rsidRPr="00F53BDD" w:rsidRDefault="00A37B38" w:rsidP="00573691">
            <w:pPr>
              <w:pStyle w:val="TableTextbold"/>
              <w:spacing w:before="0" w:after="0" w:line="240" w:lineRule="auto"/>
              <w:rPr>
                <w:sz w:val="17"/>
                <w:szCs w:val="17"/>
              </w:rPr>
            </w:pPr>
            <w:r w:rsidRPr="00F53BDD">
              <w:rPr>
                <w:sz w:val="17"/>
                <w:szCs w:val="17"/>
              </w:rPr>
              <w:t>Transparency, monitoring and oversight of trades</w:t>
            </w:r>
          </w:p>
        </w:tc>
        <w:tc>
          <w:tcPr>
            <w:tcW w:w="1185" w:type="pct"/>
            <w:shd w:val="clear" w:color="auto" w:fill="auto"/>
          </w:tcPr>
          <w:p w:rsidR="00A37B38" w:rsidRPr="00F53BDD" w:rsidRDefault="00A37B38" w:rsidP="00573691">
            <w:pPr>
              <w:pStyle w:val="TableText"/>
              <w:spacing w:before="0" w:after="0" w:line="240" w:lineRule="auto"/>
              <w:jc w:val="center"/>
              <w:rPr>
                <w:sz w:val="17"/>
                <w:szCs w:val="17"/>
              </w:rPr>
            </w:pPr>
            <w:r w:rsidRPr="00F53BDD">
              <w:rPr>
                <w:sz w:val="17"/>
                <w:szCs w:val="17"/>
              </w:rPr>
              <w:t>O</w:t>
            </w:r>
          </w:p>
          <w:p w:rsidR="00A37B38" w:rsidRPr="00F53BDD" w:rsidRDefault="00A37B38" w:rsidP="00573691">
            <w:pPr>
              <w:pStyle w:val="TableText"/>
              <w:spacing w:before="0" w:after="0" w:line="240" w:lineRule="auto"/>
              <w:jc w:val="center"/>
              <w:rPr>
                <w:sz w:val="17"/>
                <w:szCs w:val="17"/>
              </w:rPr>
            </w:pPr>
            <w:r w:rsidRPr="00F53BDD">
              <w:rPr>
                <w:sz w:val="17"/>
                <w:szCs w:val="17"/>
              </w:rPr>
              <w:t>Not applicable</w:t>
            </w:r>
          </w:p>
        </w:tc>
        <w:tc>
          <w:tcPr>
            <w:tcW w:w="1159" w:type="pct"/>
            <w:tcBorders>
              <w:bottom w:val="single" w:sz="4" w:space="0" w:color="1C556C" w:themeColor="accent1"/>
            </w:tcBorders>
            <w:shd w:val="clear" w:color="auto" w:fill="57A3A4"/>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line="240" w:lineRule="auto"/>
              <w:jc w:val="center"/>
              <w:rPr>
                <w:sz w:val="17"/>
                <w:szCs w:val="17"/>
              </w:rPr>
            </w:pPr>
            <w:r w:rsidRPr="00F53BDD">
              <w:rPr>
                <w:sz w:val="17"/>
                <w:szCs w:val="17"/>
              </w:rPr>
              <w:t>Exchanges must report on trades, which can be monitored by a regulator</w:t>
            </w:r>
          </w:p>
        </w:tc>
        <w:tc>
          <w:tcPr>
            <w:tcW w:w="757" w:type="pct"/>
            <w:shd w:val="clear" w:color="auto" w:fill="CFE5E5"/>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Provides some monitoring and oversight of position</w:t>
            </w:r>
          </w:p>
        </w:tc>
        <w:tc>
          <w:tcPr>
            <w:tcW w:w="1318" w:type="pct"/>
            <w:shd w:val="clear" w:color="auto" w:fill="87BDBE"/>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Could monitor transactions and enforce compliance with primary legislation</w:t>
            </w:r>
          </w:p>
        </w:tc>
      </w:tr>
      <w:tr w:rsidR="00A37B38" w:rsidRPr="00F53BDD" w:rsidTr="000E5F38">
        <w:tc>
          <w:tcPr>
            <w:tcW w:w="580" w:type="pct"/>
            <w:shd w:val="clear" w:color="auto" w:fill="auto"/>
          </w:tcPr>
          <w:p w:rsidR="00A37B38" w:rsidRPr="00F53BDD" w:rsidRDefault="00A37B38" w:rsidP="00573691">
            <w:pPr>
              <w:pStyle w:val="TableTextbold"/>
              <w:spacing w:before="0" w:after="0" w:line="240" w:lineRule="auto"/>
              <w:rPr>
                <w:sz w:val="17"/>
                <w:szCs w:val="17"/>
              </w:rPr>
            </w:pPr>
            <w:r w:rsidRPr="00F53BDD">
              <w:rPr>
                <w:sz w:val="17"/>
                <w:szCs w:val="17"/>
              </w:rPr>
              <w:t>Credit and counter-party risk</w:t>
            </w:r>
          </w:p>
        </w:tc>
        <w:tc>
          <w:tcPr>
            <w:tcW w:w="1185" w:type="pct"/>
            <w:shd w:val="clear" w:color="auto" w:fill="auto"/>
          </w:tcPr>
          <w:p w:rsidR="00A37B38" w:rsidRPr="00F53BDD" w:rsidRDefault="00A37B38" w:rsidP="00573691">
            <w:pPr>
              <w:pStyle w:val="TableText"/>
              <w:spacing w:before="0" w:after="0" w:line="240" w:lineRule="auto"/>
              <w:jc w:val="center"/>
              <w:rPr>
                <w:sz w:val="17"/>
                <w:szCs w:val="17"/>
              </w:rPr>
            </w:pPr>
            <w:r w:rsidRPr="00F53BDD">
              <w:rPr>
                <w:sz w:val="17"/>
                <w:szCs w:val="17"/>
              </w:rPr>
              <w:t>O</w:t>
            </w:r>
          </w:p>
          <w:p w:rsidR="00A37B38" w:rsidRPr="00F53BDD" w:rsidRDefault="00A37B38" w:rsidP="00573691">
            <w:pPr>
              <w:pStyle w:val="TableText"/>
              <w:spacing w:before="0" w:after="0" w:line="240" w:lineRule="auto"/>
              <w:jc w:val="center"/>
              <w:rPr>
                <w:sz w:val="17"/>
                <w:szCs w:val="17"/>
              </w:rPr>
            </w:pPr>
            <w:r w:rsidRPr="00F53BDD">
              <w:rPr>
                <w:sz w:val="17"/>
                <w:szCs w:val="17"/>
              </w:rPr>
              <w:t>Not applicable</w:t>
            </w:r>
          </w:p>
        </w:tc>
        <w:tc>
          <w:tcPr>
            <w:tcW w:w="1159" w:type="pct"/>
            <w:tcBorders>
              <w:bottom w:val="single" w:sz="4" w:space="0" w:color="1C556C" w:themeColor="accent1"/>
            </w:tcBorders>
            <w:shd w:val="clear" w:color="auto" w:fill="87BDBE"/>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Collateral can be required to engage in exchange-based trading</w:t>
            </w:r>
          </w:p>
        </w:tc>
        <w:tc>
          <w:tcPr>
            <w:tcW w:w="757" w:type="pct"/>
            <w:tcBorders>
              <w:bottom w:val="single" w:sz="4" w:space="0" w:color="1C556C" w:themeColor="accent1"/>
            </w:tcBorders>
            <w:shd w:val="clear" w:color="auto" w:fill="auto"/>
          </w:tcPr>
          <w:p w:rsidR="00A37B38" w:rsidRPr="00F53BDD" w:rsidRDefault="00A37B38" w:rsidP="00573691">
            <w:pPr>
              <w:pStyle w:val="TableText"/>
              <w:spacing w:before="0" w:after="0" w:line="240" w:lineRule="auto"/>
              <w:jc w:val="center"/>
              <w:rPr>
                <w:sz w:val="17"/>
                <w:szCs w:val="17"/>
              </w:rPr>
            </w:pPr>
            <w:r w:rsidRPr="00F53BDD">
              <w:rPr>
                <w:sz w:val="17"/>
                <w:szCs w:val="17"/>
              </w:rPr>
              <w:t>O</w:t>
            </w:r>
          </w:p>
          <w:p w:rsidR="00A37B38" w:rsidRPr="00F53BDD" w:rsidRDefault="003B5262" w:rsidP="00573691">
            <w:pPr>
              <w:pStyle w:val="TableText"/>
              <w:spacing w:before="0" w:after="0" w:line="240" w:lineRule="auto"/>
              <w:jc w:val="center"/>
              <w:rPr>
                <w:sz w:val="17"/>
                <w:szCs w:val="17"/>
              </w:rPr>
            </w:pPr>
            <w:r w:rsidRPr="00F53BDD">
              <w:rPr>
                <w:sz w:val="17"/>
                <w:szCs w:val="17"/>
              </w:rPr>
              <w:t>Not applicable</w:t>
            </w:r>
          </w:p>
        </w:tc>
        <w:tc>
          <w:tcPr>
            <w:tcW w:w="1318" w:type="pct"/>
            <w:shd w:val="clear" w:color="auto" w:fill="87BDBE"/>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line="240" w:lineRule="auto"/>
              <w:jc w:val="center"/>
              <w:rPr>
                <w:sz w:val="17"/>
                <w:szCs w:val="17"/>
              </w:rPr>
            </w:pPr>
            <w:r w:rsidRPr="00F53BDD">
              <w:rPr>
                <w:sz w:val="17"/>
                <w:szCs w:val="17"/>
              </w:rPr>
              <w:t>Could monitor participants</w:t>
            </w:r>
            <w:r w:rsidR="00206D68" w:rsidRPr="00F53BDD">
              <w:rPr>
                <w:sz w:val="17"/>
                <w:szCs w:val="17"/>
              </w:rPr>
              <w:t>’</w:t>
            </w:r>
            <w:r w:rsidRPr="00F53BDD">
              <w:rPr>
                <w:sz w:val="17"/>
                <w:szCs w:val="17"/>
              </w:rPr>
              <w:t xml:space="preserve"> accounts for credit and counter-party risks</w:t>
            </w:r>
            <w:r w:rsidR="00206D68" w:rsidRPr="00F53BDD">
              <w:rPr>
                <w:sz w:val="17"/>
                <w:szCs w:val="17"/>
              </w:rPr>
              <w:t>,</w:t>
            </w:r>
            <w:r w:rsidRPr="00F53BDD">
              <w:rPr>
                <w:sz w:val="17"/>
                <w:szCs w:val="17"/>
              </w:rPr>
              <w:t xml:space="preserve"> and restrict </w:t>
            </w:r>
            <w:r w:rsidR="00E56790" w:rsidRPr="00F53BDD">
              <w:rPr>
                <w:sz w:val="17"/>
                <w:szCs w:val="17"/>
              </w:rPr>
              <w:t>trading of offenders</w:t>
            </w:r>
          </w:p>
        </w:tc>
      </w:tr>
      <w:tr w:rsidR="00A37B38" w:rsidRPr="00F53BDD" w:rsidTr="000E5F38">
        <w:tc>
          <w:tcPr>
            <w:tcW w:w="580" w:type="pct"/>
            <w:shd w:val="clear" w:color="auto" w:fill="auto"/>
          </w:tcPr>
          <w:p w:rsidR="00A37B38" w:rsidRPr="00F53BDD" w:rsidRDefault="00A37B38" w:rsidP="00573691">
            <w:pPr>
              <w:pStyle w:val="TableTextbold"/>
              <w:spacing w:before="0" w:after="0" w:line="240" w:lineRule="auto"/>
              <w:rPr>
                <w:sz w:val="17"/>
                <w:szCs w:val="17"/>
              </w:rPr>
            </w:pPr>
            <w:r w:rsidRPr="00F53BDD">
              <w:rPr>
                <w:sz w:val="17"/>
                <w:szCs w:val="17"/>
              </w:rPr>
              <w:t>Price manipulation</w:t>
            </w:r>
          </w:p>
        </w:tc>
        <w:tc>
          <w:tcPr>
            <w:tcW w:w="1185" w:type="pct"/>
            <w:shd w:val="clear" w:color="auto" w:fill="auto"/>
          </w:tcPr>
          <w:p w:rsidR="00A37B38" w:rsidRPr="00F53BDD" w:rsidRDefault="00A37B38" w:rsidP="00573691">
            <w:pPr>
              <w:pStyle w:val="TableText"/>
              <w:spacing w:before="0" w:after="0" w:line="240" w:lineRule="auto"/>
              <w:jc w:val="center"/>
              <w:rPr>
                <w:sz w:val="17"/>
                <w:szCs w:val="17"/>
              </w:rPr>
            </w:pPr>
            <w:r w:rsidRPr="00F53BDD">
              <w:rPr>
                <w:sz w:val="17"/>
                <w:szCs w:val="17"/>
              </w:rPr>
              <w:t>O</w:t>
            </w:r>
          </w:p>
          <w:p w:rsidR="00A37B38" w:rsidRPr="00F53BDD" w:rsidRDefault="00A37B38" w:rsidP="00573691">
            <w:pPr>
              <w:pStyle w:val="TableText"/>
              <w:spacing w:before="0" w:after="0" w:line="240" w:lineRule="auto"/>
              <w:jc w:val="center"/>
              <w:rPr>
                <w:sz w:val="17"/>
                <w:szCs w:val="17"/>
              </w:rPr>
            </w:pPr>
            <w:r w:rsidRPr="00F53BDD">
              <w:rPr>
                <w:sz w:val="17"/>
                <w:szCs w:val="17"/>
              </w:rPr>
              <w:t>Not applicable</w:t>
            </w:r>
          </w:p>
        </w:tc>
        <w:tc>
          <w:tcPr>
            <w:tcW w:w="1159" w:type="pct"/>
            <w:tcBorders>
              <w:bottom w:val="single" w:sz="4" w:space="0" w:color="1C556C" w:themeColor="accent1"/>
            </w:tcBorders>
            <w:shd w:val="clear" w:color="auto" w:fill="57A3A4"/>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line="240" w:lineRule="auto"/>
              <w:jc w:val="center"/>
              <w:rPr>
                <w:sz w:val="17"/>
                <w:szCs w:val="17"/>
              </w:rPr>
            </w:pPr>
            <w:r w:rsidRPr="00F53BDD">
              <w:rPr>
                <w:sz w:val="17"/>
                <w:szCs w:val="17"/>
              </w:rPr>
              <w:t>Helps a regulator monitor and detect unusual trades that could indicate price manipulation</w:t>
            </w:r>
          </w:p>
        </w:tc>
        <w:tc>
          <w:tcPr>
            <w:tcW w:w="757" w:type="pct"/>
            <w:shd w:val="clear" w:color="auto" w:fill="87BDBE"/>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Prevents parties gaining undesirable power in the market</w:t>
            </w:r>
          </w:p>
        </w:tc>
        <w:tc>
          <w:tcPr>
            <w:tcW w:w="1318" w:type="pct"/>
            <w:shd w:val="clear" w:color="auto" w:fill="87BDBE"/>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Could monitor trades for potential price manipulation, enforce compliance with primary legislation, and restrict trading of offenders</w:t>
            </w:r>
          </w:p>
        </w:tc>
      </w:tr>
      <w:tr w:rsidR="00A37B38" w:rsidRPr="00F53BDD" w:rsidTr="000E5F38">
        <w:tc>
          <w:tcPr>
            <w:tcW w:w="580" w:type="pct"/>
            <w:shd w:val="clear" w:color="auto" w:fill="auto"/>
          </w:tcPr>
          <w:p w:rsidR="00A37B38" w:rsidRPr="00F53BDD" w:rsidRDefault="00A37B38" w:rsidP="00573691">
            <w:pPr>
              <w:pStyle w:val="TableTextbold"/>
              <w:spacing w:before="0" w:after="0" w:line="240" w:lineRule="auto"/>
              <w:rPr>
                <w:sz w:val="17"/>
                <w:szCs w:val="17"/>
              </w:rPr>
            </w:pPr>
            <w:r w:rsidRPr="00F53BDD">
              <w:rPr>
                <w:sz w:val="17"/>
                <w:szCs w:val="17"/>
              </w:rPr>
              <w:t>Insider trading</w:t>
            </w:r>
          </w:p>
        </w:tc>
        <w:tc>
          <w:tcPr>
            <w:tcW w:w="1185" w:type="pct"/>
            <w:tcBorders>
              <w:bottom w:val="single" w:sz="4" w:space="0" w:color="1C556C" w:themeColor="accent1"/>
            </w:tcBorders>
            <w:shd w:val="clear" w:color="auto" w:fill="auto"/>
          </w:tcPr>
          <w:p w:rsidR="00A37B38" w:rsidRPr="00F53BDD" w:rsidRDefault="00A37B38" w:rsidP="00573691">
            <w:pPr>
              <w:pStyle w:val="TableText"/>
              <w:spacing w:before="0" w:after="0" w:line="240" w:lineRule="auto"/>
              <w:jc w:val="center"/>
              <w:rPr>
                <w:sz w:val="17"/>
                <w:szCs w:val="17"/>
              </w:rPr>
            </w:pPr>
            <w:r w:rsidRPr="00F53BDD">
              <w:rPr>
                <w:sz w:val="17"/>
                <w:szCs w:val="17"/>
              </w:rPr>
              <w:t>O</w:t>
            </w:r>
          </w:p>
          <w:p w:rsidR="00A37B38" w:rsidRPr="00F53BDD" w:rsidRDefault="00A37B38" w:rsidP="00573691">
            <w:pPr>
              <w:pStyle w:val="TableText"/>
              <w:spacing w:before="0" w:after="0" w:line="240" w:lineRule="auto"/>
              <w:jc w:val="center"/>
              <w:rPr>
                <w:sz w:val="17"/>
                <w:szCs w:val="17"/>
              </w:rPr>
            </w:pPr>
            <w:r w:rsidRPr="00F53BDD">
              <w:rPr>
                <w:sz w:val="17"/>
                <w:szCs w:val="17"/>
              </w:rPr>
              <w:t>Not applicable</w:t>
            </w:r>
          </w:p>
        </w:tc>
        <w:tc>
          <w:tcPr>
            <w:tcW w:w="1159" w:type="pct"/>
            <w:tcBorders>
              <w:bottom w:val="single" w:sz="4" w:space="0" w:color="1C556C" w:themeColor="accent1"/>
            </w:tcBorders>
            <w:shd w:val="clear" w:color="auto" w:fill="57A3A4"/>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Helps a regulator monitor and detect unusual trading activity</w:t>
            </w:r>
          </w:p>
        </w:tc>
        <w:tc>
          <w:tcPr>
            <w:tcW w:w="757" w:type="pct"/>
            <w:tcBorders>
              <w:bottom w:val="single" w:sz="4" w:space="0" w:color="1C556C" w:themeColor="accent1"/>
            </w:tcBorders>
            <w:shd w:val="clear" w:color="auto" w:fill="auto"/>
          </w:tcPr>
          <w:p w:rsidR="00A37B38" w:rsidRPr="00F53BDD" w:rsidRDefault="00A37B38" w:rsidP="00573691">
            <w:pPr>
              <w:pStyle w:val="TableText"/>
              <w:spacing w:before="0" w:after="0" w:line="240" w:lineRule="auto"/>
              <w:jc w:val="center"/>
              <w:rPr>
                <w:sz w:val="17"/>
                <w:szCs w:val="17"/>
              </w:rPr>
            </w:pPr>
            <w:r w:rsidRPr="00F53BDD">
              <w:rPr>
                <w:sz w:val="17"/>
                <w:szCs w:val="17"/>
              </w:rPr>
              <w:t>O</w:t>
            </w:r>
          </w:p>
          <w:p w:rsidR="00A37B38" w:rsidRPr="00F53BDD" w:rsidRDefault="003B5262" w:rsidP="00573691">
            <w:pPr>
              <w:pStyle w:val="TableText"/>
              <w:spacing w:before="0" w:after="0" w:line="240" w:lineRule="auto"/>
              <w:jc w:val="center"/>
              <w:rPr>
                <w:sz w:val="17"/>
                <w:szCs w:val="17"/>
              </w:rPr>
            </w:pPr>
            <w:r w:rsidRPr="00F53BDD">
              <w:rPr>
                <w:sz w:val="17"/>
                <w:szCs w:val="17"/>
              </w:rPr>
              <w:t>Not applicable</w:t>
            </w:r>
          </w:p>
        </w:tc>
        <w:tc>
          <w:tcPr>
            <w:tcW w:w="1318" w:type="pct"/>
            <w:shd w:val="clear" w:color="auto" w:fill="87BDBE"/>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line="240" w:lineRule="auto"/>
              <w:jc w:val="center"/>
              <w:rPr>
                <w:sz w:val="17"/>
                <w:szCs w:val="17"/>
              </w:rPr>
            </w:pPr>
            <w:r w:rsidRPr="00F53BDD">
              <w:rPr>
                <w:sz w:val="17"/>
                <w:szCs w:val="17"/>
              </w:rPr>
              <w:t>Could monitor trades and accounts, enforce compliance with primary legislation, and restrict trading of offenders</w:t>
            </w:r>
          </w:p>
        </w:tc>
      </w:tr>
      <w:tr w:rsidR="008A0C11" w:rsidRPr="00F53BDD" w:rsidTr="000E5F38">
        <w:tc>
          <w:tcPr>
            <w:tcW w:w="580" w:type="pct"/>
            <w:shd w:val="clear" w:color="auto" w:fill="auto"/>
          </w:tcPr>
          <w:p w:rsidR="00A37B38" w:rsidRPr="00F53BDD" w:rsidRDefault="00A37B38" w:rsidP="00573691">
            <w:pPr>
              <w:pStyle w:val="TableTextbold"/>
              <w:spacing w:before="0" w:after="0" w:line="240" w:lineRule="auto"/>
              <w:rPr>
                <w:sz w:val="17"/>
                <w:szCs w:val="17"/>
              </w:rPr>
            </w:pPr>
            <w:r w:rsidRPr="00F53BDD">
              <w:rPr>
                <w:sz w:val="17"/>
                <w:szCs w:val="17"/>
              </w:rPr>
              <w:t>Money</w:t>
            </w:r>
            <w:r w:rsidR="002A7C7D" w:rsidRPr="00F53BDD">
              <w:rPr>
                <w:sz w:val="17"/>
                <w:szCs w:val="17"/>
              </w:rPr>
              <w:t xml:space="preserve"> </w:t>
            </w:r>
            <w:r w:rsidRPr="00F53BDD">
              <w:rPr>
                <w:sz w:val="17"/>
                <w:szCs w:val="17"/>
              </w:rPr>
              <w:t>laundering and financing of terrorism</w:t>
            </w:r>
          </w:p>
        </w:tc>
        <w:tc>
          <w:tcPr>
            <w:tcW w:w="1185" w:type="pct"/>
            <w:shd w:val="clear" w:color="auto" w:fill="CFE5E5"/>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Could help advisers identify money laundering or financing of terrorism</w:t>
            </w:r>
            <w:r w:rsidR="002A7C7D" w:rsidRPr="00F53BDD">
              <w:rPr>
                <w:sz w:val="17"/>
                <w:szCs w:val="17"/>
              </w:rPr>
              <w:t>,</w:t>
            </w:r>
            <w:r w:rsidRPr="00F53BDD">
              <w:rPr>
                <w:sz w:val="17"/>
                <w:szCs w:val="17"/>
              </w:rPr>
              <w:t xml:space="preserve"> and voluntarily report suspicious activities</w:t>
            </w:r>
          </w:p>
        </w:tc>
        <w:tc>
          <w:tcPr>
            <w:tcW w:w="1159" w:type="pct"/>
            <w:shd w:val="clear" w:color="auto" w:fill="57A3A4"/>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 xml:space="preserve">Helps a regulator monitor and detect unusual trades that could indicate money laundering </w:t>
            </w:r>
            <w:r w:rsidR="00190D9A" w:rsidRPr="00F53BDD">
              <w:rPr>
                <w:sz w:val="17"/>
                <w:szCs w:val="17"/>
              </w:rPr>
              <w:t xml:space="preserve">or </w:t>
            </w:r>
            <w:r w:rsidRPr="00F53BDD">
              <w:rPr>
                <w:sz w:val="17"/>
                <w:szCs w:val="17"/>
              </w:rPr>
              <w:t>financing of terrorism</w:t>
            </w:r>
          </w:p>
        </w:tc>
        <w:tc>
          <w:tcPr>
            <w:tcW w:w="757" w:type="pct"/>
            <w:shd w:val="clear" w:color="auto" w:fill="87BDBE"/>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573691">
            <w:pPr>
              <w:pStyle w:val="TableText"/>
              <w:spacing w:before="0" w:after="0" w:line="240" w:lineRule="auto"/>
              <w:jc w:val="center"/>
              <w:rPr>
                <w:sz w:val="17"/>
                <w:szCs w:val="17"/>
              </w:rPr>
            </w:pPr>
            <w:r w:rsidRPr="00F53BDD">
              <w:rPr>
                <w:sz w:val="17"/>
                <w:szCs w:val="17"/>
              </w:rPr>
              <w:t>Limits scale at which money can be laundered in the market</w:t>
            </w:r>
          </w:p>
        </w:tc>
        <w:tc>
          <w:tcPr>
            <w:tcW w:w="1318" w:type="pct"/>
            <w:shd w:val="clear" w:color="auto" w:fill="87BDBE"/>
          </w:tcPr>
          <w:p w:rsidR="00A37B38" w:rsidRPr="00F53BDD" w:rsidRDefault="00A37B38" w:rsidP="00573691">
            <w:pPr>
              <w:pStyle w:val="TableText"/>
              <w:spacing w:before="0" w:after="0" w:line="240" w:lineRule="auto"/>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line="240" w:lineRule="auto"/>
              <w:jc w:val="center"/>
              <w:rPr>
                <w:sz w:val="17"/>
                <w:szCs w:val="17"/>
              </w:rPr>
            </w:pPr>
            <w:r w:rsidRPr="00F53BDD">
              <w:rPr>
                <w:sz w:val="17"/>
                <w:szCs w:val="17"/>
              </w:rPr>
              <w:t>Could monitor trades for potential money laundering or financing of terrorism, enforce compliance and restrict trading of offenders</w:t>
            </w:r>
          </w:p>
        </w:tc>
      </w:tr>
      <w:tr w:rsidR="00A37B38" w:rsidRPr="00F53BDD" w:rsidTr="00573691">
        <w:tc>
          <w:tcPr>
            <w:tcW w:w="5000" w:type="pct"/>
            <w:gridSpan w:val="5"/>
            <w:shd w:val="clear" w:color="auto" w:fill="auto"/>
          </w:tcPr>
          <w:p w:rsidR="00C467B5" w:rsidRPr="00F53BDD" w:rsidRDefault="00C467B5" w:rsidP="00C467B5">
            <w:pPr>
              <w:pStyle w:val="TableText"/>
              <w:tabs>
                <w:tab w:val="left" w:pos="599"/>
              </w:tabs>
              <w:spacing w:line="276" w:lineRule="auto"/>
              <w:contextualSpacing/>
              <w:rPr>
                <w:rFonts w:cstheme="minorHAnsi"/>
                <w:sz w:val="17"/>
                <w:szCs w:val="17"/>
              </w:rPr>
            </w:pPr>
            <w:r w:rsidRPr="00F53BDD">
              <w:rPr>
                <w:rFonts w:ascii="Segoe UI Symbol" w:hAnsi="Segoe UI Symbol" w:cs="Segoe UI Symbol"/>
                <w:sz w:val="17"/>
                <w:szCs w:val="17"/>
                <w:shd w:val="clear" w:color="auto" w:fill="57A3A4"/>
              </w:rPr>
              <w:t>✓✓✓</w:t>
            </w:r>
            <w:r w:rsidRPr="00F53BDD">
              <w:rPr>
                <w:sz w:val="17"/>
                <w:szCs w:val="17"/>
              </w:rPr>
              <w:tab/>
            </w:r>
            <w:r w:rsidRPr="00F53BDD">
              <w:rPr>
                <w:rFonts w:cstheme="minorHAnsi"/>
                <w:sz w:val="17"/>
                <w:szCs w:val="17"/>
              </w:rPr>
              <w:t>Strongly addresses risk</w:t>
            </w:r>
          </w:p>
          <w:p w:rsidR="00C467B5" w:rsidRPr="00F53BDD" w:rsidRDefault="00C467B5" w:rsidP="00C467B5">
            <w:pPr>
              <w:pStyle w:val="TableText"/>
              <w:tabs>
                <w:tab w:val="left" w:pos="599"/>
              </w:tabs>
              <w:spacing w:line="276" w:lineRule="auto"/>
              <w:contextualSpacing/>
              <w:rPr>
                <w:rFonts w:cstheme="minorHAnsi"/>
                <w:sz w:val="17"/>
                <w:szCs w:val="17"/>
              </w:rPr>
            </w:pPr>
            <w:r w:rsidRPr="00F53BDD">
              <w:rPr>
                <w:rFonts w:ascii="Segoe UI Symbol" w:hAnsi="Segoe UI Symbol" w:cs="Segoe UI Symbol"/>
                <w:sz w:val="17"/>
                <w:szCs w:val="17"/>
                <w:shd w:val="clear" w:color="auto" w:fill="87BDBE"/>
              </w:rPr>
              <w:t>✓✓</w:t>
            </w:r>
            <w:r w:rsidRPr="00F53BDD">
              <w:rPr>
                <w:rFonts w:cstheme="minorHAnsi"/>
                <w:sz w:val="17"/>
                <w:szCs w:val="17"/>
              </w:rPr>
              <w:tab/>
              <w:t>Addresses risk</w:t>
            </w:r>
          </w:p>
          <w:p w:rsidR="00C467B5" w:rsidRDefault="00C467B5" w:rsidP="00C467B5">
            <w:pPr>
              <w:pStyle w:val="TableText"/>
              <w:tabs>
                <w:tab w:val="left" w:pos="599"/>
              </w:tabs>
              <w:spacing w:line="276" w:lineRule="auto"/>
              <w:contextualSpacing/>
              <w:rPr>
                <w:rFonts w:cstheme="minorHAnsi"/>
                <w:sz w:val="17"/>
                <w:szCs w:val="17"/>
              </w:rPr>
            </w:pPr>
            <w:r w:rsidRPr="00F53BDD">
              <w:rPr>
                <w:rFonts w:ascii="Segoe UI Symbol" w:hAnsi="Segoe UI Symbol" w:cs="Segoe UI Symbol"/>
                <w:sz w:val="17"/>
                <w:szCs w:val="17"/>
                <w:shd w:val="clear" w:color="auto" w:fill="CFE5E5"/>
              </w:rPr>
              <w:t>✓</w:t>
            </w:r>
            <w:r w:rsidRPr="00F53BDD">
              <w:rPr>
                <w:rFonts w:cstheme="minorHAnsi"/>
                <w:sz w:val="17"/>
                <w:szCs w:val="17"/>
              </w:rPr>
              <w:tab/>
              <w:t>Partially addresses risk</w:t>
            </w:r>
          </w:p>
          <w:p w:rsidR="00C467B5" w:rsidRPr="00C467B5" w:rsidRDefault="00C467B5" w:rsidP="00C467B5">
            <w:pPr>
              <w:pStyle w:val="TableText"/>
              <w:tabs>
                <w:tab w:val="left" w:pos="599"/>
              </w:tabs>
              <w:spacing w:line="276" w:lineRule="auto"/>
              <w:contextualSpacing/>
              <w:rPr>
                <w:rFonts w:cstheme="minorHAnsi"/>
                <w:sz w:val="17"/>
                <w:szCs w:val="17"/>
              </w:rPr>
            </w:pPr>
            <w:r w:rsidRPr="00F53BDD">
              <w:rPr>
                <w:rFonts w:eastAsia="Times New Roman"/>
                <w:sz w:val="17"/>
                <w:szCs w:val="17"/>
              </w:rPr>
              <w:t>O</w:t>
            </w:r>
            <w:r>
              <w:rPr>
                <w:rFonts w:eastAsia="Times New Roman"/>
                <w:sz w:val="17"/>
                <w:szCs w:val="17"/>
              </w:rPr>
              <w:tab/>
              <w:t>Not applicable</w:t>
            </w:r>
          </w:p>
        </w:tc>
      </w:tr>
    </w:tbl>
    <w:p w:rsidR="00A37B38" w:rsidRPr="00F53BDD" w:rsidRDefault="00A37B38" w:rsidP="000E5F38">
      <w:pPr>
        <w:pStyle w:val="Tableheading"/>
        <w:pageBreakBefore/>
        <w:spacing w:before="0"/>
        <w:ind w:left="0" w:firstLine="0"/>
      </w:pPr>
      <w:bookmarkStart w:id="147" w:name="_Toc75250123"/>
      <w:r w:rsidRPr="00F53BDD">
        <w:t xml:space="preserve">Table </w:t>
      </w:r>
      <w:r w:rsidR="00616B66" w:rsidRPr="00F53BDD">
        <w:t>2</w:t>
      </w:r>
      <w:r w:rsidR="006218BD">
        <w:t>1</w:t>
      </w:r>
      <w:r w:rsidRPr="00F53BDD">
        <w:t xml:space="preserve">: </w:t>
      </w:r>
      <w:r w:rsidR="00DD04D1" w:rsidRPr="00F53BDD">
        <w:tab/>
      </w:r>
      <w:r w:rsidRPr="00F53BDD">
        <w:t xml:space="preserve">Impact analysis </w:t>
      </w:r>
      <w:r w:rsidR="000634FC" w:rsidRPr="00F53BDD">
        <w:t xml:space="preserve">of </w:t>
      </w:r>
      <w:r w:rsidR="003437DC" w:rsidRPr="00F53BDD">
        <w:t xml:space="preserve">balanced </w:t>
      </w:r>
      <w:r w:rsidR="00E27749" w:rsidRPr="00F53BDD">
        <w:t>scenario</w:t>
      </w:r>
      <w:bookmarkEnd w:id="147"/>
    </w:p>
    <w:tbl>
      <w:tblPr>
        <w:tblStyle w:val="TableGrid"/>
        <w:tblW w:w="5000" w:type="pct"/>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ayout w:type="fixed"/>
        <w:tblLook w:val="04A0" w:firstRow="1" w:lastRow="0" w:firstColumn="1" w:lastColumn="0" w:noHBand="0" w:noVBand="1"/>
      </w:tblPr>
      <w:tblGrid>
        <w:gridCol w:w="2061"/>
        <w:gridCol w:w="2895"/>
        <w:gridCol w:w="2798"/>
        <w:gridCol w:w="2583"/>
        <w:gridCol w:w="3101"/>
      </w:tblGrid>
      <w:tr w:rsidR="000E5F38" w:rsidRPr="00F53BDD" w:rsidTr="00EA6102">
        <w:trPr>
          <w:trHeight w:val="454"/>
        </w:trPr>
        <w:tc>
          <w:tcPr>
            <w:tcW w:w="767" w:type="pct"/>
            <w:shd w:val="clear" w:color="auto" w:fill="1C556C" w:themeFill="accent1"/>
            <w:vAlign w:val="bottom"/>
          </w:tcPr>
          <w:p w:rsidR="00D155DD" w:rsidRPr="00F53BDD" w:rsidRDefault="00D155DD" w:rsidP="000E5F38">
            <w:pPr>
              <w:pStyle w:val="TableTextbold"/>
              <w:rPr>
                <w:color w:val="FFFFFF" w:themeColor="background1"/>
                <w:sz w:val="17"/>
                <w:szCs w:val="17"/>
              </w:rPr>
            </w:pPr>
            <w:r w:rsidRPr="00F53BDD">
              <w:rPr>
                <w:color w:val="FFFFFF" w:themeColor="background1"/>
                <w:sz w:val="17"/>
                <w:szCs w:val="17"/>
              </w:rPr>
              <w:t>Criteri</w:t>
            </w:r>
            <w:r w:rsidR="003437DC" w:rsidRPr="00F53BDD">
              <w:rPr>
                <w:color w:val="FFFFFF" w:themeColor="background1"/>
                <w:sz w:val="17"/>
                <w:szCs w:val="17"/>
              </w:rPr>
              <w:t>on</w:t>
            </w:r>
          </w:p>
        </w:tc>
        <w:tc>
          <w:tcPr>
            <w:tcW w:w="1077" w:type="pct"/>
            <w:tcBorders>
              <w:bottom w:val="single" w:sz="4" w:space="0" w:color="1C556C" w:themeColor="accent1"/>
            </w:tcBorders>
            <w:shd w:val="clear" w:color="auto" w:fill="1C556C" w:themeFill="accent1"/>
            <w:vAlign w:val="bottom"/>
          </w:tcPr>
          <w:p w:rsidR="00D155DD" w:rsidRPr="00F53BDD" w:rsidRDefault="00D155DD" w:rsidP="000E5F38">
            <w:pPr>
              <w:pStyle w:val="TableTextbold"/>
              <w:rPr>
                <w:color w:val="FFFFFF" w:themeColor="background1"/>
                <w:sz w:val="17"/>
                <w:szCs w:val="17"/>
              </w:rPr>
            </w:pPr>
            <w:r w:rsidRPr="00F53BDD">
              <w:rPr>
                <w:color w:val="FFFFFF" w:themeColor="background1"/>
                <w:sz w:val="17"/>
                <w:szCs w:val="17"/>
              </w:rPr>
              <w:t xml:space="preserve">A3: Voluntary </w:t>
            </w:r>
            <w:r w:rsidR="003437DC" w:rsidRPr="00F53BDD">
              <w:rPr>
                <w:color w:val="FFFFFF" w:themeColor="background1"/>
                <w:sz w:val="17"/>
                <w:szCs w:val="17"/>
              </w:rPr>
              <w:t>s</w:t>
            </w:r>
            <w:r w:rsidRPr="00F53BDD">
              <w:rPr>
                <w:color w:val="FFFFFF" w:themeColor="background1"/>
                <w:sz w:val="17"/>
                <w:szCs w:val="17"/>
              </w:rPr>
              <w:t xml:space="preserve">ector </w:t>
            </w:r>
            <w:r w:rsidR="00206D68" w:rsidRPr="00F53BDD">
              <w:rPr>
                <w:color w:val="FFFFFF" w:themeColor="background1"/>
                <w:sz w:val="17"/>
                <w:szCs w:val="17"/>
              </w:rPr>
              <w:t>g</w:t>
            </w:r>
            <w:r w:rsidRPr="00F53BDD">
              <w:rPr>
                <w:color w:val="FFFFFF" w:themeColor="background1"/>
                <w:sz w:val="17"/>
                <w:szCs w:val="17"/>
              </w:rPr>
              <w:t>uidelines for NZU advisers + co-regulation</w:t>
            </w:r>
            <w:r w:rsidRPr="00F53BDD" w:rsidDel="006B528C">
              <w:rPr>
                <w:color w:val="FFFFFF" w:themeColor="background1"/>
                <w:sz w:val="17"/>
                <w:szCs w:val="17"/>
              </w:rPr>
              <w:t xml:space="preserve"> </w:t>
            </w:r>
          </w:p>
        </w:tc>
        <w:tc>
          <w:tcPr>
            <w:tcW w:w="1041" w:type="pct"/>
            <w:tcBorders>
              <w:bottom w:val="single" w:sz="4" w:space="0" w:color="1C556C" w:themeColor="accent1"/>
            </w:tcBorders>
            <w:shd w:val="clear" w:color="auto" w:fill="1C556C" w:themeFill="accent1"/>
            <w:vAlign w:val="bottom"/>
          </w:tcPr>
          <w:p w:rsidR="00D155DD" w:rsidRPr="00F53BDD" w:rsidRDefault="00D155DD" w:rsidP="000E5F38">
            <w:pPr>
              <w:pStyle w:val="TableTextbold"/>
              <w:rPr>
                <w:color w:val="FFFFFF" w:themeColor="background1"/>
                <w:sz w:val="17"/>
                <w:szCs w:val="17"/>
              </w:rPr>
            </w:pPr>
            <w:r w:rsidRPr="00F53BDD">
              <w:rPr>
                <w:color w:val="FFFFFF" w:themeColor="background1"/>
                <w:sz w:val="17"/>
                <w:szCs w:val="17"/>
              </w:rPr>
              <w:t>B4: Requiring exchange-based trading</w:t>
            </w:r>
          </w:p>
        </w:tc>
        <w:tc>
          <w:tcPr>
            <w:tcW w:w="961" w:type="pct"/>
            <w:tcBorders>
              <w:bottom w:val="single" w:sz="4" w:space="0" w:color="1C556C" w:themeColor="accent1"/>
            </w:tcBorders>
            <w:shd w:val="clear" w:color="auto" w:fill="1C556C" w:themeFill="accent1"/>
            <w:vAlign w:val="bottom"/>
          </w:tcPr>
          <w:p w:rsidR="00D155DD" w:rsidRPr="00F53BDD" w:rsidRDefault="00D155DD" w:rsidP="000E5F38">
            <w:pPr>
              <w:pStyle w:val="TableTextbold"/>
              <w:rPr>
                <w:color w:val="FFFFFF" w:themeColor="background1"/>
                <w:sz w:val="17"/>
                <w:szCs w:val="17"/>
              </w:rPr>
            </w:pPr>
            <w:r w:rsidRPr="00F53BDD">
              <w:rPr>
                <w:color w:val="FFFFFF" w:themeColor="background1"/>
                <w:sz w:val="17"/>
                <w:szCs w:val="17"/>
              </w:rPr>
              <w:t>C2: Position and purchase</w:t>
            </w:r>
            <w:r w:rsidR="003437DC" w:rsidRPr="00F53BDD">
              <w:rPr>
                <w:color w:val="FFFFFF" w:themeColor="background1"/>
                <w:sz w:val="17"/>
                <w:szCs w:val="17"/>
              </w:rPr>
              <w:t xml:space="preserve"> l</w:t>
            </w:r>
            <w:r w:rsidRPr="00F53BDD">
              <w:rPr>
                <w:color w:val="FFFFFF" w:themeColor="background1"/>
                <w:sz w:val="17"/>
                <w:szCs w:val="17"/>
              </w:rPr>
              <w:t>imits</w:t>
            </w:r>
          </w:p>
        </w:tc>
        <w:tc>
          <w:tcPr>
            <w:tcW w:w="1154" w:type="pct"/>
            <w:tcBorders>
              <w:bottom w:val="single" w:sz="4" w:space="0" w:color="1C556C" w:themeColor="accent1"/>
            </w:tcBorders>
            <w:shd w:val="clear" w:color="auto" w:fill="1C556C" w:themeFill="accent1"/>
            <w:vAlign w:val="bottom"/>
          </w:tcPr>
          <w:p w:rsidR="00D155DD" w:rsidRPr="00F53BDD" w:rsidRDefault="00D155DD" w:rsidP="000E5F38">
            <w:pPr>
              <w:pStyle w:val="TableTextbold"/>
              <w:rPr>
                <w:color w:val="FFFFFF" w:themeColor="background1"/>
                <w:sz w:val="17"/>
                <w:szCs w:val="17"/>
              </w:rPr>
            </w:pPr>
            <w:r w:rsidRPr="00F53BDD">
              <w:rPr>
                <w:color w:val="FFFFFF" w:themeColor="background1"/>
                <w:sz w:val="17"/>
                <w:szCs w:val="17"/>
              </w:rPr>
              <w:t xml:space="preserve">D5: Market </w:t>
            </w:r>
            <w:r w:rsidR="003437DC" w:rsidRPr="00F53BDD">
              <w:rPr>
                <w:color w:val="FFFFFF" w:themeColor="background1"/>
                <w:sz w:val="17"/>
                <w:szCs w:val="17"/>
              </w:rPr>
              <w:t>c</w:t>
            </w:r>
            <w:r w:rsidRPr="00F53BDD">
              <w:rPr>
                <w:color w:val="FFFFFF" w:themeColor="background1"/>
                <w:sz w:val="17"/>
                <w:szCs w:val="17"/>
              </w:rPr>
              <w:t>ompliance regulator</w:t>
            </w:r>
          </w:p>
        </w:tc>
      </w:tr>
      <w:tr w:rsidR="00A37B38" w:rsidRPr="00F53BDD" w:rsidTr="00EA6102">
        <w:tc>
          <w:tcPr>
            <w:tcW w:w="767" w:type="pct"/>
          </w:tcPr>
          <w:p w:rsidR="00A37B38" w:rsidRPr="00F53BDD" w:rsidRDefault="00A37B38" w:rsidP="000E5F38">
            <w:pPr>
              <w:pStyle w:val="TableTextbold"/>
              <w:spacing w:before="0" w:after="0"/>
              <w:rPr>
                <w:sz w:val="17"/>
                <w:szCs w:val="17"/>
              </w:rPr>
            </w:pPr>
            <w:r w:rsidRPr="00F53BDD">
              <w:rPr>
                <w:sz w:val="17"/>
                <w:szCs w:val="17"/>
              </w:rPr>
              <w:t>Integrity</w:t>
            </w:r>
          </w:p>
        </w:tc>
        <w:tc>
          <w:tcPr>
            <w:tcW w:w="1077" w:type="pct"/>
            <w:tcBorders>
              <w:bottom w:val="single" w:sz="4" w:space="0" w:color="1C556C" w:themeColor="accent1"/>
            </w:tcBorders>
            <w:shd w:val="clear" w:color="auto" w:fill="87BDBE"/>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 xml:space="preserve">Sets the standard of good </w:t>
            </w:r>
            <w:r w:rsidR="00E36AA6" w:rsidRPr="00F53BDD">
              <w:rPr>
                <w:sz w:val="17"/>
                <w:szCs w:val="17"/>
              </w:rPr>
              <w:t xml:space="preserve">conduct </w:t>
            </w:r>
            <w:r w:rsidRPr="00F53BDD">
              <w:rPr>
                <w:sz w:val="17"/>
                <w:szCs w:val="17"/>
              </w:rPr>
              <w:t>and a compliance regulator can issue penalties</w:t>
            </w:r>
          </w:p>
        </w:tc>
        <w:tc>
          <w:tcPr>
            <w:tcW w:w="1041" w:type="pct"/>
            <w:tcBorders>
              <w:bottom w:val="single" w:sz="4" w:space="0" w:color="1C556C" w:themeColor="accent1"/>
              <w:right w:val="single" w:sz="4" w:space="0" w:color="1C556C" w:themeColor="accent1"/>
            </w:tcBorders>
            <w:shd w:val="clear" w:color="auto" w:fill="57A3A4"/>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 xml:space="preserve">A regulated platform </w:t>
            </w:r>
            <w:r w:rsidR="003B3DAD" w:rsidRPr="00F53BDD">
              <w:rPr>
                <w:sz w:val="17"/>
                <w:szCs w:val="17"/>
              </w:rPr>
              <w:t>can</w:t>
            </w:r>
            <w:r w:rsidRPr="00F53BDD">
              <w:rPr>
                <w:sz w:val="17"/>
                <w:szCs w:val="17"/>
              </w:rPr>
              <w:t xml:space="preserve"> detect market misconduct and report on trades</w:t>
            </w:r>
          </w:p>
        </w:tc>
        <w:tc>
          <w:tcPr>
            <w:tcW w:w="961" w:type="pct"/>
            <w:tcBorders>
              <w:left w:val="single" w:sz="4" w:space="0" w:color="1C556C" w:themeColor="accent1"/>
              <w:bottom w:val="single" w:sz="4" w:space="0" w:color="1C556C" w:themeColor="accent1"/>
            </w:tcBorders>
            <w:shd w:val="clear" w:color="auto" w:fill="87BDBE"/>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Position and purchase limits are common features to prevent market power</w:t>
            </w:r>
          </w:p>
        </w:tc>
        <w:tc>
          <w:tcPr>
            <w:tcW w:w="1154" w:type="pct"/>
            <w:tcBorders>
              <w:bottom w:val="single" w:sz="4" w:space="0" w:color="1C556C" w:themeColor="accent1"/>
              <w:right w:val="single" w:sz="4" w:space="0" w:color="1C556C" w:themeColor="accent1"/>
            </w:tcBorders>
            <w:shd w:val="clear" w:color="auto" w:fill="57A3A4"/>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Issu</w:t>
            </w:r>
            <w:r w:rsidR="003A0E83" w:rsidRPr="00F53BDD">
              <w:rPr>
                <w:sz w:val="17"/>
                <w:szCs w:val="17"/>
              </w:rPr>
              <w:t>ing</w:t>
            </w:r>
            <w:r w:rsidRPr="00F53BDD">
              <w:rPr>
                <w:sz w:val="17"/>
                <w:szCs w:val="17"/>
              </w:rPr>
              <w:t xml:space="preserve"> penalties ensures integrity</w:t>
            </w:r>
          </w:p>
        </w:tc>
      </w:tr>
      <w:tr w:rsidR="00A37B38" w:rsidRPr="00F53BDD" w:rsidTr="00EA6102">
        <w:tc>
          <w:tcPr>
            <w:tcW w:w="767" w:type="pct"/>
          </w:tcPr>
          <w:p w:rsidR="00A37B38" w:rsidRPr="00F53BDD" w:rsidRDefault="00A37B38" w:rsidP="000E5F38">
            <w:pPr>
              <w:pStyle w:val="TableTextbold"/>
              <w:spacing w:before="0" w:after="0"/>
              <w:rPr>
                <w:sz w:val="17"/>
                <w:szCs w:val="17"/>
              </w:rPr>
            </w:pPr>
            <w:r w:rsidRPr="00F53BDD">
              <w:rPr>
                <w:sz w:val="17"/>
                <w:szCs w:val="17"/>
              </w:rPr>
              <w:t>Minimal complexity and administrative cost</w:t>
            </w:r>
          </w:p>
        </w:tc>
        <w:tc>
          <w:tcPr>
            <w:tcW w:w="1077" w:type="pct"/>
            <w:tcBorders>
              <w:bottom w:val="single" w:sz="4" w:space="0" w:color="1C556C" w:themeColor="accent1"/>
            </w:tcBorders>
            <w:shd w:val="clear" w:color="auto" w:fill="57A3A4"/>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Minimises complexity for advisers, with no administrative cost for participants and traders</w:t>
            </w:r>
          </w:p>
        </w:tc>
        <w:tc>
          <w:tcPr>
            <w:tcW w:w="1041" w:type="pct"/>
            <w:shd w:val="clear" w:color="auto" w:fill="87BDBE"/>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Some risk protection for small traders</w:t>
            </w:r>
          </w:p>
        </w:tc>
        <w:tc>
          <w:tcPr>
            <w:tcW w:w="961" w:type="pct"/>
            <w:shd w:val="clear" w:color="auto" w:fill="87BDBE"/>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Setting limits via the NZ ETR results in no additional cost to participants</w:t>
            </w:r>
          </w:p>
        </w:tc>
        <w:tc>
          <w:tcPr>
            <w:tcW w:w="1154" w:type="pct"/>
            <w:tcBorders>
              <w:bottom w:val="single" w:sz="4" w:space="0" w:color="1C556C" w:themeColor="accent1"/>
            </w:tcBorders>
            <w:shd w:val="clear" w:color="auto" w:fill="CFE5E5"/>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 xml:space="preserve">Cost to </w:t>
            </w:r>
            <w:r w:rsidR="006C16F6" w:rsidRPr="00F53BDD">
              <w:rPr>
                <w:sz w:val="17"/>
                <w:szCs w:val="17"/>
              </w:rPr>
              <w:t>the G</w:t>
            </w:r>
            <w:r w:rsidRPr="00F53BDD">
              <w:rPr>
                <w:sz w:val="17"/>
                <w:szCs w:val="17"/>
              </w:rPr>
              <w:t xml:space="preserve">overnment to </w:t>
            </w:r>
            <w:r w:rsidR="006C16F6" w:rsidRPr="00F53BDD">
              <w:rPr>
                <w:sz w:val="17"/>
                <w:szCs w:val="17"/>
              </w:rPr>
              <w:t xml:space="preserve">set up </w:t>
            </w:r>
            <w:r w:rsidRPr="00F53BDD">
              <w:rPr>
                <w:sz w:val="17"/>
                <w:szCs w:val="17"/>
              </w:rPr>
              <w:t>a market compliance regulator</w:t>
            </w:r>
          </w:p>
        </w:tc>
      </w:tr>
      <w:tr w:rsidR="00A37B38" w:rsidRPr="00F53BDD" w:rsidTr="00EA6102">
        <w:tc>
          <w:tcPr>
            <w:tcW w:w="767" w:type="pct"/>
          </w:tcPr>
          <w:p w:rsidR="00A37B38" w:rsidRPr="00F53BDD" w:rsidRDefault="00A37B38" w:rsidP="000E5F38">
            <w:pPr>
              <w:pStyle w:val="TableTextbold"/>
              <w:spacing w:before="0" w:after="0"/>
              <w:rPr>
                <w:sz w:val="17"/>
                <w:szCs w:val="17"/>
              </w:rPr>
            </w:pPr>
            <w:r w:rsidRPr="00F53BDD">
              <w:rPr>
                <w:sz w:val="17"/>
                <w:szCs w:val="17"/>
              </w:rPr>
              <w:t>Consistency and proportionality</w:t>
            </w:r>
          </w:p>
        </w:tc>
        <w:tc>
          <w:tcPr>
            <w:tcW w:w="1077" w:type="pct"/>
            <w:tcBorders>
              <w:bottom w:val="single" w:sz="4" w:space="0" w:color="1C556C" w:themeColor="accent1"/>
            </w:tcBorders>
            <w:shd w:val="clear" w:color="auto" w:fill="87BDBE"/>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Guidelines are common practice in service-based industries and a proportional response to the NZ ETS’s evolving market</w:t>
            </w:r>
          </w:p>
        </w:tc>
        <w:tc>
          <w:tcPr>
            <w:tcW w:w="1041" w:type="pct"/>
            <w:tcBorders>
              <w:bottom w:val="single" w:sz="4" w:space="0" w:color="1C556C" w:themeColor="accent1"/>
            </w:tcBorders>
            <w:shd w:val="clear" w:color="auto" w:fill="87BDBE"/>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 xml:space="preserve">Exchange-based trading is common practice in financial </w:t>
            </w:r>
            <w:r w:rsidR="003B3DAD" w:rsidRPr="00F53BDD">
              <w:rPr>
                <w:sz w:val="17"/>
                <w:szCs w:val="17"/>
              </w:rPr>
              <w:t>markets and</w:t>
            </w:r>
            <w:r w:rsidRPr="00F53BDD">
              <w:rPr>
                <w:sz w:val="17"/>
                <w:szCs w:val="17"/>
              </w:rPr>
              <w:t xml:space="preserve"> helps expose any misconduct through trade reporting</w:t>
            </w:r>
          </w:p>
        </w:tc>
        <w:tc>
          <w:tcPr>
            <w:tcW w:w="961" w:type="pct"/>
            <w:tcBorders>
              <w:bottom w:val="single" w:sz="4" w:space="0" w:color="1C556C" w:themeColor="accent1"/>
            </w:tcBorders>
            <w:shd w:val="clear" w:color="auto" w:fill="87BDBE"/>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Position and purchase limits are common features in financial markets to limit the developing risk of</w:t>
            </w:r>
            <w:r w:rsidR="00EF04DA" w:rsidRPr="00F53BDD">
              <w:rPr>
                <w:sz w:val="17"/>
                <w:szCs w:val="17"/>
              </w:rPr>
              <w:t xml:space="preserve"> </w:t>
            </w:r>
            <w:r w:rsidRPr="00F53BDD">
              <w:rPr>
                <w:sz w:val="17"/>
                <w:szCs w:val="17"/>
              </w:rPr>
              <w:t>misconduct</w:t>
            </w:r>
          </w:p>
        </w:tc>
        <w:tc>
          <w:tcPr>
            <w:tcW w:w="1154" w:type="pct"/>
            <w:tcBorders>
              <w:bottom w:val="single" w:sz="4" w:space="0" w:color="1C556C" w:themeColor="accent1"/>
            </w:tcBorders>
            <w:shd w:val="clear" w:color="auto" w:fill="57A3A4"/>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 xml:space="preserve">Consistent with international ETSs </w:t>
            </w:r>
            <w:r w:rsidR="003B3DAD" w:rsidRPr="00F53BDD">
              <w:rPr>
                <w:sz w:val="17"/>
                <w:szCs w:val="17"/>
              </w:rPr>
              <w:t>and for</w:t>
            </w:r>
            <w:r w:rsidRPr="00F53BDD">
              <w:rPr>
                <w:sz w:val="17"/>
                <w:szCs w:val="17"/>
              </w:rPr>
              <w:t xml:space="preserve"> good governance</w:t>
            </w:r>
          </w:p>
          <w:p w:rsidR="00A37B38" w:rsidRPr="00F53BDD" w:rsidRDefault="00A37B38" w:rsidP="000E5F38">
            <w:pPr>
              <w:pStyle w:val="TableText"/>
              <w:spacing w:before="0" w:after="0"/>
              <w:jc w:val="center"/>
              <w:rPr>
                <w:sz w:val="17"/>
                <w:szCs w:val="17"/>
              </w:rPr>
            </w:pPr>
          </w:p>
        </w:tc>
      </w:tr>
      <w:tr w:rsidR="00A37B38" w:rsidRPr="00F53BDD" w:rsidTr="000E5F38">
        <w:tc>
          <w:tcPr>
            <w:tcW w:w="767" w:type="pct"/>
          </w:tcPr>
          <w:p w:rsidR="00A37B38" w:rsidRPr="00F53BDD" w:rsidRDefault="00A37B38" w:rsidP="000E5F38">
            <w:pPr>
              <w:pStyle w:val="TableTextbold"/>
              <w:spacing w:before="0" w:after="0"/>
              <w:rPr>
                <w:sz w:val="17"/>
                <w:szCs w:val="17"/>
              </w:rPr>
            </w:pPr>
            <w:r w:rsidRPr="00F53BDD">
              <w:rPr>
                <w:sz w:val="17"/>
                <w:szCs w:val="17"/>
              </w:rPr>
              <w:t>Clarity and transparency</w:t>
            </w:r>
          </w:p>
        </w:tc>
        <w:tc>
          <w:tcPr>
            <w:tcW w:w="1077" w:type="pct"/>
            <w:tcBorders>
              <w:bottom w:val="single" w:sz="4" w:space="0" w:color="1C556C" w:themeColor="accent1"/>
            </w:tcBorders>
            <w:shd w:val="clear" w:color="auto" w:fill="57A3A4"/>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 xml:space="preserve">Guidelines set a public standard of what should </w:t>
            </w:r>
            <w:r w:rsidR="00206D68" w:rsidRPr="00F53BDD">
              <w:rPr>
                <w:sz w:val="17"/>
                <w:szCs w:val="17"/>
              </w:rPr>
              <w:t>to expect</w:t>
            </w:r>
            <w:r w:rsidRPr="00F53BDD">
              <w:rPr>
                <w:sz w:val="17"/>
                <w:szCs w:val="17"/>
              </w:rPr>
              <w:t xml:space="preserve"> of an adviser</w:t>
            </w:r>
          </w:p>
        </w:tc>
        <w:tc>
          <w:tcPr>
            <w:tcW w:w="1041" w:type="pct"/>
            <w:shd w:val="clear" w:color="auto" w:fill="57A3A4"/>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Exchanges can produce reports and charts which improve transparency for the public</w:t>
            </w:r>
          </w:p>
        </w:tc>
        <w:tc>
          <w:tcPr>
            <w:tcW w:w="961" w:type="pct"/>
            <w:tcBorders>
              <w:bottom w:val="single" w:sz="4" w:space="0" w:color="1C556C" w:themeColor="accent1"/>
            </w:tcBorders>
            <w:shd w:val="clear" w:color="auto" w:fill="57A3A4"/>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 xml:space="preserve">Limits are a simple mechanism to understand, the limits are public, and </w:t>
            </w:r>
            <w:r w:rsidR="003B3DAD" w:rsidRPr="00F53BDD">
              <w:rPr>
                <w:sz w:val="17"/>
                <w:szCs w:val="17"/>
              </w:rPr>
              <w:t>it is</w:t>
            </w:r>
            <w:r w:rsidRPr="00F53BDD">
              <w:rPr>
                <w:sz w:val="17"/>
                <w:szCs w:val="17"/>
              </w:rPr>
              <w:t xml:space="preserve"> easy to monitor limits</w:t>
            </w:r>
          </w:p>
        </w:tc>
        <w:tc>
          <w:tcPr>
            <w:tcW w:w="1154" w:type="pct"/>
            <w:shd w:val="clear" w:color="auto" w:fill="57A3A4"/>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Enforcement and penalties send a public signal to industry of acceptable behaviour</w:t>
            </w:r>
          </w:p>
        </w:tc>
      </w:tr>
      <w:tr w:rsidR="00A37B38" w:rsidRPr="00F53BDD" w:rsidTr="00EA6102">
        <w:tc>
          <w:tcPr>
            <w:tcW w:w="767" w:type="pct"/>
          </w:tcPr>
          <w:p w:rsidR="00A37B38" w:rsidRPr="00F53BDD" w:rsidRDefault="00A37B38" w:rsidP="000E5F38">
            <w:pPr>
              <w:pStyle w:val="TableTextbold"/>
              <w:spacing w:before="0" w:after="0"/>
              <w:rPr>
                <w:sz w:val="17"/>
                <w:szCs w:val="17"/>
              </w:rPr>
            </w:pPr>
            <w:r w:rsidRPr="00F53BDD">
              <w:rPr>
                <w:sz w:val="17"/>
                <w:szCs w:val="17"/>
              </w:rPr>
              <w:t>Market efficiency</w:t>
            </w:r>
          </w:p>
        </w:tc>
        <w:tc>
          <w:tcPr>
            <w:tcW w:w="1077" w:type="pct"/>
            <w:shd w:val="clear" w:color="auto" w:fill="CFE5E5"/>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 xml:space="preserve">Guidelines encourage advisers to give better advice to traders </w:t>
            </w:r>
            <w:r w:rsidR="00206D68" w:rsidRPr="00F53BDD">
              <w:rPr>
                <w:sz w:val="17"/>
                <w:szCs w:val="17"/>
              </w:rPr>
              <w:t xml:space="preserve">on </w:t>
            </w:r>
            <w:r w:rsidRPr="00F53BDD">
              <w:rPr>
                <w:sz w:val="17"/>
                <w:szCs w:val="17"/>
              </w:rPr>
              <w:t>price discovery</w:t>
            </w:r>
          </w:p>
        </w:tc>
        <w:tc>
          <w:tcPr>
            <w:tcW w:w="1041" w:type="pct"/>
            <w:shd w:val="clear" w:color="auto" w:fill="57A3A4"/>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Public price and volume trading provides the best price discovery</w:t>
            </w:r>
          </w:p>
        </w:tc>
        <w:tc>
          <w:tcPr>
            <w:tcW w:w="961" w:type="pct"/>
            <w:shd w:val="clear" w:color="auto" w:fill="87BDBE"/>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Fairer NZU by limiting a trader’s ability to manipulate prices and corner the market</w:t>
            </w:r>
          </w:p>
        </w:tc>
        <w:tc>
          <w:tcPr>
            <w:tcW w:w="1154" w:type="pct"/>
            <w:shd w:val="clear" w:color="auto" w:fill="57A3A4"/>
          </w:tcPr>
          <w:p w:rsidR="00A37B38" w:rsidRPr="00F53BDD" w:rsidRDefault="00A37B38" w:rsidP="000E5F38">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E5F38">
            <w:pPr>
              <w:pStyle w:val="TableText"/>
              <w:spacing w:before="0" w:after="0"/>
              <w:jc w:val="center"/>
              <w:rPr>
                <w:sz w:val="17"/>
                <w:szCs w:val="17"/>
              </w:rPr>
            </w:pPr>
            <w:r w:rsidRPr="00F53BDD">
              <w:rPr>
                <w:sz w:val="17"/>
                <w:szCs w:val="17"/>
              </w:rPr>
              <w:t>Access to market information and public reporting aid with price discovery</w:t>
            </w:r>
          </w:p>
        </w:tc>
      </w:tr>
      <w:tr w:rsidR="00A37B38" w:rsidRPr="00F53BDD" w:rsidTr="000E5F38">
        <w:tc>
          <w:tcPr>
            <w:tcW w:w="5000" w:type="pct"/>
            <w:gridSpan w:val="5"/>
            <w:shd w:val="clear" w:color="auto" w:fill="auto"/>
          </w:tcPr>
          <w:p w:rsidR="00A37B38" w:rsidRPr="00F53BDD" w:rsidRDefault="00A37B38" w:rsidP="008975AF">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57A3A4"/>
              </w:rPr>
              <w:t>✓✓✓</w:t>
            </w:r>
            <w:r w:rsidR="008975AF" w:rsidRPr="00F53BDD">
              <w:rPr>
                <w:rFonts w:asciiTheme="minorHAnsi" w:eastAsia="Times New Roman" w:hAnsiTheme="minorHAnsi" w:cstheme="minorHAnsi"/>
                <w:sz w:val="17"/>
                <w:szCs w:val="17"/>
              </w:rPr>
              <w:tab/>
            </w:r>
            <w:r w:rsidRPr="00F53BDD">
              <w:rPr>
                <w:rFonts w:asciiTheme="minorHAnsi" w:eastAsia="Times New Roman" w:hAnsiTheme="minorHAnsi" w:cstheme="minorHAnsi"/>
                <w:sz w:val="17"/>
                <w:szCs w:val="17"/>
              </w:rPr>
              <w:t>Strongly meets criteria</w:t>
            </w:r>
          </w:p>
          <w:p w:rsidR="00A37B38" w:rsidRPr="00F53BDD" w:rsidRDefault="00A37B38" w:rsidP="008975AF">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87BDBE"/>
              </w:rPr>
              <w:t>✓✓</w:t>
            </w:r>
            <w:r w:rsidR="008975AF" w:rsidRPr="00F53BDD">
              <w:rPr>
                <w:rFonts w:asciiTheme="minorHAnsi" w:eastAsia="Times New Roman" w:hAnsiTheme="minorHAnsi" w:cstheme="minorHAnsi"/>
                <w:sz w:val="17"/>
                <w:szCs w:val="17"/>
              </w:rPr>
              <w:tab/>
            </w:r>
            <w:r w:rsidRPr="00F53BDD">
              <w:rPr>
                <w:rFonts w:asciiTheme="minorHAnsi" w:eastAsia="Times New Roman" w:hAnsiTheme="minorHAnsi" w:cstheme="minorHAnsi"/>
                <w:sz w:val="17"/>
                <w:szCs w:val="17"/>
              </w:rPr>
              <w:t>Meets criteria</w:t>
            </w:r>
          </w:p>
          <w:p w:rsidR="00A37B38" w:rsidRPr="00C467B5" w:rsidRDefault="00A37B38" w:rsidP="008975AF">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CFE5E5"/>
              </w:rPr>
              <w:t>✓</w:t>
            </w:r>
            <w:r w:rsidR="008975AF" w:rsidRPr="00F53BDD">
              <w:rPr>
                <w:rFonts w:asciiTheme="minorHAnsi" w:eastAsia="Times New Roman" w:hAnsiTheme="minorHAnsi" w:cstheme="minorHAnsi"/>
                <w:sz w:val="17"/>
                <w:szCs w:val="17"/>
              </w:rPr>
              <w:tab/>
            </w:r>
            <w:r w:rsidRPr="00F53BDD">
              <w:rPr>
                <w:rFonts w:asciiTheme="minorHAnsi" w:eastAsia="Times New Roman" w:hAnsiTheme="minorHAnsi" w:cstheme="minorHAnsi"/>
                <w:sz w:val="17"/>
                <w:szCs w:val="17"/>
              </w:rPr>
              <w:t>Partially meets criteria</w:t>
            </w:r>
          </w:p>
          <w:p w:rsidR="00A37B38" w:rsidRPr="00F53BDD" w:rsidRDefault="00A37B38" w:rsidP="008975AF">
            <w:pPr>
              <w:tabs>
                <w:tab w:val="left" w:pos="562"/>
              </w:tabs>
              <w:spacing w:before="0" w:after="0" w:line="276" w:lineRule="auto"/>
              <w:contextualSpacing/>
              <w:rPr>
                <w:rFonts w:asciiTheme="minorHAnsi" w:eastAsia="Times New Roman" w:hAnsiTheme="minorHAnsi" w:cstheme="minorHAnsi"/>
                <w:sz w:val="17"/>
                <w:szCs w:val="17"/>
              </w:rPr>
            </w:pPr>
          </w:p>
        </w:tc>
      </w:tr>
    </w:tbl>
    <w:p w:rsidR="00A37B38" w:rsidRPr="00F53BDD" w:rsidRDefault="00A37B38" w:rsidP="00A37B38">
      <w:pPr>
        <w:spacing w:before="0" w:after="200" w:line="276" w:lineRule="auto"/>
        <w:jc w:val="left"/>
      </w:pPr>
      <w:r w:rsidRPr="00F53BDD">
        <w:br w:type="page"/>
      </w:r>
    </w:p>
    <w:p w:rsidR="00A37B38" w:rsidRPr="00F53BDD" w:rsidRDefault="00A37B38" w:rsidP="001469EC">
      <w:pPr>
        <w:pStyle w:val="Heading3"/>
        <w:rPr>
          <w:color w:val="2C9986" w:themeColor="accent4"/>
          <w:sz w:val="36"/>
          <w:szCs w:val="36"/>
        </w:rPr>
      </w:pPr>
      <w:bookmarkStart w:id="148" w:name="_Toc72152975"/>
      <w:r w:rsidRPr="00F53BDD">
        <w:rPr>
          <w:color w:val="2C9986" w:themeColor="accent4"/>
          <w:sz w:val="36"/>
          <w:szCs w:val="36"/>
        </w:rPr>
        <w:t>Risk mitigation scenario</w:t>
      </w:r>
      <w:bookmarkEnd w:id="148"/>
    </w:p>
    <w:p w:rsidR="00A37B38" w:rsidRPr="00F53BDD" w:rsidRDefault="00A37B38" w:rsidP="005F3608">
      <w:pPr>
        <w:pStyle w:val="Tableheading"/>
      </w:pPr>
      <w:bookmarkStart w:id="149" w:name="_Toc75250124"/>
      <w:r w:rsidRPr="00F53BDD">
        <w:t xml:space="preserve">Table </w:t>
      </w:r>
      <w:r w:rsidR="00616B66" w:rsidRPr="00F53BDD">
        <w:t>2</w:t>
      </w:r>
      <w:r w:rsidR="006218BD">
        <w:t>2</w:t>
      </w:r>
      <w:r w:rsidRPr="00F53BDD">
        <w:t xml:space="preserve">: </w:t>
      </w:r>
      <w:r w:rsidR="005F3608" w:rsidRPr="00F53BDD">
        <w:tab/>
      </w:r>
      <w:r w:rsidRPr="00F53BDD">
        <w:t xml:space="preserve">Risk coverage </w:t>
      </w:r>
      <w:r w:rsidR="00E27749" w:rsidRPr="00F53BDD">
        <w:t xml:space="preserve">analysis </w:t>
      </w:r>
      <w:r w:rsidR="00DD24CF" w:rsidRPr="00F53BDD">
        <w:t xml:space="preserve">of </w:t>
      </w:r>
      <w:r w:rsidRPr="00F53BDD">
        <w:t xml:space="preserve">risk mitigation </w:t>
      </w:r>
      <w:r w:rsidR="00E27749" w:rsidRPr="00F53BDD">
        <w:t>scenario</w:t>
      </w:r>
      <w:bookmarkEnd w:id="149"/>
      <w:r w:rsidRPr="00F53BDD">
        <w:t xml:space="preserve"> </w:t>
      </w:r>
    </w:p>
    <w:tbl>
      <w:tblPr>
        <w:tblStyle w:val="TableGrid"/>
        <w:tblW w:w="0" w:type="auto"/>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839"/>
        <w:gridCol w:w="2627"/>
        <w:gridCol w:w="2905"/>
        <w:gridCol w:w="1818"/>
        <w:gridCol w:w="4249"/>
      </w:tblGrid>
      <w:tr w:rsidR="00514FAD" w:rsidRPr="00F53BDD" w:rsidTr="00283E25">
        <w:tc>
          <w:tcPr>
            <w:tcW w:w="0" w:type="auto"/>
            <w:shd w:val="clear" w:color="auto" w:fill="1C556C" w:themeFill="accent1"/>
            <w:vAlign w:val="bottom"/>
            <w:hideMark/>
          </w:tcPr>
          <w:p w:rsidR="00D155DD" w:rsidRPr="00F53BDD" w:rsidRDefault="00D155DD" w:rsidP="00514FAD">
            <w:pPr>
              <w:pStyle w:val="TableTextbold"/>
              <w:spacing w:line="240" w:lineRule="auto"/>
              <w:rPr>
                <w:color w:val="FFFFFF" w:themeColor="background1"/>
                <w:sz w:val="17"/>
                <w:szCs w:val="17"/>
              </w:rPr>
            </w:pPr>
            <w:r w:rsidRPr="00F53BDD">
              <w:rPr>
                <w:color w:val="FFFFFF" w:themeColor="background1"/>
                <w:sz w:val="17"/>
                <w:szCs w:val="17"/>
              </w:rPr>
              <w:t>Risk</w:t>
            </w:r>
          </w:p>
        </w:tc>
        <w:tc>
          <w:tcPr>
            <w:tcW w:w="0" w:type="auto"/>
            <w:tcBorders>
              <w:bottom w:val="single" w:sz="4" w:space="0" w:color="1C556C" w:themeColor="accent1"/>
            </w:tcBorders>
            <w:shd w:val="clear" w:color="auto" w:fill="1C556C" w:themeFill="accent1"/>
            <w:vAlign w:val="bottom"/>
            <w:hideMark/>
          </w:tcPr>
          <w:p w:rsidR="00D155DD" w:rsidRPr="00F53BDD" w:rsidRDefault="00D155DD" w:rsidP="00514FAD">
            <w:pPr>
              <w:pStyle w:val="TableTextbold"/>
              <w:spacing w:line="240" w:lineRule="auto"/>
              <w:rPr>
                <w:color w:val="FFFFFF" w:themeColor="background1"/>
                <w:sz w:val="17"/>
                <w:szCs w:val="17"/>
              </w:rPr>
            </w:pPr>
            <w:r w:rsidRPr="00F53BDD">
              <w:rPr>
                <w:color w:val="FFFFFF" w:themeColor="background1"/>
                <w:sz w:val="17"/>
                <w:szCs w:val="17"/>
              </w:rPr>
              <w:t xml:space="preserve">A4: Code of </w:t>
            </w:r>
            <w:r w:rsidR="00872FAA" w:rsidRPr="00F53BDD">
              <w:rPr>
                <w:color w:val="FFFFFF" w:themeColor="background1"/>
                <w:sz w:val="17"/>
                <w:szCs w:val="17"/>
              </w:rPr>
              <w:t>c</w:t>
            </w:r>
            <w:r w:rsidRPr="00F53BDD">
              <w:rPr>
                <w:color w:val="FFFFFF" w:themeColor="background1"/>
                <w:sz w:val="17"/>
                <w:szCs w:val="17"/>
              </w:rPr>
              <w:t xml:space="preserve">onduct, </w:t>
            </w:r>
            <w:r w:rsidR="00872FAA" w:rsidRPr="00F53BDD">
              <w:rPr>
                <w:color w:val="FFFFFF" w:themeColor="background1"/>
                <w:sz w:val="17"/>
                <w:szCs w:val="17"/>
              </w:rPr>
              <w:t>l</w:t>
            </w:r>
            <w:r w:rsidRPr="00F53BDD">
              <w:rPr>
                <w:color w:val="FFFFFF" w:themeColor="background1"/>
                <w:sz w:val="17"/>
                <w:szCs w:val="17"/>
              </w:rPr>
              <w:t xml:space="preserve">icensing and </w:t>
            </w:r>
            <w:r w:rsidR="00872FAA" w:rsidRPr="00F53BDD">
              <w:rPr>
                <w:color w:val="FFFFFF" w:themeColor="background1"/>
                <w:sz w:val="17"/>
                <w:szCs w:val="17"/>
              </w:rPr>
              <w:t>r</w:t>
            </w:r>
            <w:r w:rsidRPr="00F53BDD">
              <w:rPr>
                <w:color w:val="FFFFFF" w:themeColor="background1"/>
                <w:sz w:val="17"/>
                <w:szCs w:val="17"/>
              </w:rPr>
              <w:t>egistration of NZU advisers</w:t>
            </w:r>
          </w:p>
        </w:tc>
        <w:tc>
          <w:tcPr>
            <w:tcW w:w="0" w:type="auto"/>
            <w:tcBorders>
              <w:bottom w:val="single" w:sz="4" w:space="0" w:color="1C556C" w:themeColor="accent1"/>
            </w:tcBorders>
            <w:shd w:val="clear" w:color="auto" w:fill="1C556C" w:themeFill="accent1"/>
            <w:vAlign w:val="bottom"/>
            <w:hideMark/>
          </w:tcPr>
          <w:p w:rsidR="00D155DD" w:rsidRPr="00F53BDD" w:rsidRDefault="00D155DD" w:rsidP="00514FAD">
            <w:pPr>
              <w:pStyle w:val="TableTextbold"/>
              <w:spacing w:line="240" w:lineRule="auto"/>
              <w:rPr>
                <w:color w:val="FFFFFF" w:themeColor="background1"/>
                <w:sz w:val="17"/>
                <w:szCs w:val="17"/>
              </w:rPr>
            </w:pPr>
            <w:r w:rsidRPr="00F53BDD">
              <w:rPr>
                <w:color w:val="FFFFFF" w:themeColor="background1"/>
                <w:sz w:val="17"/>
                <w:szCs w:val="17"/>
              </w:rPr>
              <w:t>B4: Requiring exchange-based trading</w:t>
            </w:r>
          </w:p>
        </w:tc>
        <w:tc>
          <w:tcPr>
            <w:tcW w:w="0" w:type="auto"/>
            <w:shd w:val="clear" w:color="auto" w:fill="1C556C" w:themeFill="accent1"/>
            <w:vAlign w:val="bottom"/>
            <w:hideMark/>
          </w:tcPr>
          <w:p w:rsidR="00D155DD" w:rsidRPr="00F53BDD" w:rsidRDefault="00D155DD" w:rsidP="00514FAD">
            <w:pPr>
              <w:pStyle w:val="TableTextbold"/>
              <w:spacing w:line="240" w:lineRule="auto"/>
              <w:rPr>
                <w:color w:val="FFFFFF" w:themeColor="background1"/>
                <w:sz w:val="17"/>
                <w:szCs w:val="17"/>
              </w:rPr>
            </w:pPr>
            <w:r w:rsidRPr="00F53BDD">
              <w:rPr>
                <w:color w:val="FFFFFF" w:themeColor="background1"/>
                <w:sz w:val="17"/>
                <w:szCs w:val="17"/>
              </w:rPr>
              <w:t xml:space="preserve">C2: Position and purchase </w:t>
            </w:r>
            <w:r w:rsidR="00872FAA" w:rsidRPr="00F53BDD">
              <w:rPr>
                <w:color w:val="FFFFFF" w:themeColor="background1"/>
                <w:sz w:val="17"/>
                <w:szCs w:val="17"/>
              </w:rPr>
              <w:t>l</w:t>
            </w:r>
            <w:r w:rsidRPr="00F53BDD">
              <w:rPr>
                <w:color w:val="FFFFFF" w:themeColor="background1"/>
                <w:sz w:val="17"/>
                <w:szCs w:val="17"/>
              </w:rPr>
              <w:t>imits</w:t>
            </w:r>
          </w:p>
        </w:tc>
        <w:tc>
          <w:tcPr>
            <w:tcW w:w="0" w:type="auto"/>
            <w:tcBorders>
              <w:bottom w:val="single" w:sz="4" w:space="0" w:color="1C556C" w:themeColor="accent1"/>
            </w:tcBorders>
            <w:shd w:val="clear" w:color="auto" w:fill="1C556C" w:themeFill="accent1"/>
            <w:vAlign w:val="bottom"/>
            <w:hideMark/>
          </w:tcPr>
          <w:p w:rsidR="00D155DD" w:rsidRPr="00F53BDD" w:rsidRDefault="00D155DD" w:rsidP="00514FAD">
            <w:pPr>
              <w:pStyle w:val="TableTextbold"/>
              <w:spacing w:line="240" w:lineRule="auto"/>
              <w:rPr>
                <w:color w:val="FFFFFF" w:themeColor="background1"/>
                <w:sz w:val="17"/>
                <w:szCs w:val="17"/>
              </w:rPr>
            </w:pPr>
            <w:r w:rsidRPr="00F53BDD">
              <w:rPr>
                <w:color w:val="FFFFFF" w:themeColor="background1"/>
                <w:sz w:val="17"/>
                <w:szCs w:val="17"/>
              </w:rPr>
              <w:t xml:space="preserve">D6: Market </w:t>
            </w:r>
            <w:r w:rsidR="00872FAA" w:rsidRPr="00F53BDD">
              <w:rPr>
                <w:color w:val="FFFFFF" w:themeColor="background1"/>
                <w:sz w:val="17"/>
                <w:szCs w:val="17"/>
              </w:rPr>
              <w:t>d</w:t>
            </w:r>
            <w:r w:rsidRPr="00F53BDD">
              <w:rPr>
                <w:color w:val="FFFFFF" w:themeColor="background1"/>
                <w:sz w:val="17"/>
                <w:szCs w:val="17"/>
              </w:rPr>
              <w:t xml:space="preserve">esign regulator </w:t>
            </w:r>
          </w:p>
        </w:tc>
      </w:tr>
      <w:tr w:rsidR="00D155DD" w:rsidRPr="00F53BDD" w:rsidTr="00283E25">
        <w:tc>
          <w:tcPr>
            <w:tcW w:w="0" w:type="auto"/>
            <w:hideMark/>
          </w:tcPr>
          <w:p w:rsidR="00D155DD" w:rsidRPr="00F53BDD" w:rsidRDefault="00D155DD" w:rsidP="00514FAD">
            <w:pPr>
              <w:pStyle w:val="TableTextbold"/>
              <w:spacing w:line="240" w:lineRule="auto"/>
              <w:rPr>
                <w:sz w:val="17"/>
                <w:szCs w:val="17"/>
              </w:rPr>
            </w:pPr>
            <w:r w:rsidRPr="00F53BDD">
              <w:rPr>
                <w:sz w:val="17"/>
                <w:szCs w:val="17"/>
              </w:rPr>
              <w:t>Poor advice</w:t>
            </w:r>
          </w:p>
        </w:tc>
        <w:tc>
          <w:tcPr>
            <w:tcW w:w="0" w:type="auto"/>
            <w:tcBorders>
              <w:bottom w:val="single" w:sz="4" w:space="0" w:color="1C556C" w:themeColor="accent1"/>
            </w:tcBorders>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6C16F6" w:rsidP="0005378B">
            <w:pPr>
              <w:pStyle w:val="TableText"/>
              <w:spacing w:before="0" w:line="240" w:lineRule="auto"/>
              <w:jc w:val="center"/>
              <w:rPr>
                <w:sz w:val="17"/>
                <w:szCs w:val="17"/>
              </w:rPr>
            </w:pPr>
            <w:r w:rsidRPr="00F53BDD">
              <w:rPr>
                <w:sz w:val="17"/>
                <w:szCs w:val="17"/>
              </w:rPr>
              <w:t>A</w:t>
            </w:r>
            <w:r w:rsidR="00D155DD" w:rsidRPr="00F53BDD">
              <w:rPr>
                <w:sz w:val="17"/>
                <w:szCs w:val="17"/>
              </w:rPr>
              <w:t xml:space="preserve">dvisers must comply with a detailed </w:t>
            </w:r>
            <w:r w:rsidR="00872FAA" w:rsidRPr="00F53BDD">
              <w:rPr>
                <w:sz w:val="17"/>
                <w:szCs w:val="17"/>
              </w:rPr>
              <w:t>c</w:t>
            </w:r>
            <w:r w:rsidR="00D155DD" w:rsidRPr="00F53BDD">
              <w:rPr>
                <w:sz w:val="17"/>
                <w:szCs w:val="17"/>
              </w:rPr>
              <w:t xml:space="preserve">ode of </w:t>
            </w:r>
            <w:r w:rsidR="00872FAA" w:rsidRPr="00F53BDD">
              <w:rPr>
                <w:sz w:val="17"/>
                <w:szCs w:val="17"/>
              </w:rPr>
              <w:t>c</w:t>
            </w:r>
            <w:r w:rsidR="00D155DD" w:rsidRPr="00F53BDD">
              <w:rPr>
                <w:sz w:val="17"/>
                <w:szCs w:val="17"/>
              </w:rPr>
              <w:t>onduct, including penalties for non-compliance</w:t>
            </w:r>
          </w:p>
        </w:tc>
        <w:tc>
          <w:tcPr>
            <w:tcW w:w="0" w:type="auto"/>
            <w:shd w:val="clear" w:color="auto" w:fill="CFE5E5"/>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514FAD">
            <w:pPr>
              <w:pStyle w:val="TableText"/>
              <w:spacing w:before="0" w:after="0" w:line="240" w:lineRule="auto"/>
              <w:jc w:val="center"/>
              <w:rPr>
                <w:sz w:val="17"/>
                <w:szCs w:val="17"/>
              </w:rPr>
            </w:pPr>
            <w:r w:rsidRPr="00F53BDD">
              <w:rPr>
                <w:sz w:val="17"/>
                <w:szCs w:val="17"/>
              </w:rPr>
              <w:t>Exchanges could be required to ensure independent participants are informed of the risks of trading</w:t>
            </w:r>
          </w:p>
        </w:tc>
        <w:tc>
          <w:tcPr>
            <w:tcW w:w="0" w:type="auto"/>
            <w:hideMark/>
          </w:tcPr>
          <w:p w:rsidR="00D155DD" w:rsidRPr="00F53BDD" w:rsidRDefault="00D155DD" w:rsidP="00514FAD">
            <w:pPr>
              <w:pStyle w:val="TableText"/>
              <w:spacing w:before="0" w:after="0" w:line="240" w:lineRule="auto"/>
              <w:jc w:val="center"/>
              <w:rPr>
                <w:sz w:val="17"/>
                <w:szCs w:val="17"/>
              </w:rPr>
            </w:pPr>
            <w:r w:rsidRPr="00F53BDD">
              <w:rPr>
                <w:sz w:val="17"/>
                <w:szCs w:val="17"/>
              </w:rPr>
              <w:t>O</w:t>
            </w:r>
          </w:p>
          <w:p w:rsidR="00D155DD" w:rsidRPr="00F53BDD" w:rsidRDefault="00D155DD" w:rsidP="00514FAD">
            <w:pPr>
              <w:pStyle w:val="TableText"/>
              <w:spacing w:before="0" w:after="0" w:line="240" w:lineRule="auto"/>
              <w:jc w:val="center"/>
              <w:rPr>
                <w:sz w:val="17"/>
                <w:szCs w:val="17"/>
              </w:rPr>
            </w:pPr>
            <w:r w:rsidRPr="00F53BDD">
              <w:rPr>
                <w:sz w:val="17"/>
                <w:szCs w:val="17"/>
              </w:rPr>
              <w:t>Not applicable</w:t>
            </w:r>
          </w:p>
        </w:tc>
        <w:tc>
          <w:tcPr>
            <w:tcW w:w="0" w:type="auto"/>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514FAD">
            <w:pPr>
              <w:pStyle w:val="TableText"/>
              <w:spacing w:before="0" w:after="0" w:line="240" w:lineRule="auto"/>
              <w:jc w:val="center"/>
              <w:rPr>
                <w:sz w:val="17"/>
                <w:szCs w:val="17"/>
              </w:rPr>
            </w:pPr>
            <w:r w:rsidRPr="00F53BDD">
              <w:rPr>
                <w:sz w:val="17"/>
                <w:szCs w:val="17"/>
              </w:rPr>
              <w:t>Could require reporting, enforce compliance and amend adviser requirements</w:t>
            </w:r>
          </w:p>
        </w:tc>
      </w:tr>
      <w:tr w:rsidR="00D155DD" w:rsidRPr="00F53BDD" w:rsidTr="00283E25">
        <w:tc>
          <w:tcPr>
            <w:tcW w:w="0" w:type="auto"/>
            <w:hideMark/>
          </w:tcPr>
          <w:p w:rsidR="00D155DD" w:rsidRPr="00F53BDD" w:rsidRDefault="00D155DD" w:rsidP="00514FAD">
            <w:pPr>
              <w:pStyle w:val="TableTextbold"/>
              <w:spacing w:line="240" w:lineRule="auto"/>
              <w:rPr>
                <w:sz w:val="17"/>
                <w:szCs w:val="17"/>
              </w:rPr>
            </w:pPr>
            <w:r w:rsidRPr="00F53BDD">
              <w:rPr>
                <w:sz w:val="17"/>
                <w:szCs w:val="17"/>
              </w:rPr>
              <w:t>Conflict of interest</w:t>
            </w:r>
          </w:p>
        </w:tc>
        <w:tc>
          <w:tcPr>
            <w:tcW w:w="0" w:type="auto"/>
            <w:shd w:val="clear" w:color="auto" w:fill="87BDBE"/>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6C16F6" w:rsidP="0005378B">
            <w:pPr>
              <w:pStyle w:val="TableText"/>
              <w:spacing w:before="0" w:line="240" w:lineRule="auto"/>
              <w:jc w:val="center"/>
              <w:rPr>
                <w:sz w:val="17"/>
                <w:szCs w:val="17"/>
              </w:rPr>
            </w:pPr>
            <w:r w:rsidRPr="00F53BDD">
              <w:rPr>
                <w:sz w:val="17"/>
                <w:szCs w:val="17"/>
              </w:rPr>
              <w:t>A</w:t>
            </w:r>
            <w:r w:rsidR="00D155DD" w:rsidRPr="00F53BDD">
              <w:rPr>
                <w:sz w:val="17"/>
                <w:szCs w:val="17"/>
              </w:rPr>
              <w:t xml:space="preserve">dvisers found to be acting when conflicted could </w:t>
            </w:r>
            <w:r w:rsidR="00872FAA" w:rsidRPr="00F53BDD">
              <w:rPr>
                <w:sz w:val="17"/>
                <w:szCs w:val="17"/>
              </w:rPr>
              <w:t xml:space="preserve">have </w:t>
            </w:r>
            <w:r w:rsidR="00D155DD" w:rsidRPr="00F53BDD">
              <w:rPr>
                <w:sz w:val="17"/>
                <w:szCs w:val="17"/>
              </w:rPr>
              <w:t>their licen</w:t>
            </w:r>
            <w:r w:rsidRPr="00F53BDD">
              <w:rPr>
                <w:sz w:val="17"/>
                <w:szCs w:val="17"/>
              </w:rPr>
              <w:t>c</w:t>
            </w:r>
            <w:r w:rsidR="00D155DD" w:rsidRPr="00F53BDD">
              <w:rPr>
                <w:sz w:val="17"/>
                <w:szCs w:val="17"/>
              </w:rPr>
              <w:t>e suspended or revoked if detected</w:t>
            </w:r>
          </w:p>
        </w:tc>
        <w:tc>
          <w:tcPr>
            <w:tcW w:w="0" w:type="auto"/>
            <w:tcBorders>
              <w:bottom w:val="single" w:sz="4" w:space="0" w:color="1C556C" w:themeColor="accent1"/>
            </w:tcBorders>
            <w:hideMark/>
          </w:tcPr>
          <w:p w:rsidR="00D155DD" w:rsidRPr="00F53BDD" w:rsidRDefault="00D155DD" w:rsidP="00514FAD">
            <w:pPr>
              <w:pStyle w:val="TableText"/>
              <w:spacing w:before="0" w:after="0" w:line="240" w:lineRule="auto"/>
              <w:jc w:val="center"/>
              <w:rPr>
                <w:sz w:val="17"/>
                <w:szCs w:val="17"/>
              </w:rPr>
            </w:pPr>
            <w:r w:rsidRPr="00F53BDD">
              <w:rPr>
                <w:sz w:val="17"/>
                <w:szCs w:val="17"/>
              </w:rPr>
              <w:t>O</w:t>
            </w:r>
          </w:p>
          <w:p w:rsidR="00D155DD" w:rsidRPr="00F53BDD" w:rsidRDefault="00D155DD" w:rsidP="00514FAD">
            <w:pPr>
              <w:pStyle w:val="TableText"/>
              <w:spacing w:before="0" w:after="0" w:line="240" w:lineRule="auto"/>
              <w:jc w:val="center"/>
              <w:rPr>
                <w:sz w:val="17"/>
                <w:szCs w:val="17"/>
              </w:rPr>
            </w:pPr>
            <w:r w:rsidRPr="00F53BDD">
              <w:rPr>
                <w:sz w:val="17"/>
                <w:szCs w:val="17"/>
              </w:rPr>
              <w:t>Not applicable</w:t>
            </w:r>
          </w:p>
        </w:tc>
        <w:tc>
          <w:tcPr>
            <w:tcW w:w="0" w:type="auto"/>
            <w:tcBorders>
              <w:bottom w:val="single" w:sz="4" w:space="0" w:color="1C556C" w:themeColor="accent1"/>
            </w:tcBorders>
            <w:hideMark/>
          </w:tcPr>
          <w:p w:rsidR="00D155DD" w:rsidRPr="00F53BDD" w:rsidRDefault="00D155DD" w:rsidP="00514FAD">
            <w:pPr>
              <w:pStyle w:val="TableText"/>
              <w:spacing w:before="0" w:after="0" w:line="240" w:lineRule="auto"/>
              <w:jc w:val="center"/>
              <w:rPr>
                <w:sz w:val="17"/>
                <w:szCs w:val="17"/>
              </w:rPr>
            </w:pPr>
            <w:r w:rsidRPr="00F53BDD">
              <w:rPr>
                <w:sz w:val="17"/>
                <w:szCs w:val="17"/>
              </w:rPr>
              <w:t>O</w:t>
            </w:r>
          </w:p>
          <w:p w:rsidR="00D155DD" w:rsidRPr="00F53BDD" w:rsidRDefault="00D155DD" w:rsidP="00514FAD">
            <w:pPr>
              <w:pStyle w:val="TableText"/>
              <w:spacing w:before="0" w:after="0" w:line="240" w:lineRule="auto"/>
              <w:jc w:val="center"/>
              <w:rPr>
                <w:sz w:val="17"/>
                <w:szCs w:val="17"/>
              </w:rPr>
            </w:pPr>
            <w:r w:rsidRPr="00F53BDD">
              <w:rPr>
                <w:sz w:val="17"/>
                <w:szCs w:val="17"/>
              </w:rPr>
              <w:t>Not applicable</w:t>
            </w:r>
          </w:p>
        </w:tc>
        <w:tc>
          <w:tcPr>
            <w:tcW w:w="0" w:type="auto"/>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514FAD">
            <w:pPr>
              <w:pStyle w:val="TableText"/>
              <w:spacing w:before="0" w:after="0" w:line="240" w:lineRule="auto"/>
              <w:jc w:val="center"/>
              <w:rPr>
                <w:sz w:val="17"/>
                <w:szCs w:val="17"/>
              </w:rPr>
            </w:pPr>
            <w:r w:rsidRPr="00F53BDD">
              <w:rPr>
                <w:sz w:val="17"/>
                <w:szCs w:val="17"/>
              </w:rPr>
              <w:t>Could require reporting, enforce compliance and amend adviser requirements</w:t>
            </w:r>
          </w:p>
        </w:tc>
      </w:tr>
      <w:tr w:rsidR="00D155DD" w:rsidRPr="00F53BDD" w:rsidTr="00283E25">
        <w:tc>
          <w:tcPr>
            <w:tcW w:w="0" w:type="auto"/>
            <w:hideMark/>
          </w:tcPr>
          <w:p w:rsidR="00D155DD" w:rsidRPr="00F53BDD" w:rsidRDefault="00D155DD" w:rsidP="00514FAD">
            <w:pPr>
              <w:pStyle w:val="TableTextbold"/>
              <w:spacing w:line="240" w:lineRule="auto"/>
              <w:rPr>
                <w:sz w:val="17"/>
                <w:szCs w:val="17"/>
              </w:rPr>
            </w:pPr>
            <w:r w:rsidRPr="00F53BDD">
              <w:rPr>
                <w:sz w:val="17"/>
                <w:szCs w:val="17"/>
              </w:rPr>
              <w:t>Transparency, monitoring and oversight of trades</w:t>
            </w:r>
          </w:p>
        </w:tc>
        <w:tc>
          <w:tcPr>
            <w:tcW w:w="0" w:type="auto"/>
            <w:tcBorders>
              <w:bottom w:val="single" w:sz="4" w:space="0" w:color="1C556C" w:themeColor="accent1"/>
            </w:tcBorders>
            <w:hideMark/>
          </w:tcPr>
          <w:p w:rsidR="00D155DD" w:rsidRPr="00F53BDD" w:rsidRDefault="00D155DD" w:rsidP="00514FAD">
            <w:pPr>
              <w:pStyle w:val="TableText"/>
              <w:spacing w:before="0" w:after="0" w:line="240" w:lineRule="auto"/>
              <w:jc w:val="center"/>
              <w:rPr>
                <w:sz w:val="17"/>
                <w:szCs w:val="17"/>
              </w:rPr>
            </w:pPr>
            <w:r w:rsidRPr="00F53BDD">
              <w:rPr>
                <w:sz w:val="17"/>
                <w:szCs w:val="17"/>
              </w:rPr>
              <w:t>O</w:t>
            </w:r>
          </w:p>
          <w:p w:rsidR="00D155DD" w:rsidRPr="00F53BDD" w:rsidRDefault="00D155DD" w:rsidP="00514FAD">
            <w:pPr>
              <w:pStyle w:val="TableText"/>
              <w:spacing w:before="0" w:after="0" w:line="240" w:lineRule="auto"/>
              <w:jc w:val="center"/>
              <w:rPr>
                <w:sz w:val="17"/>
                <w:szCs w:val="17"/>
              </w:rPr>
            </w:pPr>
            <w:r w:rsidRPr="00F53BDD">
              <w:rPr>
                <w:sz w:val="17"/>
                <w:szCs w:val="17"/>
              </w:rPr>
              <w:t>Not applicable</w:t>
            </w:r>
          </w:p>
        </w:tc>
        <w:tc>
          <w:tcPr>
            <w:tcW w:w="0" w:type="auto"/>
            <w:tcBorders>
              <w:bottom w:val="single" w:sz="4" w:space="0" w:color="1C556C" w:themeColor="accent1"/>
            </w:tcBorders>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514FAD">
            <w:pPr>
              <w:pStyle w:val="TableText"/>
              <w:spacing w:before="0" w:after="0" w:line="240" w:lineRule="auto"/>
              <w:jc w:val="center"/>
              <w:rPr>
                <w:sz w:val="17"/>
                <w:szCs w:val="17"/>
              </w:rPr>
            </w:pPr>
            <w:r w:rsidRPr="00F53BDD">
              <w:rPr>
                <w:sz w:val="17"/>
                <w:szCs w:val="17"/>
              </w:rPr>
              <w:t>Exchanges must report on trades, which can be monitored by a regulator</w:t>
            </w:r>
          </w:p>
        </w:tc>
        <w:tc>
          <w:tcPr>
            <w:tcW w:w="0" w:type="auto"/>
            <w:shd w:val="clear" w:color="auto" w:fill="CFE5E5"/>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05378B">
            <w:pPr>
              <w:pStyle w:val="TableText"/>
              <w:spacing w:before="0" w:line="240" w:lineRule="auto"/>
              <w:jc w:val="center"/>
              <w:rPr>
                <w:sz w:val="17"/>
                <w:szCs w:val="17"/>
              </w:rPr>
            </w:pPr>
            <w:r w:rsidRPr="00F53BDD">
              <w:rPr>
                <w:sz w:val="17"/>
                <w:szCs w:val="17"/>
              </w:rPr>
              <w:t>Provides some monitoring and oversight of position</w:t>
            </w:r>
          </w:p>
        </w:tc>
        <w:tc>
          <w:tcPr>
            <w:tcW w:w="0" w:type="auto"/>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514FAD">
            <w:pPr>
              <w:pStyle w:val="TableText"/>
              <w:spacing w:before="0" w:after="0" w:line="240" w:lineRule="auto"/>
              <w:jc w:val="center"/>
              <w:rPr>
                <w:sz w:val="17"/>
                <w:szCs w:val="17"/>
              </w:rPr>
            </w:pPr>
            <w:r w:rsidRPr="00F53BDD">
              <w:rPr>
                <w:sz w:val="17"/>
                <w:szCs w:val="17"/>
              </w:rPr>
              <w:t>Could monitor trades, enforce compliance and amend trading rules</w:t>
            </w:r>
          </w:p>
        </w:tc>
      </w:tr>
      <w:tr w:rsidR="00D155DD" w:rsidRPr="00F53BDD" w:rsidTr="00283E25">
        <w:tc>
          <w:tcPr>
            <w:tcW w:w="0" w:type="auto"/>
            <w:hideMark/>
          </w:tcPr>
          <w:p w:rsidR="00D155DD" w:rsidRPr="00F53BDD" w:rsidRDefault="00D155DD" w:rsidP="00514FAD">
            <w:pPr>
              <w:pStyle w:val="TableTextbold"/>
              <w:spacing w:line="240" w:lineRule="auto"/>
              <w:rPr>
                <w:sz w:val="17"/>
                <w:szCs w:val="17"/>
              </w:rPr>
            </w:pPr>
            <w:r w:rsidRPr="00F53BDD">
              <w:rPr>
                <w:sz w:val="17"/>
                <w:szCs w:val="17"/>
              </w:rPr>
              <w:t>Credit and</w:t>
            </w:r>
            <w:r w:rsidR="00872FAA" w:rsidRPr="00F53BDD">
              <w:rPr>
                <w:sz w:val="17"/>
                <w:szCs w:val="17"/>
              </w:rPr>
              <w:t xml:space="preserve"> </w:t>
            </w:r>
            <w:r w:rsidRPr="00F53BDD">
              <w:rPr>
                <w:sz w:val="17"/>
                <w:szCs w:val="17"/>
              </w:rPr>
              <w:t>counter-party risk</w:t>
            </w:r>
          </w:p>
        </w:tc>
        <w:tc>
          <w:tcPr>
            <w:tcW w:w="0" w:type="auto"/>
            <w:shd w:val="clear" w:color="auto" w:fill="CFE5E5"/>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6C16F6" w:rsidP="0005378B">
            <w:pPr>
              <w:pStyle w:val="TableText"/>
              <w:spacing w:before="0" w:line="240" w:lineRule="auto"/>
              <w:jc w:val="center"/>
              <w:rPr>
                <w:sz w:val="17"/>
                <w:szCs w:val="17"/>
              </w:rPr>
            </w:pPr>
            <w:r w:rsidRPr="00F53BDD">
              <w:rPr>
                <w:sz w:val="17"/>
                <w:szCs w:val="17"/>
              </w:rPr>
              <w:t>A</w:t>
            </w:r>
            <w:r w:rsidR="00D155DD" w:rsidRPr="00F53BDD">
              <w:rPr>
                <w:sz w:val="17"/>
                <w:szCs w:val="17"/>
              </w:rPr>
              <w:t>dvisers could be required to inform participants about credit and counter-party risks</w:t>
            </w:r>
          </w:p>
        </w:tc>
        <w:tc>
          <w:tcPr>
            <w:tcW w:w="0" w:type="auto"/>
            <w:tcBorders>
              <w:bottom w:val="single" w:sz="4" w:space="0" w:color="1C556C" w:themeColor="accent1"/>
            </w:tcBorders>
            <w:shd w:val="clear" w:color="auto" w:fill="87BDBE"/>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514FAD">
            <w:pPr>
              <w:pStyle w:val="TableText"/>
              <w:spacing w:before="0" w:after="0" w:line="240" w:lineRule="auto"/>
              <w:jc w:val="center"/>
              <w:rPr>
                <w:sz w:val="17"/>
                <w:szCs w:val="17"/>
              </w:rPr>
            </w:pPr>
            <w:r w:rsidRPr="00F53BDD">
              <w:rPr>
                <w:sz w:val="17"/>
                <w:szCs w:val="17"/>
              </w:rPr>
              <w:t>Collateral can be required to engage in exchange-based trading</w:t>
            </w:r>
          </w:p>
        </w:tc>
        <w:tc>
          <w:tcPr>
            <w:tcW w:w="0" w:type="auto"/>
            <w:tcBorders>
              <w:bottom w:val="single" w:sz="4" w:space="0" w:color="1C556C" w:themeColor="accent1"/>
            </w:tcBorders>
            <w:hideMark/>
          </w:tcPr>
          <w:p w:rsidR="00D155DD" w:rsidRPr="00F53BDD" w:rsidRDefault="00D155DD" w:rsidP="00514FAD">
            <w:pPr>
              <w:pStyle w:val="TableText"/>
              <w:spacing w:before="0" w:after="0" w:line="240" w:lineRule="auto"/>
              <w:jc w:val="center"/>
              <w:rPr>
                <w:sz w:val="17"/>
                <w:szCs w:val="17"/>
              </w:rPr>
            </w:pPr>
            <w:r w:rsidRPr="00F53BDD">
              <w:rPr>
                <w:sz w:val="17"/>
                <w:szCs w:val="17"/>
              </w:rPr>
              <w:t>O</w:t>
            </w:r>
          </w:p>
          <w:p w:rsidR="00D155DD" w:rsidRPr="00F53BDD" w:rsidRDefault="003B5262" w:rsidP="00514FAD">
            <w:pPr>
              <w:pStyle w:val="TableText"/>
              <w:spacing w:before="0" w:after="0" w:line="240" w:lineRule="auto"/>
              <w:jc w:val="center"/>
              <w:rPr>
                <w:sz w:val="17"/>
                <w:szCs w:val="17"/>
              </w:rPr>
            </w:pPr>
            <w:r w:rsidRPr="00F53BDD">
              <w:rPr>
                <w:sz w:val="17"/>
                <w:szCs w:val="17"/>
              </w:rPr>
              <w:t>Not applicable</w:t>
            </w:r>
          </w:p>
        </w:tc>
        <w:tc>
          <w:tcPr>
            <w:tcW w:w="0" w:type="auto"/>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514FAD">
            <w:pPr>
              <w:pStyle w:val="TableText"/>
              <w:spacing w:before="0" w:after="0" w:line="240" w:lineRule="auto"/>
              <w:jc w:val="center"/>
              <w:rPr>
                <w:sz w:val="17"/>
                <w:szCs w:val="17"/>
              </w:rPr>
            </w:pPr>
            <w:r w:rsidRPr="00F53BDD">
              <w:rPr>
                <w:sz w:val="17"/>
                <w:szCs w:val="17"/>
              </w:rPr>
              <w:t>Could monitor participants’ accounts for credit and county-party risk, restrict risky trades, restrict trading of offenders, and amend collateral requirements</w:t>
            </w:r>
          </w:p>
        </w:tc>
      </w:tr>
      <w:tr w:rsidR="00D155DD" w:rsidRPr="00F53BDD" w:rsidTr="00283E25">
        <w:tc>
          <w:tcPr>
            <w:tcW w:w="0" w:type="auto"/>
            <w:hideMark/>
          </w:tcPr>
          <w:p w:rsidR="00D155DD" w:rsidRPr="00F53BDD" w:rsidRDefault="00D155DD" w:rsidP="00514FAD">
            <w:pPr>
              <w:pStyle w:val="TableTextbold"/>
              <w:spacing w:line="240" w:lineRule="auto"/>
              <w:rPr>
                <w:sz w:val="17"/>
                <w:szCs w:val="17"/>
              </w:rPr>
            </w:pPr>
            <w:r w:rsidRPr="00F53BDD">
              <w:rPr>
                <w:sz w:val="17"/>
                <w:szCs w:val="17"/>
              </w:rPr>
              <w:t>Price manipulation</w:t>
            </w:r>
          </w:p>
        </w:tc>
        <w:tc>
          <w:tcPr>
            <w:tcW w:w="0" w:type="auto"/>
            <w:hideMark/>
          </w:tcPr>
          <w:p w:rsidR="00D155DD" w:rsidRPr="00F53BDD" w:rsidRDefault="00D155DD" w:rsidP="00514FAD">
            <w:pPr>
              <w:pStyle w:val="TableText"/>
              <w:spacing w:before="0" w:after="0" w:line="240" w:lineRule="auto"/>
              <w:jc w:val="center"/>
              <w:rPr>
                <w:sz w:val="17"/>
                <w:szCs w:val="17"/>
              </w:rPr>
            </w:pPr>
            <w:r w:rsidRPr="00F53BDD">
              <w:rPr>
                <w:sz w:val="17"/>
                <w:szCs w:val="17"/>
              </w:rPr>
              <w:t>O</w:t>
            </w:r>
          </w:p>
          <w:p w:rsidR="00D155DD" w:rsidRPr="00F53BDD" w:rsidRDefault="00D155DD" w:rsidP="00514FAD">
            <w:pPr>
              <w:pStyle w:val="TableText"/>
              <w:spacing w:before="0" w:after="0" w:line="240" w:lineRule="auto"/>
              <w:jc w:val="center"/>
              <w:rPr>
                <w:sz w:val="17"/>
                <w:szCs w:val="17"/>
              </w:rPr>
            </w:pPr>
            <w:r w:rsidRPr="00F53BDD">
              <w:rPr>
                <w:sz w:val="17"/>
                <w:szCs w:val="17"/>
              </w:rPr>
              <w:t>Not applicable</w:t>
            </w:r>
          </w:p>
        </w:tc>
        <w:tc>
          <w:tcPr>
            <w:tcW w:w="0" w:type="auto"/>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05378B">
            <w:pPr>
              <w:pStyle w:val="TableText"/>
              <w:spacing w:before="0" w:line="240" w:lineRule="auto"/>
              <w:jc w:val="center"/>
              <w:rPr>
                <w:sz w:val="17"/>
                <w:szCs w:val="17"/>
              </w:rPr>
            </w:pPr>
            <w:r w:rsidRPr="00F53BDD">
              <w:rPr>
                <w:sz w:val="17"/>
                <w:szCs w:val="17"/>
              </w:rPr>
              <w:t>Helps a regulator monitor and detect unusual trades that could indicate price manipulation</w:t>
            </w:r>
          </w:p>
        </w:tc>
        <w:tc>
          <w:tcPr>
            <w:tcW w:w="0" w:type="auto"/>
            <w:shd w:val="clear" w:color="auto" w:fill="87BDBE"/>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514FAD">
            <w:pPr>
              <w:pStyle w:val="TableText"/>
              <w:spacing w:before="0" w:after="0" w:line="240" w:lineRule="auto"/>
              <w:jc w:val="center"/>
              <w:rPr>
                <w:sz w:val="17"/>
                <w:szCs w:val="17"/>
              </w:rPr>
            </w:pPr>
            <w:r w:rsidRPr="00F53BDD">
              <w:rPr>
                <w:sz w:val="17"/>
                <w:szCs w:val="17"/>
              </w:rPr>
              <w:t>Prevents parties gaining undesirable power in the market</w:t>
            </w:r>
          </w:p>
        </w:tc>
        <w:tc>
          <w:tcPr>
            <w:tcW w:w="0" w:type="auto"/>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514FAD">
            <w:pPr>
              <w:pStyle w:val="TableText"/>
              <w:spacing w:before="0" w:after="0" w:line="240" w:lineRule="auto"/>
              <w:jc w:val="center"/>
              <w:rPr>
                <w:sz w:val="17"/>
                <w:szCs w:val="17"/>
              </w:rPr>
            </w:pPr>
            <w:r w:rsidRPr="00F53BDD">
              <w:rPr>
                <w:sz w:val="17"/>
                <w:szCs w:val="17"/>
              </w:rPr>
              <w:t>Could monitor participants’ trades for price manipulation, restrict risky trades or traders, address undesirable trading situations, and amend trading rules</w:t>
            </w:r>
          </w:p>
        </w:tc>
      </w:tr>
      <w:tr w:rsidR="00D155DD" w:rsidRPr="00F53BDD" w:rsidTr="00283E25">
        <w:tc>
          <w:tcPr>
            <w:tcW w:w="0" w:type="auto"/>
            <w:hideMark/>
          </w:tcPr>
          <w:p w:rsidR="00D155DD" w:rsidRPr="00F53BDD" w:rsidRDefault="00D155DD" w:rsidP="00514FAD">
            <w:pPr>
              <w:pStyle w:val="TableTextbold"/>
              <w:spacing w:line="240" w:lineRule="auto"/>
              <w:rPr>
                <w:sz w:val="17"/>
                <w:szCs w:val="17"/>
              </w:rPr>
            </w:pPr>
            <w:r w:rsidRPr="00F53BDD">
              <w:rPr>
                <w:sz w:val="17"/>
                <w:szCs w:val="17"/>
              </w:rPr>
              <w:t>Insider trading</w:t>
            </w:r>
          </w:p>
        </w:tc>
        <w:tc>
          <w:tcPr>
            <w:tcW w:w="0" w:type="auto"/>
            <w:tcBorders>
              <w:bottom w:val="single" w:sz="4" w:space="0" w:color="1C556C" w:themeColor="accent1"/>
            </w:tcBorders>
            <w:hideMark/>
          </w:tcPr>
          <w:p w:rsidR="00D155DD" w:rsidRPr="00F53BDD" w:rsidRDefault="00D155DD" w:rsidP="00514FAD">
            <w:pPr>
              <w:pStyle w:val="TableText"/>
              <w:spacing w:before="0" w:after="0" w:line="240" w:lineRule="auto"/>
              <w:jc w:val="center"/>
              <w:rPr>
                <w:sz w:val="17"/>
                <w:szCs w:val="17"/>
              </w:rPr>
            </w:pPr>
            <w:r w:rsidRPr="00F53BDD">
              <w:rPr>
                <w:sz w:val="17"/>
                <w:szCs w:val="17"/>
              </w:rPr>
              <w:t>O</w:t>
            </w:r>
          </w:p>
          <w:p w:rsidR="00D155DD" w:rsidRPr="00F53BDD" w:rsidRDefault="00D155DD" w:rsidP="00514FAD">
            <w:pPr>
              <w:pStyle w:val="TableText"/>
              <w:spacing w:before="0" w:after="0" w:line="240" w:lineRule="auto"/>
              <w:jc w:val="center"/>
              <w:rPr>
                <w:sz w:val="17"/>
                <w:szCs w:val="17"/>
              </w:rPr>
            </w:pPr>
            <w:r w:rsidRPr="00F53BDD">
              <w:rPr>
                <w:sz w:val="17"/>
                <w:szCs w:val="17"/>
              </w:rPr>
              <w:t>Not applicable</w:t>
            </w:r>
          </w:p>
        </w:tc>
        <w:tc>
          <w:tcPr>
            <w:tcW w:w="0" w:type="auto"/>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05378B">
            <w:pPr>
              <w:pStyle w:val="TableText"/>
              <w:spacing w:before="0" w:line="240" w:lineRule="auto"/>
              <w:jc w:val="center"/>
              <w:rPr>
                <w:sz w:val="17"/>
                <w:szCs w:val="17"/>
              </w:rPr>
            </w:pPr>
            <w:r w:rsidRPr="00F53BDD">
              <w:rPr>
                <w:sz w:val="17"/>
                <w:szCs w:val="17"/>
              </w:rPr>
              <w:t>Helps a regulator monitor and detect unusual trades that could indicate insider trading</w:t>
            </w:r>
          </w:p>
        </w:tc>
        <w:tc>
          <w:tcPr>
            <w:tcW w:w="0" w:type="auto"/>
            <w:hideMark/>
          </w:tcPr>
          <w:p w:rsidR="00D155DD" w:rsidRPr="00F53BDD" w:rsidRDefault="00D155DD" w:rsidP="00514FAD">
            <w:pPr>
              <w:pStyle w:val="TableText"/>
              <w:spacing w:before="0" w:after="0" w:line="240" w:lineRule="auto"/>
              <w:jc w:val="center"/>
              <w:rPr>
                <w:sz w:val="17"/>
                <w:szCs w:val="17"/>
              </w:rPr>
            </w:pPr>
            <w:r w:rsidRPr="00F53BDD">
              <w:rPr>
                <w:sz w:val="17"/>
                <w:szCs w:val="17"/>
              </w:rPr>
              <w:t>O</w:t>
            </w:r>
          </w:p>
          <w:p w:rsidR="00D155DD" w:rsidRPr="00F53BDD" w:rsidRDefault="003B5262" w:rsidP="00514FAD">
            <w:pPr>
              <w:pStyle w:val="TableText"/>
              <w:spacing w:before="0" w:after="0" w:line="240" w:lineRule="auto"/>
              <w:jc w:val="center"/>
              <w:rPr>
                <w:sz w:val="17"/>
                <w:szCs w:val="17"/>
              </w:rPr>
            </w:pPr>
            <w:r w:rsidRPr="00F53BDD">
              <w:rPr>
                <w:sz w:val="17"/>
                <w:szCs w:val="17"/>
              </w:rPr>
              <w:t>Not applicable</w:t>
            </w:r>
          </w:p>
        </w:tc>
        <w:tc>
          <w:tcPr>
            <w:tcW w:w="0" w:type="auto"/>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514FAD">
            <w:pPr>
              <w:pStyle w:val="TableText"/>
              <w:spacing w:before="0" w:after="0" w:line="240" w:lineRule="auto"/>
              <w:jc w:val="center"/>
              <w:rPr>
                <w:sz w:val="17"/>
                <w:szCs w:val="17"/>
              </w:rPr>
            </w:pPr>
            <w:r w:rsidRPr="00F53BDD">
              <w:rPr>
                <w:sz w:val="17"/>
                <w:szCs w:val="17"/>
              </w:rPr>
              <w:t>Could monitor participants’ accounts and trades for insider trading, restrict risky trades or traders, address undesirable trading situations, and amend trading rules</w:t>
            </w:r>
          </w:p>
        </w:tc>
      </w:tr>
      <w:tr w:rsidR="00D155DD" w:rsidRPr="00F53BDD" w:rsidTr="00283E25">
        <w:tc>
          <w:tcPr>
            <w:tcW w:w="0" w:type="auto"/>
            <w:hideMark/>
          </w:tcPr>
          <w:p w:rsidR="00D155DD" w:rsidRPr="00F53BDD" w:rsidRDefault="00D155DD" w:rsidP="00514FAD">
            <w:pPr>
              <w:pStyle w:val="TableTextbold"/>
              <w:spacing w:line="240" w:lineRule="auto"/>
              <w:rPr>
                <w:sz w:val="17"/>
                <w:szCs w:val="17"/>
              </w:rPr>
            </w:pPr>
            <w:r w:rsidRPr="00F53BDD">
              <w:rPr>
                <w:sz w:val="17"/>
                <w:szCs w:val="17"/>
              </w:rPr>
              <w:t>Money</w:t>
            </w:r>
            <w:r w:rsidR="00872FAA" w:rsidRPr="00F53BDD">
              <w:rPr>
                <w:sz w:val="17"/>
                <w:szCs w:val="17"/>
              </w:rPr>
              <w:t xml:space="preserve"> </w:t>
            </w:r>
            <w:r w:rsidRPr="00F53BDD">
              <w:rPr>
                <w:sz w:val="17"/>
                <w:szCs w:val="17"/>
              </w:rPr>
              <w:t>laundering and financing of terrorism</w:t>
            </w:r>
          </w:p>
        </w:tc>
        <w:tc>
          <w:tcPr>
            <w:tcW w:w="0" w:type="auto"/>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6C16F6" w:rsidP="00514FAD">
            <w:pPr>
              <w:pStyle w:val="TableText"/>
              <w:spacing w:before="0" w:after="0" w:line="240" w:lineRule="auto"/>
              <w:jc w:val="center"/>
              <w:rPr>
                <w:sz w:val="17"/>
                <w:szCs w:val="17"/>
              </w:rPr>
            </w:pPr>
            <w:r w:rsidRPr="00F53BDD">
              <w:rPr>
                <w:sz w:val="17"/>
                <w:szCs w:val="17"/>
              </w:rPr>
              <w:t>A</w:t>
            </w:r>
            <w:r w:rsidR="00D155DD" w:rsidRPr="00F53BDD">
              <w:rPr>
                <w:sz w:val="17"/>
                <w:szCs w:val="17"/>
              </w:rPr>
              <w:t>dvisers could be required to undertake AML or CFT checks and report suspicious activity to a regulator</w:t>
            </w:r>
          </w:p>
        </w:tc>
        <w:tc>
          <w:tcPr>
            <w:tcW w:w="0" w:type="auto"/>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05378B">
            <w:pPr>
              <w:pStyle w:val="TableText"/>
              <w:spacing w:before="0" w:line="240" w:lineRule="auto"/>
              <w:jc w:val="center"/>
              <w:rPr>
                <w:sz w:val="17"/>
                <w:szCs w:val="17"/>
              </w:rPr>
            </w:pPr>
            <w:r w:rsidRPr="00F53BDD">
              <w:rPr>
                <w:sz w:val="17"/>
                <w:szCs w:val="17"/>
              </w:rPr>
              <w:t xml:space="preserve">Helps a regulator monitor and detect unusual trades that could indicate money laundering </w:t>
            </w:r>
            <w:r w:rsidR="00545F8D" w:rsidRPr="00F53BDD">
              <w:rPr>
                <w:sz w:val="17"/>
                <w:szCs w:val="17"/>
              </w:rPr>
              <w:t xml:space="preserve">or </w:t>
            </w:r>
            <w:r w:rsidRPr="00F53BDD">
              <w:rPr>
                <w:sz w:val="17"/>
                <w:szCs w:val="17"/>
              </w:rPr>
              <w:t>financing of terrorism</w:t>
            </w:r>
          </w:p>
        </w:tc>
        <w:tc>
          <w:tcPr>
            <w:tcW w:w="0" w:type="auto"/>
            <w:hideMark/>
          </w:tcPr>
          <w:p w:rsidR="00D155DD" w:rsidRPr="00F53BDD" w:rsidRDefault="00D155DD" w:rsidP="00514FAD">
            <w:pPr>
              <w:pStyle w:val="TableText"/>
              <w:spacing w:before="0" w:after="0" w:line="240" w:lineRule="auto"/>
              <w:jc w:val="center"/>
              <w:rPr>
                <w:sz w:val="17"/>
                <w:szCs w:val="17"/>
              </w:rPr>
            </w:pPr>
            <w:r w:rsidRPr="00F53BDD">
              <w:rPr>
                <w:sz w:val="17"/>
                <w:szCs w:val="17"/>
              </w:rPr>
              <w:t>O</w:t>
            </w:r>
          </w:p>
          <w:p w:rsidR="00D155DD" w:rsidRPr="00F53BDD" w:rsidRDefault="00D155DD" w:rsidP="00514FAD">
            <w:pPr>
              <w:pStyle w:val="TableText"/>
              <w:spacing w:before="0" w:after="0" w:line="240" w:lineRule="auto"/>
              <w:jc w:val="center"/>
              <w:rPr>
                <w:sz w:val="17"/>
                <w:szCs w:val="17"/>
              </w:rPr>
            </w:pPr>
            <w:r w:rsidRPr="00F53BDD">
              <w:rPr>
                <w:sz w:val="17"/>
                <w:szCs w:val="17"/>
              </w:rPr>
              <w:t>Not applicable</w:t>
            </w:r>
          </w:p>
        </w:tc>
        <w:tc>
          <w:tcPr>
            <w:tcW w:w="0" w:type="auto"/>
            <w:shd w:val="clear" w:color="auto" w:fill="57A3A4"/>
            <w:hideMark/>
          </w:tcPr>
          <w:p w:rsidR="00D155DD" w:rsidRPr="00F53BDD" w:rsidRDefault="00D155DD" w:rsidP="00514FAD">
            <w:pPr>
              <w:pStyle w:val="TableText"/>
              <w:spacing w:before="0" w:after="0" w:line="240" w:lineRule="auto"/>
              <w:jc w:val="center"/>
              <w:rPr>
                <w:sz w:val="17"/>
                <w:szCs w:val="17"/>
              </w:rPr>
            </w:pPr>
            <w:r w:rsidRPr="00F53BDD">
              <w:rPr>
                <w:rFonts w:ascii="Segoe UI Symbol" w:hAnsi="Segoe UI Symbol" w:cs="Segoe UI Symbol"/>
                <w:sz w:val="17"/>
                <w:szCs w:val="17"/>
              </w:rPr>
              <w:t>✓✓✓</w:t>
            </w:r>
          </w:p>
          <w:p w:rsidR="00D155DD" w:rsidRPr="00F53BDD" w:rsidRDefault="00D155DD" w:rsidP="00514FAD">
            <w:pPr>
              <w:pStyle w:val="TableText"/>
              <w:spacing w:before="0" w:after="0" w:line="240" w:lineRule="auto"/>
              <w:jc w:val="center"/>
              <w:rPr>
                <w:sz w:val="17"/>
                <w:szCs w:val="17"/>
              </w:rPr>
            </w:pPr>
            <w:r w:rsidRPr="00F53BDD">
              <w:rPr>
                <w:sz w:val="17"/>
                <w:szCs w:val="17"/>
              </w:rPr>
              <w:t>Could monitor participants’ accounts and trades for money laundering or financing of terrorism, restrict risky trades or traders, address undesirable trading situations, and amend trading rules</w:t>
            </w:r>
          </w:p>
        </w:tc>
      </w:tr>
      <w:tr w:rsidR="00D155DD" w:rsidRPr="00F53BDD" w:rsidTr="005F3608">
        <w:tc>
          <w:tcPr>
            <w:tcW w:w="0" w:type="auto"/>
            <w:gridSpan w:val="5"/>
            <w:shd w:val="clear" w:color="auto" w:fill="auto"/>
          </w:tcPr>
          <w:p w:rsidR="00C467B5" w:rsidRPr="00F53BDD" w:rsidRDefault="00C467B5" w:rsidP="00C467B5">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57A3A4"/>
              </w:rPr>
              <w:t>✓✓✓</w:t>
            </w:r>
            <w:r w:rsidRPr="00F53BDD">
              <w:rPr>
                <w:rFonts w:asciiTheme="minorHAnsi" w:eastAsia="Times New Roman" w:hAnsiTheme="minorHAnsi" w:cstheme="minorHAnsi"/>
                <w:sz w:val="17"/>
                <w:szCs w:val="17"/>
              </w:rPr>
              <w:tab/>
              <w:t>Strongly meets criteria</w:t>
            </w:r>
          </w:p>
          <w:p w:rsidR="00C467B5" w:rsidRPr="00F53BDD" w:rsidRDefault="00C467B5" w:rsidP="00C467B5">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87BDBE"/>
              </w:rPr>
              <w:t>✓✓</w:t>
            </w:r>
            <w:r w:rsidRPr="00F53BDD">
              <w:rPr>
                <w:rFonts w:asciiTheme="minorHAnsi" w:eastAsia="Times New Roman" w:hAnsiTheme="minorHAnsi" w:cstheme="minorHAnsi"/>
                <w:sz w:val="17"/>
                <w:szCs w:val="17"/>
              </w:rPr>
              <w:tab/>
              <w:t>Meets criteria</w:t>
            </w:r>
          </w:p>
          <w:p w:rsidR="00C467B5" w:rsidRPr="00C467B5" w:rsidRDefault="00C467B5" w:rsidP="00C467B5">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CFE5E5"/>
              </w:rPr>
              <w:t>✓</w:t>
            </w:r>
            <w:r w:rsidRPr="00F53BDD">
              <w:rPr>
                <w:rFonts w:asciiTheme="minorHAnsi" w:eastAsia="Times New Roman" w:hAnsiTheme="minorHAnsi" w:cstheme="minorHAnsi"/>
                <w:sz w:val="17"/>
                <w:szCs w:val="17"/>
              </w:rPr>
              <w:tab/>
              <w:t>Partially meets criteria</w:t>
            </w:r>
          </w:p>
          <w:p w:rsidR="00D155DD" w:rsidRPr="00F53BDD" w:rsidRDefault="00C467B5" w:rsidP="00714BF5">
            <w:pPr>
              <w:tabs>
                <w:tab w:val="left" w:pos="600"/>
              </w:tabs>
              <w:spacing w:before="0" w:after="0" w:line="240" w:lineRule="auto"/>
              <w:contextualSpacing/>
              <w:rPr>
                <w:rFonts w:asciiTheme="minorHAnsi" w:eastAsia="Times New Roman" w:hAnsiTheme="minorHAnsi" w:cstheme="minorHAnsi"/>
                <w:sz w:val="17"/>
                <w:szCs w:val="17"/>
              </w:rPr>
            </w:pPr>
            <w:r w:rsidRPr="00F53BDD">
              <w:rPr>
                <w:rFonts w:eastAsia="Times New Roman"/>
                <w:sz w:val="17"/>
                <w:szCs w:val="17"/>
              </w:rPr>
              <w:t>O</w:t>
            </w:r>
            <w:r w:rsidR="00714BF5" w:rsidRPr="00F53BDD">
              <w:rPr>
                <w:rFonts w:asciiTheme="minorHAnsi" w:eastAsia="Times New Roman" w:hAnsiTheme="minorHAnsi" w:cstheme="minorHAnsi"/>
                <w:sz w:val="17"/>
                <w:szCs w:val="17"/>
              </w:rPr>
              <w:tab/>
            </w:r>
            <w:r w:rsidR="00D155DD" w:rsidRPr="00F53BDD">
              <w:rPr>
                <w:rFonts w:asciiTheme="minorHAnsi" w:eastAsia="Times New Roman" w:hAnsiTheme="minorHAnsi" w:cstheme="minorHAnsi"/>
                <w:sz w:val="17"/>
                <w:szCs w:val="17"/>
              </w:rPr>
              <w:t>Not applicable</w:t>
            </w:r>
          </w:p>
          <w:p w:rsidR="00D155DD" w:rsidRPr="00F53BDD" w:rsidRDefault="00714BF5" w:rsidP="00714BF5">
            <w:pPr>
              <w:tabs>
                <w:tab w:val="left" w:pos="600"/>
              </w:tabs>
              <w:spacing w:before="0" w:after="0" w:line="240"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EDB097"/>
              </w:rPr>
              <w:t>x</w:t>
            </w:r>
            <w:r w:rsidR="00D155DD" w:rsidRPr="00F53BDD">
              <w:rPr>
                <w:rFonts w:asciiTheme="minorHAnsi" w:eastAsia="Times New Roman" w:hAnsiTheme="minorHAnsi" w:cstheme="minorHAnsi"/>
                <w:sz w:val="17"/>
                <w:szCs w:val="17"/>
              </w:rPr>
              <w:t xml:space="preserve"> </w:t>
            </w:r>
            <w:r w:rsidRPr="00F53BDD">
              <w:rPr>
                <w:rFonts w:asciiTheme="minorHAnsi" w:eastAsia="Times New Roman" w:hAnsiTheme="minorHAnsi" w:cstheme="minorHAnsi"/>
                <w:sz w:val="17"/>
                <w:szCs w:val="17"/>
              </w:rPr>
              <w:tab/>
            </w:r>
            <w:r w:rsidR="00D155DD" w:rsidRPr="00F53BDD">
              <w:rPr>
                <w:rFonts w:asciiTheme="minorHAnsi" w:eastAsia="Times New Roman" w:hAnsiTheme="minorHAnsi" w:cstheme="minorHAnsi"/>
                <w:sz w:val="17"/>
                <w:szCs w:val="17"/>
              </w:rPr>
              <w:t>Does not meet criteria</w:t>
            </w:r>
          </w:p>
        </w:tc>
      </w:tr>
    </w:tbl>
    <w:p w:rsidR="00A37B38" w:rsidRPr="00F53BDD" w:rsidRDefault="00A37B38" w:rsidP="00714BF5">
      <w:pPr>
        <w:pStyle w:val="Tableheading"/>
      </w:pPr>
      <w:bookmarkStart w:id="150" w:name="_Toc75250125"/>
      <w:r w:rsidRPr="00F53BDD">
        <w:t xml:space="preserve">Table </w:t>
      </w:r>
      <w:r w:rsidR="0019184A">
        <w:t>2</w:t>
      </w:r>
      <w:r w:rsidR="006218BD">
        <w:t>3</w:t>
      </w:r>
      <w:r w:rsidRPr="00F53BDD">
        <w:t xml:space="preserve">: </w:t>
      </w:r>
      <w:r w:rsidR="00714BF5" w:rsidRPr="00F53BDD">
        <w:tab/>
      </w:r>
      <w:r w:rsidRPr="00F53BDD">
        <w:t xml:space="preserve">Impact analysis </w:t>
      </w:r>
      <w:r w:rsidR="000634FC" w:rsidRPr="00F53BDD">
        <w:t xml:space="preserve">of </w:t>
      </w:r>
      <w:r w:rsidRPr="00F53BDD">
        <w:t xml:space="preserve">risk mitigation </w:t>
      </w:r>
      <w:r w:rsidR="00E27749" w:rsidRPr="00F53BDD">
        <w:t>scenario</w:t>
      </w:r>
      <w:bookmarkEnd w:id="150"/>
    </w:p>
    <w:tbl>
      <w:tblPr>
        <w:tblStyle w:val="TableGrid"/>
        <w:tblW w:w="0" w:type="auto"/>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847"/>
        <w:gridCol w:w="3147"/>
        <w:gridCol w:w="3194"/>
        <w:gridCol w:w="2834"/>
        <w:gridCol w:w="2416"/>
      </w:tblGrid>
      <w:tr w:rsidR="00714BF5" w:rsidRPr="00F53BDD" w:rsidTr="00714BF5">
        <w:trPr>
          <w:trHeight w:val="20"/>
        </w:trPr>
        <w:tc>
          <w:tcPr>
            <w:tcW w:w="0" w:type="auto"/>
            <w:shd w:val="clear" w:color="auto" w:fill="1C556C" w:themeFill="accent1"/>
            <w:vAlign w:val="bottom"/>
            <w:hideMark/>
          </w:tcPr>
          <w:p w:rsidR="00D155DD" w:rsidRPr="00F53BDD" w:rsidRDefault="00D155DD" w:rsidP="00714BF5">
            <w:pPr>
              <w:pStyle w:val="TableTextbold"/>
              <w:rPr>
                <w:color w:val="FFFFFF" w:themeColor="background1"/>
              </w:rPr>
            </w:pPr>
            <w:r w:rsidRPr="00F53BDD">
              <w:rPr>
                <w:color w:val="FFFFFF" w:themeColor="background1"/>
              </w:rPr>
              <w:t>Criteri</w:t>
            </w:r>
            <w:r w:rsidR="00292982" w:rsidRPr="00F53BDD">
              <w:rPr>
                <w:color w:val="FFFFFF" w:themeColor="background1"/>
              </w:rPr>
              <w:t>on</w:t>
            </w:r>
          </w:p>
        </w:tc>
        <w:tc>
          <w:tcPr>
            <w:tcW w:w="0" w:type="auto"/>
            <w:tcBorders>
              <w:bottom w:val="single" w:sz="4" w:space="0" w:color="1C556C" w:themeColor="accent1"/>
            </w:tcBorders>
            <w:shd w:val="clear" w:color="auto" w:fill="1C556C" w:themeFill="accent1"/>
            <w:vAlign w:val="bottom"/>
            <w:hideMark/>
          </w:tcPr>
          <w:p w:rsidR="00D155DD" w:rsidRPr="00F53BDD" w:rsidRDefault="00D155DD" w:rsidP="00714BF5">
            <w:pPr>
              <w:pStyle w:val="TableTextbold"/>
              <w:rPr>
                <w:color w:val="FFFFFF" w:themeColor="background1"/>
              </w:rPr>
            </w:pPr>
            <w:r w:rsidRPr="00F53BDD">
              <w:rPr>
                <w:color w:val="FFFFFF" w:themeColor="background1"/>
              </w:rPr>
              <w:t xml:space="preserve">A4: Code of </w:t>
            </w:r>
            <w:r w:rsidR="00292982" w:rsidRPr="00F53BDD">
              <w:rPr>
                <w:color w:val="FFFFFF" w:themeColor="background1"/>
              </w:rPr>
              <w:t>c</w:t>
            </w:r>
            <w:r w:rsidRPr="00F53BDD">
              <w:rPr>
                <w:color w:val="FFFFFF" w:themeColor="background1"/>
              </w:rPr>
              <w:t xml:space="preserve">onduct, </w:t>
            </w:r>
            <w:r w:rsidR="00292982" w:rsidRPr="00F53BDD">
              <w:rPr>
                <w:color w:val="FFFFFF" w:themeColor="background1"/>
              </w:rPr>
              <w:t>l</w:t>
            </w:r>
            <w:r w:rsidRPr="00F53BDD">
              <w:rPr>
                <w:color w:val="FFFFFF" w:themeColor="background1"/>
              </w:rPr>
              <w:t xml:space="preserve">icensing and </w:t>
            </w:r>
            <w:r w:rsidR="00292982" w:rsidRPr="00F53BDD">
              <w:rPr>
                <w:color w:val="FFFFFF" w:themeColor="background1"/>
              </w:rPr>
              <w:t>r</w:t>
            </w:r>
            <w:r w:rsidRPr="00F53BDD">
              <w:rPr>
                <w:color w:val="FFFFFF" w:themeColor="background1"/>
              </w:rPr>
              <w:t>egistration of NZU advisers</w:t>
            </w:r>
          </w:p>
        </w:tc>
        <w:tc>
          <w:tcPr>
            <w:tcW w:w="0" w:type="auto"/>
            <w:tcBorders>
              <w:bottom w:val="single" w:sz="4" w:space="0" w:color="1C556C" w:themeColor="accent1"/>
            </w:tcBorders>
            <w:shd w:val="clear" w:color="auto" w:fill="1C556C" w:themeFill="accent1"/>
            <w:vAlign w:val="bottom"/>
            <w:hideMark/>
          </w:tcPr>
          <w:p w:rsidR="00D155DD" w:rsidRPr="00F53BDD" w:rsidRDefault="00D155DD" w:rsidP="00714BF5">
            <w:pPr>
              <w:pStyle w:val="TableTextbold"/>
              <w:rPr>
                <w:color w:val="FFFFFF" w:themeColor="background1"/>
              </w:rPr>
            </w:pPr>
            <w:r w:rsidRPr="00F53BDD">
              <w:rPr>
                <w:color w:val="FFFFFF" w:themeColor="background1"/>
              </w:rPr>
              <w:t>B4: Requiring exchange-based trading</w:t>
            </w:r>
          </w:p>
        </w:tc>
        <w:tc>
          <w:tcPr>
            <w:tcW w:w="0" w:type="auto"/>
            <w:tcBorders>
              <w:bottom w:val="single" w:sz="4" w:space="0" w:color="1C556C" w:themeColor="accent1"/>
            </w:tcBorders>
            <w:shd w:val="clear" w:color="auto" w:fill="1C556C" w:themeFill="accent1"/>
            <w:vAlign w:val="bottom"/>
            <w:hideMark/>
          </w:tcPr>
          <w:p w:rsidR="00D155DD" w:rsidRPr="00F53BDD" w:rsidRDefault="00D155DD" w:rsidP="00714BF5">
            <w:pPr>
              <w:pStyle w:val="TableTextbold"/>
              <w:rPr>
                <w:color w:val="FFFFFF" w:themeColor="background1"/>
              </w:rPr>
            </w:pPr>
            <w:r w:rsidRPr="00F53BDD">
              <w:rPr>
                <w:color w:val="FFFFFF" w:themeColor="background1"/>
              </w:rPr>
              <w:t xml:space="preserve">C2: Position and purchase </w:t>
            </w:r>
            <w:r w:rsidR="006C16F6" w:rsidRPr="00F53BDD">
              <w:rPr>
                <w:color w:val="FFFFFF" w:themeColor="background1"/>
              </w:rPr>
              <w:t>l</w:t>
            </w:r>
            <w:r w:rsidRPr="00F53BDD">
              <w:rPr>
                <w:color w:val="FFFFFF" w:themeColor="background1"/>
              </w:rPr>
              <w:t>imits</w:t>
            </w:r>
          </w:p>
        </w:tc>
        <w:tc>
          <w:tcPr>
            <w:tcW w:w="0" w:type="auto"/>
            <w:tcBorders>
              <w:bottom w:val="single" w:sz="4" w:space="0" w:color="1C556C" w:themeColor="accent1"/>
            </w:tcBorders>
            <w:shd w:val="clear" w:color="auto" w:fill="1C556C" w:themeFill="accent1"/>
            <w:vAlign w:val="bottom"/>
            <w:hideMark/>
          </w:tcPr>
          <w:p w:rsidR="00D155DD" w:rsidRPr="00F53BDD" w:rsidRDefault="00D155DD" w:rsidP="00714BF5">
            <w:pPr>
              <w:pStyle w:val="TableTextbold"/>
              <w:rPr>
                <w:color w:val="FFFFFF" w:themeColor="background1"/>
              </w:rPr>
            </w:pPr>
            <w:r w:rsidRPr="00F53BDD">
              <w:rPr>
                <w:color w:val="FFFFFF" w:themeColor="background1"/>
              </w:rPr>
              <w:t xml:space="preserve">D6: Market </w:t>
            </w:r>
            <w:r w:rsidR="002D2B51" w:rsidRPr="00F53BDD">
              <w:rPr>
                <w:color w:val="FFFFFF" w:themeColor="background1"/>
              </w:rPr>
              <w:t>d</w:t>
            </w:r>
            <w:r w:rsidRPr="00F53BDD">
              <w:rPr>
                <w:color w:val="FFFFFF" w:themeColor="background1"/>
              </w:rPr>
              <w:t xml:space="preserve">esign regulator </w:t>
            </w:r>
          </w:p>
        </w:tc>
      </w:tr>
      <w:tr w:rsidR="008A0C11" w:rsidRPr="00F53BDD" w:rsidTr="0011522A">
        <w:trPr>
          <w:trHeight w:val="20"/>
        </w:trPr>
        <w:tc>
          <w:tcPr>
            <w:tcW w:w="0" w:type="auto"/>
            <w:hideMark/>
          </w:tcPr>
          <w:p w:rsidR="00A37B38" w:rsidRPr="00F53BDD" w:rsidRDefault="00A37B38" w:rsidP="00714BF5">
            <w:pPr>
              <w:pStyle w:val="TableTextbold"/>
              <w:spacing w:before="0" w:after="0"/>
              <w:rPr>
                <w:sz w:val="17"/>
                <w:szCs w:val="17"/>
              </w:rPr>
            </w:pPr>
            <w:r w:rsidRPr="00F53BDD">
              <w:rPr>
                <w:sz w:val="17"/>
                <w:szCs w:val="17"/>
              </w:rPr>
              <w:t>Integrity</w:t>
            </w:r>
          </w:p>
        </w:tc>
        <w:tc>
          <w:tcPr>
            <w:tcW w:w="0" w:type="auto"/>
            <w:tcBorders>
              <w:bottom w:val="single" w:sz="4" w:space="0" w:color="1C556C" w:themeColor="accent1"/>
            </w:tcBorders>
            <w:shd w:val="clear" w:color="auto" w:fill="57A3A4"/>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Sets the standards of good</w:t>
            </w:r>
            <w:r w:rsidR="002D2B51" w:rsidRPr="00F53BDD">
              <w:rPr>
                <w:sz w:val="17"/>
                <w:szCs w:val="17"/>
              </w:rPr>
              <w:t xml:space="preserve"> </w:t>
            </w:r>
            <w:r w:rsidR="00877E61" w:rsidRPr="00F53BDD">
              <w:rPr>
                <w:sz w:val="17"/>
                <w:szCs w:val="17"/>
              </w:rPr>
              <w:t>conduct,</w:t>
            </w:r>
            <w:r w:rsidRPr="00F53BDD">
              <w:rPr>
                <w:sz w:val="17"/>
                <w:szCs w:val="17"/>
              </w:rPr>
              <w:t xml:space="preserve"> and </w:t>
            </w:r>
            <w:r w:rsidR="003B3DAD" w:rsidRPr="00F53BDD">
              <w:rPr>
                <w:sz w:val="17"/>
                <w:szCs w:val="17"/>
              </w:rPr>
              <w:t>there is</w:t>
            </w:r>
            <w:r w:rsidRPr="00F53BDD">
              <w:rPr>
                <w:sz w:val="17"/>
                <w:szCs w:val="17"/>
              </w:rPr>
              <w:t xml:space="preserve"> a penalty for falling below these standards</w:t>
            </w:r>
          </w:p>
        </w:tc>
        <w:tc>
          <w:tcPr>
            <w:tcW w:w="0" w:type="auto"/>
            <w:tcBorders>
              <w:bottom w:val="single" w:sz="4" w:space="0" w:color="1C556C" w:themeColor="accent1"/>
            </w:tcBorders>
            <w:shd w:val="clear" w:color="auto" w:fill="57A3A4"/>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 xml:space="preserve">A regulated platform </w:t>
            </w:r>
            <w:r w:rsidR="003B3DAD" w:rsidRPr="00F53BDD">
              <w:rPr>
                <w:sz w:val="17"/>
                <w:szCs w:val="17"/>
              </w:rPr>
              <w:t>can</w:t>
            </w:r>
            <w:r w:rsidRPr="00F53BDD">
              <w:rPr>
                <w:sz w:val="17"/>
                <w:szCs w:val="17"/>
              </w:rPr>
              <w:t xml:space="preserve"> detect market misconduct and report on trades</w:t>
            </w:r>
          </w:p>
        </w:tc>
        <w:tc>
          <w:tcPr>
            <w:tcW w:w="0" w:type="auto"/>
            <w:tcBorders>
              <w:bottom w:val="single" w:sz="4" w:space="0" w:color="1C556C" w:themeColor="accent1"/>
            </w:tcBorders>
            <w:shd w:val="clear" w:color="auto" w:fill="87BDBE"/>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Position and purchase limits are common features to prevent market power</w:t>
            </w:r>
          </w:p>
        </w:tc>
        <w:tc>
          <w:tcPr>
            <w:tcW w:w="0" w:type="auto"/>
            <w:tcBorders>
              <w:bottom w:val="single" w:sz="4" w:space="0" w:color="1C556C" w:themeColor="accent1"/>
            </w:tcBorders>
            <w:shd w:val="clear" w:color="auto" w:fill="57A3A4"/>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Can issue penalties and amend the market rules to prevent further misconduct</w:t>
            </w:r>
          </w:p>
        </w:tc>
      </w:tr>
      <w:tr w:rsidR="00474C9B" w:rsidRPr="00F53BDD" w:rsidTr="00714BF5">
        <w:trPr>
          <w:trHeight w:val="20"/>
        </w:trPr>
        <w:tc>
          <w:tcPr>
            <w:tcW w:w="0" w:type="auto"/>
            <w:hideMark/>
          </w:tcPr>
          <w:p w:rsidR="00A37B38" w:rsidRPr="00F53BDD" w:rsidRDefault="00A37B38" w:rsidP="00714BF5">
            <w:pPr>
              <w:pStyle w:val="TableTextbold"/>
              <w:spacing w:before="0" w:after="0"/>
              <w:rPr>
                <w:sz w:val="17"/>
                <w:szCs w:val="17"/>
              </w:rPr>
            </w:pPr>
            <w:r w:rsidRPr="00F53BDD">
              <w:rPr>
                <w:sz w:val="17"/>
                <w:szCs w:val="17"/>
              </w:rPr>
              <w:t>Minimal complexity and administrative cost</w:t>
            </w:r>
          </w:p>
        </w:tc>
        <w:tc>
          <w:tcPr>
            <w:tcW w:w="0" w:type="auto"/>
            <w:shd w:val="clear" w:color="auto" w:fill="EDB097"/>
            <w:hideMark/>
          </w:tcPr>
          <w:p w:rsidR="00A37B38" w:rsidRPr="00F53BDD" w:rsidRDefault="00714BF5" w:rsidP="00714BF5">
            <w:pPr>
              <w:pStyle w:val="TableText"/>
              <w:spacing w:before="0" w:after="0"/>
              <w:jc w:val="center"/>
              <w:rPr>
                <w:sz w:val="17"/>
                <w:szCs w:val="17"/>
              </w:rPr>
            </w:pPr>
            <w:r w:rsidRPr="00F53BDD">
              <w:rPr>
                <w:sz w:val="17"/>
                <w:szCs w:val="17"/>
              </w:rPr>
              <w:t>x</w:t>
            </w:r>
          </w:p>
          <w:p w:rsidR="00A37B38" w:rsidRPr="00F53BDD" w:rsidRDefault="00A37B38" w:rsidP="00714BF5">
            <w:pPr>
              <w:pStyle w:val="TableText"/>
              <w:spacing w:before="0" w:after="0"/>
              <w:jc w:val="center"/>
              <w:rPr>
                <w:sz w:val="17"/>
                <w:szCs w:val="17"/>
              </w:rPr>
            </w:pPr>
            <w:r w:rsidRPr="00F53BDD">
              <w:rPr>
                <w:sz w:val="17"/>
                <w:szCs w:val="17"/>
              </w:rPr>
              <w:t>The highest administrative cost for participants</w:t>
            </w:r>
          </w:p>
        </w:tc>
        <w:tc>
          <w:tcPr>
            <w:tcW w:w="0" w:type="auto"/>
            <w:shd w:val="clear" w:color="auto" w:fill="87BDBE"/>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Some risk protection for small traders</w:t>
            </w:r>
          </w:p>
        </w:tc>
        <w:tc>
          <w:tcPr>
            <w:tcW w:w="0" w:type="auto"/>
            <w:shd w:val="clear" w:color="auto" w:fill="87BDBE"/>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 xml:space="preserve">Setting limits can be achieved via the NZ ETR and </w:t>
            </w:r>
            <w:r w:rsidR="002D2B51" w:rsidRPr="00F53BDD">
              <w:rPr>
                <w:sz w:val="17"/>
                <w:szCs w:val="17"/>
              </w:rPr>
              <w:t>is an</w:t>
            </w:r>
            <w:r w:rsidRPr="00F53BDD">
              <w:rPr>
                <w:sz w:val="17"/>
                <w:szCs w:val="17"/>
              </w:rPr>
              <w:t xml:space="preserve"> additional administrative cost </w:t>
            </w:r>
            <w:r w:rsidR="002D2B51" w:rsidRPr="00F53BDD">
              <w:rPr>
                <w:sz w:val="17"/>
                <w:szCs w:val="17"/>
              </w:rPr>
              <w:t xml:space="preserve">for </w:t>
            </w:r>
            <w:r w:rsidRPr="00F53BDD">
              <w:rPr>
                <w:sz w:val="17"/>
                <w:szCs w:val="17"/>
              </w:rPr>
              <w:t>participants</w:t>
            </w:r>
          </w:p>
        </w:tc>
        <w:tc>
          <w:tcPr>
            <w:tcW w:w="0" w:type="auto"/>
            <w:tcBorders>
              <w:bottom w:val="single" w:sz="4" w:space="0" w:color="1C556C" w:themeColor="accent1"/>
            </w:tcBorders>
            <w:shd w:val="clear" w:color="auto" w:fill="EDB097"/>
            <w:hideMark/>
          </w:tcPr>
          <w:p w:rsidR="00A37B38" w:rsidRPr="00F53BDD" w:rsidRDefault="00714BF5" w:rsidP="00714BF5">
            <w:pPr>
              <w:pStyle w:val="TableText"/>
              <w:spacing w:before="0" w:after="0"/>
              <w:jc w:val="center"/>
              <w:rPr>
                <w:sz w:val="17"/>
                <w:szCs w:val="17"/>
              </w:rPr>
            </w:pPr>
            <w:r w:rsidRPr="00F53BDD">
              <w:rPr>
                <w:rFonts w:ascii="Segoe UI Symbol" w:hAnsi="Segoe UI Symbol" w:cs="Segoe UI Symbol"/>
                <w:sz w:val="17"/>
                <w:szCs w:val="17"/>
              </w:rPr>
              <w:t>x</w:t>
            </w:r>
          </w:p>
          <w:p w:rsidR="00A37B38" w:rsidRPr="00F53BDD" w:rsidRDefault="00A37B38" w:rsidP="00714BF5">
            <w:pPr>
              <w:pStyle w:val="TableText"/>
              <w:spacing w:before="0" w:after="0"/>
              <w:jc w:val="center"/>
              <w:rPr>
                <w:sz w:val="17"/>
                <w:szCs w:val="17"/>
              </w:rPr>
            </w:pPr>
            <w:r w:rsidRPr="00F53BDD">
              <w:rPr>
                <w:sz w:val="17"/>
                <w:szCs w:val="17"/>
              </w:rPr>
              <w:t>The most expensive and complex options to administer</w:t>
            </w:r>
          </w:p>
        </w:tc>
      </w:tr>
      <w:tr w:rsidR="008A0C11" w:rsidRPr="00F53BDD" w:rsidTr="00714BF5">
        <w:trPr>
          <w:trHeight w:val="20"/>
        </w:trPr>
        <w:tc>
          <w:tcPr>
            <w:tcW w:w="0" w:type="auto"/>
            <w:hideMark/>
          </w:tcPr>
          <w:p w:rsidR="00A37B38" w:rsidRPr="00F53BDD" w:rsidRDefault="00A37B38" w:rsidP="00714BF5">
            <w:pPr>
              <w:pStyle w:val="TableTextbold"/>
              <w:spacing w:before="0" w:after="0"/>
              <w:rPr>
                <w:sz w:val="17"/>
                <w:szCs w:val="17"/>
              </w:rPr>
            </w:pPr>
            <w:r w:rsidRPr="00F53BDD">
              <w:rPr>
                <w:sz w:val="17"/>
                <w:szCs w:val="17"/>
              </w:rPr>
              <w:t>Consistency and proportionality</w:t>
            </w:r>
          </w:p>
        </w:tc>
        <w:tc>
          <w:tcPr>
            <w:tcW w:w="0" w:type="auto"/>
            <w:tcBorders>
              <w:bottom w:val="single" w:sz="4" w:space="0" w:color="1C556C" w:themeColor="accent1"/>
            </w:tcBorders>
            <w:shd w:val="clear" w:color="auto" w:fill="EDB097"/>
            <w:hideMark/>
          </w:tcPr>
          <w:p w:rsidR="00A37B38" w:rsidRPr="00F53BDD" w:rsidRDefault="00714BF5" w:rsidP="00714BF5">
            <w:pPr>
              <w:pStyle w:val="TableText"/>
              <w:spacing w:before="0" w:after="0"/>
              <w:jc w:val="center"/>
              <w:rPr>
                <w:sz w:val="17"/>
                <w:szCs w:val="17"/>
              </w:rPr>
            </w:pPr>
            <w:r w:rsidRPr="00F53BDD">
              <w:rPr>
                <w:sz w:val="17"/>
                <w:szCs w:val="17"/>
              </w:rPr>
              <w:t>x</w:t>
            </w:r>
          </w:p>
          <w:p w:rsidR="00A37B38" w:rsidRPr="00F53BDD" w:rsidRDefault="00A37B38" w:rsidP="00714BF5">
            <w:pPr>
              <w:pStyle w:val="TableText"/>
              <w:spacing w:before="0" w:after="0"/>
              <w:jc w:val="center"/>
              <w:rPr>
                <w:sz w:val="17"/>
                <w:szCs w:val="17"/>
              </w:rPr>
            </w:pPr>
            <w:r w:rsidRPr="00F53BDD">
              <w:rPr>
                <w:sz w:val="17"/>
                <w:szCs w:val="17"/>
              </w:rPr>
              <w:t>May be too onerous for advisers given the current evidence of the poor advice risk</w:t>
            </w:r>
          </w:p>
        </w:tc>
        <w:tc>
          <w:tcPr>
            <w:tcW w:w="0" w:type="auto"/>
            <w:tcBorders>
              <w:bottom w:val="single" w:sz="4" w:space="0" w:color="1C556C" w:themeColor="accent1"/>
            </w:tcBorders>
            <w:shd w:val="clear" w:color="auto" w:fill="87BDBE"/>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 xml:space="preserve">Exchange-based trading is common practice in financial </w:t>
            </w:r>
            <w:r w:rsidR="003B3DAD" w:rsidRPr="00F53BDD">
              <w:rPr>
                <w:sz w:val="17"/>
                <w:szCs w:val="17"/>
              </w:rPr>
              <w:t>markets and</w:t>
            </w:r>
            <w:r w:rsidRPr="00F53BDD">
              <w:rPr>
                <w:sz w:val="17"/>
                <w:szCs w:val="17"/>
              </w:rPr>
              <w:t xml:space="preserve"> helps expose any misconduct through trade reporting</w:t>
            </w:r>
          </w:p>
        </w:tc>
        <w:tc>
          <w:tcPr>
            <w:tcW w:w="0" w:type="auto"/>
            <w:tcBorders>
              <w:bottom w:val="single" w:sz="4" w:space="0" w:color="1C556C" w:themeColor="accent1"/>
            </w:tcBorders>
            <w:shd w:val="clear" w:color="auto" w:fill="87BDBE"/>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Position and purchase limits are common features in financial markets</w:t>
            </w:r>
          </w:p>
        </w:tc>
        <w:tc>
          <w:tcPr>
            <w:tcW w:w="0" w:type="auto"/>
            <w:tcBorders>
              <w:bottom w:val="single" w:sz="4" w:space="0" w:color="1C556C" w:themeColor="accent1"/>
            </w:tcBorders>
            <w:shd w:val="clear" w:color="auto" w:fill="CFE5E5"/>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The ability to amend market rules may not be proportional at this stage</w:t>
            </w:r>
          </w:p>
        </w:tc>
      </w:tr>
      <w:tr w:rsidR="00474C9B" w:rsidRPr="00F53BDD" w:rsidTr="00FD2B88">
        <w:trPr>
          <w:trHeight w:val="20"/>
        </w:trPr>
        <w:tc>
          <w:tcPr>
            <w:tcW w:w="0" w:type="auto"/>
            <w:hideMark/>
          </w:tcPr>
          <w:p w:rsidR="00A37B38" w:rsidRPr="00F53BDD" w:rsidRDefault="00A37B38" w:rsidP="00714BF5">
            <w:pPr>
              <w:pStyle w:val="TableTextbold"/>
              <w:spacing w:before="0" w:after="0"/>
              <w:rPr>
                <w:sz w:val="17"/>
                <w:szCs w:val="17"/>
              </w:rPr>
            </w:pPr>
            <w:r w:rsidRPr="00F53BDD">
              <w:rPr>
                <w:sz w:val="17"/>
                <w:szCs w:val="17"/>
              </w:rPr>
              <w:t>Clarity and transparency</w:t>
            </w:r>
          </w:p>
        </w:tc>
        <w:tc>
          <w:tcPr>
            <w:tcW w:w="0" w:type="auto"/>
            <w:shd w:val="clear" w:color="auto" w:fill="87BDBE"/>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 xml:space="preserve">This option provides the most standardised rules, but </w:t>
            </w:r>
            <w:r w:rsidR="002D2B51" w:rsidRPr="00F53BDD">
              <w:rPr>
                <w:sz w:val="17"/>
                <w:szCs w:val="17"/>
              </w:rPr>
              <w:t xml:space="preserve">they </w:t>
            </w:r>
            <w:r w:rsidRPr="00F53BDD">
              <w:rPr>
                <w:sz w:val="17"/>
                <w:szCs w:val="17"/>
              </w:rPr>
              <w:t xml:space="preserve">are not always clearly understood by traders or the </w:t>
            </w:r>
            <w:r w:rsidR="003B3DAD" w:rsidRPr="00F53BDD">
              <w:rPr>
                <w:sz w:val="17"/>
                <w:szCs w:val="17"/>
              </w:rPr>
              <w:t>public</w:t>
            </w:r>
          </w:p>
        </w:tc>
        <w:tc>
          <w:tcPr>
            <w:tcW w:w="0" w:type="auto"/>
            <w:shd w:val="clear" w:color="auto" w:fill="57A3A4"/>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Exchanges can produce reports and charts which improve transparency for the public</w:t>
            </w:r>
          </w:p>
        </w:tc>
        <w:tc>
          <w:tcPr>
            <w:tcW w:w="0" w:type="auto"/>
            <w:tcBorders>
              <w:bottom w:val="single" w:sz="4" w:space="0" w:color="1C556C" w:themeColor="accent1"/>
            </w:tcBorders>
            <w:shd w:val="clear" w:color="auto" w:fill="57A3A4"/>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 xml:space="preserve">Limits are a simple mechanism to understand, the limits are public, and </w:t>
            </w:r>
            <w:r w:rsidR="003B3DAD" w:rsidRPr="00F53BDD">
              <w:rPr>
                <w:sz w:val="17"/>
                <w:szCs w:val="17"/>
              </w:rPr>
              <w:t>it is</w:t>
            </w:r>
            <w:r w:rsidRPr="00F53BDD">
              <w:rPr>
                <w:sz w:val="17"/>
                <w:szCs w:val="17"/>
              </w:rPr>
              <w:t xml:space="preserve"> easy to monitor limits</w:t>
            </w:r>
          </w:p>
        </w:tc>
        <w:tc>
          <w:tcPr>
            <w:tcW w:w="0" w:type="auto"/>
            <w:tcBorders>
              <w:bottom w:val="single" w:sz="4" w:space="0" w:color="1C556C" w:themeColor="accent1"/>
            </w:tcBorders>
            <w:shd w:val="clear" w:color="auto" w:fill="57A3A4"/>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Market rules are clear and transparent, and amended in consultation with industry</w:t>
            </w:r>
          </w:p>
        </w:tc>
      </w:tr>
      <w:tr w:rsidR="00A37B38" w:rsidRPr="00F53BDD" w:rsidTr="00FD2B88">
        <w:trPr>
          <w:trHeight w:val="20"/>
        </w:trPr>
        <w:tc>
          <w:tcPr>
            <w:tcW w:w="0" w:type="auto"/>
            <w:hideMark/>
          </w:tcPr>
          <w:p w:rsidR="00A37B38" w:rsidRPr="00F53BDD" w:rsidRDefault="00A37B38" w:rsidP="00714BF5">
            <w:pPr>
              <w:pStyle w:val="TableTextbold"/>
              <w:spacing w:before="0" w:after="0"/>
              <w:rPr>
                <w:sz w:val="17"/>
                <w:szCs w:val="17"/>
              </w:rPr>
            </w:pPr>
            <w:r w:rsidRPr="00F53BDD">
              <w:rPr>
                <w:sz w:val="17"/>
                <w:szCs w:val="17"/>
              </w:rPr>
              <w:t>Market efficiency</w:t>
            </w:r>
          </w:p>
        </w:tc>
        <w:tc>
          <w:tcPr>
            <w:tcW w:w="0" w:type="auto"/>
            <w:shd w:val="clear" w:color="auto" w:fill="87BDBE"/>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05378B">
            <w:pPr>
              <w:pStyle w:val="TableText"/>
              <w:spacing w:before="0"/>
              <w:jc w:val="center"/>
              <w:rPr>
                <w:sz w:val="17"/>
                <w:szCs w:val="17"/>
              </w:rPr>
            </w:pPr>
            <w:r w:rsidRPr="00F53BDD">
              <w:rPr>
                <w:sz w:val="17"/>
                <w:szCs w:val="17"/>
              </w:rPr>
              <w:t xml:space="preserve">This option improves the quality of advice, and therefore price discovery, through a regulated </w:t>
            </w:r>
            <w:r w:rsidR="005A6E4F" w:rsidRPr="00F53BDD">
              <w:rPr>
                <w:sz w:val="17"/>
                <w:szCs w:val="17"/>
              </w:rPr>
              <w:t>framework</w:t>
            </w:r>
          </w:p>
        </w:tc>
        <w:tc>
          <w:tcPr>
            <w:tcW w:w="0" w:type="auto"/>
            <w:shd w:val="clear" w:color="auto" w:fill="57A3A4"/>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Public price and volume trading provides the best price discovery</w:t>
            </w:r>
          </w:p>
        </w:tc>
        <w:tc>
          <w:tcPr>
            <w:tcW w:w="0" w:type="auto"/>
            <w:shd w:val="clear" w:color="auto" w:fill="87BDBE"/>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Fairer NZU by limiting a trader’s ability to manipulate prices and corner the market</w:t>
            </w:r>
          </w:p>
        </w:tc>
        <w:tc>
          <w:tcPr>
            <w:tcW w:w="0" w:type="auto"/>
            <w:shd w:val="clear" w:color="auto" w:fill="57A3A4"/>
            <w:hideMark/>
          </w:tcPr>
          <w:p w:rsidR="00A37B38" w:rsidRPr="00F53BDD" w:rsidRDefault="00A37B38" w:rsidP="00714BF5">
            <w:pPr>
              <w:pStyle w:val="TableText"/>
              <w:spacing w:before="0" w:after="0"/>
              <w:jc w:val="center"/>
              <w:rPr>
                <w:sz w:val="17"/>
                <w:szCs w:val="17"/>
              </w:rPr>
            </w:pPr>
            <w:r w:rsidRPr="00F53BDD">
              <w:rPr>
                <w:rFonts w:ascii="Segoe UI Symbol" w:hAnsi="Segoe UI Symbol" w:cs="Segoe UI Symbol"/>
                <w:sz w:val="17"/>
                <w:szCs w:val="17"/>
              </w:rPr>
              <w:t>✓✓✓</w:t>
            </w:r>
          </w:p>
          <w:p w:rsidR="00A37B38" w:rsidRPr="00F53BDD" w:rsidRDefault="00A37B38" w:rsidP="00714BF5">
            <w:pPr>
              <w:pStyle w:val="TableText"/>
              <w:spacing w:before="0" w:after="0"/>
              <w:jc w:val="center"/>
              <w:rPr>
                <w:sz w:val="17"/>
                <w:szCs w:val="17"/>
              </w:rPr>
            </w:pPr>
            <w:r w:rsidRPr="00F53BDD">
              <w:rPr>
                <w:sz w:val="17"/>
                <w:szCs w:val="17"/>
              </w:rPr>
              <w:t>Access to market information and public reporting aid price discovery</w:t>
            </w:r>
          </w:p>
        </w:tc>
      </w:tr>
      <w:tr w:rsidR="00A37B38" w:rsidRPr="00F53BDD" w:rsidTr="00714BF5">
        <w:trPr>
          <w:trHeight w:val="20"/>
        </w:trPr>
        <w:tc>
          <w:tcPr>
            <w:tcW w:w="0" w:type="auto"/>
            <w:gridSpan w:val="5"/>
            <w:hideMark/>
          </w:tcPr>
          <w:p w:rsidR="00C467B5" w:rsidRPr="00F53BDD" w:rsidRDefault="00C467B5" w:rsidP="00C467B5">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57A3A4"/>
              </w:rPr>
              <w:t>✓✓✓</w:t>
            </w:r>
            <w:r w:rsidRPr="00F53BDD">
              <w:rPr>
                <w:rFonts w:asciiTheme="minorHAnsi" w:eastAsia="Times New Roman" w:hAnsiTheme="minorHAnsi" w:cstheme="minorHAnsi"/>
                <w:sz w:val="17"/>
                <w:szCs w:val="17"/>
              </w:rPr>
              <w:tab/>
              <w:t>Strongly meets criteria</w:t>
            </w:r>
          </w:p>
          <w:p w:rsidR="00C467B5" w:rsidRPr="00F53BDD" w:rsidRDefault="00C467B5" w:rsidP="00C467B5">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87BDBE"/>
              </w:rPr>
              <w:t>✓✓</w:t>
            </w:r>
            <w:r w:rsidRPr="00F53BDD">
              <w:rPr>
                <w:rFonts w:asciiTheme="minorHAnsi" w:eastAsia="Times New Roman" w:hAnsiTheme="minorHAnsi" w:cstheme="minorHAnsi"/>
                <w:sz w:val="17"/>
                <w:szCs w:val="17"/>
              </w:rPr>
              <w:tab/>
              <w:t>Meets criteria</w:t>
            </w:r>
          </w:p>
          <w:p w:rsidR="00C467B5" w:rsidRPr="00C467B5" w:rsidRDefault="00C467B5" w:rsidP="00C467B5">
            <w:pPr>
              <w:tabs>
                <w:tab w:val="left" w:pos="562"/>
              </w:tabs>
              <w:spacing w:before="0" w:after="0" w:line="276" w:lineRule="auto"/>
              <w:contextualSpacing/>
              <w:rPr>
                <w:rFonts w:asciiTheme="minorHAnsi" w:eastAsia="Times New Roman" w:hAnsiTheme="minorHAnsi" w:cstheme="minorHAnsi"/>
                <w:sz w:val="17"/>
                <w:szCs w:val="17"/>
              </w:rPr>
            </w:pPr>
            <w:r w:rsidRPr="00F53BDD">
              <w:rPr>
                <w:rFonts w:ascii="Segoe UI Symbol" w:eastAsia="Times New Roman" w:hAnsi="Segoe UI Symbol" w:cs="Segoe UI Symbol"/>
                <w:sz w:val="17"/>
                <w:szCs w:val="17"/>
                <w:shd w:val="clear" w:color="auto" w:fill="CFE5E5"/>
              </w:rPr>
              <w:t>✓</w:t>
            </w:r>
            <w:r w:rsidRPr="00F53BDD">
              <w:rPr>
                <w:rFonts w:asciiTheme="minorHAnsi" w:eastAsia="Times New Roman" w:hAnsiTheme="minorHAnsi" w:cstheme="minorHAnsi"/>
                <w:sz w:val="17"/>
                <w:szCs w:val="17"/>
              </w:rPr>
              <w:tab/>
              <w:t>Partially meets criteria</w:t>
            </w:r>
          </w:p>
          <w:p w:rsidR="00C467B5" w:rsidRPr="00F53BDD" w:rsidRDefault="00C467B5" w:rsidP="00C467B5">
            <w:pPr>
              <w:tabs>
                <w:tab w:val="left" w:pos="599"/>
              </w:tabs>
              <w:spacing w:before="0" w:after="0" w:line="240" w:lineRule="auto"/>
              <w:contextualSpacing/>
              <w:rPr>
                <w:rFonts w:asciiTheme="minorHAnsi" w:eastAsia="Times New Roman" w:hAnsiTheme="minorHAnsi" w:cstheme="minorHAnsi"/>
                <w:sz w:val="16"/>
                <w:szCs w:val="16"/>
              </w:rPr>
            </w:pPr>
            <w:r w:rsidRPr="00F53BDD">
              <w:rPr>
                <w:rFonts w:ascii="Segoe UI Symbol" w:eastAsia="Times New Roman" w:hAnsi="Segoe UI Symbol" w:cs="Segoe UI Symbol"/>
                <w:sz w:val="17"/>
                <w:szCs w:val="17"/>
                <w:shd w:val="clear" w:color="auto" w:fill="EDB097"/>
              </w:rPr>
              <w:t>x</w:t>
            </w:r>
            <w:r w:rsidRPr="00F53BDD">
              <w:rPr>
                <w:rFonts w:asciiTheme="minorHAnsi" w:eastAsia="Times New Roman" w:hAnsiTheme="minorHAnsi" w:cstheme="minorHAnsi"/>
                <w:sz w:val="17"/>
                <w:szCs w:val="17"/>
              </w:rPr>
              <w:tab/>
              <w:t>Does not meet criteria</w:t>
            </w:r>
          </w:p>
        </w:tc>
      </w:tr>
    </w:tbl>
    <w:p w:rsidR="005E0318" w:rsidRPr="00F53BDD" w:rsidRDefault="005E0318" w:rsidP="00A37B38">
      <w:pPr>
        <w:pStyle w:val="BodyText"/>
      </w:pPr>
    </w:p>
    <w:sectPr w:rsidR="005E0318" w:rsidRPr="00F53BDD" w:rsidSect="008A0C11">
      <w:footerReference w:type="even" r:id="rId51"/>
      <w:footerReference w:type="default" r:id="rId52"/>
      <w:pgSz w:w="16840" w:h="11907" w:orient="landscape"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8A" w:rsidRDefault="0004528A" w:rsidP="0080531E">
      <w:pPr>
        <w:spacing w:before="0" w:after="0" w:line="240" w:lineRule="auto"/>
      </w:pPr>
      <w:r>
        <w:separator/>
      </w:r>
    </w:p>
    <w:p w:rsidR="0004528A" w:rsidRDefault="0004528A"/>
  </w:endnote>
  <w:endnote w:type="continuationSeparator" w:id="0">
    <w:p w:rsidR="0004528A" w:rsidRDefault="0004528A" w:rsidP="0080531E">
      <w:pPr>
        <w:spacing w:before="0" w:after="0" w:line="240" w:lineRule="auto"/>
      </w:pPr>
      <w:r>
        <w:continuationSeparator/>
      </w:r>
    </w:p>
    <w:p w:rsidR="0004528A" w:rsidRDefault="00045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ource Sans Pro">
    <w:altName w:val="Arial"/>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pPr>
      <w:pStyle w:val="Footer"/>
    </w:pPr>
    <w:r>
      <w:rPr>
        <w:noProof/>
      </w:rPr>
      <mc:AlternateContent>
        <mc:Choice Requires="wps">
          <w:drawing>
            <wp:anchor distT="0" distB="0" distL="114300" distR="114300" simplePos="0" relativeHeight="251656192" behindDoc="0" locked="0" layoutInCell="0" allowOverlap="1" wp14:anchorId="713F8486" wp14:editId="25FD938B">
              <wp:simplePos x="0" y="9403953"/>
              <wp:positionH relativeFrom="page">
                <wp:align>center</wp:align>
              </wp:positionH>
              <wp:positionV relativeFrom="page">
                <wp:align>bottom</wp:align>
              </wp:positionV>
              <wp:extent cx="7772400" cy="463550"/>
              <wp:effectExtent l="0" t="0" r="0" b="12700"/>
              <wp:wrapNone/>
              <wp:docPr id="9" name="MSIPCM9bc54b84bce6c1e2523a67c7" descr="{&quot;HashCode&quot;:-235421592,&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678" w:rsidRPr="00923318" w:rsidRDefault="009D4678" w:rsidP="00923318">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3F8486" id="_x0000_t202" coordsize="21600,21600" o:spt="202" path="m,l,21600r21600,l21600,xe">
              <v:stroke joinstyle="miter"/>
              <v:path gradientshapeok="t" o:connecttype="rect"/>
            </v:shapetype>
            <v:shape id="MSIPCM9bc54b84bce6c1e2523a67c7" o:spid="_x0000_s1028" type="#_x0000_t202" alt="{&quot;HashCode&quot;:-235421592,&quot;Height&quot;:9999999.0,&quot;Width&quot;:9999999.0,&quot;Placement&quot;:&quot;Footer&quot;,&quot;Index&quot;:&quot;OddAndEven&quot;,&quot;Section&quot;:1,&quot;Top&quot;:0.0,&quot;Left&quot;:0.0}" style="position:absolute;left:0;text-align:left;margin-left:0;margin-top:0;width:612pt;height:36.5pt;z-index:2516561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wTOYQh0DAABKBgAADgAAAAAAAAAAAAAA&#10;AAAuAgAAZHJzL2Uyb0RvYy54bWxQSwECLQAUAAYACAAAACEAvh8Kt9oAAAAFAQAADwAAAAAAAAAA&#10;AAAAAAB3BQAAZHJzL2Rvd25yZXYueG1sUEsFBgAAAAAEAAQA8wAAAH4GAAAAAA==&#10;" o:allowincell="f" filled="f" stroked="f" strokeweight=".5pt">
              <v:textbox inset=",0,,0">
                <w:txbxContent>
                  <w:p w:rsidR="009D4678" w:rsidRPr="00923318" w:rsidRDefault="009D4678" w:rsidP="00923318">
                    <w:pPr>
                      <w:spacing w:before="0" w:after="0"/>
                      <w:jc w:val="center"/>
                      <w:rPr>
                        <w:rFonts w:cs="Calibri"/>
                        <w:color w:val="000000"/>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rsidP="00734B9A">
    <w:pPr>
      <w:spacing w:before="0" w:after="0" w:line="240" w:lineRule="auto"/>
      <w:ind w:left="-57"/>
      <w:jc w:val="left"/>
    </w:pPr>
    <w:r>
      <w:rPr>
        <w:noProof/>
      </w:rPr>
      <mc:AlternateContent>
        <mc:Choice Requires="wps">
          <w:drawing>
            <wp:anchor distT="0" distB="0" distL="114300" distR="114300" simplePos="0" relativeHeight="251655168" behindDoc="0" locked="0" layoutInCell="0" allowOverlap="1" wp14:anchorId="264D682A" wp14:editId="0C4B03F7">
              <wp:simplePos x="0" y="0"/>
              <wp:positionH relativeFrom="page">
                <wp:align>center</wp:align>
              </wp:positionH>
              <wp:positionV relativeFrom="page">
                <wp:align>bottom</wp:align>
              </wp:positionV>
              <wp:extent cx="7772400" cy="463550"/>
              <wp:effectExtent l="0" t="0" r="0" b="12700"/>
              <wp:wrapNone/>
              <wp:docPr id="10" name="MSIPCM0bed429c8ea494f868781b8d" descr="{&quot;HashCode&quot;:-23542159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678" w:rsidRPr="00923318" w:rsidRDefault="009D4678" w:rsidP="00923318">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64D682A" id="_x0000_t202" coordsize="21600,21600" o:spt="202" path="m,l,21600r21600,l21600,xe">
              <v:stroke joinstyle="miter"/>
              <v:path gradientshapeok="t" o:connecttype="rect"/>
            </v:shapetype>
            <v:shape id="MSIPCM0bed429c8ea494f868781b8d" o:spid="_x0000_s1029" type="#_x0000_t202" alt="{&quot;HashCode&quot;:-235421592,&quot;Height&quot;:9999999.0,&quot;Width&quot;:9999999.0,&quot;Placement&quot;:&quot;Footer&quot;,&quot;Index&quot;:&quot;Primary&quot;,&quot;Section&quot;:1,&quot;Top&quot;:0.0,&quot;Left&quot;:0.0}" style="position:absolute;left:0;text-align:left;margin-left:0;margin-top:0;width:612pt;height:36.5pt;z-index:2516551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eNMsDxoDAABIBgAADgAAAAAAAAAAAAAAAAAu&#10;AgAAZHJzL2Uyb0RvYy54bWxQSwECLQAUAAYACAAAACEAvh8Kt9oAAAAFAQAADwAAAAAAAAAAAAAA&#10;AAB0BQAAZHJzL2Rvd25yZXYueG1sUEsFBgAAAAAEAAQA8wAAAHsGAAAAAA==&#10;" o:allowincell="f" filled="f" stroked="f" strokeweight=".5pt">
              <v:textbox inset=",0,,0">
                <w:txbxContent>
                  <w:p w:rsidR="009D4678" w:rsidRPr="00923318" w:rsidRDefault="009D4678" w:rsidP="00923318">
                    <w:pPr>
                      <w:spacing w:before="0" w:after="0"/>
                      <w:jc w:val="center"/>
                      <w:rPr>
                        <w:rFonts w:cs="Calibri"/>
                        <w:color w:val="000000"/>
                        <w:sz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rsidP="00E65427">
    <w:pPr>
      <w:spacing w:before="240" w:after="0"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r>
      <w:rPr>
        <w:noProof/>
      </w:rPr>
      <mc:AlternateContent>
        <mc:Choice Requires="wps">
          <w:drawing>
            <wp:anchor distT="0" distB="0" distL="114300" distR="114300" simplePos="0" relativeHeight="251657216" behindDoc="0" locked="0" layoutInCell="0" allowOverlap="1" wp14:anchorId="1DF19226" wp14:editId="055C8AEB">
              <wp:simplePos x="0" y="0"/>
              <wp:positionH relativeFrom="page">
                <wp:align>center</wp:align>
              </wp:positionH>
              <wp:positionV relativeFrom="page">
                <wp:align>bottom</wp:align>
              </wp:positionV>
              <wp:extent cx="7772400" cy="463550"/>
              <wp:effectExtent l="0" t="0" r="0" b="12700"/>
              <wp:wrapNone/>
              <wp:docPr id="23" name="MSIPCM89da4c2794ff5c9dfa5102cd" descr="{&quot;HashCode&quot;:-23542159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678" w:rsidRPr="00EB0A67" w:rsidRDefault="009D4678" w:rsidP="00EB0A67">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F19226" id="_x0000_t202" coordsize="21600,21600" o:spt="202" path="m,l,21600r21600,l21600,xe">
              <v:stroke joinstyle="miter"/>
              <v:path gradientshapeok="t" o:connecttype="rect"/>
            </v:shapetype>
            <v:shape id="MSIPCM89da4c2794ff5c9dfa5102cd" o:spid="_x0000_s1030" type="#_x0000_t202" alt="{&quot;HashCode&quot;:-235421592,&quot;Height&quot;:9999999.0,&quot;Width&quot;:9999999.0,&quot;Placement&quot;:&quot;Footer&quot;,&quot;Index&quot;:&quot;Primary&quot;,&quot;Section&quot;:2,&quot;Top&quot;:0.0,&quot;Left&quot;:0.0}" style="position:absolute;left:0;text-align:left;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oW12FxoDAABIBgAADgAAAAAAAAAAAAAAAAAu&#10;AgAAZHJzL2Uyb0RvYy54bWxQSwECLQAUAAYACAAAACEAvh8Kt9oAAAAFAQAADwAAAAAAAAAAAAAA&#10;AAB0BQAAZHJzL2Rvd25yZXYueG1sUEsFBgAAAAAEAAQA8wAAAHsGAAAAAA==&#10;" o:allowincell="f" filled="f" stroked="f" strokeweight=".5pt">
              <v:textbox inset=",0,,0">
                <w:txbxContent>
                  <w:p w:rsidR="009D4678" w:rsidRPr="00EB0A67" w:rsidRDefault="009D4678" w:rsidP="00EB0A67">
                    <w:pPr>
                      <w:spacing w:before="0" w:after="0"/>
                      <w:jc w:val="center"/>
                      <w:rPr>
                        <w:rFonts w:cs="Calibri"/>
                        <w:color w:val="000000"/>
                        <w:sz w:val="18"/>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rsidP="00CD25E1">
    <w:pPr>
      <w:pStyle w:val="Footereven"/>
    </w:pPr>
    <w:r w:rsidRPr="008A2C31">
      <w:rPr>
        <w:b/>
      </w:rPr>
      <w:fldChar w:fldCharType="begin"/>
    </w:r>
    <w:r w:rsidRPr="008A2C31">
      <w:instrText xml:space="preserve"> PAGE </w:instrText>
    </w:r>
    <w:r w:rsidRPr="008A2C31">
      <w:rPr>
        <w:b/>
      </w:rPr>
      <w:fldChar w:fldCharType="separate"/>
    </w:r>
    <w:r w:rsidR="00B23069">
      <w:rPr>
        <w:noProof/>
      </w:rPr>
      <w:t>6</w:t>
    </w:r>
    <w:r w:rsidRPr="008A2C31">
      <w:rPr>
        <w:b/>
      </w:rPr>
      <w:fldChar w:fldCharType="end"/>
    </w:r>
    <w:r w:rsidRPr="008A2C31">
      <w:tab/>
    </w:r>
    <w:r>
      <w:t>Designing a governance framework for the NZ ETS: Consultation document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rsidP="00CD25E1">
    <w:pPr>
      <w:pStyle w:val="Footerodd"/>
    </w:pPr>
    <w:r>
      <w:tab/>
      <w:t>Designing a governance framework for the NZ ETS: Consultation document</w:t>
    </w:r>
    <w:r>
      <w:tab/>
    </w:r>
    <w:r>
      <w:fldChar w:fldCharType="begin"/>
    </w:r>
    <w:r>
      <w:instrText xml:space="preserve"> PAGE   \* MERGEFORMAT </w:instrText>
    </w:r>
    <w:r>
      <w:fldChar w:fldCharType="separate"/>
    </w:r>
    <w:r w:rsidR="00B23069">
      <w:rPr>
        <w:noProof/>
      </w:rPr>
      <w:t>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rsidP="00CD25E1">
    <w:pPr>
      <w:pStyle w:val="Footereven"/>
    </w:pPr>
    <w:r w:rsidRPr="008A2C31">
      <w:rPr>
        <w:b/>
      </w:rPr>
      <w:fldChar w:fldCharType="begin"/>
    </w:r>
    <w:r w:rsidRPr="008A2C31">
      <w:instrText xml:space="preserve"> PAGE </w:instrText>
    </w:r>
    <w:r w:rsidRPr="008A2C31">
      <w:rPr>
        <w:b/>
      </w:rPr>
      <w:fldChar w:fldCharType="separate"/>
    </w:r>
    <w:r w:rsidR="00B23069">
      <w:rPr>
        <w:noProof/>
      </w:rPr>
      <w:t>78</w:t>
    </w:r>
    <w:r w:rsidRPr="008A2C31">
      <w:rPr>
        <w:b/>
      </w:rPr>
      <w:fldChar w:fldCharType="end"/>
    </w:r>
    <w:r w:rsidRPr="008A2C31">
      <w:tab/>
    </w:r>
    <w:r w:rsidRPr="00DB7EC8">
      <w:t>NZ ET</w:t>
    </w:r>
    <w:r>
      <w:t>S</w:t>
    </w:r>
    <w:r w:rsidRPr="00DB7EC8">
      <w:t xml:space="preserve"> Market Governance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rsidP="008A0C11">
    <w:pPr>
      <w:pStyle w:val="Footerodd"/>
      <w:tabs>
        <w:tab w:val="clear" w:pos="7938"/>
        <w:tab w:val="clear" w:pos="8505"/>
        <w:tab w:val="right" w:pos="12758"/>
        <w:tab w:val="right" w:pos="13438"/>
      </w:tabs>
    </w:pPr>
    <w:r>
      <w:tab/>
      <w:t>Reforming the NZ ETS: Market Governance</w:t>
    </w:r>
    <w:r>
      <w:tab/>
    </w:r>
    <w:r>
      <w:fldChar w:fldCharType="begin"/>
    </w:r>
    <w:r>
      <w:instrText xml:space="preserve"> PAGE   \* MERGEFORMAT </w:instrText>
    </w:r>
    <w:r>
      <w:fldChar w:fldCharType="separate"/>
    </w:r>
    <w:r w:rsidR="00B23069">
      <w:rPr>
        <w:noProof/>
      </w:rPr>
      <w:t>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8A" w:rsidRDefault="0004528A" w:rsidP="00CB5C5F">
      <w:pPr>
        <w:spacing w:before="0" w:after="80" w:line="240" w:lineRule="auto"/>
      </w:pPr>
      <w:r>
        <w:separator/>
      </w:r>
    </w:p>
  </w:footnote>
  <w:footnote w:type="continuationSeparator" w:id="0">
    <w:p w:rsidR="0004528A" w:rsidRDefault="0004528A" w:rsidP="0080531E">
      <w:pPr>
        <w:spacing w:before="0" w:after="0" w:line="240" w:lineRule="auto"/>
      </w:pPr>
      <w:r>
        <w:continuationSeparator/>
      </w:r>
    </w:p>
    <w:p w:rsidR="0004528A" w:rsidRDefault="0004528A"/>
  </w:footnote>
  <w:footnote w:id="1">
    <w:p w:rsidR="009D4678" w:rsidRDefault="009D4678">
      <w:pPr>
        <w:pStyle w:val="FootnoteText"/>
      </w:pPr>
      <w:r>
        <w:rPr>
          <w:rStyle w:val="FootnoteReference"/>
        </w:rPr>
        <w:footnoteRef/>
      </w:r>
      <w:r>
        <w:t xml:space="preserve"> </w:t>
      </w:r>
      <w:r>
        <w:tab/>
        <w:t xml:space="preserve">Ministry for the Environment.2018. </w:t>
      </w:r>
      <w:hyperlink r:id="rId1" w:history="1">
        <w:r w:rsidRPr="00DB5F83">
          <w:rPr>
            <w:rStyle w:val="Hyperlink"/>
            <w:i/>
            <w:iCs/>
          </w:rPr>
          <w:t>Improvements to the New Zealand Emissions Trading Scheme</w:t>
        </w:r>
      </w:hyperlink>
      <w:r>
        <w:rPr>
          <w:i/>
          <w:iCs/>
        </w:rPr>
        <w:t xml:space="preserve">. </w:t>
      </w:r>
    </w:p>
  </w:footnote>
  <w:footnote w:id="2">
    <w:p w:rsidR="009D4678" w:rsidRDefault="009D4678">
      <w:pPr>
        <w:pStyle w:val="FootnoteText"/>
      </w:pPr>
      <w:r>
        <w:rPr>
          <w:rStyle w:val="FootnoteReference"/>
        </w:rPr>
        <w:footnoteRef/>
      </w:r>
      <w:r>
        <w:t xml:space="preserve"> </w:t>
      </w:r>
      <w:r>
        <w:tab/>
        <w:t xml:space="preserve">Climate Change Commission. 2021. </w:t>
      </w:r>
      <w:hyperlink r:id="rId2" w:history="1">
        <w:r w:rsidRPr="00DB5F83">
          <w:rPr>
            <w:rStyle w:val="Hyperlink"/>
            <w:i/>
            <w:iCs/>
          </w:rPr>
          <w:t>2021 Draft advice for consultation</w:t>
        </w:r>
      </w:hyperlink>
      <w:r>
        <w:rPr>
          <w:i/>
          <w:iCs/>
        </w:rPr>
        <w:t xml:space="preserve">. </w:t>
      </w:r>
    </w:p>
  </w:footnote>
  <w:footnote w:id="3">
    <w:p w:rsidR="009D4678" w:rsidRDefault="009D4678" w:rsidP="005B776F">
      <w:pPr>
        <w:pStyle w:val="FootnoteText"/>
      </w:pPr>
      <w:r>
        <w:rPr>
          <w:rStyle w:val="FootnoteReference"/>
        </w:rPr>
        <w:footnoteRef/>
      </w:r>
      <w:r>
        <w:t xml:space="preserve"> </w:t>
      </w:r>
      <w:r>
        <w:tab/>
        <w:t>Productivity Commission. 2018.</w:t>
      </w:r>
      <w:r>
        <w:rPr>
          <w:i/>
          <w:iCs/>
        </w:rPr>
        <w:t xml:space="preserve"> </w:t>
      </w:r>
      <w:hyperlink r:id="rId3" w:history="1">
        <w:r w:rsidRPr="00DB5F83">
          <w:rPr>
            <w:rStyle w:val="Hyperlink"/>
            <w:i/>
            <w:iCs/>
          </w:rPr>
          <w:t>Low-emissions economy</w:t>
        </w:r>
      </w:hyperlink>
      <w:r>
        <w:rPr>
          <w:i/>
          <w:iCs/>
        </w:rPr>
        <w:t xml:space="preserve">. </w:t>
      </w:r>
    </w:p>
  </w:footnote>
  <w:footnote w:id="4">
    <w:p w:rsidR="009D4678" w:rsidRDefault="009D4678">
      <w:pPr>
        <w:pStyle w:val="FootnoteText"/>
      </w:pPr>
      <w:r>
        <w:rPr>
          <w:rStyle w:val="FootnoteReference"/>
        </w:rPr>
        <w:footnoteRef/>
      </w:r>
      <w:r>
        <w:t xml:space="preserve"> </w:t>
      </w:r>
      <w:r>
        <w:tab/>
        <w:t xml:space="preserve">Ministry for the Environment. 2019. </w:t>
      </w:r>
      <w:hyperlink r:id="rId4" w:history="1">
        <w:r w:rsidRPr="00DB5F83">
          <w:rPr>
            <w:rStyle w:val="Hyperlink"/>
            <w:i/>
            <w:iCs/>
          </w:rPr>
          <w:t>Transitioning to a low-emissions future – the Government response to the Productivity Commission’s Low Emissions Economy report</w:t>
        </w:r>
      </w:hyperlink>
      <w:r w:rsidRPr="008A2C31">
        <w:rPr>
          <w:i/>
          <w:iCs/>
        </w:rPr>
        <w:t>.</w:t>
      </w:r>
      <w:r>
        <w:t xml:space="preserve"> </w:t>
      </w:r>
    </w:p>
  </w:footnote>
  <w:footnote w:id="5">
    <w:p w:rsidR="009D4678" w:rsidRPr="007E768F" w:rsidRDefault="009D4678" w:rsidP="00883A7F">
      <w:pPr>
        <w:pStyle w:val="FootnoteText"/>
        <w:rPr>
          <w:sz w:val="16"/>
          <w:szCs w:val="16"/>
          <w:vertAlign w:val="superscript"/>
        </w:rPr>
      </w:pPr>
      <w:r>
        <w:rPr>
          <w:rStyle w:val="FootnoteReference"/>
        </w:rPr>
        <w:footnoteRef/>
      </w:r>
      <w:r>
        <w:t xml:space="preserve"> </w:t>
      </w:r>
      <w:r>
        <w:tab/>
        <w:t>Industrial allocation assists EITE industries with their surrender obligations, to avoid emissions leakage. Leakage can occur when industries relocate to a country with less regulation on greenhouse gas emissions, resulting in an increase in global emissions.</w:t>
      </w:r>
    </w:p>
  </w:footnote>
  <w:footnote w:id="6">
    <w:p w:rsidR="009D4678" w:rsidRDefault="009D4678" w:rsidP="00FA471B">
      <w:pPr>
        <w:pStyle w:val="FootnoteText"/>
      </w:pPr>
      <w:r w:rsidRPr="000D241D">
        <w:rPr>
          <w:rStyle w:val="FootnoteReference"/>
        </w:rPr>
        <w:footnoteRef/>
      </w:r>
      <w:r w:rsidRPr="000D241D">
        <w:t xml:space="preserve"> </w:t>
      </w:r>
      <w:r w:rsidRPr="000D241D">
        <w:tab/>
      </w:r>
      <w:r>
        <w:t>T</w:t>
      </w:r>
      <w:r w:rsidRPr="000D241D">
        <w:t xml:space="preserve">here are ‘other removal activities’ in the ETS that permanently or temporarily embed a substance in a product, store </w:t>
      </w:r>
      <w:r>
        <w:t>CO</w:t>
      </w:r>
      <w:r w:rsidRPr="000D1F83">
        <w:rPr>
          <w:vertAlign w:val="subscript"/>
        </w:rPr>
        <w:t xml:space="preserve">2 </w:t>
      </w:r>
      <w:r w:rsidRPr="000D241D">
        <w:t>after capture, or export or destroy hydrofluorocarbons or perfluorocarbons.</w:t>
      </w:r>
      <w:r>
        <w:t xml:space="preserve"> </w:t>
      </w:r>
    </w:p>
  </w:footnote>
  <w:footnote w:id="7">
    <w:p w:rsidR="009D4678" w:rsidRDefault="009D4678">
      <w:pPr>
        <w:pStyle w:val="FootnoteText"/>
      </w:pPr>
      <w:r>
        <w:rPr>
          <w:rStyle w:val="FootnoteReference"/>
        </w:rPr>
        <w:footnoteRef/>
      </w:r>
      <w:r>
        <w:t xml:space="preserve"> </w:t>
      </w:r>
      <w:r>
        <w:tab/>
        <w:t>Which m</w:t>
      </w:r>
      <w:r>
        <w:rPr>
          <w:shd w:val="clear" w:color="auto" w:fill="FFFFFF"/>
        </w:rPr>
        <w:t>ay be addressed under the f</w:t>
      </w:r>
      <w:r w:rsidRPr="007C3F82">
        <w:rPr>
          <w:shd w:val="clear" w:color="auto" w:fill="FFFFFF"/>
        </w:rPr>
        <w:t xml:space="preserve">orestry </w:t>
      </w:r>
      <w:r>
        <w:rPr>
          <w:shd w:val="clear" w:color="auto" w:fill="FFFFFF"/>
        </w:rPr>
        <w:t>a</w:t>
      </w:r>
      <w:r w:rsidRPr="007C3F82">
        <w:rPr>
          <w:shd w:val="clear" w:color="auto" w:fill="FFFFFF"/>
        </w:rPr>
        <w:t>dvisers provisions of the Forests (Regulation of Log Traders and Forestry Advisers) Amendment Act 2020</w:t>
      </w:r>
      <w:r>
        <w:rPr>
          <w:shd w:val="clear" w:color="auto" w:fill="FFFFFF"/>
        </w:rPr>
        <w:t>.</w:t>
      </w:r>
    </w:p>
  </w:footnote>
  <w:footnote w:id="8">
    <w:p w:rsidR="009D4678" w:rsidRDefault="009D4678" w:rsidP="00223BEC">
      <w:pPr>
        <w:pStyle w:val="FootnoteText"/>
      </w:pPr>
      <w:r>
        <w:rPr>
          <w:rStyle w:val="FootnoteReference"/>
        </w:rPr>
        <w:footnoteRef/>
      </w:r>
      <w:r>
        <w:t xml:space="preserve"> </w:t>
      </w:r>
      <w:r>
        <w:tab/>
      </w:r>
      <w:r>
        <w:rPr>
          <w:rStyle w:val="Hyperlink"/>
        </w:rPr>
        <w:t xml:space="preserve"> Ministry for the Environment. 2018. </w:t>
      </w:r>
      <w:hyperlink r:id="rId5" w:history="1">
        <w:r w:rsidRPr="00812A66">
          <w:rPr>
            <w:rStyle w:val="Hyperlink"/>
            <w:i/>
            <w:iCs/>
          </w:rPr>
          <w:t>Improvements to the New Zealand Emissions Trading Scheme</w:t>
        </w:r>
      </w:hyperlink>
      <w:r>
        <w:t>.</w:t>
      </w:r>
    </w:p>
  </w:footnote>
  <w:footnote w:id="9">
    <w:p w:rsidR="009D4678" w:rsidRDefault="009D4678">
      <w:pPr>
        <w:pStyle w:val="FootnoteText"/>
      </w:pPr>
      <w:r>
        <w:rPr>
          <w:rStyle w:val="FootnoteReference"/>
        </w:rPr>
        <w:footnoteRef/>
      </w:r>
      <w:r>
        <w:t xml:space="preserve"> </w:t>
      </w:r>
      <w:r>
        <w:tab/>
      </w:r>
      <w:r w:rsidRPr="00C15B2A">
        <w:rPr>
          <w:rFonts w:asciiTheme="minorHAnsi" w:hAnsiTheme="minorHAnsi" w:cstheme="minorHAnsi"/>
          <w:color w:val="131313"/>
        </w:rPr>
        <w:t>To maintain confidentiality, participants and advice providers cannot be named.</w:t>
      </w:r>
    </w:p>
  </w:footnote>
  <w:footnote w:id="10">
    <w:p w:rsidR="009D4678" w:rsidRDefault="009D4678" w:rsidP="008B7A44">
      <w:pPr>
        <w:pStyle w:val="FootnoteText"/>
      </w:pPr>
      <w:r>
        <w:rPr>
          <w:rStyle w:val="FootnoteReference"/>
        </w:rPr>
        <w:footnoteRef/>
      </w:r>
      <w:r>
        <w:t xml:space="preserve"> </w:t>
      </w:r>
      <w:r>
        <w:tab/>
        <w:t xml:space="preserve">In a liquid market, assets can generally be bought and sold quickly. In an illiquid market, the seller may need to </w:t>
      </w:r>
      <w:r w:rsidRPr="005A7FB9">
        <w:t>wait</w:t>
      </w:r>
      <w:r>
        <w:t xml:space="preserve"> longer than necessary for a buyer or may need to discount the asset so that it sells quickly.</w:t>
      </w:r>
    </w:p>
  </w:footnote>
  <w:footnote w:id="11">
    <w:p w:rsidR="009D4678" w:rsidRDefault="009D4678" w:rsidP="007C649E">
      <w:pPr>
        <w:pStyle w:val="FootnoteText"/>
      </w:pPr>
      <w:r>
        <w:rPr>
          <w:rStyle w:val="FootnoteReference"/>
        </w:rPr>
        <w:footnoteRef/>
      </w:r>
      <w:r>
        <w:t xml:space="preserve"> </w:t>
      </w:r>
      <w:r>
        <w:tab/>
        <w:t>Short selling is selling a NZU that is not currently owned by the seller, but the seller is obliged to deliver at some point in the future. For example, the seller has borrowed the NZU from another trader, and promises to repay that NZU in the future. The seller hopes market prices decline over time, allowing the seller to buy an NZU from the market at a cheaper price than when they borrowed.</w:t>
      </w:r>
    </w:p>
  </w:footnote>
  <w:footnote w:id="12">
    <w:p w:rsidR="009D4678" w:rsidRDefault="009D4678" w:rsidP="00A37B38">
      <w:pPr>
        <w:pStyle w:val="FootnoteText"/>
      </w:pPr>
      <w:r>
        <w:rPr>
          <w:rStyle w:val="FootnoteReference"/>
        </w:rPr>
        <w:footnoteRef/>
      </w:r>
      <w:r>
        <w:t xml:space="preserve"> </w:t>
      </w:r>
      <w:r>
        <w:tab/>
      </w:r>
      <w:hyperlink r:id="rId6" w:history="1">
        <w:r w:rsidRPr="00812A66">
          <w:rPr>
            <w:rStyle w:val="Hyperlink"/>
            <w:i/>
            <w:iCs/>
          </w:rPr>
          <w:t>Impact Summary: Prohibiting insider trading and market manipulation in the New Zealand Emissions Trading Scheme</w:t>
        </w:r>
      </w:hyperlink>
      <w:r>
        <w:rPr>
          <w:rStyle w:val="Hyperlink"/>
        </w:rPr>
        <w:t>.</w:t>
      </w:r>
      <w:r>
        <w:t xml:space="preserve"> </w:t>
      </w:r>
    </w:p>
  </w:footnote>
  <w:footnote w:id="13">
    <w:p w:rsidR="009D4678" w:rsidRDefault="009D4678" w:rsidP="00A43522">
      <w:pPr>
        <w:pStyle w:val="FootnoteText"/>
        <w:spacing w:after="0"/>
      </w:pPr>
      <w:r>
        <w:rPr>
          <w:rStyle w:val="FootnoteReference"/>
        </w:rPr>
        <w:footnoteRef/>
      </w:r>
      <w:r>
        <w:t xml:space="preserve"> </w:t>
      </w:r>
      <w:r>
        <w:tab/>
        <w:t xml:space="preserve">The sample included </w:t>
      </w:r>
      <w:r w:rsidRPr="00AF510A">
        <w:t>Crown</w:t>
      </w:r>
      <w:r>
        <w:t xml:space="preserve"> agencies, independent Crown entities and autonomous Crown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pPr>
      <w:pStyle w:val="Header"/>
    </w:pPr>
    <w:r>
      <w:rPr>
        <w:noProof/>
      </w:rPr>
      <mc:AlternateContent>
        <mc:Choice Requires="wps">
          <w:drawing>
            <wp:anchor distT="0" distB="0" distL="114300" distR="114300" simplePos="0" relativeHeight="251659264" behindDoc="0" locked="0" layoutInCell="0" allowOverlap="1" wp14:anchorId="5FC6F919" wp14:editId="66A249BD">
              <wp:simplePos x="0" y="190500"/>
              <wp:positionH relativeFrom="page">
                <wp:align>center</wp:align>
              </wp:positionH>
              <wp:positionV relativeFrom="page">
                <wp:align>top</wp:align>
              </wp:positionV>
              <wp:extent cx="7772400" cy="463550"/>
              <wp:effectExtent l="0" t="0" r="0" b="12700"/>
              <wp:wrapNone/>
              <wp:docPr id="8" name="MSIPCM6f884c2dbfae24d75366a316" descr="{&quot;HashCode&quot;:896147776,&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678" w:rsidRPr="00316C65" w:rsidRDefault="009D4678" w:rsidP="00316C65">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C6F919" id="_x0000_t202" coordsize="21600,21600" o:spt="202" path="m,l,21600r21600,l21600,xe">
              <v:stroke joinstyle="miter"/>
              <v:path gradientshapeok="t" o:connecttype="rect"/>
            </v:shapetype>
            <v:shape id="MSIPCM6f884c2dbfae24d75366a316" o:spid="_x0000_s1026" type="#_x0000_t202" alt="{&quot;HashCode&quot;:896147776,&quot;Height&quot;:9999999.0,&quot;Width&quot;:9999999.0,&quot;Placement&quot;:&quot;Header&quot;,&quot;Index&quot;:&quot;OddAndEven&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Cdq3xOGQMAAEIGAAAOAAAAAAAAAAAAAAAAAC4C&#10;AABkcnMvZTJvRG9jLnhtbFBLAQItABQABgAIAAAAIQC+Hwq32gAAAAUBAAAPAAAAAAAAAAAAAAAA&#10;AHMFAABkcnMvZG93bnJldi54bWxQSwUGAAAAAAQABADzAAAAegYAAAAA&#10;" o:allowincell="f" filled="f" stroked="f" strokeweight=".5pt">
              <v:textbox inset=",0,,0">
                <w:txbxContent>
                  <w:p w:rsidR="009D4678" w:rsidRPr="00316C65" w:rsidRDefault="009D4678" w:rsidP="00316C65">
                    <w:pPr>
                      <w:spacing w:before="0" w:after="0"/>
                      <w:jc w:val="center"/>
                      <w:rPr>
                        <w:rFonts w:cs="Calibri"/>
                        <w:color w:val="000000"/>
                        <w:sz w:val="1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Pr="00DE7BF8" w:rsidRDefault="0004528A" w:rsidP="00734B9A">
    <w:pPr>
      <w:pStyle w:val="Header"/>
      <w:ind w:left="-57"/>
      <w:jc w:val="left"/>
      <w:rPr>
        <w:rFonts w:ascii="Calibri" w:hAnsi="Calibri"/>
      </w:rPr>
    </w:pPr>
    <w:sdt>
      <w:sdtPr>
        <w:rPr>
          <w:rFonts w:ascii="Calibri" w:hAnsi="Calibri"/>
        </w:rPr>
        <w:id w:val="43652427"/>
        <w:docPartObj>
          <w:docPartGallery w:val="Watermarks"/>
          <w:docPartUnique/>
        </w:docPartObj>
      </w:sdtPr>
      <w:sdtEndPr/>
      <w:sdtContent>
        <w:r>
          <w:rPr>
            <w:rFonts w:ascii="Calibri" w:hAnsi="Calibri"/>
            <w:noProof/>
          </w:rPr>
          <w:pict w14:anchorId="549D7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D4678">
      <w:rPr>
        <w:rFonts w:ascii="Calibri" w:hAnsi="Calibri"/>
        <w:noProof/>
      </w:rPr>
      <mc:AlternateContent>
        <mc:Choice Requires="wps">
          <w:drawing>
            <wp:anchor distT="0" distB="0" distL="114300" distR="114300" simplePos="0" relativeHeight="251658240" behindDoc="0" locked="0" layoutInCell="0" allowOverlap="1" wp14:anchorId="3DD26A5F" wp14:editId="13FD4E88">
              <wp:simplePos x="0" y="0"/>
              <wp:positionH relativeFrom="page">
                <wp:align>center</wp:align>
              </wp:positionH>
              <wp:positionV relativeFrom="page">
                <wp:align>top</wp:align>
              </wp:positionV>
              <wp:extent cx="7772400" cy="463550"/>
              <wp:effectExtent l="0" t="0" r="0" b="12700"/>
              <wp:wrapNone/>
              <wp:docPr id="6" name="MSIPCMb3854eeab1fce1723bbacecf" descr="{&quot;HashCode&quot;:89614777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4678" w:rsidRPr="00316C65" w:rsidRDefault="009D4678" w:rsidP="00316C65">
                          <w:pPr>
                            <w:spacing w:before="0" w:after="0"/>
                            <w:jc w:val="center"/>
                            <w:rPr>
                              <w:rFonts w:cs="Calibri"/>
                              <w:color w:val="000000"/>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D26A5F" id="_x0000_t202" coordsize="21600,21600" o:spt="202" path="m,l,21600r21600,l21600,xe">
              <v:stroke joinstyle="miter"/>
              <v:path gradientshapeok="t" o:connecttype="rect"/>
            </v:shapetype>
            <v:shape id="MSIPCMb3854eeab1fce1723bbacecf" o:spid="_x0000_s1027" type="#_x0000_t202" alt="{&quot;HashCode&quot;:896147776,&quot;Height&quot;:9999999.0,&quot;Width&quot;:9999999.0,&quot;Placement&quot;:&quot;Header&quot;,&quot;Index&quot;:&quot;Primary&quot;,&quot;Section&quot;:1,&quot;Top&quot;:0.0,&quot;Left&quot;:0.0}" style="position:absolute;left:0;text-align:left;margin-left:0;margin-top:0;width:612pt;height:36.5pt;z-index:25165824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" o:allowincell="f" filled="f" stroked="f" strokeweight=".5pt">
              <v:textbox inset=",0,,0">
                <w:txbxContent>
                  <w:p w:rsidR="009D4678" w:rsidRPr="00316C65" w:rsidRDefault="009D4678" w:rsidP="00316C65">
                    <w:pPr>
                      <w:spacing w:before="0" w:after="0"/>
                      <w:jc w:val="center"/>
                      <w:rPr>
                        <w:rFonts w:cs="Calibri"/>
                        <w:color w:val="000000"/>
                        <w:sz w:val="18"/>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rsidP="003615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78" w:rsidRDefault="009D4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6CAC72E4"/>
    <w:lvl w:ilvl="0">
      <w:start w:val="1"/>
      <w:numFmt w:val="bullet"/>
      <w:pStyle w:val="Greenbullet-casestudytables"/>
      <w:lvlText w:val=""/>
      <w:lvlJc w:val="left"/>
      <w:pPr>
        <w:ind w:left="680" w:hanging="396"/>
      </w:pPr>
      <w:rPr>
        <w:rFonts w:ascii="Symbol" w:hAnsi="Symbol" w:hint="default"/>
        <w:color w:val="0F7B7D"/>
        <w:sz w:val="18"/>
        <w:szCs w:val="18"/>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C4A1B83"/>
    <w:multiLevelType w:val="hybridMultilevel"/>
    <w:tmpl w:val="DD800272"/>
    <w:lvl w:ilvl="0" w:tplc="43103976">
      <w:start w:val="1"/>
      <w:numFmt w:val="decimal"/>
      <w:lvlText w:val="%1)"/>
      <w:lvlJc w:val="left"/>
      <w:pPr>
        <w:ind w:left="720" w:hanging="360"/>
      </w:pPr>
      <w:rPr>
        <w:rFonts w:hint="default"/>
      </w:rPr>
    </w:lvl>
    <w:lvl w:ilvl="1" w:tplc="14090019">
      <w:start w:val="1"/>
      <w:numFmt w:val="lowerLetter"/>
      <w:lvlText w:val="%2."/>
      <w:lvlJc w:val="left"/>
      <w:pPr>
        <w:ind w:left="1494"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D87651"/>
    <w:multiLevelType w:val="multilevel"/>
    <w:tmpl w:val="AACE2AF0"/>
    <w:lvl w:ilvl="0">
      <w:start w:val="1"/>
      <w:numFmt w:val="decimal"/>
      <w:lvlText w:val="%1."/>
      <w:lvlJc w:val="left"/>
      <w:pPr>
        <w:tabs>
          <w:tab w:val="num" w:pos="397"/>
        </w:tabs>
        <w:ind w:left="397" w:hanging="397"/>
      </w:pPr>
      <w:rPr>
        <w:rFonts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F7CBE"/>
    <w:multiLevelType w:val="multilevel"/>
    <w:tmpl w:val="795AF770"/>
    <w:lvl w:ilvl="0">
      <w:start w:val="1"/>
      <w:numFmt w:val="decimal"/>
      <w:lvlText w:val="%1."/>
      <w:lvlJc w:val="left"/>
      <w:pPr>
        <w:ind w:left="1004" w:hanging="360"/>
      </w:pPr>
      <w:rPr>
        <w:rFonts w:ascii="Calibri" w:hAnsi="Calibri" w:cstheme="minorHAnsi" w:hint="default"/>
        <w:color w:val="1C556C"/>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pStyle w:val="Blueboxnumbered"/>
      <w:lvlText w:val="%4."/>
      <w:lvlJc w:val="left"/>
      <w:pPr>
        <w:ind w:left="680" w:hanging="396"/>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13A02242"/>
    <w:multiLevelType w:val="multilevel"/>
    <w:tmpl w:val="C840E932"/>
    <w:lvl w:ilvl="0">
      <w:start w:val="1"/>
      <w:numFmt w:val="decimal"/>
      <w:lvlText w:val="%1."/>
      <w:lvlJc w:val="left"/>
      <w:pPr>
        <w:tabs>
          <w:tab w:val="num" w:pos="397"/>
        </w:tabs>
        <w:ind w:left="397" w:hanging="397"/>
      </w:pPr>
      <w:rPr>
        <w:rFonts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C42D4F"/>
    <w:multiLevelType w:val="hybridMultilevel"/>
    <w:tmpl w:val="B29EC9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45DECC76"/>
    <w:lvl w:ilvl="0">
      <w:start w:val="1"/>
      <w:numFmt w:val="decimal"/>
      <w:pStyle w:val="Numberedparagraph"/>
      <w:lvlText w:val="%1."/>
      <w:lvlJc w:val="left"/>
      <w:pPr>
        <w:ind w:left="-114"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3" w15:restartNumberingAfterBreak="0">
    <w:nsid w:val="3D465A16"/>
    <w:multiLevelType w:val="multilevel"/>
    <w:tmpl w:val="EA8CA7B0"/>
    <w:lvl w:ilvl="0">
      <w:start w:val="1"/>
      <w:numFmt w:val="bullet"/>
      <w:pStyle w:val="Bullet"/>
      <w:lvlText w:val=""/>
      <w:lvlJc w:val="left"/>
      <w:pPr>
        <w:tabs>
          <w:tab w:val="num" w:pos="1477"/>
        </w:tabs>
        <w:ind w:left="1477" w:hanging="397"/>
      </w:pPr>
      <w:rPr>
        <w:rFonts w:ascii="Symbol" w:hAnsi="Symbol" w:hint="default"/>
        <w:color w:val="auto"/>
        <w:sz w:val="18"/>
        <w:szCs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3F8C0C1E"/>
    <w:multiLevelType w:val="hybridMultilevel"/>
    <w:tmpl w:val="5436221E"/>
    <w:lvl w:ilvl="0" w:tplc="89700D46">
      <w:start w:val="1"/>
      <w:numFmt w:val="bullet"/>
      <w:pStyle w:val="ListBullet"/>
      <w:lvlText w:val="•"/>
      <w:lvlJc w:val="left"/>
      <w:pPr>
        <w:ind w:left="397" w:hanging="397"/>
      </w:pPr>
      <w:rPr>
        <w:rFonts w:ascii="Calibri" w:hAnsi="Calibri" w:hint="default"/>
        <w:sz w:val="20"/>
      </w:rPr>
    </w:lvl>
    <w:lvl w:ilvl="1" w:tplc="87C88960">
      <w:start w:val="1"/>
      <w:numFmt w:val="bullet"/>
      <w:pStyle w:val="ListBullet2"/>
      <w:lvlText w:val="–"/>
      <w:lvlJc w:val="left"/>
      <w:pPr>
        <w:ind w:left="794" w:hanging="397"/>
      </w:pPr>
      <w:rPr>
        <w:rFonts w:ascii="Calibri" w:hAnsi="Calibri" w:hint="default"/>
      </w:rPr>
    </w:lvl>
    <w:lvl w:ilvl="2" w:tplc="A4F252E8">
      <w:start w:val="1"/>
      <w:numFmt w:val="lowerLetter"/>
      <w:pStyle w:val="ListBullet3"/>
      <w:lvlText w:val="%3."/>
      <w:lvlJc w:val="left"/>
      <w:pPr>
        <w:ind w:left="1191" w:hanging="397"/>
      </w:pPr>
      <w:rPr>
        <w:rFonts w:hint="default"/>
      </w:rPr>
    </w:lvl>
    <w:lvl w:ilvl="3" w:tplc="2404276E">
      <w:start w:val="1"/>
      <w:numFmt w:val="lowerRoman"/>
      <w:pStyle w:val="ListBullet4"/>
      <w:lvlText w:val="%4."/>
      <w:lvlJc w:val="left"/>
      <w:pPr>
        <w:ind w:left="1588" w:hanging="397"/>
      </w:pPr>
      <w:rPr>
        <w:rFonts w:hint="default"/>
      </w:rPr>
    </w:lvl>
    <w:lvl w:ilvl="4" w:tplc="2DCAEF4A">
      <w:start w:val="1"/>
      <w:numFmt w:val="bullet"/>
      <w:pStyle w:val="ListBullet5"/>
      <w:lvlText w:val="•"/>
      <w:lvlJc w:val="left"/>
      <w:pPr>
        <w:ind w:left="1985" w:hanging="397"/>
      </w:pPr>
      <w:rPr>
        <w:rFonts w:ascii="Calibri" w:hAnsi="Calibri" w:hint="default"/>
        <w:sz w:val="20"/>
      </w:rPr>
    </w:lvl>
    <w:lvl w:ilvl="5" w:tplc="B3AC5BDA">
      <w:start w:val="1"/>
      <w:numFmt w:val="bullet"/>
      <w:lvlText w:val="–"/>
      <w:lvlJc w:val="left"/>
      <w:pPr>
        <w:ind w:left="2382" w:hanging="397"/>
      </w:pPr>
      <w:rPr>
        <w:rFonts w:ascii="Calibri" w:hAnsi="Calibri" w:hint="default"/>
      </w:rPr>
    </w:lvl>
    <w:lvl w:ilvl="6" w:tplc="2CA8826A">
      <w:start w:val="1"/>
      <w:numFmt w:val="bullet"/>
      <w:lvlText w:val=""/>
      <w:lvlJc w:val="left"/>
      <w:pPr>
        <w:ind w:left="2779" w:hanging="397"/>
      </w:pPr>
      <w:rPr>
        <w:rFonts w:ascii="Wingdings" w:hAnsi="Wingdings" w:hint="default"/>
      </w:rPr>
    </w:lvl>
    <w:lvl w:ilvl="7" w:tplc="97FC0AEA">
      <w:start w:val="1"/>
      <w:numFmt w:val="bullet"/>
      <w:lvlText w:val=""/>
      <w:lvlJc w:val="left"/>
      <w:pPr>
        <w:ind w:left="3176" w:hanging="397"/>
      </w:pPr>
      <w:rPr>
        <w:rFonts w:ascii="Symbol" w:hAnsi="Symbol" w:hint="default"/>
      </w:rPr>
    </w:lvl>
    <w:lvl w:ilvl="8" w:tplc="0A00E07E">
      <w:start w:val="1"/>
      <w:numFmt w:val="bullet"/>
      <w:lvlText w:val=""/>
      <w:lvlJc w:val="left"/>
      <w:pPr>
        <w:ind w:left="3573" w:hanging="397"/>
      </w:pPr>
      <w:rPr>
        <w:rFonts w:ascii="Symbol" w:hAnsi="Symbol" w:hint="default"/>
      </w:rPr>
    </w:lvl>
  </w:abstractNum>
  <w:abstractNum w:abstractNumId="15"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8"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19" w15:restartNumberingAfterBreak="0">
    <w:nsid w:val="57CA2F43"/>
    <w:multiLevelType w:val="hybridMultilevel"/>
    <w:tmpl w:val="B254E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B13B0"/>
    <w:multiLevelType w:val="hybridMultilevel"/>
    <w:tmpl w:val="46B4C580"/>
    <w:lvl w:ilvl="0" w:tplc="535C6468">
      <w:start w:val="1"/>
      <w:numFmt w:val="bullet"/>
      <w:pStyle w:val="Greensub-bullet-casestudytables"/>
      <w:lvlText w:val="‒"/>
      <w:lvlJc w:val="left"/>
      <w:pPr>
        <w:ind w:left="438" w:hanging="360"/>
      </w:pPr>
      <w:rPr>
        <w:rFonts w:ascii="Calibri" w:hAnsi="Calibri" w:cs="Times New Roman" w:hint="default"/>
        <w:color w:val="0F7B7D"/>
        <w:sz w:val="20"/>
      </w:rPr>
    </w:lvl>
    <w:lvl w:ilvl="1" w:tplc="14090003" w:tentative="1">
      <w:start w:val="1"/>
      <w:numFmt w:val="bullet"/>
      <w:lvlText w:val="o"/>
      <w:lvlJc w:val="left"/>
      <w:pPr>
        <w:ind w:left="1158" w:hanging="360"/>
      </w:pPr>
      <w:rPr>
        <w:rFonts w:ascii="Courier New" w:hAnsi="Courier New" w:cs="Courier New" w:hint="default"/>
      </w:rPr>
    </w:lvl>
    <w:lvl w:ilvl="2" w:tplc="14090005" w:tentative="1">
      <w:start w:val="1"/>
      <w:numFmt w:val="bullet"/>
      <w:lvlText w:val=""/>
      <w:lvlJc w:val="left"/>
      <w:pPr>
        <w:ind w:left="1878" w:hanging="360"/>
      </w:pPr>
      <w:rPr>
        <w:rFonts w:ascii="Wingdings" w:hAnsi="Wingdings" w:hint="default"/>
      </w:rPr>
    </w:lvl>
    <w:lvl w:ilvl="3" w:tplc="14090001" w:tentative="1">
      <w:start w:val="1"/>
      <w:numFmt w:val="bullet"/>
      <w:lvlText w:val=""/>
      <w:lvlJc w:val="left"/>
      <w:pPr>
        <w:ind w:left="2598" w:hanging="360"/>
      </w:pPr>
      <w:rPr>
        <w:rFonts w:ascii="Symbol" w:hAnsi="Symbol" w:hint="default"/>
      </w:rPr>
    </w:lvl>
    <w:lvl w:ilvl="4" w:tplc="14090003" w:tentative="1">
      <w:start w:val="1"/>
      <w:numFmt w:val="bullet"/>
      <w:lvlText w:val="o"/>
      <w:lvlJc w:val="left"/>
      <w:pPr>
        <w:ind w:left="3318" w:hanging="360"/>
      </w:pPr>
      <w:rPr>
        <w:rFonts w:ascii="Courier New" w:hAnsi="Courier New" w:cs="Courier New" w:hint="default"/>
      </w:rPr>
    </w:lvl>
    <w:lvl w:ilvl="5" w:tplc="14090005" w:tentative="1">
      <w:start w:val="1"/>
      <w:numFmt w:val="bullet"/>
      <w:lvlText w:val=""/>
      <w:lvlJc w:val="left"/>
      <w:pPr>
        <w:ind w:left="4038" w:hanging="360"/>
      </w:pPr>
      <w:rPr>
        <w:rFonts w:ascii="Wingdings" w:hAnsi="Wingdings" w:hint="default"/>
      </w:rPr>
    </w:lvl>
    <w:lvl w:ilvl="6" w:tplc="14090001" w:tentative="1">
      <w:start w:val="1"/>
      <w:numFmt w:val="bullet"/>
      <w:lvlText w:val=""/>
      <w:lvlJc w:val="left"/>
      <w:pPr>
        <w:ind w:left="4758" w:hanging="360"/>
      </w:pPr>
      <w:rPr>
        <w:rFonts w:ascii="Symbol" w:hAnsi="Symbol" w:hint="default"/>
      </w:rPr>
    </w:lvl>
    <w:lvl w:ilvl="7" w:tplc="14090003" w:tentative="1">
      <w:start w:val="1"/>
      <w:numFmt w:val="bullet"/>
      <w:lvlText w:val="o"/>
      <w:lvlJc w:val="left"/>
      <w:pPr>
        <w:ind w:left="5478" w:hanging="360"/>
      </w:pPr>
      <w:rPr>
        <w:rFonts w:ascii="Courier New" w:hAnsi="Courier New" w:cs="Courier New" w:hint="default"/>
      </w:rPr>
    </w:lvl>
    <w:lvl w:ilvl="8" w:tplc="14090005" w:tentative="1">
      <w:start w:val="1"/>
      <w:numFmt w:val="bullet"/>
      <w:lvlText w:val=""/>
      <w:lvlJc w:val="left"/>
      <w:pPr>
        <w:ind w:left="6198" w:hanging="360"/>
      </w:pPr>
      <w:rPr>
        <w:rFonts w:ascii="Wingdings" w:hAnsi="Wingdings" w:hint="default"/>
      </w:rPr>
    </w:lvl>
  </w:abstractNum>
  <w:abstractNum w:abstractNumId="22" w15:restartNumberingAfterBreak="0">
    <w:nsid w:val="7346105C"/>
    <w:multiLevelType w:val="multilevel"/>
    <w:tmpl w:val="9FF86F98"/>
    <w:lvl w:ilvl="0">
      <w:start w:val="1"/>
      <w:numFmt w:val="decimal"/>
      <w:lvlText w:val="%1."/>
      <w:lvlJc w:val="left"/>
      <w:pPr>
        <w:tabs>
          <w:tab w:val="num" w:pos="397"/>
        </w:tabs>
        <w:ind w:left="397" w:hanging="397"/>
      </w:pPr>
      <w:rPr>
        <w:rFonts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4D254A"/>
    <w:multiLevelType w:val="singleLevel"/>
    <w:tmpl w:val="A61C0FA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2"/>
  </w:num>
  <w:num w:numId="2">
    <w:abstractNumId w:val="18"/>
  </w:num>
  <w:num w:numId="3">
    <w:abstractNumId w:val="15"/>
  </w:num>
  <w:num w:numId="4">
    <w:abstractNumId w:val="11"/>
  </w:num>
  <w:num w:numId="5">
    <w:abstractNumId w:val="8"/>
  </w:num>
  <w:num w:numId="6">
    <w:abstractNumId w:val="17"/>
  </w:num>
  <w:num w:numId="7">
    <w:abstractNumId w:val="16"/>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0"/>
  </w:num>
  <w:num w:numId="12">
    <w:abstractNumId w:val="1"/>
  </w:num>
  <w:num w:numId="13">
    <w:abstractNumId w:val="9"/>
  </w:num>
  <w:num w:numId="14">
    <w:abstractNumId w:val="13"/>
  </w:num>
  <w:num w:numId="15">
    <w:abstractNumId w:val="7"/>
  </w:num>
  <w:num w:numId="16">
    <w:abstractNumId w:val="21"/>
  </w:num>
  <w:num w:numId="17">
    <w:abstractNumId w:val="19"/>
  </w:num>
  <w:num w:numId="18">
    <w:abstractNumId w:val="2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22"/>
  </w:num>
  <w:num w:numId="25">
    <w:abstractNumId w:val="3"/>
  </w:num>
  <w:num w:numId="26">
    <w:abstractNumId w:val="4"/>
  </w:num>
  <w:num w:numId="27">
    <w:abstractNumId w:val="5"/>
  </w:num>
  <w:num w:numId="2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DateAndTime/>
  <w:activeWritingStyle w:appName="MSWord" w:lang="de-DE" w:vendorID="64" w:dllVersion="6" w:nlCheck="1" w:checkStyle="0"/>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NZ" w:vendorID="64" w:dllVersion="131078" w:nlCheck="1" w:checkStyle="1"/>
  <w:attachedTemplate r:id="rId1"/>
  <w:defaultTabStop w:val="397"/>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F9"/>
    <w:rsid w:val="00000711"/>
    <w:rsid w:val="00000792"/>
    <w:rsid w:val="00000831"/>
    <w:rsid w:val="00000F04"/>
    <w:rsid w:val="000010C9"/>
    <w:rsid w:val="00001A4C"/>
    <w:rsid w:val="00001FE3"/>
    <w:rsid w:val="00002EB3"/>
    <w:rsid w:val="00003C4F"/>
    <w:rsid w:val="00004371"/>
    <w:rsid w:val="00004C9E"/>
    <w:rsid w:val="00004E0A"/>
    <w:rsid w:val="00004FD3"/>
    <w:rsid w:val="00006661"/>
    <w:rsid w:val="00006DF5"/>
    <w:rsid w:val="00006F95"/>
    <w:rsid w:val="00007023"/>
    <w:rsid w:val="0000709F"/>
    <w:rsid w:val="000071D6"/>
    <w:rsid w:val="00007DB6"/>
    <w:rsid w:val="00007F2D"/>
    <w:rsid w:val="00007FAC"/>
    <w:rsid w:val="00010A9C"/>
    <w:rsid w:val="00010ABA"/>
    <w:rsid w:val="00010E15"/>
    <w:rsid w:val="00010F57"/>
    <w:rsid w:val="0001100C"/>
    <w:rsid w:val="00011188"/>
    <w:rsid w:val="00012555"/>
    <w:rsid w:val="00012986"/>
    <w:rsid w:val="00014236"/>
    <w:rsid w:val="00014244"/>
    <w:rsid w:val="0001465C"/>
    <w:rsid w:val="000148F6"/>
    <w:rsid w:val="00015217"/>
    <w:rsid w:val="000159D2"/>
    <w:rsid w:val="00016264"/>
    <w:rsid w:val="00016993"/>
    <w:rsid w:val="00016CAB"/>
    <w:rsid w:val="00016E5B"/>
    <w:rsid w:val="00017016"/>
    <w:rsid w:val="0001749B"/>
    <w:rsid w:val="000179CC"/>
    <w:rsid w:val="00017D75"/>
    <w:rsid w:val="00017FE5"/>
    <w:rsid w:val="000212D5"/>
    <w:rsid w:val="00021910"/>
    <w:rsid w:val="00022854"/>
    <w:rsid w:val="0002297A"/>
    <w:rsid w:val="00022D7A"/>
    <w:rsid w:val="00022E8D"/>
    <w:rsid w:val="0002348A"/>
    <w:rsid w:val="00023B12"/>
    <w:rsid w:val="000242C5"/>
    <w:rsid w:val="00024708"/>
    <w:rsid w:val="00024EE7"/>
    <w:rsid w:val="00025F96"/>
    <w:rsid w:val="00025FAB"/>
    <w:rsid w:val="000267C4"/>
    <w:rsid w:val="00026E89"/>
    <w:rsid w:val="00026F8A"/>
    <w:rsid w:val="000275A3"/>
    <w:rsid w:val="00027AC8"/>
    <w:rsid w:val="00030558"/>
    <w:rsid w:val="00030632"/>
    <w:rsid w:val="00030699"/>
    <w:rsid w:val="00030725"/>
    <w:rsid w:val="00030DB8"/>
    <w:rsid w:val="00031A83"/>
    <w:rsid w:val="00031D8E"/>
    <w:rsid w:val="0003213A"/>
    <w:rsid w:val="00032A81"/>
    <w:rsid w:val="000336C6"/>
    <w:rsid w:val="000340D8"/>
    <w:rsid w:val="0003427D"/>
    <w:rsid w:val="00034DFA"/>
    <w:rsid w:val="000353E8"/>
    <w:rsid w:val="000357ED"/>
    <w:rsid w:val="00035E15"/>
    <w:rsid w:val="0003640E"/>
    <w:rsid w:val="0003684D"/>
    <w:rsid w:val="0003688A"/>
    <w:rsid w:val="000368FC"/>
    <w:rsid w:val="00036DA3"/>
    <w:rsid w:val="00036E92"/>
    <w:rsid w:val="000379BF"/>
    <w:rsid w:val="00037B95"/>
    <w:rsid w:val="00037BEC"/>
    <w:rsid w:val="000400D9"/>
    <w:rsid w:val="0004035C"/>
    <w:rsid w:val="000404D2"/>
    <w:rsid w:val="00040860"/>
    <w:rsid w:val="00040CED"/>
    <w:rsid w:val="00040EA1"/>
    <w:rsid w:val="00041A76"/>
    <w:rsid w:val="0004205F"/>
    <w:rsid w:val="000423C6"/>
    <w:rsid w:val="00042EDB"/>
    <w:rsid w:val="00042F51"/>
    <w:rsid w:val="00044A50"/>
    <w:rsid w:val="00044C65"/>
    <w:rsid w:val="00044DA2"/>
    <w:rsid w:val="00044F74"/>
    <w:rsid w:val="000450CB"/>
    <w:rsid w:val="0004528A"/>
    <w:rsid w:val="000458C7"/>
    <w:rsid w:val="00045991"/>
    <w:rsid w:val="00045E5C"/>
    <w:rsid w:val="00046288"/>
    <w:rsid w:val="00047131"/>
    <w:rsid w:val="00047442"/>
    <w:rsid w:val="00047941"/>
    <w:rsid w:val="000479C5"/>
    <w:rsid w:val="00047C9F"/>
    <w:rsid w:val="00050555"/>
    <w:rsid w:val="00050A22"/>
    <w:rsid w:val="00050AAE"/>
    <w:rsid w:val="00050D0D"/>
    <w:rsid w:val="00050DAC"/>
    <w:rsid w:val="00050E0E"/>
    <w:rsid w:val="00050E27"/>
    <w:rsid w:val="0005144F"/>
    <w:rsid w:val="00051AF1"/>
    <w:rsid w:val="00051D42"/>
    <w:rsid w:val="0005255F"/>
    <w:rsid w:val="00053180"/>
    <w:rsid w:val="00053498"/>
    <w:rsid w:val="0005378B"/>
    <w:rsid w:val="000537A6"/>
    <w:rsid w:val="000538A1"/>
    <w:rsid w:val="00054263"/>
    <w:rsid w:val="000547A3"/>
    <w:rsid w:val="00054FA5"/>
    <w:rsid w:val="00055205"/>
    <w:rsid w:val="00055375"/>
    <w:rsid w:val="00056319"/>
    <w:rsid w:val="000564E7"/>
    <w:rsid w:val="00056770"/>
    <w:rsid w:val="00057386"/>
    <w:rsid w:val="00057EEF"/>
    <w:rsid w:val="00060454"/>
    <w:rsid w:val="00060E3C"/>
    <w:rsid w:val="000619CB"/>
    <w:rsid w:val="00061A79"/>
    <w:rsid w:val="00062387"/>
    <w:rsid w:val="000634FC"/>
    <w:rsid w:val="00063EA9"/>
    <w:rsid w:val="000640F0"/>
    <w:rsid w:val="0006421F"/>
    <w:rsid w:val="0006434D"/>
    <w:rsid w:val="000643A1"/>
    <w:rsid w:val="00064679"/>
    <w:rsid w:val="00064A13"/>
    <w:rsid w:val="00064A55"/>
    <w:rsid w:val="00064AF4"/>
    <w:rsid w:val="00064DB1"/>
    <w:rsid w:val="0006531E"/>
    <w:rsid w:val="00065BA3"/>
    <w:rsid w:val="00065D3B"/>
    <w:rsid w:val="00065DA5"/>
    <w:rsid w:val="000667E9"/>
    <w:rsid w:val="00067128"/>
    <w:rsid w:val="000675CD"/>
    <w:rsid w:val="00067872"/>
    <w:rsid w:val="000678AC"/>
    <w:rsid w:val="000703B2"/>
    <w:rsid w:val="000704A9"/>
    <w:rsid w:val="00070AC8"/>
    <w:rsid w:val="00070FBF"/>
    <w:rsid w:val="000711EE"/>
    <w:rsid w:val="00071435"/>
    <w:rsid w:val="0007180E"/>
    <w:rsid w:val="00071AE4"/>
    <w:rsid w:val="00071CB5"/>
    <w:rsid w:val="00071CCB"/>
    <w:rsid w:val="00071D03"/>
    <w:rsid w:val="00071D1C"/>
    <w:rsid w:val="0007232B"/>
    <w:rsid w:val="00072D5F"/>
    <w:rsid w:val="00072DE3"/>
    <w:rsid w:val="000735A2"/>
    <w:rsid w:val="00073BFD"/>
    <w:rsid w:val="000744C4"/>
    <w:rsid w:val="0007517E"/>
    <w:rsid w:val="00075D1A"/>
    <w:rsid w:val="00075FE1"/>
    <w:rsid w:val="00076667"/>
    <w:rsid w:val="00077473"/>
    <w:rsid w:val="00077481"/>
    <w:rsid w:val="000776F9"/>
    <w:rsid w:val="00077EE0"/>
    <w:rsid w:val="0008005B"/>
    <w:rsid w:val="000802F9"/>
    <w:rsid w:val="00080BC9"/>
    <w:rsid w:val="0008145A"/>
    <w:rsid w:val="0008162D"/>
    <w:rsid w:val="000826F5"/>
    <w:rsid w:val="00082BFD"/>
    <w:rsid w:val="00082E47"/>
    <w:rsid w:val="000831C8"/>
    <w:rsid w:val="00083A30"/>
    <w:rsid w:val="00083F5E"/>
    <w:rsid w:val="00084221"/>
    <w:rsid w:val="00084330"/>
    <w:rsid w:val="00084FDB"/>
    <w:rsid w:val="00084FE7"/>
    <w:rsid w:val="0008505C"/>
    <w:rsid w:val="00085395"/>
    <w:rsid w:val="00085C46"/>
    <w:rsid w:val="00085D64"/>
    <w:rsid w:val="0008686A"/>
    <w:rsid w:val="00087175"/>
    <w:rsid w:val="00087D35"/>
    <w:rsid w:val="00090D5D"/>
    <w:rsid w:val="00091091"/>
    <w:rsid w:val="00091796"/>
    <w:rsid w:val="00091BA2"/>
    <w:rsid w:val="00091CB0"/>
    <w:rsid w:val="00092363"/>
    <w:rsid w:val="0009257F"/>
    <w:rsid w:val="0009351C"/>
    <w:rsid w:val="000940CF"/>
    <w:rsid w:val="00094344"/>
    <w:rsid w:val="00094789"/>
    <w:rsid w:val="000953C6"/>
    <w:rsid w:val="000953F4"/>
    <w:rsid w:val="00095593"/>
    <w:rsid w:val="0009590C"/>
    <w:rsid w:val="000959E7"/>
    <w:rsid w:val="00095E7D"/>
    <w:rsid w:val="000964DE"/>
    <w:rsid w:val="00096DCF"/>
    <w:rsid w:val="000972AB"/>
    <w:rsid w:val="00097846"/>
    <w:rsid w:val="000979AF"/>
    <w:rsid w:val="00097B40"/>
    <w:rsid w:val="00097D0E"/>
    <w:rsid w:val="00097F7F"/>
    <w:rsid w:val="000A15E0"/>
    <w:rsid w:val="000A17EA"/>
    <w:rsid w:val="000A1C7A"/>
    <w:rsid w:val="000A2345"/>
    <w:rsid w:val="000A2394"/>
    <w:rsid w:val="000A31C1"/>
    <w:rsid w:val="000A32C5"/>
    <w:rsid w:val="000A3411"/>
    <w:rsid w:val="000A3439"/>
    <w:rsid w:val="000A34CA"/>
    <w:rsid w:val="000A40B2"/>
    <w:rsid w:val="000A426F"/>
    <w:rsid w:val="000A4559"/>
    <w:rsid w:val="000A45FD"/>
    <w:rsid w:val="000A477B"/>
    <w:rsid w:val="000A558D"/>
    <w:rsid w:val="000A5611"/>
    <w:rsid w:val="000A563C"/>
    <w:rsid w:val="000A59C5"/>
    <w:rsid w:val="000A5DEA"/>
    <w:rsid w:val="000A5EBD"/>
    <w:rsid w:val="000A6473"/>
    <w:rsid w:val="000A7658"/>
    <w:rsid w:val="000A7F0F"/>
    <w:rsid w:val="000A7F4C"/>
    <w:rsid w:val="000B02BC"/>
    <w:rsid w:val="000B0498"/>
    <w:rsid w:val="000B0F36"/>
    <w:rsid w:val="000B153B"/>
    <w:rsid w:val="000B15E3"/>
    <w:rsid w:val="000B1942"/>
    <w:rsid w:val="000B1BED"/>
    <w:rsid w:val="000B2240"/>
    <w:rsid w:val="000B2477"/>
    <w:rsid w:val="000B2487"/>
    <w:rsid w:val="000B2600"/>
    <w:rsid w:val="000B2775"/>
    <w:rsid w:val="000B2C00"/>
    <w:rsid w:val="000B36F9"/>
    <w:rsid w:val="000B3713"/>
    <w:rsid w:val="000B3E5B"/>
    <w:rsid w:val="000B3ECB"/>
    <w:rsid w:val="000B4074"/>
    <w:rsid w:val="000B4345"/>
    <w:rsid w:val="000B43EE"/>
    <w:rsid w:val="000B4732"/>
    <w:rsid w:val="000B4BCD"/>
    <w:rsid w:val="000B50D2"/>
    <w:rsid w:val="000B54B5"/>
    <w:rsid w:val="000B59C4"/>
    <w:rsid w:val="000B5D50"/>
    <w:rsid w:val="000B6017"/>
    <w:rsid w:val="000B63F7"/>
    <w:rsid w:val="000B66DC"/>
    <w:rsid w:val="000B694C"/>
    <w:rsid w:val="000B6C92"/>
    <w:rsid w:val="000B6D1F"/>
    <w:rsid w:val="000B6F83"/>
    <w:rsid w:val="000C062F"/>
    <w:rsid w:val="000C17E7"/>
    <w:rsid w:val="000C20DA"/>
    <w:rsid w:val="000C2B17"/>
    <w:rsid w:val="000C3270"/>
    <w:rsid w:val="000C3483"/>
    <w:rsid w:val="000C3E2F"/>
    <w:rsid w:val="000C3FFD"/>
    <w:rsid w:val="000C41A1"/>
    <w:rsid w:val="000C4519"/>
    <w:rsid w:val="000C4660"/>
    <w:rsid w:val="000C4A27"/>
    <w:rsid w:val="000C5125"/>
    <w:rsid w:val="000C577E"/>
    <w:rsid w:val="000C5B0B"/>
    <w:rsid w:val="000C67AF"/>
    <w:rsid w:val="000C7375"/>
    <w:rsid w:val="000D04BA"/>
    <w:rsid w:val="000D0B6E"/>
    <w:rsid w:val="000D0D65"/>
    <w:rsid w:val="000D12E0"/>
    <w:rsid w:val="000D1944"/>
    <w:rsid w:val="000D1DD9"/>
    <w:rsid w:val="000D1F83"/>
    <w:rsid w:val="000D2172"/>
    <w:rsid w:val="000D241D"/>
    <w:rsid w:val="000D293C"/>
    <w:rsid w:val="000D2BC1"/>
    <w:rsid w:val="000D337B"/>
    <w:rsid w:val="000D385A"/>
    <w:rsid w:val="000D38C2"/>
    <w:rsid w:val="000D3CA7"/>
    <w:rsid w:val="000D3EAB"/>
    <w:rsid w:val="000D503E"/>
    <w:rsid w:val="000D5580"/>
    <w:rsid w:val="000D5B16"/>
    <w:rsid w:val="000D5FD6"/>
    <w:rsid w:val="000D6201"/>
    <w:rsid w:val="000D6488"/>
    <w:rsid w:val="000D7088"/>
    <w:rsid w:val="000D770B"/>
    <w:rsid w:val="000D788E"/>
    <w:rsid w:val="000E036A"/>
    <w:rsid w:val="000E0702"/>
    <w:rsid w:val="000E12B0"/>
    <w:rsid w:val="000E14C4"/>
    <w:rsid w:val="000E1BC8"/>
    <w:rsid w:val="000E1D32"/>
    <w:rsid w:val="000E26D8"/>
    <w:rsid w:val="000E283C"/>
    <w:rsid w:val="000E2A1E"/>
    <w:rsid w:val="000E2AC6"/>
    <w:rsid w:val="000E2B94"/>
    <w:rsid w:val="000E3156"/>
    <w:rsid w:val="000E35B6"/>
    <w:rsid w:val="000E3BB8"/>
    <w:rsid w:val="000E3CAA"/>
    <w:rsid w:val="000E3D9B"/>
    <w:rsid w:val="000E3DFD"/>
    <w:rsid w:val="000E3F10"/>
    <w:rsid w:val="000E4261"/>
    <w:rsid w:val="000E4697"/>
    <w:rsid w:val="000E4F80"/>
    <w:rsid w:val="000E586B"/>
    <w:rsid w:val="000E58C5"/>
    <w:rsid w:val="000E5DA4"/>
    <w:rsid w:val="000E5F38"/>
    <w:rsid w:val="000E6203"/>
    <w:rsid w:val="000E64CB"/>
    <w:rsid w:val="000E722C"/>
    <w:rsid w:val="000E755B"/>
    <w:rsid w:val="000E75EF"/>
    <w:rsid w:val="000E75F0"/>
    <w:rsid w:val="000E786F"/>
    <w:rsid w:val="000E7DA7"/>
    <w:rsid w:val="000E7FA0"/>
    <w:rsid w:val="000F00BA"/>
    <w:rsid w:val="000F02F8"/>
    <w:rsid w:val="000F03A3"/>
    <w:rsid w:val="000F0409"/>
    <w:rsid w:val="000F040C"/>
    <w:rsid w:val="000F049F"/>
    <w:rsid w:val="000F0642"/>
    <w:rsid w:val="000F07FA"/>
    <w:rsid w:val="000F0B5E"/>
    <w:rsid w:val="000F1D43"/>
    <w:rsid w:val="000F1FFF"/>
    <w:rsid w:val="000F20AA"/>
    <w:rsid w:val="000F2286"/>
    <w:rsid w:val="000F2651"/>
    <w:rsid w:val="000F348D"/>
    <w:rsid w:val="000F369A"/>
    <w:rsid w:val="000F4463"/>
    <w:rsid w:val="000F5285"/>
    <w:rsid w:val="000F52E0"/>
    <w:rsid w:val="000F53A9"/>
    <w:rsid w:val="000F6464"/>
    <w:rsid w:val="000F6628"/>
    <w:rsid w:val="000F6C25"/>
    <w:rsid w:val="000F6F8D"/>
    <w:rsid w:val="000F76EB"/>
    <w:rsid w:val="000F78AE"/>
    <w:rsid w:val="000F7E25"/>
    <w:rsid w:val="00100199"/>
    <w:rsid w:val="001007EE"/>
    <w:rsid w:val="00100985"/>
    <w:rsid w:val="00100CF6"/>
    <w:rsid w:val="00100F76"/>
    <w:rsid w:val="0010148E"/>
    <w:rsid w:val="0010253C"/>
    <w:rsid w:val="00102B9F"/>
    <w:rsid w:val="00102BD1"/>
    <w:rsid w:val="00103166"/>
    <w:rsid w:val="00103507"/>
    <w:rsid w:val="00103A65"/>
    <w:rsid w:val="00104060"/>
    <w:rsid w:val="001046AA"/>
    <w:rsid w:val="0010486A"/>
    <w:rsid w:val="001055F3"/>
    <w:rsid w:val="0010561C"/>
    <w:rsid w:val="00105C0F"/>
    <w:rsid w:val="00105E39"/>
    <w:rsid w:val="0010638A"/>
    <w:rsid w:val="00106561"/>
    <w:rsid w:val="00106A9C"/>
    <w:rsid w:val="00106D63"/>
    <w:rsid w:val="00106E21"/>
    <w:rsid w:val="001075F3"/>
    <w:rsid w:val="0010788A"/>
    <w:rsid w:val="00107A01"/>
    <w:rsid w:val="00107C23"/>
    <w:rsid w:val="00107C33"/>
    <w:rsid w:val="00110307"/>
    <w:rsid w:val="00110C7F"/>
    <w:rsid w:val="00110EE2"/>
    <w:rsid w:val="00111A48"/>
    <w:rsid w:val="00111A88"/>
    <w:rsid w:val="0011221A"/>
    <w:rsid w:val="00112669"/>
    <w:rsid w:val="00113283"/>
    <w:rsid w:val="001137AE"/>
    <w:rsid w:val="00113B20"/>
    <w:rsid w:val="001147B3"/>
    <w:rsid w:val="001148F7"/>
    <w:rsid w:val="001149B2"/>
    <w:rsid w:val="00114C22"/>
    <w:rsid w:val="00114C2D"/>
    <w:rsid w:val="00115125"/>
    <w:rsid w:val="0011522A"/>
    <w:rsid w:val="001152F2"/>
    <w:rsid w:val="001157D7"/>
    <w:rsid w:val="00116382"/>
    <w:rsid w:val="00116484"/>
    <w:rsid w:val="00116ACF"/>
    <w:rsid w:val="00116D5C"/>
    <w:rsid w:val="001172B2"/>
    <w:rsid w:val="00117F9B"/>
    <w:rsid w:val="00120003"/>
    <w:rsid w:val="00121211"/>
    <w:rsid w:val="00121628"/>
    <w:rsid w:val="0012167D"/>
    <w:rsid w:val="0012174E"/>
    <w:rsid w:val="00121C81"/>
    <w:rsid w:val="00122189"/>
    <w:rsid w:val="00122280"/>
    <w:rsid w:val="00122D42"/>
    <w:rsid w:val="00122EAE"/>
    <w:rsid w:val="001230AA"/>
    <w:rsid w:val="00123345"/>
    <w:rsid w:val="001236BC"/>
    <w:rsid w:val="00123C46"/>
    <w:rsid w:val="0012461B"/>
    <w:rsid w:val="0012470B"/>
    <w:rsid w:val="00124B2B"/>
    <w:rsid w:val="00124D75"/>
    <w:rsid w:val="00125780"/>
    <w:rsid w:val="00125C75"/>
    <w:rsid w:val="00125C7E"/>
    <w:rsid w:val="001260A3"/>
    <w:rsid w:val="0012654E"/>
    <w:rsid w:val="001275C4"/>
    <w:rsid w:val="00127945"/>
    <w:rsid w:val="00127B88"/>
    <w:rsid w:val="00127D94"/>
    <w:rsid w:val="00127E90"/>
    <w:rsid w:val="00127ED5"/>
    <w:rsid w:val="00127F9A"/>
    <w:rsid w:val="001302C1"/>
    <w:rsid w:val="001306D3"/>
    <w:rsid w:val="001310BF"/>
    <w:rsid w:val="0013210E"/>
    <w:rsid w:val="00132AE5"/>
    <w:rsid w:val="00133E73"/>
    <w:rsid w:val="00133FDB"/>
    <w:rsid w:val="0013419E"/>
    <w:rsid w:val="00134F4A"/>
    <w:rsid w:val="001352E6"/>
    <w:rsid w:val="00135D4C"/>
    <w:rsid w:val="00135E4E"/>
    <w:rsid w:val="00136246"/>
    <w:rsid w:val="001364D4"/>
    <w:rsid w:val="001367FB"/>
    <w:rsid w:val="00137096"/>
    <w:rsid w:val="001371C8"/>
    <w:rsid w:val="001372ED"/>
    <w:rsid w:val="001375C4"/>
    <w:rsid w:val="0014004A"/>
    <w:rsid w:val="00142B50"/>
    <w:rsid w:val="00142B67"/>
    <w:rsid w:val="00143873"/>
    <w:rsid w:val="001439E9"/>
    <w:rsid w:val="00143C55"/>
    <w:rsid w:val="00143FC3"/>
    <w:rsid w:val="001447A5"/>
    <w:rsid w:val="00144C6F"/>
    <w:rsid w:val="00145089"/>
    <w:rsid w:val="001451E7"/>
    <w:rsid w:val="00146053"/>
    <w:rsid w:val="001462E3"/>
    <w:rsid w:val="001469EC"/>
    <w:rsid w:val="00146BAC"/>
    <w:rsid w:val="0014720C"/>
    <w:rsid w:val="001472C2"/>
    <w:rsid w:val="00147458"/>
    <w:rsid w:val="001476F4"/>
    <w:rsid w:val="00147E21"/>
    <w:rsid w:val="00150BA8"/>
    <w:rsid w:val="00150D19"/>
    <w:rsid w:val="001516E5"/>
    <w:rsid w:val="0015181B"/>
    <w:rsid w:val="00151A9F"/>
    <w:rsid w:val="0015247B"/>
    <w:rsid w:val="00152B87"/>
    <w:rsid w:val="00153465"/>
    <w:rsid w:val="00153536"/>
    <w:rsid w:val="00153A96"/>
    <w:rsid w:val="00153D1C"/>
    <w:rsid w:val="001543E2"/>
    <w:rsid w:val="0015527B"/>
    <w:rsid w:val="00155B43"/>
    <w:rsid w:val="001565A2"/>
    <w:rsid w:val="001567C3"/>
    <w:rsid w:val="00156A12"/>
    <w:rsid w:val="00156BD0"/>
    <w:rsid w:val="00156FC1"/>
    <w:rsid w:val="00157B3F"/>
    <w:rsid w:val="00157F8A"/>
    <w:rsid w:val="001601AC"/>
    <w:rsid w:val="00160C3D"/>
    <w:rsid w:val="00160FEF"/>
    <w:rsid w:val="00161731"/>
    <w:rsid w:val="00161B24"/>
    <w:rsid w:val="00161C41"/>
    <w:rsid w:val="00161D08"/>
    <w:rsid w:val="00161DD5"/>
    <w:rsid w:val="00162E65"/>
    <w:rsid w:val="00162FF5"/>
    <w:rsid w:val="001633A4"/>
    <w:rsid w:val="001634D6"/>
    <w:rsid w:val="0016422C"/>
    <w:rsid w:val="001646C1"/>
    <w:rsid w:val="001648DD"/>
    <w:rsid w:val="00165705"/>
    <w:rsid w:val="00166389"/>
    <w:rsid w:val="00166C1C"/>
    <w:rsid w:val="00166E03"/>
    <w:rsid w:val="00167C7B"/>
    <w:rsid w:val="00167E4C"/>
    <w:rsid w:val="001705E2"/>
    <w:rsid w:val="00170650"/>
    <w:rsid w:val="0017069C"/>
    <w:rsid w:val="00170791"/>
    <w:rsid w:val="001710E8"/>
    <w:rsid w:val="00171449"/>
    <w:rsid w:val="0017199C"/>
    <w:rsid w:val="00171C7E"/>
    <w:rsid w:val="00171F35"/>
    <w:rsid w:val="00172552"/>
    <w:rsid w:val="00172873"/>
    <w:rsid w:val="00172B29"/>
    <w:rsid w:val="00172CF7"/>
    <w:rsid w:val="0017319E"/>
    <w:rsid w:val="00173A1F"/>
    <w:rsid w:val="00173BC3"/>
    <w:rsid w:val="00174128"/>
    <w:rsid w:val="00174418"/>
    <w:rsid w:val="0017552F"/>
    <w:rsid w:val="00175BF9"/>
    <w:rsid w:val="00175C32"/>
    <w:rsid w:val="00175C34"/>
    <w:rsid w:val="00175F9A"/>
    <w:rsid w:val="0017612A"/>
    <w:rsid w:val="001767AA"/>
    <w:rsid w:val="00176E98"/>
    <w:rsid w:val="001774EA"/>
    <w:rsid w:val="00177996"/>
    <w:rsid w:val="001805D8"/>
    <w:rsid w:val="00180748"/>
    <w:rsid w:val="00180B3F"/>
    <w:rsid w:val="00180C83"/>
    <w:rsid w:val="00180CE5"/>
    <w:rsid w:val="0018175B"/>
    <w:rsid w:val="001820A3"/>
    <w:rsid w:val="0018231D"/>
    <w:rsid w:val="00182B76"/>
    <w:rsid w:val="0018332A"/>
    <w:rsid w:val="00183D80"/>
    <w:rsid w:val="001842C8"/>
    <w:rsid w:val="00185044"/>
    <w:rsid w:val="001850DB"/>
    <w:rsid w:val="001856BB"/>
    <w:rsid w:val="00185807"/>
    <w:rsid w:val="0018599C"/>
    <w:rsid w:val="00186959"/>
    <w:rsid w:val="001869EE"/>
    <w:rsid w:val="00186D00"/>
    <w:rsid w:val="0018743A"/>
    <w:rsid w:val="00190A57"/>
    <w:rsid w:val="00190B3F"/>
    <w:rsid w:val="00190D9A"/>
    <w:rsid w:val="0019122C"/>
    <w:rsid w:val="0019184A"/>
    <w:rsid w:val="00191908"/>
    <w:rsid w:val="00191D4C"/>
    <w:rsid w:val="00192896"/>
    <w:rsid w:val="00192DF3"/>
    <w:rsid w:val="0019301F"/>
    <w:rsid w:val="00193286"/>
    <w:rsid w:val="001937B8"/>
    <w:rsid w:val="00194BB7"/>
    <w:rsid w:val="00194CC5"/>
    <w:rsid w:val="001951B2"/>
    <w:rsid w:val="0019565D"/>
    <w:rsid w:val="0019572B"/>
    <w:rsid w:val="00197564"/>
    <w:rsid w:val="001977CE"/>
    <w:rsid w:val="00197EC2"/>
    <w:rsid w:val="00197ECE"/>
    <w:rsid w:val="001A0085"/>
    <w:rsid w:val="001A0980"/>
    <w:rsid w:val="001A0EEA"/>
    <w:rsid w:val="001A1CED"/>
    <w:rsid w:val="001A22A5"/>
    <w:rsid w:val="001A250F"/>
    <w:rsid w:val="001A267A"/>
    <w:rsid w:val="001A279B"/>
    <w:rsid w:val="001A2DC3"/>
    <w:rsid w:val="001A2E87"/>
    <w:rsid w:val="001A3869"/>
    <w:rsid w:val="001A38C2"/>
    <w:rsid w:val="001A3F1F"/>
    <w:rsid w:val="001A4968"/>
    <w:rsid w:val="001A5837"/>
    <w:rsid w:val="001A6565"/>
    <w:rsid w:val="001A6590"/>
    <w:rsid w:val="001A65C8"/>
    <w:rsid w:val="001A7275"/>
    <w:rsid w:val="001A732E"/>
    <w:rsid w:val="001A7EC0"/>
    <w:rsid w:val="001A7F30"/>
    <w:rsid w:val="001A7FB1"/>
    <w:rsid w:val="001B06E2"/>
    <w:rsid w:val="001B103A"/>
    <w:rsid w:val="001B103D"/>
    <w:rsid w:val="001B1513"/>
    <w:rsid w:val="001B163C"/>
    <w:rsid w:val="001B1767"/>
    <w:rsid w:val="001B1B32"/>
    <w:rsid w:val="001B2453"/>
    <w:rsid w:val="001B3BD9"/>
    <w:rsid w:val="001B3D48"/>
    <w:rsid w:val="001B431F"/>
    <w:rsid w:val="001B52FF"/>
    <w:rsid w:val="001B5AF9"/>
    <w:rsid w:val="001B5B06"/>
    <w:rsid w:val="001B5BE6"/>
    <w:rsid w:val="001B5EBF"/>
    <w:rsid w:val="001B658D"/>
    <w:rsid w:val="001B6600"/>
    <w:rsid w:val="001B6B9B"/>
    <w:rsid w:val="001B6C27"/>
    <w:rsid w:val="001B6C3C"/>
    <w:rsid w:val="001B7144"/>
    <w:rsid w:val="001B7C99"/>
    <w:rsid w:val="001B7E91"/>
    <w:rsid w:val="001C10B2"/>
    <w:rsid w:val="001C147E"/>
    <w:rsid w:val="001C151B"/>
    <w:rsid w:val="001C19E5"/>
    <w:rsid w:val="001C1EF6"/>
    <w:rsid w:val="001C1F6F"/>
    <w:rsid w:val="001C1FF5"/>
    <w:rsid w:val="001C3800"/>
    <w:rsid w:val="001C3BA2"/>
    <w:rsid w:val="001C3C7B"/>
    <w:rsid w:val="001C3E8F"/>
    <w:rsid w:val="001C4099"/>
    <w:rsid w:val="001C43B6"/>
    <w:rsid w:val="001C44F6"/>
    <w:rsid w:val="001C489D"/>
    <w:rsid w:val="001C6122"/>
    <w:rsid w:val="001C6587"/>
    <w:rsid w:val="001C69BE"/>
    <w:rsid w:val="001C6DB5"/>
    <w:rsid w:val="001C71AC"/>
    <w:rsid w:val="001C7316"/>
    <w:rsid w:val="001C7AD7"/>
    <w:rsid w:val="001C7E5C"/>
    <w:rsid w:val="001D00CC"/>
    <w:rsid w:val="001D0494"/>
    <w:rsid w:val="001D07B7"/>
    <w:rsid w:val="001D1719"/>
    <w:rsid w:val="001D171B"/>
    <w:rsid w:val="001D1732"/>
    <w:rsid w:val="001D1E2E"/>
    <w:rsid w:val="001D2058"/>
    <w:rsid w:val="001D2203"/>
    <w:rsid w:val="001D255C"/>
    <w:rsid w:val="001D2DEF"/>
    <w:rsid w:val="001D30BB"/>
    <w:rsid w:val="001D3F25"/>
    <w:rsid w:val="001D3F95"/>
    <w:rsid w:val="001D488C"/>
    <w:rsid w:val="001D491E"/>
    <w:rsid w:val="001D4B35"/>
    <w:rsid w:val="001D4CDF"/>
    <w:rsid w:val="001D4F88"/>
    <w:rsid w:val="001D578D"/>
    <w:rsid w:val="001D5818"/>
    <w:rsid w:val="001D653A"/>
    <w:rsid w:val="001D7DEE"/>
    <w:rsid w:val="001E02CB"/>
    <w:rsid w:val="001E0B58"/>
    <w:rsid w:val="001E14FD"/>
    <w:rsid w:val="001E150F"/>
    <w:rsid w:val="001E180F"/>
    <w:rsid w:val="001E1BB1"/>
    <w:rsid w:val="001E1C64"/>
    <w:rsid w:val="001E1CEC"/>
    <w:rsid w:val="001E2ABB"/>
    <w:rsid w:val="001E2ECB"/>
    <w:rsid w:val="001E3AFE"/>
    <w:rsid w:val="001E4B64"/>
    <w:rsid w:val="001E552A"/>
    <w:rsid w:val="001E57B9"/>
    <w:rsid w:val="001E5FC6"/>
    <w:rsid w:val="001E6C02"/>
    <w:rsid w:val="001E6E8D"/>
    <w:rsid w:val="001E756F"/>
    <w:rsid w:val="001E771A"/>
    <w:rsid w:val="001E7EE4"/>
    <w:rsid w:val="001E7F76"/>
    <w:rsid w:val="001F00AC"/>
    <w:rsid w:val="001F0301"/>
    <w:rsid w:val="001F092E"/>
    <w:rsid w:val="001F09A6"/>
    <w:rsid w:val="001F0FAF"/>
    <w:rsid w:val="001F139F"/>
    <w:rsid w:val="001F1B14"/>
    <w:rsid w:val="001F2805"/>
    <w:rsid w:val="001F2E79"/>
    <w:rsid w:val="001F2F07"/>
    <w:rsid w:val="001F30B6"/>
    <w:rsid w:val="001F3123"/>
    <w:rsid w:val="001F376D"/>
    <w:rsid w:val="001F391C"/>
    <w:rsid w:val="001F418C"/>
    <w:rsid w:val="001F4836"/>
    <w:rsid w:val="001F4B2D"/>
    <w:rsid w:val="001F4F40"/>
    <w:rsid w:val="001F50E0"/>
    <w:rsid w:val="001F594C"/>
    <w:rsid w:val="001F69FC"/>
    <w:rsid w:val="001F6D62"/>
    <w:rsid w:val="001F7675"/>
    <w:rsid w:val="00200AE3"/>
    <w:rsid w:val="00200FAE"/>
    <w:rsid w:val="0020102D"/>
    <w:rsid w:val="002010E2"/>
    <w:rsid w:val="002019C5"/>
    <w:rsid w:val="00201B73"/>
    <w:rsid w:val="00201F9F"/>
    <w:rsid w:val="00202517"/>
    <w:rsid w:val="00202ADB"/>
    <w:rsid w:val="00202BB7"/>
    <w:rsid w:val="0020405E"/>
    <w:rsid w:val="0020435B"/>
    <w:rsid w:val="00204533"/>
    <w:rsid w:val="00204F2D"/>
    <w:rsid w:val="00205566"/>
    <w:rsid w:val="00205569"/>
    <w:rsid w:val="002056D7"/>
    <w:rsid w:val="002063AA"/>
    <w:rsid w:val="00206B72"/>
    <w:rsid w:val="00206D68"/>
    <w:rsid w:val="0020757C"/>
    <w:rsid w:val="00207816"/>
    <w:rsid w:val="00207E1E"/>
    <w:rsid w:val="00207FD5"/>
    <w:rsid w:val="00210549"/>
    <w:rsid w:val="0021069E"/>
    <w:rsid w:val="00210804"/>
    <w:rsid w:val="0021088F"/>
    <w:rsid w:val="00210BF6"/>
    <w:rsid w:val="002110A6"/>
    <w:rsid w:val="002113FE"/>
    <w:rsid w:val="00211737"/>
    <w:rsid w:val="002117A1"/>
    <w:rsid w:val="0021181B"/>
    <w:rsid w:val="00211C56"/>
    <w:rsid w:val="0021230F"/>
    <w:rsid w:val="002125B0"/>
    <w:rsid w:val="00212A82"/>
    <w:rsid w:val="00212B3B"/>
    <w:rsid w:val="00214EA2"/>
    <w:rsid w:val="002159B5"/>
    <w:rsid w:val="00215E50"/>
    <w:rsid w:val="002160FA"/>
    <w:rsid w:val="002166DD"/>
    <w:rsid w:val="002168A2"/>
    <w:rsid w:val="00217867"/>
    <w:rsid w:val="0022035B"/>
    <w:rsid w:val="002205E4"/>
    <w:rsid w:val="002206CF"/>
    <w:rsid w:val="002207EB"/>
    <w:rsid w:val="00220D67"/>
    <w:rsid w:val="002215F8"/>
    <w:rsid w:val="002218D9"/>
    <w:rsid w:val="00221F80"/>
    <w:rsid w:val="0022273A"/>
    <w:rsid w:val="00222D28"/>
    <w:rsid w:val="00223BEC"/>
    <w:rsid w:val="00223CF4"/>
    <w:rsid w:val="00224220"/>
    <w:rsid w:val="00224398"/>
    <w:rsid w:val="0022451D"/>
    <w:rsid w:val="00224A81"/>
    <w:rsid w:val="00224D72"/>
    <w:rsid w:val="00224E91"/>
    <w:rsid w:val="00225913"/>
    <w:rsid w:val="00225B4C"/>
    <w:rsid w:val="00225D71"/>
    <w:rsid w:val="00225E1E"/>
    <w:rsid w:val="00226129"/>
    <w:rsid w:val="0022614D"/>
    <w:rsid w:val="00226AA2"/>
    <w:rsid w:val="00226BDF"/>
    <w:rsid w:val="00227218"/>
    <w:rsid w:val="0022770A"/>
    <w:rsid w:val="00227BEE"/>
    <w:rsid w:val="00227FB4"/>
    <w:rsid w:val="00230364"/>
    <w:rsid w:val="0023057E"/>
    <w:rsid w:val="002309E4"/>
    <w:rsid w:val="002312BC"/>
    <w:rsid w:val="00231BED"/>
    <w:rsid w:val="00233678"/>
    <w:rsid w:val="002337E5"/>
    <w:rsid w:val="00233C06"/>
    <w:rsid w:val="00233F24"/>
    <w:rsid w:val="00233FA0"/>
    <w:rsid w:val="00234882"/>
    <w:rsid w:val="00234BBB"/>
    <w:rsid w:val="002356F4"/>
    <w:rsid w:val="00235F02"/>
    <w:rsid w:val="00236D28"/>
    <w:rsid w:val="00237FE4"/>
    <w:rsid w:val="00240656"/>
    <w:rsid w:val="00241610"/>
    <w:rsid w:val="00241AED"/>
    <w:rsid w:val="00241B26"/>
    <w:rsid w:val="00242BBA"/>
    <w:rsid w:val="00243182"/>
    <w:rsid w:val="00243928"/>
    <w:rsid w:val="00243946"/>
    <w:rsid w:val="00243BC5"/>
    <w:rsid w:val="00243C7D"/>
    <w:rsid w:val="00243E9A"/>
    <w:rsid w:val="00244240"/>
    <w:rsid w:val="00244371"/>
    <w:rsid w:val="00244AF8"/>
    <w:rsid w:val="00244BC5"/>
    <w:rsid w:val="00244E68"/>
    <w:rsid w:val="002456C5"/>
    <w:rsid w:val="00245ABE"/>
    <w:rsid w:val="00245C0B"/>
    <w:rsid w:val="002463AC"/>
    <w:rsid w:val="00246EAE"/>
    <w:rsid w:val="00247116"/>
    <w:rsid w:val="002471E5"/>
    <w:rsid w:val="00250B0F"/>
    <w:rsid w:val="00250CA7"/>
    <w:rsid w:val="002516BF"/>
    <w:rsid w:val="002517A8"/>
    <w:rsid w:val="00251E32"/>
    <w:rsid w:val="00251EEE"/>
    <w:rsid w:val="00253177"/>
    <w:rsid w:val="002537B8"/>
    <w:rsid w:val="002538B8"/>
    <w:rsid w:val="0025396F"/>
    <w:rsid w:val="00254319"/>
    <w:rsid w:val="00254946"/>
    <w:rsid w:val="00255128"/>
    <w:rsid w:val="0025527F"/>
    <w:rsid w:val="0025539F"/>
    <w:rsid w:val="00256388"/>
    <w:rsid w:val="00256E44"/>
    <w:rsid w:val="00260919"/>
    <w:rsid w:val="002612FD"/>
    <w:rsid w:val="002613DC"/>
    <w:rsid w:val="00261552"/>
    <w:rsid w:val="002615D8"/>
    <w:rsid w:val="00261755"/>
    <w:rsid w:val="00261AAA"/>
    <w:rsid w:val="00262097"/>
    <w:rsid w:val="00262D20"/>
    <w:rsid w:val="002634AB"/>
    <w:rsid w:val="002638E0"/>
    <w:rsid w:val="00263C19"/>
    <w:rsid w:val="00263E9F"/>
    <w:rsid w:val="00263FF9"/>
    <w:rsid w:val="002641E8"/>
    <w:rsid w:val="0026436D"/>
    <w:rsid w:val="00264F03"/>
    <w:rsid w:val="00264F8F"/>
    <w:rsid w:val="00265082"/>
    <w:rsid w:val="002655AE"/>
    <w:rsid w:val="0026591F"/>
    <w:rsid w:val="00265A65"/>
    <w:rsid w:val="002660F0"/>
    <w:rsid w:val="00266314"/>
    <w:rsid w:val="002675B6"/>
    <w:rsid w:val="00267A99"/>
    <w:rsid w:val="00270271"/>
    <w:rsid w:val="002716EE"/>
    <w:rsid w:val="00272174"/>
    <w:rsid w:val="002721A6"/>
    <w:rsid w:val="002722E0"/>
    <w:rsid w:val="002725C4"/>
    <w:rsid w:val="00272EE5"/>
    <w:rsid w:val="002730EC"/>
    <w:rsid w:val="00273100"/>
    <w:rsid w:val="002734F5"/>
    <w:rsid w:val="002735CC"/>
    <w:rsid w:val="00273741"/>
    <w:rsid w:val="00273E6C"/>
    <w:rsid w:val="00274588"/>
    <w:rsid w:val="00274A67"/>
    <w:rsid w:val="00274AA2"/>
    <w:rsid w:val="00274AC9"/>
    <w:rsid w:val="00274D76"/>
    <w:rsid w:val="00274F9E"/>
    <w:rsid w:val="002756EF"/>
    <w:rsid w:val="00275708"/>
    <w:rsid w:val="002759C2"/>
    <w:rsid w:val="002768CF"/>
    <w:rsid w:val="00276F82"/>
    <w:rsid w:val="00276F89"/>
    <w:rsid w:val="0028057F"/>
    <w:rsid w:val="002805DF"/>
    <w:rsid w:val="0028092D"/>
    <w:rsid w:val="00280A72"/>
    <w:rsid w:val="002815D9"/>
    <w:rsid w:val="002821D6"/>
    <w:rsid w:val="00282317"/>
    <w:rsid w:val="00282BFC"/>
    <w:rsid w:val="00282D25"/>
    <w:rsid w:val="00282DF9"/>
    <w:rsid w:val="00283A44"/>
    <w:rsid w:val="00283E25"/>
    <w:rsid w:val="002842FB"/>
    <w:rsid w:val="00284729"/>
    <w:rsid w:val="00284C90"/>
    <w:rsid w:val="0028529F"/>
    <w:rsid w:val="00285687"/>
    <w:rsid w:val="00286FC1"/>
    <w:rsid w:val="002874B9"/>
    <w:rsid w:val="00287649"/>
    <w:rsid w:val="00287DAB"/>
    <w:rsid w:val="00287FB6"/>
    <w:rsid w:val="002900C5"/>
    <w:rsid w:val="00290148"/>
    <w:rsid w:val="002901E0"/>
    <w:rsid w:val="0029075B"/>
    <w:rsid w:val="00290BB1"/>
    <w:rsid w:val="002915F7"/>
    <w:rsid w:val="00291BC1"/>
    <w:rsid w:val="00291BC6"/>
    <w:rsid w:val="00291C2B"/>
    <w:rsid w:val="002920EA"/>
    <w:rsid w:val="0029280D"/>
    <w:rsid w:val="00292982"/>
    <w:rsid w:val="002933CA"/>
    <w:rsid w:val="00293881"/>
    <w:rsid w:val="002939D4"/>
    <w:rsid w:val="00293A8F"/>
    <w:rsid w:val="00294D27"/>
    <w:rsid w:val="00295155"/>
    <w:rsid w:val="002952E7"/>
    <w:rsid w:val="002957CB"/>
    <w:rsid w:val="00295AF2"/>
    <w:rsid w:val="00295C02"/>
    <w:rsid w:val="00295D51"/>
    <w:rsid w:val="00296203"/>
    <w:rsid w:val="00296428"/>
    <w:rsid w:val="0029643D"/>
    <w:rsid w:val="0029706A"/>
    <w:rsid w:val="002972EE"/>
    <w:rsid w:val="00297F01"/>
    <w:rsid w:val="002A052D"/>
    <w:rsid w:val="002A0DF8"/>
    <w:rsid w:val="002A0FE2"/>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9BC"/>
    <w:rsid w:val="002A4B0B"/>
    <w:rsid w:val="002A4B6F"/>
    <w:rsid w:val="002A4FFF"/>
    <w:rsid w:val="002A533C"/>
    <w:rsid w:val="002A56E1"/>
    <w:rsid w:val="002A59BD"/>
    <w:rsid w:val="002A63D5"/>
    <w:rsid w:val="002A7564"/>
    <w:rsid w:val="002A75CA"/>
    <w:rsid w:val="002A7889"/>
    <w:rsid w:val="002A799A"/>
    <w:rsid w:val="002A7C7D"/>
    <w:rsid w:val="002B02E4"/>
    <w:rsid w:val="002B097D"/>
    <w:rsid w:val="002B11B2"/>
    <w:rsid w:val="002B18F7"/>
    <w:rsid w:val="002B27B8"/>
    <w:rsid w:val="002B34C3"/>
    <w:rsid w:val="002B3ED7"/>
    <w:rsid w:val="002B475E"/>
    <w:rsid w:val="002B4778"/>
    <w:rsid w:val="002B4C6A"/>
    <w:rsid w:val="002B5364"/>
    <w:rsid w:val="002B75B2"/>
    <w:rsid w:val="002B79B7"/>
    <w:rsid w:val="002C12D4"/>
    <w:rsid w:val="002C141D"/>
    <w:rsid w:val="002C19C0"/>
    <w:rsid w:val="002C2119"/>
    <w:rsid w:val="002C2485"/>
    <w:rsid w:val="002C25E0"/>
    <w:rsid w:val="002C2A2D"/>
    <w:rsid w:val="002C3175"/>
    <w:rsid w:val="002C36C0"/>
    <w:rsid w:val="002C3928"/>
    <w:rsid w:val="002C3B30"/>
    <w:rsid w:val="002C3B33"/>
    <w:rsid w:val="002C435E"/>
    <w:rsid w:val="002C43BB"/>
    <w:rsid w:val="002C44AB"/>
    <w:rsid w:val="002C5E39"/>
    <w:rsid w:val="002C5FA2"/>
    <w:rsid w:val="002C67D8"/>
    <w:rsid w:val="002C7A02"/>
    <w:rsid w:val="002C7BD4"/>
    <w:rsid w:val="002C7C30"/>
    <w:rsid w:val="002D0107"/>
    <w:rsid w:val="002D062E"/>
    <w:rsid w:val="002D06AA"/>
    <w:rsid w:val="002D0D43"/>
    <w:rsid w:val="002D15C2"/>
    <w:rsid w:val="002D23B8"/>
    <w:rsid w:val="002D2B10"/>
    <w:rsid w:val="002D2B51"/>
    <w:rsid w:val="002D386A"/>
    <w:rsid w:val="002D4100"/>
    <w:rsid w:val="002D477F"/>
    <w:rsid w:val="002D4F48"/>
    <w:rsid w:val="002D519B"/>
    <w:rsid w:val="002D5779"/>
    <w:rsid w:val="002D5C3C"/>
    <w:rsid w:val="002D621E"/>
    <w:rsid w:val="002D66DA"/>
    <w:rsid w:val="002D69A2"/>
    <w:rsid w:val="002D6F1F"/>
    <w:rsid w:val="002D7027"/>
    <w:rsid w:val="002D70DC"/>
    <w:rsid w:val="002D758B"/>
    <w:rsid w:val="002D79BC"/>
    <w:rsid w:val="002D7E58"/>
    <w:rsid w:val="002E0D31"/>
    <w:rsid w:val="002E0EFA"/>
    <w:rsid w:val="002E1073"/>
    <w:rsid w:val="002E12EC"/>
    <w:rsid w:val="002E146D"/>
    <w:rsid w:val="002E1D80"/>
    <w:rsid w:val="002E272B"/>
    <w:rsid w:val="002E29F8"/>
    <w:rsid w:val="002E2C52"/>
    <w:rsid w:val="002E342B"/>
    <w:rsid w:val="002E34AE"/>
    <w:rsid w:val="002E3B81"/>
    <w:rsid w:val="002E3D08"/>
    <w:rsid w:val="002E3E1D"/>
    <w:rsid w:val="002E3EEA"/>
    <w:rsid w:val="002E42BE"/>
    <w:rsid w:val="002E4D08"/>
    <w:rsid w:val="002E4DA5"/>
    <w:rsid w:val="002E52B8"/>
    <w:rsid w:val="002E5948"/>
    <w:rsid w:val="002E5DBF"/>
    <w:rsid w:val="002E5E01"/>
    <w:rsid w:val="002E60F5"/>
    <w:rsid w:val="002E6536"/>
    <w:rsid w:val="002E69F5"/>
    <w:rsid w:val="002E6CAA"/>
    <w:rsid w:val="002E73EC"/>
    <w:rsid w:val="002E78EE"/>
    <w:rsid w:val="002E7966"/>
    <w:rsid w:val="002F023D"/>
    <w:rsid w:val="002F0486"/>
    <w:rsid w:val="002F10EC"/>
    <w:rsid w:val="002F1136"/>
    <w:rsid w:val="002F1231"/>
    <w:rsid w:val="002F14FF"/>
    <w:rsid w:val="002F1521"/>
    <w:rsid w:val="002F15EE"/>
    <w:rsid w:val="002F3632"/>
    <w:rsid w:val="002F3AFB"/>
    <w:rsid w:val="002F3C41"/>
    <w:rsid w:val="002F4A09"/>
    <w:rsid w:val="002F4C8E"/>
    <w:rsid w:val="002F4D76"/>
    <w:rsid w:val="002F5076"/>
    <w:rsid w:val="002F5113"/>
    <w:rsid w:val="002F555E"/>
    <w:rsid w:val="002F5839"/>
    <w:rsid w:val="002F61AC"/>
    <w:rsid w:val="002F64D9"/>
    <w:rsid w:val="002F651D"/>
    <w:rsid w:val="002F6648"/>
    <w:rsid w:val="002F68F8"/>
    <w:rsid w:val="002F6E44"/>
    <w:rsid w:val="002F74FD"/>
    <w:rsid w:val="002F787B"/>
    <w:rsid w:val="002F7974"/>
    <w:rsid w:val="002F7D01"/>
    <w:rsid w:val="0030005C"/>
    <w:rsid w:val="00300369"/>
    <w:rsid w:val="0030048D"/>
    <w:rsid w:val="00300F66"/>
    <w:rsid w:val="00301526"/>
    <w:rsid w:val="00301D0A"/>
    <w:rsid w:val="00301D26"/>
    <w:rsid w:val="00301D7E"/>
    <w:rsid w:val="003027B8"/>
    <w:rsid w:val="003028E6"/>
    <w:rsid w:val="0030293F"/>
    <w:rsid w:val="00302947"/>
    <w:rsid w:val="00302C50"/>
    <w:rsid w:val="003031C2"/>
    <w:rsid w:val="00303861"/>
    <w:rsid w:val="0030441D"/>
    <w:rsid w:val="00304FFF"/>
    <w:rsid w:val="00305557"/>
    <w:rsid w:val="0030561F"/>
    <w:rsid w:val="00305CA3"/>
    <w:rsid w:val="003064B2"/>
    <w:rsid w:val="003068C1"/>
    <w:rsid w:val="00306E5C"/>
    <w:rsid w:val="00307C19"/>
    <w:rsid w:val="00310732"/>
    <w:rsid w:val="00310BC9"/>
    <w:rsid w:val="0031115B"/>
    <w:rsid w:val="0031139F"/>
    <w:rsid w:val="00311762"/>
    <w:rsid w:val="00311D53"/>
    <w:rsid w:val="00311E98"/>
    <w:rsid w:val="00312215"/>
    <w:rsid w:val="0031249C"/>
    <w:rsid w:val="003125C3"/>
    <w:rsid w:val="00312896"/>
    <w:rsid w:val="00312E29"/>
    <w:rsid w:val="00313EAC"/>
    <w:rsid w:val="00314148"/>
    <w:rsid w:val="003142F4"/>
    <w:rsid w:val="0031454E"/>
    <w:rsid w:val="00315E68"/>
    <w:rsid w:val="0031611F"/>
    <w:rsid w:val="0031675C"/>
    <w:rsid w:val="00316C65"/>
    <w:rsid w:val="00317223"/>
    <w:rsid w:val="003178C8"/>
    <w:rsid w:val="00317A33"/>
    <w:rsid w:val="00320339"/>
    <w:rsid w:val="00321214"/>
    <w:rsid w:val="0032137C"/>
    <w:rsid w:val="003213D5"/>
    <w:rsid w:val="003215BE"/>
    <w:rsid w:val="00321D1E"/>
    <w:rsid w:val="003226E0"/>
    <w:rsid w:val="00323015"/>
    <w:rsid w:val="00323737"/>
    <w:rsid w:val="00323AD6"/>
    <w:rsid w:val="00323C1E"/>
    <w:rsid w:val="00323F27"/>
    <w:rsid w:val="003242EF"/>
    <w:rsid w:val="00325339"/>
    <w:rsid w:val="003255AA"/>
    <w:rsid w:val="0032567A"/>
    <w:rsid w:val="00325ADD"/>
    <w:rsid w:val="00327377"/>
    <w:rsid w:val="00330090"/>
    <w:rsid w:val="00330583"/>
    <w:rsid w:val="003306F7"/>
    <w:rsid w:val="003314B6"/>
    <w:rsid w:val="00331A20"/>
    <w:rsid w:val="00331E65"/>
    <w:rsid w:val="00331FDD"/>
    <w:rsid w:val="00332D12"/>
    <w:rsid w:val="00333107"/>
    <w:rsid w:val="0033343B"/>
    <w:rsid w:val="0033393C"/>
    <w:rsid w:val="00333DF9"/>
    <w:rsid w:val="00333EE1"/>
    <w:rsid w:val="0033445E"/>
    <w:rsid w:val="00334477"/>
    <w:rsid w:val="00334EB2"/>
    <w:rsid w:val="0033564F"/>
    <w:rsid w:val="003357EE"/>
    <w:rsid w:val="0033630A"/>
    <w:rsid w:val="003368F0"/>
    <w:rsid w:val="0033731F"/>
    <w:rsid w:val="00337368"/>
    <w:rsid w:val="003377EB"/>
    <w:rsid w:val="00337B4D"/>
    <w:rsid w:val="00337E7C"/>
    <w:rsid w:val="003407A9"/>
    <w:rsid w:val="0034094A"/>
    <w:rsid w:val="00340B47"/>
    <w:rsid w:val="00340BA3"/>
    <w:rsid w:val="00340BAF"/>
    <w:rsid w:val="00340C2B"/>
    <w:rsid w:val="00340F9A"/>
    <w:rsid w:val="00341018"/>
    <w:rsid w:val="003420D9"/>
    <w:rsid w:val="003423E0"/>
    <w:rsid w:val="0034274C"/>
    <w:rsid w:val="0034301A"/>
    <w:rsid w:val="003437DC"/>
    <w:rsid w:val="00343D76"/>
    <w:rsid w:val="00344097"/>
    <w:rsid w:val="00344DFD"/>
    <w:rsid w:val="00344E8F"/>
    <w:rsid w:val="00344F41"/>
    <w:rsid w:val="003451D3"/>
    <w:rsid w:val="0034581A"/>
    <w:rsid w:val="00346631"/>
    <w:rsid w:val="00346AAD"/>
    <w:rsid w:val="00346D96"/>
    <w:rsid w:val="00346E39"/>
    <w:rsid w:val="0034736A"/>
    <w:rsid w:val="0034747C"/>
    <w:rsid w:val="00347B6C"/>
    <w:rsid w:val="00350D96"/>
    <w:rsid w:val="0035151C"/>
    <w:rsid w:val="00351E68"/>
    <w:rsid w:val="00352254"/>
    <w:rsid w:val="003522A3"/>
    <w:rsid w:val="003524C8"/>
    <w:rsid w:val="0035327C"/>
    <w:rsid w:val="00353929"/>
    <w:rsid w:val="00353F9E"/>
    <w:rsid w:val="003540D1"/>
    <w:rsid w:val="003545BF"/>
    <w:rsid w:val="0035586A"/>
    <w:rsid w:val="0035611A"/>
    <w:rsid w:val="00356C3D"/>
    <w:rsid w:val="00357F69"/>
    <w:rsid w:val="00360B75"/>
    <w:rsid w:val="0036151C"/>
    <w:rsid w:val="00361777"/>
    <w:rsid w:val="003619D4"/>
    <w:rsid w:val="00361A9B"/>
    <w:rsid w:val="00362CCF"/>
    <w:rsid w:val="00362FF4"/>
    <w:rsid w:val="003631DB"/>
    <w:rsid w:val="00364524"/>
    <w:rsid w:val="003645A1"/>
    <w:rsid w:val="0036513A"/>
    <w:rsid w:val="00365237"/>
    <w:rsid w:val="0036559C"/>
    <w:rsid w:val="0036587E"/>
    <w:rsid w:val="003660CD"/>
    <w:rsid w:val="00366B08"/>
    <w:rsid w:val="00366B20"/>
    <w:rsid w:val="00367393"/>
    <w:rsid w:val="00367496"/>
    <w:rsid w:val="003678BE"/>
    <w:rsid w:val="003700F8"/>
    <w:rsid w:val="00370949"/>
    <w:rsid w:val="00371978"/>
    <w:rsid w:val="0037243B"/>
    <w:rsid w:val="0037251C"/>
    <w:rsid w:val="0037272C"/>
    <w:rsid w:val="00372B9A"/>
    <w:rsid w:val="00372CC7"/>
    <w:rsid w:val="003731BF"/>
    <w:rsid w:val="00374698"/>
    <w:rsid w:val="003747A3"/>
    <w:rsid w:val="00375287"/>
    <w:rsid w:val="00375791"/>
    <w:rsid w:val="00375826"/>
    <w:rsid w:val="00375994"/>
    <w:rsid w:val="00375C59"/>
    <w:rsid w:val="00375E05"/>
    <w:rsid w:val="0037613B"/>
    <w:rsid w:val="00376BB7"/>
    <w:rsid w:val="00376EEE"/>
    <w:rsid w:val="00377BA1"/>
    <w:rsid w:val="00377FF0"/>
    <w:rsid w:val="003805A3"/>
    <w:rsid w:val="00380616"/>
    <w:rsid w:val="00381022"/>
    <w:rsid w:val="003814B8"/>
    <w:rsid w:val="00382909"/>
    <w:rsid w:val="00382EE1"/>
    <w:rsid w:val="00384258"/>
    <w:rsid w:val="00385066"/>
    <w:rsid w:val="00385131"/>
    <w:rsid w:val="00385648"/>
    <w:rsid w:val="0038620B"/>
    <w:rsid w:val="00387647"/>
    <w:rsid w:val="0038777C"/>
    <w:rsid w:val="0038791A"/>
    <w:rsid w:val="00390056"/>
    <w:rsid w:val="0039055C"/>
    <w:rsid w:val="00390718"/>
    <w:rsid w:val="00390767"/>
    <w:rsid w:val="00390883"/>
    <w:rsid w:val="00391470"/>
    <w:rsid w:val="003920C4"/>
    <w:rsid w:val="00392184"/>
    <w:rsid w:val="00392652"/>
    <w:rsid w:val="00392B41"/>
    <w:rsid w:val="00392CCD"/>
    <w:rsid w:val="00392FAA"/>
    <w:rsid w:val="0039456F"/>
    <w:rsid w:val="003945C8"/>
    <w:rsid w:val="0039480D"/>
    <w:rsid w:val="00394BAA"/>
    <w:rsid w:val="00395395"/>
    <w:rsid w:val="00395446"/>
    <w:rsid w:val="00395D0E"/>
    <w:rsid w:val="0039629E"/>
    <w:rsid w:val="00396406"/>
    <w:rsid w:val="00396725"/>
    <w:rsid w:val="0039762A"/>
    <w:rsid w:val="003977BE"/>
    <w:rsid w:val="00397A28"/>
    <w:rsid w:val="00397E94"/>
    <w:rsid w:val="00397F05"/>
    <w:rsid w:val="003A0442"/>
    <w:rsid w:val="003A0899"/>
    <w:rsid w:val="003A0ACD"/>
    <w:rsid w:val="003A0E83"/>
    <w:rsid w:val="003A1512"/>
    <w:rsid w:val="003A1EB7"/>
    <w:rsid w:val="003A23F3"/>
    <w:rsid w:val="003A2D82"/>
    <w:rsid w:val="003A2F93"/>
    <w:rsid w:val="003A337C"/>
    <w:rsid w:val="003A36D3"/>
    <w:rsid w:val="003A36DA"/>
    <w:rsid w:val="003A38F1"/>
    <w:rsid w:val="003A3D1B"/>
    <w:rsid w:val="003A3E3A"/>
    <w:rsid w:val="003A3F39"/>
    <w:rsid w:val="003A4296"/>
    <w:rsid w:val="003A4549"/>
    <w:rsid w:val="003A49B3"/>
    <w:rsid w:val="003A4C59"/>
    <w:rsid w:val="003A4F9F"/>
    <w:rsid w:val="003A55B4"/>
    <w:rsid w:val="003A5890"/>
    <w:rsid w:val="003A61B6"/>
    <w:rsid w:val="003A623F"/>
    <w:rsid w:val="003A71AD"/>
    <w:rsid w:val="003A7D1D"/>
    <w:rsid w:val="003A7D8A"/>
    <w:rsid w:val="003B060E"/>
    <w:rsid w:val="003B098C"/>
    <w:rsid w:val="003B0EAD"/>
    <w:rsid w:val="003B12D0"/>
    <w:rsid w:val="003B12DD"/>
    <w:rsid w:val="003B1688"/>
    <w:rsid w:val="003B19E8"/>
    <w:rsid w:val="003B1D2E"/>
    <w:rsid w:val="003B1F4F"/>
    <w:rsid w:val="003B1FA4"/>
    <w:rsid w:val="003B1FE6"/>
    <w:rsid w:val="003B223A"/>
    <w:rsid w:val="003B3046"/>
    <w:rsid w:val="003B3106"/>
    <w:rsid w:val="003B3205"/>
    <w:rsid w:val="003B3974"/>
    <w:rsid w:val="003B39E0"/>
    <w:rsid w:val="003B3DAB"/>
    <w:rsid w:val="003B3DAD"/>
    <w:rsid w:val="003B3E4D"/>
    <w:rsid w:val="003B404D"/>
    <w:rsid w:val="003B4466"/>
    <w:rsid w:val="003B4B34"/>
    <w:rsid w:val="003B4CDA"/>
    <w:rsid w:val="003B4F2D"/>
    <w:rsid w:val="003B5262"/>
    <w:rsid w:val="003B5958"/>
    <w:rsid w:val="003B5BD9"/>
    <w:rsid w:val="003B6407"/>
    <w:rsid w:val="003B64A3"/>
    <w:rsid w:val="003B6DB8"/>
    <w:rsid w:val="003B71EE"/>
    <w:rsid w:val="003B72A3"/>
    <w:rsid w:val="003B72B9"/>
    <w:rsid w:val="003C02F9"/>
    <w:rsid w:val="003C0887"/>
    <w:rsid w:val="003C08AF"/>
    <w:rsid w:val="003C1A5E"/>
    <w:rsid w:val="003C1B93"/>
    <w:rsid w:val="003C21A0"/>
    <w:rsid w:val="003C2EDD"/>
    <w:rsid w:val="003C3220"/>
    <w:rsid w:val="003C3A47"/>
    <w:rsid w:val="003C3A79"/>
    <w:rsid w:val="003C44C2"/>
    <w:rsid w:val="003C48F2"/>
    <w:rsid w:val="003C49C8"/>
    <w:rsid w:val="003C5177"/>
    <w:rsid w:val="003C52B0"/>
    <w:rsid w:val="003C5911"/>
    <w:rsid w:val="003C5B53"/>
    <w:rsid w:val="003C5CDB"/>
    <w:rsid w:val="003C5D2D"/>
    <w:rsid w:val="003C6465"/>
    <w:rsid w:val="003C65E4"/>
    <w:rsid w:val="003C6C7A"/>
    <w:rsid w:val="003C7712"/>
    <w:rsid w:val="003C7862"/>
    <w:rsid w:val="003C7AE4"/>
    <w:rsid w:val="003C7E83"/>
    <w:rsid w:val="003C7ECD"/>
    <w:rsid w:val="003D007D"/>
    <w:rsid w:val="003D01A1"/>
    <w:rsid w:val="003D04D6"/>
    <w:rsid w:val="003D04F6"/>
    <w:rsid w:val="003D0648"/>
    <w:rsid w:val="003D0737"/>
    <w:rsid w:val="003D0EE1"/>
    <w:rsid w:val="003D18CC"/>
    <w:rsid w:val="003D3583"/>
    <w:rsid w:val="003D391E"/>
    <w:rsid w:val="003D3B6F"/>
    <w:rsid w:val="003D40E8"/>
    <w:rsid w:val="003D4287"/>
    <w:rsid w:val="003D455E"/>
    <w:rsid w:val="003D4663"/>
    <w:rsid w:val="003D48EB"/>
    <w:rsid w:val="003D5785"/>
    <w:rsid w:val="003D5A2D"/>
    <w:rsid w:val="003D5A9D"/>
    <w:rsid w:val="003D5EB0"/>
    <w:rsid w:val="003D62C0"/>
    <w:rsid w:val="003D65F6"/>
    <w:rsid w:val="003D6911"/>
    <w:rsid w:val="003D6E04"/>
    <w:rsid w:val="003D72C4"/>
    <w:rsid w:val="003D73E3"/>
    <w:rsid w:val="003D7E4B"/>
    <w:rsid w:val="003E0035"/>
    <w:rsid w:val="003E07B1"/>
    <w:rsid w:val="003E0C14"/>
    <w:rsid w:val="003E0D6F"/>
    <w:rsid w:val="003E1591"/>
    <w:rsid w:val="003E1945"/>
    <w:rsid w:val="003E1975"/>
    <w:rsid w:val="003E1ACF"/>
    <w:rsid w:val="003E216C"/>
    <w:rsid w:val="003E236E"/>
    <w:rsid w:val="003E259D"/>
    <w:rsid w:val="003E26BA"/>
    <w:rsid w:val="003E2906"/>
    <w:rsid w:val="003E2969"/>
    <w:rsid w:val="003E2C1A"/>
    <w:rsid w:val="003E330F"/>
    <w:rsid w:val="003E3478"/>
    <w:rsid w:val="003E4577"/>
    <w:rsid w:val="003E4E74"/>
    <w:rsid w:val="003E5276"/>
    <w:rsid w:val="003E5F7D"/>
    <w:rsid w:val="003E6038"/>
    <w:rsid w:val="003E6520"/>
    <w:rsid w:val="003E67E7"/>
    <w:rsid w:val="003E6B3C"/>
    <w:rsid w:val="003E6B95"/>
    <w:rsid w:val="003E70FF"/>
    <w:rsid w:val="003E777F"/>
    <w:rsid w:val="003E7F1B"/>
    <w:rsid w:val="003F0B41"/>
    <w:rsid w:val="003F1E39"/>
    <w:rsid w:val="003F229D"/>
    <w:rsid w:val="003F25F0"/>
    <w:rsid w:val="003F2D5B"/>
    <w:rsid w:val="003F31BA"/>
    <w:rsid w:val="003F355B"/>
    <w:rsid w:val="003F3A1F"/>
    <w:rsid w:val="003F5AD2"/>
    <w:rsid w:val="003F5CA4"/>
    <w:rsid w:val="003F6D50"/>
    <w:rsid w:val="003F7006"/>
    <w:rsid w:val="003F7507"/>
    <w:rsid w:val="003F7C72"/>
    <w:rsid w:val="003F7D10"/>
    <w:rsid w:val="00401000"/>
    <w:rsid w:val="004013FF"/>
    <w:rsid w:val="004016C6"/>
    <w:rsid w:val="0040179A"/>
    <w:rsid w:val="00401856"/>
    <w:rsid w:val="004028A2"/>
    <w:rsid w:val="00402EC0"/>
    <w:rsid w:val="00402FEB"/>
    <w:rsid w:val="00403344"/>
    <w:rsid w:val="00403C82"/>
    <w:rsid w:val="00404068"/>
    <w:rsid w:val="0040463D"/>
    <w:rsid w:val="00404A27"/>
    <w:rsid w:val="00404C44"/>
    <w:rsid w:val="00404EE8"/>
    <w:rsid w:val="0040510D"/>
    <w:rsid w:val="0040512D"/>
    <w:rsid w:val="00405A82"/>
    <w:rsid w:val="0040602F"/>
    <w:rsid w:val="00406AFB"/>
    <w:rsid w:val="00406E90"/>
    <w:rsid w:val="00407382"/>
    <w:rsid w:val="0040791B"/>
    <w:rsid w:val="00407BFE"/>
    <w:rsid w:val="00411003"/>
    <w:rsid w:val="00411958"/>
    <w:rsid w:val="00411B2A"/>
    <w:rsid w:val="00411D66"/>
    <w:rsid w:val="00412973"/>
    <w:rsid w:val="00412A41"/>
    <w:rsid w:val="00412D42"/>
    <w:rsid w:val="00412DA4"/>
    <w:rsid w:val="00412EB6"/>
    <w:rsid w:val="0041351F"/>
    <w:rsid w:val="004137C8"/>
    <w:rsid w:val="00413BF9"/>
    <w:rsid w:val="00413C25"/>
    <w:rsid w:val="00414D6D"/>
    <w:rsid w:val="00414FCC"/>
    <w:rsid w:val="00415531"/>
    <w:rsid w:val="00416330"/>
    <w:rsid w:val="004176C7"/>
    <w:rsid w:val="00417877"/>
    <w:rsid w:val="00417D9F"/>
    <w:rsid w:val="00420229"/>
    <w:rsid w:val="00420802"/>
    <w:rsid w:val="00420DBA"/>
    <w:rsid w:val="00421311"/>
    <w:rsid w:val="0042251D"/>
    <w:rsid w:val="00422941"/>
    <w:rsid w:val="00422E13"/>
    <w:rsid w:val="00422EB7"/>
    <w:rsid w:val="0042350F"/>
    <w:rsid w:val="00423599"/>
    <w:rsid w:val="0042384C"/>
    <w:rsid w:val="00423893"/>
    <w:rsid w:val="00423BC9"/>
    <w:rsid w:val="0042557A"/>
    <w:rsid w:val="004255B4"/>
    <w:rsid w:val="00426766"/>
    <w:rsid w:val="004267D0"/>
    <w:rsid w:val="004279CA"/>
    <w:rsid w:val="00427A82"/>
    <w:rsid w:val="00427DC4"/>
    <w:rsid w:val="00427EA2"/>
    <w:rsid w:val="00430115"/>
    <w:rsid w:val="004305DC"/>
    <w:rsid w:val="00430A4B"/>
    <w:rsid w:val="00430FAC"/>
    <w:rsid w:val="00431C46"/>
    <w:rsid w:val="00431FE0"/>
    <w:rsid w:val="004327E6"/>
    <w:rsid w:val="004329DC"/>
    <w:rsid w:val="00432AC6"/>
    <w:rsid w:val="00432E91"/>
    <w:rsid w:val="00434C5E"/>
    <w:rsid w:val="00435765"/>
    <w:rsid w:val="00435966"/>
    <w:rsid w:val="004360B6"/>
    <w:rsid w:val="00436102"/>
    <w:rsid w:val="004362E5"/>
    <w:rsid w:val="00436356"/>
    <w:rsid w:val="0044046A"/>
    <w:rsid w:val="00440722"/>
    <w:rsid w:val="004408E2"/>
    <w:rsid w:val="00440DF1"/>
    <w:rsid w:val="00441A07"/>
    <w:rsid w:val="004425D9"/>
    <w:rsid w:val="00443244"/>
    <w:rsid w:val="00444AF6"/>
    <w:rsid w:val="0044519D"/>
    <w:rsid w:val="00445544"/>
    <w:rsid w:val="004459E2"/>
    <w:rsid w:val="00445C0B"/>
    <w:rsid w:val="00446195"/>
    <w:rsid w:val="004468DB"/>
    <w:rsid w:val="00447CD0"/>
    <w:rsid w:val="00447FC2"/>
    <w:rsid w:val="004502F4"/>
    <w:rsid w:val="004506F4"/>
    <w:rsid w:val="004509D1"/>
    <w:rsid w:val="00450A42"/>
    <w:rsid w:val="00451087"/>
    <w:rsid w:val="00451170"/>
    <w:rsid w:val="004513A5"/>
    <w:rsid w:val="00451AED"/>
    <w:rsid w:val="00451D50"/>
    <w:rsid w:val="0045265C"/>
    <w:rsid w:val="00452EC4"/>
    <w:rsid w:val="00453340"/>
    <w:rsid w:val="00453775"/>
    <w:rsid w:val="00453890"/>
    <w:rsid w:val="00454380"/>
    <w:rsid w:val="004545FD"/>
    <w:rsid w:val="0045470C"/>
    <w:rsid w:val="00454930"/>
    <w:rsid w:val="004552C8"/>
    <w:rsid w:val="0045536C"/>
    <w:rsid w:val="00455A07"/>
    <w:rsid w:val="00455AEB"/>
    <w:rsid w:val="0045603C"/>
    <w:rsid w:val="00456053"/>
    <w:rsid w:val="00456068"/>
    <w:rsid w:val="00456896"/>
    <w:rsid w:val="00456ADA"/>
    <w:rsid w:val="00456B0D"/>
    <w:rsid w:val="0045770D"/>
    <w:rsid w:val="0045790F"/>
    <w:rsid w:val="00457940"/>
    <w:rsid w:val="00457996"/>
    <w:rsid w:val="00457D63"/>
    <w:rsid w:val="00457E21"/>
    <w:rsid w:val="0046007E"/>
    <w:rsid w:val="0046024B"/>
    <w:rsid w:val="00460CB6"/>
    <w:rsid w:val="00460E36"/>
    <w:rsid w:val="00460FAC"/>
    <w:rsid w:val="00461155"/>
    <w:rsid w:val="00461509"/>
    <w:rsid w:val="00462031"/>
    <w:rsid w:val="0046218C"/>
    <w:rsid w:val="00462194"/>
    <w:rsid w:val="004623D4"/>
    <w:rsid w:val="004626D1"/>
    <w:rsid w:val="00463944"/>
    <w:rsid w:val="0046441D"/>
    <w:rsid w:val="00464798"/>
    <w:rsid w:val="00464C2F"/>
    <w:rsid w:val="0046512A"/>
    <w:rsid w:val="00465234"/>
    <w:rsid w:val="00465654"/>
    <w:rsid w:val="0046580E"/>
    <w:rsid w:val="004659BB"/>
    <w:rsid w:val="00465B14"/>
    <w:rsid w:val="00465B24"/>
    <w:rsid w:val="00465E24"/>
    <w:rsid w:val="00466118"/>
    <w:rsid w:val="004663D1"/>
    <w:rsid w:val="00466858"/>
    <w:rsid w:val="00466D0F"/>
    <w:rsid w:val="00466E6A"/>
    <w:rsid w:val="00467544"/>
    <w:rsid w:val="004676BA"/>
    <w:rsid w:val="0046784C"/>
    <w:rsid w:val="00467ECB"/>
    <w:rsid w:val="00470228"/>
    <w:rsid w:val="004710C3"/>
    <w:rsid w:val="00471459"/>
    <w:rsid w:val="00471DF1"/>
    <w:rsid w:val="00472274"/>
    <w:rsid w:val="004722D4"/>
    <w:rsid w:val="004726DC"/>
    <w:rsid w:val="00472880"/>
    <w:rsid w:val="00472D9C"/>
    <w:rsid w:val="004732A3"/>
    <w:rsid w:val="004735DD"/>
    <w:rsid w:val="00473B60"/>
    <w:rsid w:val="00474C9B"/>
    <w:rsid w:val="00475AFF"/>
    <w:rsid w:val="00475D30"/>
    <w:rsid w:val="00476387"/>
    <w:rsid w:val="004765F4"/>
    <w:rsid w:val="00476B4D"/>
    <w:rsid w:val="00476CBC"/>
    <w:rsid w:val="00476E6C"/>
    <w:rsid w:val="00477282"/>
    <w:rsid w:val="00477947"/>
    <w:rsid w:val="004805AE"/>
    <w:rsid w:val="00480AAD"/>
    <w:rsid w:val="00480FA1"/>
    <w:rsid w:val="0048106F"/>
    <w:rsid w:val="00481FD7"/>
    <w:rsid w:val="00482DE5"/>
    <w:rsid w:val="00483266"/>
    <w:rsid w:val="0048352E"/>
    <w:rsid w:val="004836A9"/>
    <w:rsid w:val="00483B23"/>
    <w:rsid w:val="00483CD8"/>
    <w:rsid w:val="00484094"/>
    <w:rsid w:val="004840D7"/>
    <w:rsid w:val="004846BF"/>
    <w:rsid w:val="004846F4"/>
    <w:rsid w:val="004847D5"/>
    <w:rsid w:val="00485955"/>
    <w:rsid w:val="00485BA5"/>
    <w:rsid w:val="00485C26"/>
    <w:rsid w:val="00485DC9"/>
    <w:rsid w:val="00485EC0"/>
    <w:rsid w:val="00485FA3"/>
    <w:rsid w:val="0048675B"/>
    <w:rsid w:val="00486846"/>
    <w:rsid w:val="004875E1"/>
    <w:rsid w:val="00487B37"/>
    <w:rsid w:val="00487FCD"/>
    <w:rsid w:val="00490636"/>
    <w:rsid w:val="00490FF0"/>
    <w:rsid w:val="004910FE"/>
    <w:rsid w:val="0049117C"/>
    <w:rsid w:val="00491198"/>
    <w:rsid w:val="00491290"/>
    <w:rsid w:val="004917E0"/>
    <w:rsid w:val="00491BF6"/>
    <w:rsid w:val="00491FED"/>
    <w:rsid w:val="00492F82"/>
    <w:rsid w:val="00493158"/>
    <w:rsid w:val="00493346"/>
    <w:rsid w:val="004943C2"/>
    <w:rsid w:val="00494918"/>
    <w:rsid w:val="00494C47"/>
    <w:rsid w:val="00494C65"/>
    <w:rsid w:val="00494F0C"/>
    <w:rsid w:val="00495557"/>
    <w:rsid w:val="004958A4"/>
    <w:rsid w:val="0049618D"/>
    <w:rsid w:val="004965EF"/>
    <w:rsid w:val="00496CC1"/>
    <w:rsid w:val="0049719D"/>
    <w:rsid w:val="0049773A"/>
    <w:rsid w:val="0049788A"/>
    <w:rsid w:val="00497F73"/>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1D9"/>
    <w:rsid w:val="004A47BC"/>
    <w:rsid w:val="004A4AC6"/>
    <w:rsid w:val="004B0A61"/>
    <w:rsid w:val="004B1199"/>
    <w:rsid w:val="004B1679"/>
    <w:rsid w:val="004B16C4"/>
    <w:rsid w:val="004B1867"/>
    <w:rsid w:val="004B2413"/>
    <w:rsid w:val="004B2A64"/>
    <w:rsid w:val="004B41DA"/>
    <w:rsid w:val="004B470D"/>
    <w:rsid w:val="004B4764"/>
    <w:rsid w:val="004B4846"/>
    <w:rsid w:val="004B48AA"/>
    <w:rsid w:val="004B5394"/>
    <w:rsid w:val="004B5BDD"/>
    <w:rsid w:val="004B6E9E"/>
    <w:rsid w:val="004B6F83"/>
    <w:rsid w:val="004B74CC"/>
    <w:rsid w:val="004B7C29"/>
    <w:rsid w:val="004B7C36"/>
    <w:rsid w:val="004B7D56"/>
    <w:rsid w:val="004C00B1"/>
    <w:rsid w:val="004C06E5"/>
    <w:rsid w:val="004C0735"/>
    <w:rsid w:val="004C11C0"/>
    <w:rsid w:val="004C1B7D"/>
    <w:rsid w:val="004C1D31"/>
    <w:rsid w:val="004C1E3C"/>
    <w:rsid w:val="004C25F0"/>
    <w:rsid w:val="004C26DD"/>
    <w:rsid w:val="004C2B5D"/>
    <w:rsid w:val="004C2D68"/>
    <w:rsid w:val="004C2F56"/>
    <w:rsid w:val="004C339D"/>
    <w:rsid w:val="004C33E8"/>
    <w:rsid w:val="004C39C2"/>
    <w:rsid w:val="004C4307"/>
    <w:rsid w:val="004C4309"/>
    <w:rsid w:val="004C49E3"/>
    <w:rsid w:val="004C4E8A"/>
    <w:rsid w:val="004C5123"/>
    <w:rsid w:val="004C514A"/>
    <w:rsid w:val="004C5558"/>
    <w:rsid w:val="004C58DC"/>
    <w:rsid w:val="004C6572"/>
    <w:rsid w:val="004C6D4F"/>
    <w:rsid w:val="004C7541"/>
    <w:rsid w:val="004D0CE8"/>
    <w:rsid w:val="004D1C4C"/>
    <w:rsid w:val="004D1E71"/>
    <w:rsid w:val="004D272D"/>
    <w:rsid w:val="004D2CDF"/>
    <w:rsid w:val="004D2FA9"/>
    <w:rsid w:val="004D33CE"/>
    <w:rsid w:val="004D4AAE"/>
    <w:rsid w:val="004D54C3"/>
    <w:rsid w:val="004D796F"/>
    <w:rsid w:val="004D7C86"/>
    <w:rsid w:val="004E0197"/>
    <w:rsid w:val="004E089E"/>
    <w:rsid w:val="004E0BA1"/>
    <w:rsid w:val="004E1122"/>
    <w:rsid w:val="004E1409"/>
    <w:rsid w:val="004E1A87"/>
    <w:rsid w:val="004E1BB0"/>
    <w:rsid w:val="004E3030"/>
    <w:rsid w:val="004E3311"/>
    <w:rsid w:val="004E38EC"/>
    <w:rsid w:val="004E3933"/>
    <w:rsid w:val="004E4549"/>
    <w:rsid w:val="004E49B5"/>
    <w:rsid w:val="004E4C83"/>
    <w:rsid w:val="004E4D53"/>
    <w:rsid w:val="004E4D84"/>
    <w:rsid w:val="004E4EBC"/>
    <w:rsid w:val="004E5104"/>
    <w:rsid w:val="004E5B06"/>
    <w:rsid w:val="004E5FA8"/>
    <w:rsid w:val="004E684C"/>
    <w:rsid w:val="004E6FF1"/>
    <w:rsid w:val="004E76DB"/>
    <w:rsid w:val="004F08A3"/>
    <w:rsid w:val="004F1A66"/>
    <w:rsid w:val="004F1C6A"/>
    <w:rsid w:val="004F1F90"/>
    <w:rsid w:val="004F2401"/>
    <w:rsid w:val="004F2A44"/>
    <w:rsid w:val="004F2DAD"/>
    <w:rsid w:val="004F34F7"/>
    <w:rsid w:val="004F4157"/>
    <w:rsid w:val="004F524D"/>
    <w:rsid w:val="004F5403"/>
    <w:rsid w:val="004F55D6"/>
    <w:rsid w:val="004F565A"/>
    <w:rsid w:val="004F571B"/>
    <w:rsid w:val="004F64EB"/>
    <w:rsid w:val="004F7A74"/>
    <w:rsid w:val="00500250"/>
    <w:rsid w:val="00500264"/>
    <w:rsid w:val="005003F5"/>
    <w:rsid w:val="00500824"/>
    <w:rsid w:val="00500DAB"/>
    <w:rsid w:val="00501144"/>
    <w:rsid w:val="005013EF"/>
    <w:rsid w:val="005019D4"/>
    <w:rsid w:val="005019E0"/>
    <w:rsid w:val="0050211F"/>
    <w:rsid w:val="005022E7"/>
    <w:rsid w:val="00502A93"/>
    <w:rsid w:val="00502CE8"/>
    <w:rsid w:val="005031E5"/>
    <w:rsid w:val="005032E6"/>
    <w:rsid w:val="005037F9"/>
    <w:rsid w:val="00505792"/>
    <w:rsid w:val="00505C5B"/>
    <w:rsid w:val="00506083"/>
    <w:rsid w:val="005066E7"/>
    <w:rsid w:val="00506881"/>
    <w:rsid w:val="005068D6"/>
    <w:rsid w:val="00506B86"/>
    <w:rsid w:val="00506E90"/>
    <w:rsid w:val="00506EEC"/>
    <w:rsid w:val="00506FD4"/>
    <w:rsid w:val="00507017"/>
    <w:rsid w:val="005070A3"/>
    <w:rsid w:val="0051013D"/>
    <w:rsid w:val="00510197"/>
    <w:rsid w:val="005107FF"/>
    <w:rsid w:val="00510CBC"/>
    <w:rsid w:val="0051102D"/>
    <w:rsid w:val="005112A5"/>
    <w:rsid w:val="00511F48"/>
    <w:rsid w:val="00512448"/>
    <w:rsid w:val="0051253A"/>
    <w:rsid w:val="0051266C"/>
    <w:rsid w:val="00513B72"/>
    <w:rsid w:val="005146AD"/>
    <w:rsid w:val="00514FAD"/>
    <w:rsid w:val="00515277"/>
    <w:rsid w:val="005158C2"/>
    <w:rsid w:val="00515BC4"/>
    <w:rsid w:val="00516431"/>
    <w:rsid w:val="005166BC"/>
    <w:rsid w:val="005169CD"/>
    <w:rsid w:val="005169DE"/>
    <w:rsid w:val="00517353"/>
    <w:rsid w:val="0051754D"/>
    <w:rsid w:val="0051785D"/>
    <w:rsid w:val="00517913"/>
    <w:rsid w:val="00517AA4"/>
    <w:rsid w:val="0052005F"/>
    <w:rsid w:val="00520200"/>
    <w:rsid w:val="00520357"/>
    <w:rsid w:val="00520544"/>
    <w:rsid w:val="00520E2D"/>
    <w:rsid w:val="00520F04"/>
    <w:rsid w:val="00521717"/>
    <w:rsid w:val="005224B2"/>
    <w:rsid w:val="00522B67"/>
    <w:rsid w:val="00523B23"/>
    <w:rsid w:val="00523DFA"/>
    <w:rsid w:val="00524C4E"/>
    <w:rsid w:val="00524F2D"/>
    <w:rsid w:val="005254BC"/>
    <w:rsid w:val="005256FC"/>
    <w:rsid w:val="005261CA"/>
    <w:rsid w:val="00526545"/>
    <w:rsid w:val="00526B0D"/>
    <w:rsid w:val="00526BEB"/>
    <w:rsid w:val="00526C27"/>
    <w:rsid w:val="00526DFF"/>
    <w:rsid w:val="00527473"/>
    <w:rsid w:val="00527EF9"/>
    <w:rsid w:val="005305FF"/>
    <w:rsid w:val="00530C9B"/>
    <w:rsid w:val="00531690"/>
    <w:rsid w:val="0053183D"/>
    <w:rsid w:val="00531E03"/>
    <w:rsid w:val="00532334"/>
    <w:rsid w:val="005324AF"/>
    <w:rsid w:val="0053301C"/>
    <w:rsid w:val="005337E4"/>
    <w:rsid w:val="0053402C"/>
    <w:rsid w:val="00534090"/>
    <w:rsid w:val="00534ABA"/>
    <w:rsid w:val="00535FFF"/>
    <w:rsid w:val="0053616F"/>
    <w:rsid w:val="00536767"/>
    <w:rsid w:val="005368AD"/>
    <w:rsid w:val="005370BC"/>
    <w:rsid w:val="00537B35"/>
    <w:rsid w:val="00537DE7"/>
    <w:rsid w:val="00537EC4"/>
    <w:rsid w:val="00537FE4"/>
    <w:rsid w:val="0054027D"/>
    <w:rsid w:val="00540C76"/>
    <w:rsid w:val="00541222"/>
    <w:rsid w:val="00541A8D"/>
    <w:rsid w:val="00543804"/>
    <w:rsid w:val="005444EF"/>
    <w:rsid w:val="0054465D"/>
    <w:rsid w:val="0054495A"/>
    <w:rsid w:val="00544DA0"/>
    <w:rsid w:val="00545135"/>
    <w:rsid w:val="005454BD"/>
    <w:rsid w:val="005457E4"/>
    <w:rsid w:val="00545EC2"/>
    <w:rsid w:val="00545F8D"/>
    <w:rsid w:val="00546C49"/>
    <w:rsid w:val="00546F9D"/>
    <w:rsid w:val="0055010B"/>
    <w:rsid w:val="00550D59"/>
    <w:rsid w:val="0055110D"/>
    <w:rsid w:val="00551F81"/>
    <w:rsid w:val="0055210F"/>
    <w:rsid w:val="00552B3A"/>
    <w:rsid w:val="00552CD7"/>
    <w:rsid w:val="00552E18"/>
    <w:rsid w:val="005533BE"/>
    <w:rsid w:val="005540AE"/>
    <w:rsid w:val="005549E4"/>
    <w:rsid w:val="00554B30"/>
    <w:rsid w:val="00554FFB"/>
    <w:rsid w:val="00555AA2"/>
    <w:rsid w:val="005563DF"/>
    <w:rsid w:val="005568DE"/>
    <w:rsid w:val="00557C50"/>
    <w:rsid w:val="005606B6"/>
    <w:rsid w:val="005608D6"/>
    <w:rsid w:val="00560F19"/>
    <w:rsid w:val="00561E6B"/>
    <w:rsid w:val="005621D2"/>
    <w:rsid w:val="005621E0"/>
    <w:rsid w:val="00562560"/>
    <w:rsid w:val="0056276C"/>
    <w:rsid w:val="00562D90"/>
    <w:rsid w:val="00563806"/>
    <w:rsid w:val="00563A23"/>
    <w:rsid w:val="00563A5A"/>
    <w:rsid w:val="00563C61"/>
    <w:rsid w:val="00563ECB"/>
    <w:rsid w:val="00563F47"/>
    <w:rsid w:val="005640BB"/>
    <w:rsid w:val="00564C13"/>
    <w:rsid w:val="00564C23"/>
    <w:rsid w:val="00565406"/>
    <w:rsid w:val="00565570"/>
    <w:rsid w:val="005657DD"/>
    <w:rsid w:val="00565B29"/>
    <w:rsid w:val="00565D3E"/>
    <w:rsid w:val="005664CC"/>
    <w:rsid w:val="0056664B"/>
    <w:rsid w:val="00566B83"/>
    <w:rsid w:val="00567588"/>
    <w:rsid w:val="00567696"/>
    <w:rsid w:val="00567992"/>
    <w:rsid w:val="00567C3C"/>
    <w:rsid w:val="005701BC"/>
    <w:rsid w:val="005702F8"/>
    <w:rsid w:val="00571231"/>
    <w:rsid w:val="00571767"/>
    <w:rsid w:val="00571E44"/>
    <w:rsid w:val="00572CD7"/>
    <w:rsid w:val="005733FC"/>
    <w:rsid w:val="00573691"/>
    <w:rsid w:val="00573E61"/>
    <w:rsid w:val="0057411B"/>
    <w:rsid w:val="00574525"/>
    <w:rsid w:val="00574778"/>
    <w:rsid w:val="0057498F"/>
    <w:rsid w:val="00574DE9"/>
    <w:rsid w:val="00575DF4"/>
    <w:rsid w:val="005762BB"/>
    <w:rsid w:val="005765B9"/>
    <w:rsid w:val="0057765D"/>
    <w:rsid w:val="005777FC"/>
    <w:rsid w:val="005808EB"/>
    <w:rsid w:val="00580D37"/>
    <w:rsid w:val="00581FA0"/>
    <w:rsid w:val="00582B90"/>
    <w:rsid w:val="00582EDC"/>
    <w:rsid w:val="005831A7"/>
    <w:rsid w:val="00583321"/>
    <w:rsid w:val="0058341E"/>
    <w:rsid w:val="00584F3A"/>
    <w:rsid w:val="005853AB"/>
    <w:rsid w:val="00585748"/>
    <w:rsid w:val="005859C5"/>
    <w:rsid w:val="00585C79"/>
    <w:rsid w:val="00585D55"/>
    <w:rsid w:val="00586144"/>
    <w:rsid w:val="0058670E"/>
    <w:rsid w:val="00587034"/>
    <w:rsid w:val="00587785"/>
    <w:rsid w:val="0058788D"/>
    <w:rsid w:val="00587E29"/>
    <w:rsid w:val="00587FE6"/>
    <w:rsid w:val="00591698"/>
    <w:rsid w:val="00592B9C"/>
    <w:rsid w:val="00592D37"/>
    <w:rsid w:val="00593482"/>
    <w:rsid w:val="00593B87"/>
    <w:rsid w:val="00593C1C"/>
    <w:rsid w:val="00593E94"/>
    <w:rsid w:val="00594143"/>
    <w:rsid w:val="00594253"/>
    <w:rsid w:val="00594543"/>
    <w:rsid w:val="00594612"/>
    <w:rsid w:val="0059557B"/>
    <w:rsid w:val="00595873"/>
    <w:rsid w:val="00595CDD"/>
    <w:rsid w:val="00595DBD"/>
    <w:rsid w:val="005964BB"/>
    <w:rsid w:val="00596A70"/>
    <w:rsid w:val="00596BD3"/>
    <w:rsid w:val="00596BE7"/>
    <w:rsid w:val="00596C3E"/>
    <w:rsid w:val="005977DD"/>
    <w:rsid w:val="00597D37"/>
    <w:rsid w:val="005A01A4"/>
    <w:rsid w:val="005A04BD"/>
    <w:rsid w:val="005A0968"/>
    <w:rsid w:val="005A0A3F"/>
    <w:rsid w:val="005A0B81"/>
    <w:rsid w:val="005A114F"/>
    <w:rsid w:val="005A1AF3"/>
    <w:rsid w:val="005A1B6A"/>
    <w:rsid w:val="005A1D52"/>
    <w:rsid w:val="005A1F49"/>
    <w:rsid w:val="005A2364"/>
    <w:rsid w:val="005A2480"/>
    <w:rsid w:val="005A27AA"/>
    <w:rsid w:val="005A285F"/>
    <w:rsid w:val="005A2B2C"/>
    <w:rsid w:val="005A2D6B"/>
    <w:rsid w:val="005A3252"/>
    <w:rsid w:val="005A326F"/>
    <w:rsid w:val="005A3371"/>
    <w:rsid w:val="005A33F7"/>
    <w:rsid w:val="005A40CF"/>
    <w:rsid w:val="005A4A9C"/>
    <w:rsid w:val="005A4BAE"/>
    <w:rsid w:val="005A4F39"/>
    <w:rsid w:val="005A574D"/>
    <w:rsid w:val="005A5A8D"/>
    <w:rsid w:val="005A5B5C"/>
    <w:rsid w:val="005A6E4F"/>
    <w:rsid w:val="005A6E93"/>
    <w:rsid w:val="005A6E9B"/>
    <w:rsid w:val="005A707A"/>
    <w:rsid w:val="005A72CC"/>
    <w:rsid w:val="005A7340"/>
    <w:rsid w:val="005A7463"/>
    <w:rsid w:val="005A76BB"/>
    <w:rsid w:val="005A7F93"/>
    <w:rsid w:val="005A7FB9"/>
    <w:rsid w:val="005B07EA"/>
    <w:rsid w:val="005B0B20"/>
    <w:rsid w:val="005B0BD6"/>
    <w:rsid w:val="005B0EFB"/>
    <w:rsid w:val="005B0F70"/>
    <w:rsid w:val="005B1060"/>
    <w:rsid w:val="005B12B9"/>
    <w:rsid w:val="005B17C1"/>
    <w:rsid w:val="005B3737"/>
    <w:rsid w:val="005B3A3C"/>
    <w:rsid w:val="005B3A42"/>
    <w:rsid w:val="005B3D8A"/>
    <w:rsid w:val="005B4787"/>
    <w:rsid w:val="005B562E"/>
    <w:rsid w:val="005B5D40"/>
    <w:rsid w:val="005B5EFC"/>
    <w:rsid w:val="005B6412"/>
    <w:rsid w:val="005B6698"/>
    <w:rsid w:val="005B68A7"/>
    <w:rsid w:val="005B6AC3"/>
    <w:rsid w:val="005B776F"/>
    <w:rsid w:val="005C055E"/>
    <w:rsid w:val="005C0FA1"/>
    <w:rsid w:val="005C1615"/>
    <w:rsid w:val="005C1950"/>
    <w:rsid w:val="005C1D98"/>
    <w:rsid w:val="005C1DA5"/>
    <w:rsid w:val="005C2559"/>
    <w:rsid w:val="005C27CA"/>
    <w:rsid w:val="005C2873"/>
    <w:rsid w:val="005C3298"/>
    <w:rsid w:val="005C34FC"/>
    <w:rsid w:val="005C3B5C"/>
    <w:rsid w:val="005C3C7F"/>
    <w:rsid w:val="005C3EFF"/>
    <w:rsid w:val="005C5143"/>
    <w:rsid w:val="005C5249"/>
    <w:rsid w:val="005C5639"/>
    <w:rsid w:val="005C5742"/>
    <w:rsid w:val="005C627D"/>
    <w:rsid w:val="005C7579"/>
    <w:rsid w:val="005C760E"/>
    <w:rsid w:val="005C7780"/>
    <w:rsid w:val="005C7E9E"/>
    <w:rsid w:val="005D0787"/>
    <w:rsid w:val="005D0D4B"/>
    <w:rsid w:val="005D1329"/>
    <w:rsid w:val="005D18C9"/>
    <w:rsid w:val="005D1B72"/>
    <w:rsid w:val="005D2471"/>
    <w:rsid w:val="005D25A3"/>
    <w:rsid w:val="005D2779"/>
    <w:rsid w:val="005D3242"/>
    <w:rsid w:val="005D610C"/>
    <w:rsid w:val="005D74E7"/>
    <w:rsid w:val="005D7F7B"/>
    <w:rsid w:val="005E0318"/>
    <w:rsid w:val="005E0AB9"/>
    <w:rsid w:val="005E20AF"/>
    <w:rsid w:val="005E2153"/>
    <w:rsid w:val="005E2F79"/>
    <w:rsid w:val="005E3BCD"/>
    <w:rsid w:val="005E3DE8"/>
    <w:rsid w:val="005E43C5"/>
    <w:rsid w:val="005E4813"/>
    <w:rsid w:val="005E4A87"/>
    <w:rsid w:val="005E4DA5"/>
    <w:rsid w:val="005E503E"/>
    <w:rsid w:val="005E5395"/>
    <w:rsid w:val="005E59C7"/>
    <w:rsid w:val="005E5E7B"/>
    <w:rsid w:val="005E6095"/>
    <w:rsid w:val="005E613E"/>
    <w:rsid w:val="005E6A3F"/>
    <w:rsid w:val="005E6DB8"/>
    <w:rsid w:val="005E7228"/>
    <w:rsid w:val="005E7284"/>
    <w:rsid w:val="005E74DA"/>
    <w:rsid w:val="005E7BAC"/>
    <w:rsid w:val="005E7C2B"/>
    <w:rsid w:val="005F0CC7"/>
    <w:rsid w:val="005F0E5C"/>
    <w:rsid w:val="005F134E"/>
    <w:rsid w:val="005F1365"/>
    <w:rsid w:val="005F2C1F"/>
    <w:rsid w:val="005F2E44"/>
    <w:rsid w:val="005F347D"/>
    <w:rsid w:val="005F3608"/>
    <w:rsid w:val="005F3690"/>
    <w:rsid w:val="005F3986"/>
    <w:rsid w:val="005F4C57"/>
    <w:rsid w:val="005F6774"/>
    <w:rsid w:val="005F6890"/>
    <w:rsid w:val="005F6931"/>
    <w:rsid w:val="005F75E9"/>
    <w:rsid w:val="005F79AA"/>
    <w:rsid w:val="005F7C68"/>
    <w:rsid w:val="0060044B"/>
    <w:rsid w:val="006013D7"/>
    <w:rsid w:val="006014DB"/>
    <w:rsid w:val="00601587"/>
    <w:rsid w:val="0060188F"/>
    <w:rsid w:val="00602079"/>
    <w:rsid w:val="006022F3"/>
    <w:rsid w:val="00602579"/>
    <w:rsid w:val="00602BA4"/>
    <w:rsid w:val="00602DA2"/>
    <w:rsid w:val="00602FF4"/>
    <w:rsid w:val="00603228"/>
    <w:rsid w:val="006042C5"/>
    <w:rsid w:val="00604ACD"/>
    <w:rsid w:val="00604C15"/>
    <w:rsid w:val="00604DC2"/>
    <w:rsid w:val="006060C4"/>
    <w:rsid w:val="0060776A"/>
    <w:rsid w:val="00607C35"/>
    <w:rsid w:val="00607EB2"/>
    <w:rsid w:val="00607FB9"/>
    <w:rsid w:val="006106A2"/>
    <w:rsid w:val="006116E6"/>
    <w:rsid w:val="00611777"/>
    <w:rsid w:val="0061189F"/>
    <w:rsid w:val="00611E62"/>
    <w:rsid w:val="0061219B"/>
    <w:rsid w:val="00612D05"/>
    <w:rsid w:val="00613BF7"/>
    <w:rsid w:val="00613FB6"/>
    <w:rsid w:val="006140C6"/>
    <w:rsid w:val="00614134"/>
    <w:rsid w:val="00614241"/>
    <w:rsid w:val="0061428D"/>
    <w:rsid w:val="00615411"/>
    <w:rsid w:val="0061599E"/>
    <w:rsid w:val="00615AC7"/>
    <w:rsid w:val="00615BCA"/>
    <w:rsid w:val="006162E6"/>
    <w:rsid w:val="00616B66"/>
    <w:rsid w:val="006171A5"/>
    <w:rsid w:val="00620309"/>
    <w:rsid w:val="0062053A"/>
    <w:rsid w:val="00620844"/>
    <w:rsid w:val="0062159D"/>
    <w:rsid w:val="006215FE"/>
    <w:rsid w:val="00621680"/>
    <w:rsid w:val="006218BD"/>
    <w:rsid w:val="00621C8F"/>
    <w:rsid w:val="00621EC5"/>
    <w:rsid w:val="00621EF3"/>
    <w:rsid w:val="006223E0"/>
    <w:rsid w:val="006224D0"/>
    <w:rsid w:val="00622BCE"/>
    <w:rsid w:val="00622E29"/>
    <w:rsid w:val="0062330D"/>
    <w:rsid w:val="00623512"/>
    <w:rsid w:val="00623643"/>
    <w:rsid w:val="00624018"/>
    <w:rsid w:val="006240C4"/>
    <w:rsid w:val="006245DE"/>
    <w:rsid w:val="00624CBF"/>
    <w:rsid w:val="00625304"/>
    <w:rsid w:val="00625403"/>
    <w:rsid w:val="006257A8"/>
    <w:rsid w:val="0062581B"/>
    <w:rsid w:val="006261F4"/>
    <w:rsid w:val="00626312"/>
    <w:rsid w:val="00626DE6"/>
    <w:rsid w:val="0062796E"/>
    <w:rsid w:val="0063042D"/>
    <w:rsid w:val="0063070C"/>
    <w:rsid w:val="00630A4D"/>
    <w:rsid w:val="0063164E"/>
    <w:rsid w:val="0063191D"/>
    <w:rsid w:val="0063275B"/>
    <w:rsid w:val="00632B7D"/>
    <w:rsid w:val="00633488"/>
    <w:rsid w:val="00633581"/>
    <w:rsid w:val="006339AF"/>
    <w:rsid w:val="00633C47"/>
    <w:rsid w:val="006348F7"/>
    <w:rsid w:val="0063512D"/>
    <w:rsid w:val="006358FB"/>
    <w:rsid w:val="00635AE2"/>
    <w:rsid w:val="00635E1E"/>
    <w:rsid w:val="00636678"/>
    <w:rsid w:val="0063677C"/>
    <w:rsid w:val="00636972"/>
    <w:rsid w:val="00636987"/>
    <w:rsid w:val="00636B69"/>
    <w:rsid w:val="00636BC2"/>
    <w:rsid w:val="00637609"/>
    <w:rsid w:val="006404D1"/>
    <w:rsid w:val="00640F43"/>
    <w:rsid w:val="006412CA"/>
    <w:rsid w:val="006420DA"/>
    <w:rsid w:val="00642A0A"/>
    <w:rsid w:val="006434BE"/>
    <w:rsid w:val="00643AC1"/>
    <w:rsid w:val="00643D62"/>
    <w:rsid w:val="00644A5E"/>
    <w:rsid w:val="00644A6C"/>
    <w:rsid w:val="00644D69"/>
    <w:rsid w:val="00645152"/>
    <w:rsid w:val="006455AE"/>
    <w:rsid w:val="006457A8"/>
    <w:rsid w:val="00645EA0"/>
    <w:rsid w:val="00645F56"/>
    <w:rsid w:val="00645F76"/>
    <w:rsid w:val="006462B8"/>
    <w:rsid w:val="00646EB0"/>
    <w:rsid w:val="0064714D"/>
    <w:rsid w:val="0064727D"/>
    <w:rsid w:val="00647AAC"/>
    <w:rsid w:val="00647B32"/>
    <w:rsid w:val="00647C27"/>
    <w:rsid w:val="0065052B"/>
    <w:rsid w:val="006519E6"/>
    <w:rsid w:val="00651CDE"/>
    <w:rsid w:val="00652326"/>
    <w:rsid w:val="0065281C"/>
    <w:rsid w:val="00652907"/>
    <w:rsid w:val="00652E06"/>
    <w:rsid w:val="00652FA2"/>
    <w:rsid w:val="00653C25"/>
    <w:rsid w:val="00653FC4"/>
    <w:rsid w:val="00654355"/>
    <w:rsid w:val="00654E13"/>
    <w:rsid w:val="00654F91"/>
    <w:rsid w:val="00655361"/>
    <w:rsid w:val="00656253"/>
    <w:rsid w:val="006565CA"/>
    <w:rsid w:val="00656799"/>
    <w:rsid w:val="00656B77"/>
    <w:rsid w:val="00656E72"/>
    <w:rsid w:val="006578A1"/>
    <w:rsid w:val="0066137B"/>
    <w:rsid w:val="0066174E"/>
    <w:rsid w:val="00661BBB"/>
    <w:rsid w:val="00661E57"/>
    <w:rsid w:val="006629E4"/>
    <w:rsid w:val="00662E76"/>
    <w:rsid w:val="00663783"/>
    <w:rsid w:val="00663E47"/>
    <w:rsid w:val="006644A7"/>
    <w:rsid w:val="00664BDE"/>
    <w:rsid w:val="00664BF2"/>
    <w:rsid w:val="0066565B"/>
    <w:rsid w:val="00665C44"/>
    <w:rsid w:val="00666284"/>
    <w:rsid w:val="0066631D"/>
    <w:rsid w:val="006667F3"/>
    <w:rsid w:val="006669EE"/>
    <w:rsid w:val="006676B8"/>
    <w:rsid w:val="00667AEA"/>
    <w:rsid w:val="006704FA"/>
    <w:rsid w:val="00670687"/>
    <w:rsid w:val="00670DC5"/>
    <w:rsid w:val="00670FA0"/>
    <w:rsid w:val="00671652"/>
    <w:rsid w:val="00671FAA"/>
    <w:rsid w:val="006725F2"/>
    <w:rsid w:val="006727EB"/>
    <w:rsid w:val="0067288C"/>
    <w:rsid w:val="006734BF"/>
    <w:rsid w:val="00675B9A"/>
    <w:rsid w:val="00675DA5"/>
    <w:rsid w:val="00676D66"/>
    <w:rsid w:val="006776D0"/>
    <w:rsid w:val="00677830"/>
    <w:rsid w:val="00680482"/>
    <w:rsid w:val="006808DC"/>
    <w:rsid w:val="006816B6"/>
    <w:rsid w:val="006820EB"/>
    <w:rsid w:val="00682128"/>
    <w:rsid w:val="0068220C"/>
    <w:rsid w:val="00682AB1"/>
    <w:rsid w:val="00682E9F"/>
    <w:rsid w:val="00683252"/>
    <w:rsid w:val="0068343A"/>
    <w:rsid w:val="006834D4"/>
    <w:rsid w:val="00683E05"/>
    <w:rsid w:val="00683FE3"/>
    <w:rsid w:val="0068413D"/>
    <w:rsid w:val="006844BA"/>
    <w:rsid w:val="006845A2"/>
    <w:rsid w:val="00684BF8"/>
    <w:rsid w:val="00684D9B"/>
    <w:rsid w:val="00685871"/>
    <w:rsid w:val="006858AA"/>
    <w:rsid w:val="00685BCF"/>
    <w:rsid w:val="006871D0"/>
    <w:rsid w:val="0068751F"/>
    <w:rsid w:val="006900D1"/>
    <w:rsid w:val="0069011F"/>
    <w:rsid w:val="00690297"/>
    <w:rsid w:val="00690A7F"/>
    <w:rsid w:val="0069115A"/>
    <w:rsid w:val="006912F1"/>
    <w:rsid w:val="00691387"/>
    <w:rsid w:val="00691834"/>
    <w:rsid w:val="0069198F"/>
    <w:rsid w:val="0069278B"/>
    <w:rsid w:val="006927F2"/>
    <w:rsid w:val="006931E1"/>
    <w:rsid w:val="00694310"/>
    <w:rsid w:val="00694700"/>
    <w:rsid w:val="00694803"/>
    <w:rsid w:val="006949A3"/>
    <w:rsid w:val="00694CE8"/>
    <w:rsid w:val="00695391"/>
    <w:rsid w:val="006954DC"/>
    <w:rsid w:val="0069562A"/>
    <w:rsid w:val="0069569E"/>
    <w:rsid w:val="006956C6"/>
    <w:rsid w:val="00695E3D"/>
    <w:rsid w:val="00695F77"/>
    <w:rsid w:val="00696072"/>
    <w:rsid w:val="00696EE3"/>
    <w:rsid w:val="0069713E"/>
    <w:rsid w:val="0069715D"/>
    <w:rsid w:val="006971EF"/>
    <w:rsid w:val="00697392"/>
    <w:rsid w:val="006973E4"/>
    <w:rsid w:val="006973E5"/>
    <w:rsid w:val="00697664"/>
    <w:rsid w:val="00697681"/>
    <w:rsid w:val="0069770C"/>
    <w:rsid w:val="006A0238"/>
    <w:rsid w:val="006A08F2"/>
    <w:rsid w:val="006A0C84"/>
    <w:rsid w:val="006A1201"/>
    <w:rsid w:val="006A151A"/>
    <w:rsid w:val="006A1E62"/>
    <w:rsid w:val="006A2A12"/>
    <w:rsid w:val="006A2E9C"/>
    <w:rsid w:val="006A35E0"/>
    <w:rsid w:val="006A35FA"/>
    <w:rsid w:val="006A377F"/>
    <w:rsid w:val="006A384A"/>
    <w:rsid w:val="006A3875"/>
    <w:rsid w:val="006A3A05"/>
    <w:rsid w:val="006A3D40"/>
    <w:rsid w:val="006A561D"/>
    <w:rsid w:val="006A5A0C"/>
    <w:rsid w:val="006A5BA0"/>
    <w:rsid w:val="006A5BB1"/>
    <w:rsid w:val="006A5F88"/>
    <w:rsid w:val="006A7D95"/>
    <w:rsid w:val="006A7E37"/>
    <w:rsid w:val="006B0B68"/>
    <w:rsid w:val="006B1089"/>
    <w:rsid w:val="006B120D"/>
    <w:rsid w:val="006B13C1"/>
    <w:rsid w:val="006B229D"/>
    <w:rsid w:val="006B23C1"/>
    <w:rsid w:val="006B2CC7"/>
    <w:rsid w:val="006B3A43"/>
    <w:rsid w:val="006B3AF9"/>
    <w:rsid w:val="006B44C5"/>
    <w:rsid w:val="006B451A"/>
    <w:rsid w:val="006B555F"/>
    <w:rsid w:val="006B5665"/>
    <w:rsid w:val="006B6242"/>
    <w:rsid w:val="006B6ADD"/>
    <w:rsid w:val="006B6C59"/>
    <w:rsid w:val="006B6C7C"/>
    <w:rsid w:val="006B6EA4"/>
    <w:rsid w:val="006B77BB"/>
    <w:rsid w:val="006B7CA3"/>
    <w:rsid w:val="006B7E37"/>
    <w:rsid w:val="006B7F8F"/>
    <w:rsid w:val="006B7FC5"/>
    <w:rsid w:val="006C055E"/>
    <w:rsid w:val="006C088A"/>
    <w:rsid w:val="006C0D13"/>
    <w:rsid w:val="006C10FD"/>
    <w:rsid w:val="006C12AA"/>
    <w:rsid w:val="006C16F6"/>
    <w:rsid w:val="006C187F"/>
    <w:rsid w:val="006C19BC"/>
    <w:rsid w:val="006C19D5"/>
    <w:rsid w:val="006C1B44"/>
    <w:rsid w:val="006C1F77"/>
    <w:rsid w:val="006C20E0"/>
    <w:rsid w:val="006C2211"/>
    <w:rsid w:val="006C2DD6"/>
    <w:rsid w:val="006C2DF9"/>
    <w:rsid w:val="006C3031"/>
    <w:rsid w:val="006C3607"/>
    <w:rsid w:val="006C3990"/>
    <w:rsid w:val="006C3ED2"/>
    <w:rsid w:val="006C4233"/>
    <w:rsid w:val="006C42E7"/>
    <w:rsid w:val="006C4422"/>
    <w:rsid w:val="006C5221"/>
    <w:rsid w:val="006C5CCA"/>
    <w:rsid w:val="006C625F"/>
    <w:rsid w:val="006C6348"/>
    <w:rsid w:val="006C7267"/>
    <w:rsid w:val="006C7297"/>
    <w:rsid w:val="006C78A6"/>
    <w:rsid w:val="006C7AB4"/>
    <w:rsid w:val="006D006B"/>
    <w:rsid w:val="006D05E6"/>
    <w:rsid w:val="006D105C"/>
    <w:rsid w:val="006D1C11"/>
    <w:rsid w:val="006D1CAF"/>
    <w:rsid w:val="006D1DCB"/>
    <w:rsid w:val="006D228C"/>
    <w:rsid w:val="006D30E7"/>
    <w:rsid w:val="006D3B8B"/>
    <w:rsid w:val="006D403F"/>
    <w:rsid w:val="006D48E7"/>
    <w:rsid w:val="006D4947"/>
    <w:rsid w:val="006D4B3C"/>
    <w:rsid w:val="006D53EA"/>
    <w:rsid w:val="006D598C"/>
    <w:rsid w:val="006D5AF5"/>
    <w:rsid w:val="006D5F16"/>
    <w:rsid w:val="006D5F4F"/>
    <w:rsid w:val="006D63AD"/>
    <w:rsid w:val="006D6764"/>
    <w:rsid w:val="006D67D9"/>
    <w:rsid w:val="006D6C93"/>
    <w:rsid w:val="006D6E87"/>
    <w:rsid w:val="006D7573"/>
    <w:rsid w:val="006E0340"/>
    <w:rsid w:val="006E06F9"/>
    <w:rsid w:val="006E07A9"/>
    <w:rsid w:val="006E0D91"/>
    <w:rsid w:val="006E14B0"/>
    <w:rsid w:val="006E1706"/>
    <w:rsid w:val="006E21F2"/>
    <w:rsid w:val="006E253B"/>
    <w:rsid w:val="006E2A3E"/>
    <w:rsid w:val="006E369A"/>
    <w:rsid w:val="006E3CB2"/>
    <w:rsid w:val="006E3DA8"/>
    <w:rsid w:val="006E5DAA"/>
    <w:rsid w:val="006E6D52"/>
    <w:rsid w:val="006E7006"/>
    <w:rsid w:val="006E76B0"/>
    <w:rsid w:val="006F00B8"/>
    <w:rsid w:val="006F00E7"/>
    <w:rsid w:val="006F0F6E"/>
    <w:rsid w:val="006F1B22"/>
    <w:rsid w:val="006F1BA4"/>
    <w:rsid w:val="006F2259"/>
    <w:rsid w:val="006F23E1"/>
    <w:rsid w:val="006F2F8F"/>
    <w:rsid w:val="006F2FDA"/>
    <w:rsid w:val="006F2FE5"/>
    <w:rsid w:val="006F3460"/>
    <w:rsid w:val="006F34FE"/>
    <w:rsid w:val="006F353E"/>
    <w:rsid w:val="006F3615"/>
    <w:rsid w:val="006F3BDF"/>
    <w:rsid w:val="006F3FA3"/>
    <w:rsid w:val="006F48BA"/>
    <w:rsid w:val="006F4AF9"/>
    <w:rsid w:val="006F52E7"/>
    <w:rsid w:val="006F54EB"/>
    <w:rsid w:val="006F5CC1"/>
    <w:rsid w:val="006F67A5"/>
    <w:rsid w:val="006F762D"/>
    <w:rsid w:val="00700492"/>
    <w:rsid w:val="00700E2F"/>
    <w:rsid w:val="00701110"/>
    <w:rsid w:val="0070167E"/>
    <w:rsid w:val="00701E1B"/>
    <w:rsid w:val="00702249"/>
    <w:rsid w:val="00702ED0"/>
    <w:rsid w:val="0070328A"/>
    <w:rsid w:val="00703C09"/>
    <w:rsid w:val="0070434A"/>
    <w:rsid w:val="007048C4"/>
    <w:rsid w:val="00704915"/>
    <w:rsid w:val="0070496E"/>
    <w:rsid w:val="00704BE4"/>
    <w:rsid w:val="00704CC4"/>
    <w:rsid w:val="00705345"/>
    <w:rsid w:val="0070638D"/>
    <w:rsid w:val="00706DBF"/>
    <w:rsid w:val="00707A59"/>
    <w:rsid w:val="00707D7D"/>
    <w:rsid w:val="00710062"/>
    <w:rsid w:val="00710106"/>
    <w:rsid w:val="0071046B"/>
    <w:rsid w:val="00710986"/>
    <w:rsid w:val="00710AC6"/>
    <w:rsid w:val="00710B45"/>
    <w:rsid w:val="00710C1D"/>
    <w:rsid w:val="007110A3"/>
    <w:rsid w:val="00711108"/>
    <w:rsid w:val="00711209"/>
    <w:rsid w:val="00711213"/>
    <w:rsid w:val="007112A1"/>
    <w:rsid w:val="007113FF"/>
    <w:rsid w:val="00711996"/>
    <w:rsid w:val="00711B3B"/>
    <w:rsid w:val="00711BA3"/>
    <w:rsid w:val="00711C9D"/>
    <w:rsid w:val="00712951"/>
    <w:rsid w:val="00712B71"/>
    <w:rsid w:val="00712E55"/>
    <w:rsid w:val="00713023"/>
    <w:rsid w:val="0071322C"/>
    <w:rsid w:val="00713300"/>
    <w:rsid w:val="00713779"/>
    <w:rsid w:val="00713989"/>
    <w:rsid w:val="00713DCF"/>
    <w:rsid w:val="00714004"/>
    <w:rsid w:val="0071458E"/>
    <w:rsid w:val="007145C9"/>
    <w:rsid w:val="00714631"/>
    <w:rsid w:val="00714B6E"/>
    <w:rsid w:val="00714BF5"/>
    <w:rsid w:val="0071512F"/>
    <w:rsid w:val="007169AC"/>
    <w:rsid w:val="007169DD"/>
    <w:rsid w:val="00717679"/>
    <w:rsid w:val="00717A37"/>
    <w:rsid w:val="00717B67"/>
    <w:rsid w:val="00720022"/>
    <w:rsid w:val="007206A2"/>
    <w:rsid w:val="00720804"/>
    <w:rsid w:val="00720B38"/>
    <w:rsid w:val="00720CA7"/>
    <w:rsid w:val="0072117B"/>
    <w:rsid w:val="0072147B"/>
    <w:rsid w:val="0072164C"/>
    <w:rsid w:val="0072181E"/>
    <w:rsid w:val="00722267"/>
    <w:rsid w:val="0072240D"/>
    <w:rsid w:val="00722571"/>
    <w:rsid w:val="0072285E"/>
    <w:rsid w:val="00722C62"/>
    <w:rsid w:val="007230E0"/>
    <w:rsid w:val="0072321F"/>
    <w:rsid w:val="00723295"/>
    <w:rsid w:val="00723307"/>
    <w:rsid w:val="00723399"/>
    <w:rsid w:val="007238E2"/>
    <w:rsid w:val="007239B4"/>
    <w:rsid w:val="00724446"/>
    <w:rsid w:val="00724584"/>
    <w:rsid w:val="007247EE"/>
    <w:rsid w:val="00724AA1"/>
    <w:rsid w:val="00724D39"/>
    <w:rsid w:val="00725A19"/>
    <w:rsid w:val="00726356"/>
    <w:rsid w:val="007268C7"/>
    <w:rsid w:val="007269CE"/>
    <w:rsid w:val="00726AAB"/>
    <w:rsid w:val="00727077"/>
    <w:rsid w:val="0072722B"/>
    <w:rsid w:val="0072786E"/>
    <w:rsid w:val="00727E45"/>
    <w:rsid w:val="00730663"/>
    <w:rsid w:val="00730EA6"/>
    <w:rsid w:val="00731C15"/>
    <w:rsid w:val="00731D74"/>
    <w:rsid w:val="00732045"/>
    <w:rsid w:val="0073224B"/>
    <w:rsid w:val="007322A0"/>
    <w:rsid w:val="00732C1A"/>
    <w:rsid w:val="007331FF"/>
    <w:rsid w:val="00733CDC"/>
    <w:rsid w:val="007344F1"/>
    <w:rsid w:val="00734A17"/>
    <w:rsid w:val="00734B9A"/>
    <w:rsid w:val="00735695"/>
    <w:rsid w:val="007360CB"/>
    <w:rsid w:val="007363EF"/>
    <w:rsid w:val="0073728D"/>
    <w:rsid w:val="00737566"/>
    <w:rsid w:val="0074039A"/>
    <w:rsid w:val="00741BA2"/>
    <w:rsid w:val="00741CF4"/>
    <w:rsid w:val="00741DCC"/>
    <w:rsid w:val="00741DE2"/>
    <w:rsid w:val="00741E3E"/>
    <w:rsid w:val="007421A1"/>
    <w:rsid w:val="007427FE"/>
    <w:rsid w:val="00742C51"/>
    <w:rsid w:val="00743445"/>
    <w:rsid w:val="007438FD"/>
    <w:rsid w:val="007441E5"/>
    <w:rsid w:val="00744B98"/>
    <w:rsid w:val="00744BE6"/>
    <w:rsid w:val="007450C4"/>
    <w:rsid w:val="00745A55"/>
    <w:rsid w:val="00745E01"/>
    <w:rsid w:val="0074664C"/>
    <w:rsid w:val="0074666B"/>
    <w:rsid w:val="007468D6"/>
    <w:rsid w:val="00746B73"/>
    <w:rsid w:val="00746BFF"/>
    <w:rsid w:val="007473E1"/>
    <w:rsid w:val="00747897"/>
    <w:rsid w:val="00747E47"/>
    <w:rsid w:val="00750192"/>
    <w:rsid w:val="007504E1"/>
    <w:rsid w:val="00750544"/>
    <w:rsid w:val="00750804"/>
    <w:rsid w:val="007509AB"/>
    <w:rsid w:val="00751689"/>
    <w:rsid w:val="00752028"/>
    <w:rsid w:val="007524AA"/>
    <w:rsid w:val="0075293F"/>
    <w:rsid w:val="00753744"/>
    <w:rsid w:val="00753A93"/>
    <w:rsid w:val="00753AAD"/>
    <w:rsid w:val="00753AB6"/>
    <w:rsid w:val="00754605"/>
    <w:rsid w:val="00755663"/>
    <w:rsid w:val="00756386"/>
    <w:rsid w:val="00756603"/>
    <w:rsid w:val="0075759F"/>
    <w:rsid w:val="007575C0"/>
    <w:rsid w:val="007575CF"/>
    <w:rsid w:val="00757D2F"/>
    <w:rsid w:val="0076000E"/>
    <w:rsid w:val="00760C00"/>
    <w:rsid w:val="007610E9"/>
    <w:rsid w:val="00761543"/>
    <w:rsid w:val="00761728"/>
    <w:rsid w:val="00761C6C"/>
    <w:rsid w:val="00762B72"/>
    <w:rsid w:val="00763035"/>
    <w:rsid w:val="00763CCB"/>
    <w:rsid w:val="007642B4"/>
    <w:rsid w:val="00764C45"/>
    <w:rsid w:val="007658BE"/>
    <w:rsid w:val="007660A8"/>
    <w:rsid w:val="00766277"/>
    <w:rsid w:val="0076656A"/>
    <w:rsid w:val="00766701"/>
    <w:rsid w:val="00766911"/>
    <w:rsid w:val="00767793"/>
    <w:rsid w:val="007679D8"/>
    <w:rsid w:val="007704F2"/>
    <w:rsid w:val="00770803"/>
    <w:rsid w:val="0077096C"/>
    <w:rsid w:val="00771319"/>
    <w:rsid w:val="007713E8"/>
    <w:rsid w:val="00771794"/>
    <w:rsid w:val="00771CCF"/>
    <w:rsid w:val="00771F7D"/>
    <w:rsid w:val="007720A4"/>
    <w:rsid w:val="00772215"/>
    <w:rsid w:val="00772C3E"/>
    <w:rsid w:val="00772CEB"/>
    <w:rsid w:val="007736E8"/>
    <w:rsid w:val="0077420C"/>
    <w:rsid w:val="00774ACE"/>
    <w:rsid w:val="007752B8"/>
    <w:rsid w:val="0077535E"/>
    <w:rsid w:val="00775823"/>
    <w:rsid w:val="00775F57"/>
    <w:rsid w:val="00776584"/>
    <w:rsid w:val="007769EF"/>
    <w:rsid w:val="00776D4F"/>
    <w:rsid w:val="00776DDC"/>
    <w:rsid w:val="00776F6A"/>
    <w:rsid w:val="007770F9"/>
    <w:rsid w:val="00777179"/>
    <w:rsid w:val="0077775D"/>
    <w:rsid w:val="007778BB"/>
    <w:rsid w:val="00777945"/>
    <w:rsid w:val="00777A41"/>
    <w:rsid w:val="00777D40"/>
    <w:rsid w:val="007806DA"/>
    <w:rsid w:val="00780B8D"/>
    <w:rsid w:val="00780B8E"/>
    <w:rsid w:val="00781649"/>
    <w:rsid w:val="007823B2"/>
    <w:rsid w:val="007823D6"/>
    <w:rsid w:val="0078254E"/>
    <w:rsid w:val="00782628"/>
    <w:rsid w:val="007826AB"/>
    <w:rsid w:val="007840E2"/>
    <w:rsid w:val="007849F5"/>
    <w:rsid w:val="00784AA2"/>
    <w:rsid w:val="0078569F"/>
    <w:rsid w:val="00785803"/>
    <w:rsid w:val="00785EB4"/>
    <w:rsid w:val="0078609A"/>
    <w:rsid w:val="00786F85"/>
    <w:rsid w:val="0078731A"/>
    <w:rsid w:val="00787487"/>
    <w:rsid w:val="007875F7"/>
    <w:rsid w:val="007906F1"/>
    <w:rsid w:val="00790EDA"/>
    <w:rsid w:val="0079106E"/>
    <w:rsid w:val="007910DE"/>
    <w:rsid w:val="00791349"/>
    <w:rsid w:val="00791D85"/>
    <w:rsid w:val="00791DAF"/>
    <w:rsid w:val="00791F21"/>
    <w:rsid w:val="00792191"/>
    <w:rsid w:val="007924CA"/>
    <w:rsid w:val="00793731"/>
    <w:rsid w:val="00793C2D"/>
    <w:rsid w:val="00794CBF"/>
    <w:rsid w:val="00795365"/>
    <w:rsid w:val="0079567E"/>
    <w:rsid w:val="007961D5"/>
    <w:rsid w:val="00796A6F"/>
    <w:rsid w:val="00796C5D"/>
    <w:rsid w:val="00797B06"/>
    <w:rsid w:val="00797B9C"/>
    <w:rsid w:val="007A0483"/>
    <w:rsid w:val="007A1065"/>
    <w:rsid w:val="007A151B"/>
    <w:rsid w:val="007A1D86"/>
    <w:rsid w:val="007A20F2"/>
    <w:rsid w:val="007A291C"/>
    <w:rsid w:val="007A2A97"/>
    <w:rsid w:val="007A2CDC"/>
    <w:rsid w:val="007A3004"/>
    <w:rsid w:val="007A3319"/>
    <w:rsid w:val="007A371B"/>
    <w:rsid w:val="007A3832"/>
    <w:rsid w:val="007A3A0F"/>
    <w:rsid w:val="007A3E60"/>
    <w:rsid w:val="007A407D"/>
    <w:rsid w:val="007A4156"/>
    <w:rsid w:val="007A43FD"/>
    <w:rsid w:val="007A464F"/>
    <w:rsid w:val="007A6196"/>
    <w:rsid w:val="007A63D5"/>
    <w:rsid w:val="007A63F5"/>
    <w:rsid w:val="007A689A"/>
    <w:rsid w:val="007A68EA"/>
    <w:rsid w:val="007A6B7D"/>
    <w:rsid w:val="007A6C39"/>
    <w:rsid w:val="007A7629"/>
    <w:rsid w:val="007A7A38"/>
    <w:rsid w:val="007B0BFF"/>
    <w:rsid w:val="007B1027"/>
    <w:rsid w:val="007B1691"/>
    <w:rsid w:val="007B174F"/>
    <w:rsid w:val="007B176E"/>
    <w:rsid w:val="007B1863"/>
    <w:rsid w:val="007B22E0"/>
    <w:rsid w:val="007B2452"/>
    <w:rsid w:val="007B28CA"/>
    <w:rsid w:val="007B3189"/>
    <w:rsid w:val="007B34ED"/>
    <w:rsid w:val="007B358D"/>
    <w:rsid w:val="007B469E"/>
    <w:rsid w:val="007B5401"/>
    <w:rsid w:val="007B58BF"/>
    <w:rsid w:val="007B59FB"/>
    <w:rsid w:val="007B5FB4"/>
    <w:rsid w:val="007B6B2B"/>
    <w:rsid w:val="007B71AC"/>
    <w:rsid w:val="007B7949"/>
    <w:rsid w:val="007B7D30"/>
    <w:rsid w:val="007B7E45"/>
    <w:rsid w:val="007B7F2B"/>
    <w:rsid w:val="007C07B7"/>
    <w:rsid w:val="007C08D6"/>
    <w:rsid w:val="007C0B7A"/>
    <w:rsid w:val="007C0FA9"/>
    <w:rsid w:val="007C178D"/>
    <w:rsid w:val="007C1C1E"/>
    <w:rsid w:val="007C2413"/>
    <w:rsid w:val="007C25AE"/>
    <w:rsid w:val="007C3152"/>
    <w:rsid w:val="007C333B"/>
    <w:rsid w:val="007C3639"/>
    <w:rsid w:val="007C3914"/>
    <w:rsid w:val="007C3A8B"/>
    <w:rsid w:val="007C3CEA"/>
    <w:rsid w:val="007C3D92"/>
    <w:rsid w:val="007C3E98"/>
    <w:rsid w:val="007C4122"/>
    <w:rsid w:val="007C5A8F"/>
    <w:rsid w:val="007C5B38"/>
    <w:rsid w:val="007C623D"/>
    <w:rsid w:val="007C649E"/>
    <w:rsid w:val="007C69A8"/>
    <w:rsid w:val="007C6F64"/>
    <w:rsid w:val="007C76E8"/>
    <w:rsid w:val="007C792E"/>
    <w:rsid w:val="007D01E6"/>
    <w:rsid w:val="007D035E"/>
    <w:rsid w:val="007D0396"/>
    <w:rsid w:val="007D03F9"/>
    <w:rsid w:val="007D0549"/>
    <w:rsid w:val="007D0644"/>
    <w:rsid w:val="007D1801"/>
    <w:rsid w:val="007D1D04"/>
    <w:rsid w:val="007D1DF0"/>
    <w:rsid w:val="007D1FE0"/>
    <w:rsid w:val="007D2021"/>
    <w:rsid w:val="007D20BB"/>
    <w:rsid w:val="007D261E"/>
    <w:rsid w:val="007D2F61"/>
    <w:rsid w:val="007D3004"/>
    <w:rsid w:val="007D3D0E"/>
    <w:rsid w:val="007D3D33"/>
    <w:rsid w:val="007D41C2"/>
    <w:rsid w:val="007D4CF7"/>
    <w:rsid w:val="007D4F02"/>
    <w:rsid w:val="007D52FE"/>
    <w:rsid w:val="007D674C"/>
    <w:rsid w:val="007D6B7B"/>
    <w:rsid w:val="007D6CF1"/>
    <w:rsid w:val="007D7131"/>
    <w:rsid w:val="007D7353"/>
    <w:rsid w:val="007D7BEC"/>
    <w:rsid w:val="007D7CE3"/>
    <w:rsid w:val="007E051A"/>
    <w:rsid w:val="007E0705"/>
    <w:rsid w:val="007E0798"/>
    <w:rsid w:val="007E1B72"/>
    <w:rsid w:val="007E3EE3"/>
    <w:rsid w:val="007E3F8B"/>
    <w:rsid w:val="007E4F35"/>
    <w:rsid w:val="007E57DE"/>
    <w:rsid w:val="007E5902"/>
    <w:rsid w:val="007E5DCD"/>
    <w:rsid w:val="007E5EF4"/>
    <w:rsid w:val="007E6719"/>
    <w:rsid w:val="007E68ED"/>
    <w:rsid w:val="007E69ED"/>
    <w:rsid w:val="007E768F"/>
    <w:rsid w:val="007E7B2D"/>
    <w:rsid w:val="007E7C6C"/>
    <w:rsid w:val="007F0221"/>
    <w:rsid w:val="007F034B"/>
    <w:rsid w:val="007F07B9"/>
    <w:rsid w:val="007F0928"/>
    <w:rsid w:val="007F15CE"/>
    <w:rsid w:val="007F1E88"/>
    <w:rsid w:val="007F2CD7"/>
    <w:rsid w:val="007F2F6D"/>
    <w:rsid w:val="007F30EE"/>
    <w:rsid w:val="007F3568"/>
    <w:rsid w:val="007F3749"/>
    <w:rsid w:val="007F3B39"/>
    <w:rsid w:val="007F422D"/>
    <w:rsid w:val="007F4DBA"/>
    <w:rsid w:val="007F519C"/>
    <w:rsid w:val="007F52E6"/>
    <w:rsid w:val="007F534D"/>
    <w:rsid w:val="007F54A2"/>
    <w:rsid w:val="007F54FE"/>
    <w:rsid w:val="007F5535"/>
    <w:rsid w:val="007F5820"/>
    <w:rsid w:val="007F5D32"/>
    <w:rsid w:val="007F6491"/>
    <w:rsid w:val="007F72DC"/>
    <w:rsid w:val="007F72F4"/>
    <w:rsid w:val="007F795F"/>
    <w:rsid w:val="0080069C"/>
    <w:rsid w:val="008006FD"/>
    <w:rsid w:val="008007B4"/>
    <w:rsid w:val="00801101"/>
    <w:rsid w:val="0080123E"/>
    <w:rsid w:val="0080148D"/>
    <w:rsid w:val="0080156B"/>
    <w:rsid w:val="00801A3A"/>
    <w:rsid w:val="00802BCB"/>
    <w:rsid w:val="00803782"/>
    <w:rsid w:val="00804114"/>
    <w:rsid w:val="00804634"/>
    <w:rsid w:val="008047E8"/>
    <w:rsid w:val="0080531E"/>
    <w:rsid w:val="00805C17"/>
    <w:rsid w:val="00805C3D"/>
    <w:rsid w:val="00806496"/>
    <w:rsid w:val="00806520"/>
    <w:rsid w:val="00806F1D"/>
    <w:rsid w:val="008076BC"/>
    <w:rsid w:val="008077D2"/>
    <w:rsid w:val="008077ED"/>
    <w:rsid w:val="008079C5"/>
    <w:rsid w:val="00807B6F"/>
    <w:rsid w:val="00807E93"/>
    <w:rsid w:val="00810172"/>
    <w:rsid w:val="00810762"/>
    <w:rsid w:val="00810858"/>
    <w:rsid w:val="00810EFF"/>
    <w:rsid w:val="00811188"/>
    <w:rsid w:val="00811314"/>
    <w:rsid w:val="00811A39"/>
    <w:rsid w:val="00812092"/>
    <w:rsid w:val="0081279A"/>
    <w:rsid w:val="0081291B"/>
    <w:rsid w:val="00812A66"/>
    <w:rsid w:val="00813296"/>
    <w:rsid w:val="00813622"/>
    <w:rsid w:val="00813DCF"/>
    <w:rsid w:val="00813FAB"/>
    <w:rsid w:val="0081498C"/>
    <w:rsid w:val="00814AE1"/>
    <w:rsid w:val="00815BA7"/>
    <w:rsid w:val="00815D31"/>
    <w:rsid w:val="0081601F"/>
    <w:rsid w:val="00816064"/>
    <w:rsid w:val="00816A0E"/>
    <w:rsid w:val="00816B1D"/>
    <w:rsid w:val="008174B2"/>
    <w:rsid w:val="00817CFF"/>
    <w:rsid w:val="0082000D"/>
    <w:rsid w:val="0082037E"/>
    <w:rsid w:val="00820B7D"/>
    <w:rsid w:val="00820C9C"/>
    <w:rsid w:val="00820F55"/>
    <w:rsid w:val="00821572"/>
    <w:rsid w:val="008222F4"/>
    <w:rsid w:val="00822310"/>
    <w:rsid w:val="008235A8"/>
    <w:rsid w:val="00823794"/>
    <w:rsid w:val="008237F4"/>
    <w:rsid w:val="00823F67"/>
    <w:rsid w:val="00824022"/>
    <w:rsid w:val="0082483A"/>
    <w:rsid w:val="00824926"/>
    <w:rsid w:val="00824A81"/>
    <w:rsid w:val="00824C1D"/>
    <w:rsid w:val="00824E9E"/>
    <w:rsid w:val="0082502B"/>
    <w:rsid w:val="008257B8"/>
    <w:rsid w:val="008260CB"/>
    <w:rsid w:val="008260ED"/>
    <w:rsid w:val="00826624"/>
    <w:rsid w:val="0082699D"/>
    <w:rsid w:val="00826E6B"/>
    <w:rsid w:val="00826F77"/>
    <w:rsid w:val="008275FD"/>
    <w:rsid w:val="00830BA1"/>
    <w:rsid w:val="00830EB2"/>
    <w:rsid w:val="00831652"/>
    <w:rsid w:val="0083202E"/>
    <w:rsid w:val="0083304F"/>
    <w:rsid w:val="008334C9"/>
    <w:rsid w:val="008338A5"/>
    <w:rsid w:val="00833F63"/>
    <w:rsid w:val="00834122"/>
    <w:rsid w:val="008346F6"/>
    <w:rsid w:val="008352C5"/>
    <w:rsid w:val="008354E1"/>
    <w:rsid w:val="00835526"/>
    <w:rsid w:val="008358A6"/>
    <w:rsid w:val="00835930"/>
    <w:rsid w:val="008359FB"/>
    <w:rsid w:val="00835C56"/>
    <w:rsid w:val="00836034"/>
    <w:rsid w:val="008360FC"/>
    <w:rsid w:val="00836550"/>
    <w:rsid w:val="00836E81"/>
    <w:rsid w:val="008377C1"/>
    <w:rsid w:val="00837C90"/>
    <w:rsid w:val="00837EB1"/>
    <w:rsid w:val="0084042B"/>
    <w:rsid w:val="008408ED"/>
    <w:rsid w:val="008409BB"/>
    <w:rsid w:val="0084184A"/>
    <w:rsid w:val="008423F2"/>
    <w:rsid w:val="00842A30"/>
    <w:rsid w:val="00842F71"/>
    <w:rsid w:val="00843179"/>
    <w:rsid w:val="0084386A"/>
    <w:rsid w:val="00843E0E"/>
    <w:rsid w:val="008442EA"/>
    <w:rsid w:val="00844589"/>
    <w:rsid w:val="00844794"/>
    <w:rsid w:val="0084496F"/>
    <w:rsid w:val="00844FE7"/>
    <w:rsid w:val="00845517"/>
    <w:rsid w:val="00845969"/>
    <w:rsid w:val="00845AB5"/>
    <w:rsid w:val="00845F37"/>
    <w:rsid w:val="00845FF5"/>
    <w:rsid w:val="00846001"/>
    <w:rsid w:val="0084615D"/>
    <w:rsid w:val="0084642A"/>
    <w:rsid w:val="008465C4"/>
    <w:rsid w:val="00846710"/>
    <w:rsid w:val="008474EF"/>
    <w:rsid w:val="00847515"/>
    <w:rsid w:val="008478ED"/>
    <w:rsid w:val="00851728"/>
    <w:rsid w:val="00851DFF"/>
    <w:rsid w:val="00853084"/>
    <w:rsid w:val="00853142"/>
    <w:rsid w:val="008540A6"/>
    <w:rsid w:val="00854420"/>
    <w:rsid w:val="00854481"/>
    <w:rsid w:val="008548D5"/>
    <w:rsid w:val="00854E0A"/>
    <w:rsid w:val="00854EB0"/>
    <w:rsid w:val="0085667D"/>
    <w:rsid w:val="00856F5E"/>
    <w:rsid w:val="00857591"/>
    <w:rsid w:val="00857E66"/>
    <w:rsid w:val="00857E88"/>
    <w:rsid w:val="00860148"/>
    <w:rsid w:val="008612B9"/>
    <w:rsid w:val="008612DB"/>
    <w:rsid w:val="00861B57"/>
    <w:rsid w:val="00862AC4"/>
    <w:rsid w:val="008630A5"/>
    <w:rsid w:val="008633AC"/>
    <w:rsid w:val="008634E3"/>
    <w:rsid w:val="008639F3"/>
    <w:rsid w:val="0086404F"/>
    <w:rsid w:val="008643A6"/>
    <w:rsid w:val="00864627"/>
    <w:rsid w:val="00864635"/>
    <w:rsid w:val="00864678"/>
    <w:rsid w:val="0086492E"/>
    <w:rsid w:val="00864C1A"/>
    <w:rsid w:val="00865217"/>
    <w:rsid w:val="008654D9"/>
    <w:rsid w:val="008658AA"/>
    <w:rsid w:val="00865CBD"/>
    <w:rsid w:val="00866E37"/>
    <w:rsid w:val="00866F9E"/>
    <w:rsid w:val="008672E2"/>
    <w:rsid w:val="0086793D"/>
    <w:rsid w:val="00867B1C"/>
    <w:rsid w:val="008713D6"/>
    <w:rsid w:val="00871643"/>
    <w:rsid w:val="0087219D"/>
    <w:rsid w:val="0087281D"/>
    <w:rsid w:val="00872FAA"/>
    <w:rsid w:val="008732D8"/>
    <w:rsid w:val="00873377"/>
    <w:rsid w:val="0087340A"/>
    <w:rsid w:val="00873577"/>
    <w:rsid w:val="00873FF0"/>
    <w:rsid w:val="0087409F"/>
    <w:rsid w:val="00874BFE"/>
    <w:rsid w:val="00874D58"/>
    <w:rsid w:val="008750D2"/>
    <w:rsid w:val="00875AB5"/>
    <w:rsid w:val="00875C91"/>
    <w:rsid w:val="00875F85"/>
    <w:rsid w:val="00876104"/>
    <w:rsid w:val="00876C6B"/>
    <w:rsid w:val="00876DC9"/>
    <w:rsid w:val="00877125"/>
    <w:rsid w:val="008777C2"/>
    <w:rsid w:val="0087788A"/>
    <w:rsid w:val="00877AB1"/>
    <w:rsid w:val="00877B72"/>
    <w:rsid w:val="00877B7E"/>
    <w:rsid w:val="00877E61"/>
    <w:rsid w:val="00881511"/>
    <w:rsid w:val="00882448"/>
    <w:rsid w:val="00882F1D"/>
    <w:rsid w:val="00883A4D"/>
    <w:rsid w:val="00883A7F"/>
    <w:rsid w:val="00883B21"/>
    <w:rsid w:val="00883F8F"/>
    <w:rsid w:val="00884235"/>
    <w:rsid w:val="00885285"/>
    <w:rsid w:val="00885985"/>
    <w:rsid w:val="00885DD8"/>
    <w:rsid w:val="00886699"/>
    <w:rsid w:val="00886CED"/>
    <w:rsid w:val="0088709A"/>
    <w:rsid w:val="00887DD9"/>
    <w:rsid w:val="00890769"/>
    <w:rsid w:val="0089199F"/>
    <w:rsid w:val="00891C32"/>
    <w:rsid w:val="00891D7F"/>
    <w:rsid w:val="00892265"/>
    <w:rsid w:val="0089233E"/>
    <w:rsid w:val="008926CD"/>
    <w:rsid w:val="0089289F"/>
    <w:rsid w:val="00892ED4"/>
    <w:rsid w:val="0089330E"/>
    <w:rsid w:val="00893A8E"/>
    <w:rsid w:val="00893E27"/>
    <w:rsid w:val="008945F7"/>
    <w:rsid w:val="0089463D"/>
    <w:rsid w:val="0089554F"/>
    <w:rsid w:val="008955E6"/>
    <w:rsid w:val="00895B5F"/>
    <w:rsid w:val="0089637C"/>
    <w:rsid w:val="00896712"/>
    <w:rsid w:val="00896870"/>
    <w:rsid w:val="008969BD"/>
    <w:rsid w:val="008975AF"/>
    <w:rsid w:val="008A007F"/>
    <w:rsid w:val="008A0C11"/>
    <w:rsid w:val="008A13BD"/>
    <w:rsid w:val="008A1486"/>
    <w:rsid w:val="008A1596"/>
    <w:rsid w:val="008A1774"/>
    <w:rsid w:val="008A1C87"/>
    <w:rsid w:val="008A1EDF"/>
    <w:rsid w:val="008A2695"/>
    <w:rsid w:val="008A2C31"/>
    <w:rsid w:val="008A2DC9"/>
    <w:rsid w:val="008A2FF1"/>
    <w:rsid w:val="008A32D4"/>
    <w:rsid w:val="008A367F"/>
    <w:rsid w:val="008A36FA"/>
    <w:rsid w:val="008A37AF"/>
    <w:rsid w:val="008A3D62"/>
    <w:rsid w:val="008A448D"/>
    <w:rsid w:val="008A4820"/>
    <w:rsid w:val="008A4A01"/>
    <w:rsid w:val="008A4A55"/>
    <w:rsid w:val="008A506F"/>
    <w:rsid w:val="008A528A"/>
    <w:rsid w:val="008A5298"/>
    <w:rsid w:val="008A535A"/>
    <w:rsid w:val="008A5F8A"/>
    <w:rsid w:val="008A6E6C"/>
    <w:rsid w:val="008A720F"/>
    <w:rsid w:val="008A7C72"/>
    <w:rsid w:val="008B04F2"/>
    <w:rsid w:val="008B0BF2"/>
    <w:rsid w:val="008B0C5E"/>
    <w:rsid w:val="008B0D0E"/>
    <w:rsid w:val="008B12BB"/>
    <w:rsid w:val="008B1411"/>
    <w:rsid w:val="008B17A2"/>
    <w:rsid w:val="008B1E24"/>
    <w:rsid w:val="008B258F"/>
    <w:rsid w:val="008B25F2"/>
    <w:rsid w:val="008B2643"/>
    <w:rsid w:val="008B2FAE"/>
    <w:rsid w:val="008B3317"/>
    <w:rsid w:val="008B414B"/>
    <w:rsid w:val="008B4E0E"/>
    <w:rsid w:val="008B4FB9"/>
    <w:rsid w:val="008B56E3"/>
    <w:rsid w:val="008B5715"/>
    <w:rsid w:val="008B5A2D"/>
    <w:rsid w:val="008B5BC2"/>
    <w:rsid w:val="008B60BB"/>
    <w:rsid w:val="008B6732"/>
    <w:rsid w:val="008B6765"/>
    <w:rsid w:val="008B68EC"/>
    <w:rsid w:val="008B6C7A"/>
    <w:rsid w:val="008B711E"/>
    <w:rsid w:val="008B7A44"/>
    <w:rsid w:val="008C00BF"/>
    <w:rsid w:val="008C042F"/>
    <w:rsid w:val="008C057B"/>
    <w:rsid w:val="008C0CAC"/>
    <w:rsid w:val="008C1341"/>
    <w:rsid w:val="008C13B4"/>
    <w:rsid w:val="008C1557"/>
    <w:rsid w:val="008C1B8C"/>
    <w:rsid w:val="008C2306"/>
    <w:rsid w:val="008C26D1"/>
    <w:rsid w:val="008C29A4"/>
    <w:rsid w:val="008C2ADC"/>
    <w:rsid w:val="008C2B7F"/>
    <w:rsid w:val="008C2CA7"/>
    <w:rsid w:val="008C36AC"/>
    <w:rsid w:val="008C3775"/>
    <w:rsid w:val="008C3C0B"/>
    <w:rsid w:val="008C4198"/>
    <w:rsid w:val="008C4236"/>
    <w:rsid w:val="008C4953"/>
    <w:rsid w:val="008C4E44"/>
    <w:rsid w:val="008C5938"/>
    <w:rsid w:val="008C6255"/>
    <w:rsid w:val="008C64F5"/>
    <w:rsid w:val="008C684B"/>
    <w:rsid w:val="008C6ABD"/>
    <w:rsid w:val="008C6B56"/>
    <w:rsid w:val="008C6F18"/>
    <w:rsid w:val="008C7685"/>
    <w:rsid w:val="008D007A"/>
    <w:rsid w:val="008D07DE"/>
    <w:rsid w:val="008D0831"/>
    <w:rsid w:val="008D0E40"/>
    <w:rsid w:val="008D1E7F"/>
    <w:rsid w:val="008D1F58"/>
    <w:rsid w:val="008D2367"/>
    <w:rsid w:val="008D2408"/>
    <w:rsid w:val="008D2BB4"/>
    <w:rsid w:val="008D30E1"/>
    <w:rsid w:val="008D3D7E"/>
    <w:rsid w:val="008D427A"/>
    <w:rsid w:val="008D4DD5"/>
    <w:rsid w:val="008D5241"/>
    <w:rsid w:val="008D5657"/>
    <w:rsid w:val="008D65B2"/>
    <w:rsid w:val="008D6752"/>
    <w:rsid w:val="008D69E7"/>
    <w:rsid w:val="008D6FC1"/>
    <w:rsid w:val="008D7A97"/>
    <w:rsid w:val="008D7CCA"/>
    <w:rsid w:val="008E00A0"/>
    <w:rsid w:val="008E0140"/>
    <w:rsid w:val="008E0688"/>
    <w:rsid w:val="008E07ED"/>
    <w:rsid w:val="008E0882"/>
    <w:rsid w:val="008E0BEF"/>
    <w:rsid w:val="008E266D"/>
    <w:rsid w:val="008E2F0C"/>
    <w:rsid w:val="008E3ACA"/>
    <w:rsid w:val="008E3E23"/>
    <w:rsid w:val="008E4EDD"/>
    <w:rsid w:val="008E4F00"/>
    <w:rsid w:val="008E547B"/>
    <w:rsid w:val="008E5DF8"/>
    <w:rsid w:val="008F0250"/>
    <w:rsid w:val="008F03F4"/>
    <w:rsid w:val="008F11F4"/>
    <w:rsid w:val="008F1952"/>
    <w:rsid w:val="008F254D"/>
    <w:rsid w:val="008F310B"/>
    <w:rsid w:val="008F322B"/>
    <w:rsid w:val="008F34CB"/>
    <w:rsid w:val="008F3519"/>
    <w:rsid w:val="008F3AD3"/>
    <w:rsid w:val="008F3CA7"/>
    <w:rsid w:val="008F443F"/>
    <w:rsid w:val="008F4F81"/>
    <w:rsid w:val="008F5DE5"/>
    <w:rsid w:val="008F5E42"/>
    <w:rsid w:val="008F63B1"/>
    <w:rsid w:val="008F64EE"/>
    <w:rsid w:val="008F66A5"/>
    <w:rsid w:val="008F6973"/>
    <w:rsid w:val="008F6E6A"/>
    <w:rsid w:val="008F7157"/>
    <w:rsid w:val="008F75D3"/>
    <w:rsid w:val="008F7AA7"/>
    <w:rsid w:val="00900947"/>
    <w:rsid w:val="00900EB8"/>
    <w:rsid w:val="00900FBA"/>
    <w:rsid w:val="00902414"/>
    <w:rsid w:val="00902E5B"/>
    <w:rsid w:val="00903FD9"/>
    <w:rsid w:val="009044F6"/>
    <w:rsid w:val="00904CF5"/>
    <w:rsid w:val="00905259"/>
    <w:rsid w:val="0090556C"/>
    <w:rsid w:val="00905633"/>
    <w:rsid w:val="00905EAE"/>
    <w:rsid w:val="009060C4"/>
    <w:rsid w:val="00906C91"/>
    <w:rsid w:val="00906C95"/>
    <w:rsid w:val="0090714C"/>
    <w:rsid w:val="00907656"/>
    <w:rsid w:val="00907E47"/>
    <w:rsid w:val="009104ED"/>
    <w:rsid w:val="00910CA0"/>
    <w:rsid w:val="00910D94"/>
    <w:rsid w:val="00911147"/>
    <w:rsid w:val="009115EF"/>
    <w:rsid w:val="009116DD"/>
    <w:rsid w:val="00911E8A"/>
    <w:rsid w:val="009120C0"/>
    <w:rsid w:val="00912D1C"/>
    <w:rsid w:val="00913019"/>
    <w:rsid w:val="00913F1E"/>
    <w:rsid w:val="00913FB2"/>
    <w:rsid w:val="009140C4"/>
    <w:rsid w:val="009144A9"/>
    <w:rsid w:val="00914621"/>
    <w:rsid w:val="0091468B"/>
    <w:rsid w:val="00914D3C"/>
    <w:rsid w:val="0091526F"/>
    <w:rsid w:val="009153D2"/>
    <w:rsid w:val="00916286"/>
    <w:rsid w:val="00916595"/>
    <w:rsid w:val="00916C47"/>
    <w:rsid w:val="009171AD"/>
    <w:rsid w:val="00917569"/>
    <w:rsid w:val="00920174"/>
    <w:rsid w:val="00920D42"/>
    <w:rsid w:val="00920D79"/>
    <w:rsid w:val="009219D2"/>
    <w:rsid w:val="00921A4E"/>
    <w:rsid w:val="00921E37"/>
    <w:rsid w:val="00922511"/>
    <w:rsid w:val="00922F07"/>
    <w:rsid w:val="00923318"/>
    <w:rsid w:val="00923463"/>
    <w:rsid w:val="00923CD1"/>
    <w:rsid w:val="00923E19"/>
    <w:rsid w:val="00924113"/>
    <w:rsid w:val="00924137"/>
    <w:rsid w:val="00924A83"/>
    <w:rsid w:val="00924CB6"/>
    <w:rsid w:val="009250A8"/>
    <w:rsid w:val="00925238"/>
    <w:rsid w:val="00925ACF"/>
    <w:rsid w:val="0092615D"/>
    <w:rsid w:val="00926546"/>
    <w:rsid w:val="009265A1"/>
    <w:rsid w:val="00927411"/>
    <w:rsid w:val="009274E3"/>
    <w:rsid w:val="00927558"/>
    <w:rsid w:val="00927700"/>
    <w:rsid w:val="0093036E"/>
    <w:rsid w:val="00930B98"/>
    <w:rsid w:val="00931224"/>
    <w:rsid w:val="009330D4"/>
    <w:rsid w:val="009333D3"/>
    <w:rsid w:val="009339B6"/>
    <w:rsid w:val="00933B36"/>
    <w:rsid w:val="00933B4C"/>
    <w:rsid w:val="00933DA3"/>
    <w:rsid w:val="00933DC4"/>
    <w:rsid w:val="00934080"/>
    <w:rsid w:val="0093431B"/>
    <w:rsid w:val="009346D6"/>
    <w:rsid w:val="00934743"/>
    <w:rsid w:val="0093487E"/>
    <w:rsid w:val="0093497A"/>
    <w:rsid w:val="00934C10"/>
    <w:rsid w:val="00934FFE"/>
    <w:rsid w:val="00935001"/>
    <w:rsid w:val="00936405"/>
    <w:rsid w:val="00936B64"/>
    <w:rsid w:val="00937303"/>
    <w:rsid w:val="009379C4"/>
    <w:rsid w:val="00937A15"/>
    <w:rsid w:val="009402C8"/>
    <w:rsid w:val="0094041A"/>
    <w:rsid w:val="00940D32"/>
    <w:rsid w:val="00941262"/>
    <w:rsid w:val="0094190D"/>
    <w:rsid w:val="00941B52"/>
    <w:rsid w:val="00942354"/>
    <w:rsid w:val="00942681"/>
    <w:rsid w:val="009427AA"/>
    <w:rsid w:val="00942C9D"/>
    <w:rsid w:val="00943A7E"/>
    <w:rsid w:val="00943B15"/>
    <w:rsid w:val="00943E42"/>
    <w:rsid w:val="00943E5D"/>
    <w:rsid w:val="00944728"/>
    <w:rsid w:val="0094538C"/>
    <w:rsid w:val="009453E8"/>
    <w:rsid w:val="009454A3"/>
    <w:rsid w:val="00945664"/>
    <w:rsid w:val="00945AD1"/>
    <w:rsid w:val="00946393"/>
    <w:rsid w:val="0094641F"/>
    <w:rsid w:val="00946518"/>
    <w:rsid w:val="0094675D"/>
    <w:rsid w:val="00946ECB"/>
    <w:rsid w:val="00947268"/>
    <w:rsid w:val="0094750E"/>
    <w:rsid w:val="00947C94"/>
    <w:rsid w:val="009507C8"/>
    <w:rsid w:val="0095115E"/>
    <w:rsid w:val="0095118A"/>
    <w:rsid w:val="0095165E"/>
    <w:rsid w:val="00951BF5"/>
    <w:rsid w:val="00951C26"/>
    <w:rsid w:val="00952449"/>
    <w:rsid w:val="00952466"/>
    <w:rsid w:val="00952468"/>
    <w:rsid w:val="00953C5F"/>
    <w:rsid w:val="00954767"/>
    <w:rsid w:val="0095487A"/>
    <w:rsid w:val="009548FB"/>
    <w:rsid w:val="0095538B"/>
    <w:rsid w:val="009554A3"/>
    <w:rsid w:val="00956CDE"/>
    <w:rsid w:val="00957AF7"/>
    <w:rsid w:val="00957E25"/>
    <w:rsid w:val="00960ACA"/>
    <w:rsid w:val="00960C4F"/>
    <w:rsid w:val="00961E7F"/>
    <w:rsid w:val="0096217C"/>
    <w:rsid w:val="00962441"/>
    <w:rsid w:val="00963277"/>
    <w:rsid w:val="00963D1A"/>
    <w:rsid w:val="0096470E"/>
    <w:rsid w:val="00964B53"/>
    <w:rsid w:val="00964C3F"/>
    <w:rsid w:val="00964C6C"/>
    <w:rsid w:val="00965176"/>
    <w:rsid w:val="00965240"/>
    <w:rsid w:val="00965847"/>
    <w:rsid w:val="00965A3E"/>
    <w:rsid w:val="00965C48"/>
    <w:rsid w:val="00966D9D"/>
    <w:rsid w:val="00966E4A"/>
    <w:rsid w:val="00967041"/>
    <w:rsid w:val="00970918"/>
    <w:rsid w:val="0097099E"/>
    <w:rsid w:val="00970E95"/>
    <w:rsid w:val="00971761"/>
    <w:rsid w:val="00971B4D"/>
    <w:rsid w:val="00971CCB"/>
    <w:rsid w:val="0097216F"/>
    <w:rsid w:val="00972C3B"/>
    <w:rsid w:val="00973057"/>
    <w:rsid w:val="00973106"/>
    <w:rsid w:val="00973649"/>
    <w:rsid w:val="009745D5"/>
    <w:rsid w:val="00974D50"/>
    <w:rsid w:val="00974EB2"/>
    <w:rsid w:val="009751AF"/>
    <w:rsid w:val="00975326"/>
    <w:rsid w:val="00975DEA"/>
    <w:rsid w:val="00977597"/>
    <w:rsid w:val="00977BAE"/>
    <w:rsid w:val="00977CDF"/>
    <w:rsid w:val="00977E58"/>
    <w:rsid w:val="0098043F"/>
    <w:rsid w:val="00980926"/>
    <w:rsid w:val="00980953"/>
    <w:rsid w:val="00981038"/>
    <w:rsid w:val="0098106E"/>
    <w:rsid w:val="009812C1"/>
    <w:rsid w:val="00981467"/>
    <w:rsid w:val="00981511"/>
    <w:rsid w:val="009818FA"/>
    <w:rsid w:val="00981A61"/>
    <w:rsid w:val="00981D1C"/>
    <w:rsid w:val="00981E1C"/>
    <w:rsid w:val="00982118"/>
    <w:rsid w:val="0098283E"/>
    <w:rsid w:val="00982BF9"/>
    <w:rsid w:val="00982C4C"/>
    <w:rsid w:val="00982C55"/>
    <w:rsid w:val="00982C62"/>
    <w:rsid w:val="00982C91"/>
    <w:rsid w:val="00982F76"/>
    <w:rsid w:val="00982FA3"/>
    <w:rsid w:val="009832FD"/>
    <w:rsid w:val="00983F62"/>
    <w:rsid w:val="009840FD"/>
    <w:rsid w:val="0098419A"/>
    <w:rsid w:val="00984701"/>
    <w:rsid w:val="00984847"/>
    <w:rsid w:val="00984BEC"/>
    <w:rsid w:val="009851A5"/>
    <w:rsid w:val="00985EB8"/>
    <w:rsid w:val="00985FB3"/>
    <w:rsid w:val="00986566"/>
    <w:rsid w:val="00986CC1"/>
    <w:rsid w:val="00986F4E"/>
    <w:rsid w:val="00987191"/>
    <w:rsid w:val="00987829"/>
    <w:rsid w:val="00987A5A"/>
    <w:rsid w:val="00987CB4"/>
    <w:rsid w:val="00987D23"/>
    <w:rsid w:val="0099097E"/>
    <w:rsid w:val="0099124B"/>
    <w:rsid w:val="009921FC"/>
    <w:rsid w:val="0099235C"/>
    <w:rsid w:val="0099272B"/>
    <w:rsid w:val="009927CB"/>
    <w:rsid w:val="00992A0E"/>
    <w:rsid w:val="0099399E"/>
    <w:rsid w:val="0099413C"/>
    <w:rsid w:val="00994230"/>
    <w:rsid w:val="0099479E"/>
    <w:rsid w:val="009951D8"/>
    <w:rsid w:val="00995355"/>
    <w:rsid w:val="0099586F"/>
    <w:rsid w:val="0099719E"/>
    <w:rsid w:val="00997735"/>
    <w:rsid w:val="009978B2"/>
    <w:rsid w:val="009A0169"/>
    <w:rsid w:val="009A03F5"/>
    <w:rsid w:val="009A1592"/>
    <w:rsid w:val="009A1B56"/>
    <w:rsid w:val="009A200D"/>
    <w:rsid w:val="009A3032"/>
    <w:rsid w:val="009A3A59"/>
    <w:rsid w:val="009A3C93"/>
    <w:rsid w:val="009A3FD0"/>
    <w:rsid w:val="009A4565"/>
    <w:rsid w:val="009A4907"/>
    <w:rsid w:val="009A49A5"/>
    <w:rsid w:val="009A51C7"/>
    <w:rsid w:val="009A53C7"/>
    <w:rsid w:val="009A5679"/>
    <w:rsid w:val="009A56EA"/>
    <w:rsid w:val="009A59EC"/>
    <w:rsid w:val="009A5C56"/>
    <w:rsid w:val="009A5CA8"/>
    <w:rsid w:val="009A5D60"/>
    <w:rsid w:val="009A6323"/>
    <w:rsid w:val="009A6C3F"/>
    <w:rsid w:val="009A6ED0"/>
    <w:rsid w:val="009A706A"/>
    <w:rsid w:val="009A7181"/>
    <w:rsid w:val="009A71AB"/>
    <w:rsid w:val="009A73A5"/>
    <w:rsid w:val="009A7745"/>
    <w:rsid w:val="009A7C3D"/>
    <w:rsid w:val="009B0156"/>
    <w:rsid w:val="009B0295"/>
    <w:rsid w:val="009B0396"/>
    <w:rsid w:val="009B05BA"/>
    <w:rsid w:val="009B0A87"/>
    <w:rsid w:val="009B0D4D"/>
    <w:rsid w:val="009B1224"/>
    <w:rsid w:val="009B1B0E"/>
    <w:rsid w:val="009B1C18"/>
    <w:rsid w:val="009B2596"/>
    <w:rsid w:val="009B372D"/>
    <w:rsid w:val="009B428B"/>
    <w:rsid w:val="009B42B6"/>
    <w:rsid w:val="009B42CC"/>
    <w:rsid w:val="009B43D6"/>
    <w:rsid w:val="009B5081"/>
    <w:rsid w:val="009B5660"/>
    <w:rsid w:val="009B6985"/>
    <w:rsid w:val="009B69B3"/>
    <w:rsid w:val="009B6B17"/>
    <w:rsid w:val="009B7011"/>
    <w:rsid w:val="009B71E4"/>
    <w:rsid w:val="009B7F9D"/>
    <w:rsid w:val="009C04EE"/>
    <w:rsid w:val="009C0CD4"/>
    <w:rsid w:val="009C15E7"/>
    <w:rsid w:val="009C17C8"/>
    <w:rsid w:val="009C2539"/>
    <w:rsid w:val="009C3096"/>
    <w:rsid w:val="009C385B"/>
    <w:rsid w:val="009C3E3C"/>
    <w:rsid w:val="009C4353"/>
    <w:rsid w:val="009C49C2"/>
    <w:rsid w:val="009C4E2D"/>
    <w:rsid w:val="009C62C0"/>
    <w:rsid w:val="009C6A88"/>
    <w:rsid w:val="009C765D"/>
    <w:rsid w:val="009C7930"/>
    <w:rsid w:val="009C7ADA"/>
    <w:rsid w:val="009D000A"/>
    <w:rsid w:val="009D0703"/>
    <w:rsid w:val="009D1A86"/>
    <w:rsid w:val="009D1E12"/>
    <w:rsid w:val="009D2DA9"/>
    <w:rsid w:val="009D2E93"/>
    <w:rsid w:val="009D2EA9"/>
    <w:rsid w:val="009D3038"/>
    <w:rsid w:val="009D34C0"/>
    <w:rsid w:val="009D35FB"/>
    <w:rsid w:val="009D3607"/>
    <w:rsid w:val="009D4678"/>
    <w:rsid w:val="009D4BBE"/>
    <w:rsid w:val="009D4E16"/>
    <w:rsid w:val="009D511E"/>
    <w:rsid w:val="009D53C6"/>
    <w:rsid w:val="009D5893"/>
    <w:rsid w:val="009D5EB7"/>
    <w:rsid w:val="009D6620"/>
    <w:rsid w:val="009D664C"/>
    <w:rsid w:val="009D6C54"/>
    <w:rsid w:val="009D72B0"/>
    <w:rsid w:val="009D75B4"/>
    <w:rsid w:val="009D77CE"/>
    <w:rsid w:val="009D7DE3"/>
    <w:rsid w:val="009E004A"/>
    <w:rsid w:val="009E066B"/>
    <w:rsid w:val="009E1515"/>
    <w:rsid w:val="009E1CFF"/>
    <w:rsid w:val="009E1FEE"/>
    <w:rsid w:val="009E23EA"/>
    <w:rsid w:val="009E27BD"/>
    <w:rsid w:val="009E2D24"/>
    <w:rsid w:val="009E2EA0"/>
    <w:rsid w:val="009E305F"/>
    <w:rsid w:val="009E3490"/>
    <w:rsid w:val="009E36FF"/>
    <w:rsid w:val="009E37D3"/>
    <w:rsid w:val="009E3CC1"/>
    <w:rsid w:val="009E3DF9"/>
    <w:rsid w:val="009E5028"/>
    <w:rsid w:val="009E50FB"/>
    <w:rsid w:val="009E5280"/>
    <w:rsid w:val="009E5386"/>
    <w:rsid w:val="009E5DD1"/>
    <w:rsid w:val="009E5EB5"/>
    <w:rsid w:val="009E60AD"/>
    <w:rsid w:val="009E6372"/>
    <w:rsid w:val="009E68C8"/>
    <w:rsid w:val="009E6AB5"/>
    <w:rsid w:val="009E6DAB"/>
    <w:rsid w:val="009E6F4B"/>
    <w:rsid w:val="009E703C"/>
    <w:rsid w:val="009E78F4"/>
    <w:rsid w:val="009E7E4C"/>
    <w:rsid w:val="009F08F5"/>
    <w:rsid w:val="009F0956"/>
    <w:rsid w:val="009F0EE5"/>
    <w:rsid w:val="009F1264"/>
    <w:rsid w:val="009F215C"/>
    <w:rsid w:val="009F245B"/>
    <w:rsid w:val="009F25E6"/>
    <w:rsid w:val="009F2702"/>
    <w:rsid w:val="009F2BE8"/>
    <w:rsid w:val="009F2F09"/>
    <w:rsid w:val="009F3030"/>
    <w:rsid w:val="009F393D"/>
    <w:rsid w:val="009F39A7"/>
    <w:rsid w:val="009F40B7"/>
    <w:rsid w:val="009F4188"/>
    <w:rsid w:val="009F4302"/>
    <w:rsid w:val="009F4393"/>
    <w:rsid w:val="009F4BE9"/>
    <w:rsid w:val="009F62D3"/>
    <w:rsid w:val="00A00112"/>
    <w:rsid w:val="00A004B3"/>
    <w:rsid w:val="00A008B5"/>
    <w:rsid w:val="00A01778"/>
    <w:rsid w:val="00A017B4"/>
    <w:rsid w:val="00A01BDC"/>
    <w:rsid w:val="00A01C53"/>
    <w:rsid w:val="00A01D38"/>
    <w:rsid w:val="00A02414"/>
    <w:rsid w:val="00A025B9"/>
    <w:rsid w:val="00A031A5"/>
    <w:rsid w:val="00A03211"/>
    <w:rsid w:val="00A0348C"/>
    <w:rsid w:val="00A0355C"/>
    <w:rsid w:val="00A03A13"/>
    <w:rsid w:val="00A040AB"/>
    <w:rsid w:val="00A040CD"/>
    <w:rsid w:val="00A04429"/>
    <w:rsid w:val="00A05725"/>
    <w:rsid w:val="00A06446"/>
    <w:rsid w:val="00A06697"/>
    <w:rsid w:val="00A06C40"/>
    <w:rsid w:val="00A07864"/>
    <w:rsid w:val="00A10557"/>
    <w:rsid w:val="00A10586"/>
    <w:rsid w:val="00A10A48"/>
    <w:rsid w:val="00A10B22"/>
    <w:rsid w:val="00A110DA"/>
    <w:rsid w:val="00A1132B"/>
    <w:rsid w:val="00A11930"/>
    <w:rsid w:val="00A11B54"/>
    <w:rsid w:val="00A11CDC"/>
    <w:rsid w:val="00A11FA9"/>
    <w:rsid w:val="00A1238C"/>
    <w:rsid w:val="00A1263D"/>
    <w:rsid w:val="00A12668"/>
    <w:rsid w:val="00A12AF2"/>
    <w:rsid w:val="00A12D8A"/>
    <w:rsid w:val="00A12E6C"/>
    <w:rsid w:val="00A136D0"/>
    <w:rsid w:val="00A13D1A"/>
    <w:rsid w:val="00A14BAC"/>
    <w:rsid w:val="00A14BBE"/>
    <w:rsid w:val="00A14DC2"/>
    <w:rsid w:val="00A14DD6"/>
    <w:rsid w:val="00A15991"/>
    <w:rsid w:val="00A15A84"/>
    <w:rsid w:val="00A15D5E"/>
    <w:rsid w:val="00A161F8"/>
    <w:rsid w:val="00A16739"/>
    <w:rsid w:val="00A167F6"/>
    <w:rsid w:val="00A169FA"/>
    <w:rsid w:val="00A1766A"/>
    <w:rsid w:val="00A1787F"/>
    <w:rsid w:val="00A200F4"/>
    <w:rsid w:val="00A2046E"/>
    <w:rsid w:val="00A206C9"/>
    <w:rsid w:val="00A209D1"/>
    <w:rsid w:val="00A20C27"/>
    <w:rsid w:val="00A20D5C"/>
    <w:rsid w:val="00A20E7D"/>
    <w:rsid w:val="00A216BC"/>
    <w:rsid w:val="00A21BDF"/>
    <w:rsid w:val="00A21E4E"/>
    <w:rsid w:val="00A22592"/>
    <w:rsid w:val="00A22DFE"/>
    <w:rsid w:val="00A22F30"/>
    <w:rsid w:val="00A23931"/>
    <w:rsid w:val="00A23FD6"/>
    <w:rsid w:val="00A24390"/>
    <w:rsid w:val="00A24AE0"/>
    <w:rsid w:val="00A25317"/>
    <w:rsid w:val="00A25706"/>
    <w:rsid w:val="00A2574F"/>
    <w:rsid w:val="00A25D84"/>
    <w:rsid w:val="00A26029"/>
    <w:rsid w:val="00A262E4"/>
    <w:rsid w:val="00A268EA"/>
    <w:rsid w:val="00A27DD5"/>
    <w:rsid w:val="00A30782"/>
    <w:rsid w:val="00A313F5"/>
    <w:rsid w:val="00A314B3"/>
    <w:rsid w:val="00A31CE0"/>
    <w:rsid w:val="00A31FA9"/>
    <w:rsid w:val="00A333BF"/>
    <w:rsid w:val="00A33825"/>
    <w:rsid w:val="00A3398F"/>
    <w:rsid w:val="00A35583"/>
    <w:rsid w:val="00A36200"/>
    <w:rsid w:val="00A3631C"/>
    <w:rsid w:val="00A363EF"/>
    <w:rsid w:val="00A36DFE"/>
    <w:rsid w:val="00A370FD"/>
    <w:rsid w:val="00A3798C"/>
    <w:rsid w:val="00A37B38"/>
    <w:rsid w:val="00A37DD9"/>
    <w:rsid w:val="00A408CA"/>
    <w:rsid w:val="00A40995"/>
    <w:rsid w:val="00A40ED7"/>
    <w:rsid w:val="00A40F83"/>
    <w:rsid w:val="00A412BA"/>
    <w:rsid w:val="00A41416"/>
    <w:rsid w:val="00A4200D"/>
    <w:rsid w:val="00A424BF"/>
    <w:rsid w:val="00A4258E"/>
    <w:rsid w:val="00A432D1"/>
    <w:rsid w:val="00A43522"/>
    <w:rsid w:val="00A43716"/>
    <w:rsid w:val="00A44123"/>
    <w:rsid w:val="00A442C5"/>
    <w:rsid w:val="00A44712"/>
    <w:rsid w:val="00A44AF5"/>
    <w:rsid w:val="00A44B8B"/>
    <w:rsid w:val="00A44BB8"/>
    <w:rsid w:val="00A45131"/>
    <w:rsid w:val="00A455E1"/>
    <w:rsid w:val="00A45EC4"/>
    <w:rsid w:val="00A45FBB"/>
    <w:rsid w:val="00A465CA"/>
    <w:rsid w:val="00A47212"/>
    <w:rsid w:val="00A474EA"/>
    <w:rsid w:val="00A501B2"/>
    <w:rsid w:val="00A5034A"/>
    <w:rsid w:val="00A50655"/>
    <w:rsid w:val="00A509B5"/>
    <w:rsid w:val="00A50C6A"/>
    <w:rsid w:val="00A50FFA"/>
    <w:rsid w:val="00A524CF"/>
    <w:rsid w:val="00A53129"/>
    <w:rsid w:val="00A539D1"/>
    <w:rsid w:val="00A54191"/>
    <w:rsid w:val="00A54DAE"/>
    <w:rsid w:val="00A55CAF"/>
    <w:rsid w:val="00A56D3B"/>
    <w:rsid w:val="00A57450"/>
    <w:rsid w:val="00A57479"/>
    <w:rsid w:val="00A57A4E"/>
    <w:rsid w:val="00A57C08"/>
    <w:rsid w:val="00A600D9"/>
    <w:rsid w:val="00A604CD"/>
    <w:rsid w:val="00A60D74"/>
    <w:rsid w:val="00A624FE"/>
    <w:rsid w:val="00A62839"/>
    <w:rsid w:val="00A637A0"/>
    <w:rsid w:val="00A63BAC"/>
    <w:rsid w:val="00A63ECD"/>
    <w:rsid w:val="00A64093"/>
    <w:rsid w:val="00A640EB"/>
    <w:rsid w:val="00A64815"/>
    <w:rsid w:val="00A6484E"/>
    <w:rsid w:val="00A65043"/>
    <w:rsid w:val="00A66DF9"/>
    <w:rsid w:val="00A704E4"/>
    <w:rsid w:val="00A709F4"/>
    <w:rsid w:val="00A7136A"/>
    <w:rsid w:val="00A714DE"/>
    <w:rsid w:val="00A71C44"/>
    <w:rsid w:val="00A72296"/>
    <w:rsid w:val="00A728CD"/>
    <w:rsid w:val="00A7388E"/>
    <w:rsid w:val="00A73FC7"/>
    <w:rsid w:val="00A74544"/>
    <w:rsid w:val="00A74548"/>
    <w:rsid w:val="00A74DF2"/>
    <w:rsid w:val="00A74E4D"/>
    <w:rsid w:val="00A7592E"/>
    <w:rsid w:val="00A76BB5"/>
    <w:rsid w:val="00A76C1F"/>
    <w:rsid w:val="00A76CF1"/>
    <w:rsid w:val="00A76F74"/>
    <w:rsid w:val="00A80165"/>
    <w:rsid w:val="00A803FC"/>
    <w:rsid w:val="00A8071A"/>
    <w:rsid w:val="00A80DD9"/>
    <w:rsid w:val="00A80FCA"/>
    <w:rsid w:val="00A812A7"/>
    <w:rsid w:val="00A816E7"/>
    <w:rsid w:val="00A81CBC"/>
    <w:rsid w:val="00A824D4"/>
    <w:rsid w:val="00A82506"/>
    <w:rsid w:val="00A83519"/>
    <w:rsid w:val="00A837CE"/>
    <w:rsid w:val="00A838D8"/>
    <w:rsid w:val="00A83DB5"/>
    <w:rsid w:val="00A83DF6"/>
    <w:rsid w:val="00A83FBA"/>
    <w:rsid w:val="00A84636"/>
    <w:rsid w:val="00A84FE1"/>
    <w:rsid w:val="00A85080"/>
    <w:rsid w:val="00A86406"/>
    <w:rsid w:val="00A86853"/>
    <w:rsid w:val="00A86B75"/>
    <w:rsid w:val="00A86E75"/>
    <w:rsid w:val="00A86F33"/>
    <w:rsid w:val="00A900D9"/>
    <w:rsid w:val="00A9065F"/>
    <w:rsid w:val="00A90B0E"/>
    <w:rsid w:val="00A918FF"/>
    <w:rsid w:val="00A91AA1"/>
    <w:rsid w:val="00A91C8C"/>
    <w:rsid w:val="00A91F0D"/>
    <w:rsid w:val="00A91F7F"/>
    <w:rsid w:val="00A921B3"/>
    <w:rsid w:val="00A9235A"/>
    <w:rsid w:val="00A92A75"/>
    <w:rsid w:val="00A92FF7"/>
    <w:rsid w:val="00A93069"/>
    <w:rsid w:val="00A93843"/>
    <w:rsid w:val="00A9395C"/>
    <w:rsid w:val="00A93974"/>
    <w:rsid w:val="00A942C3"/>
    <w:rsid w:val="00A9468F"/>
    <w:rsid w:val="00A9498D"/>
    <w:rsid w:val="00A9505C"/>
    <w:rsid w:val="00A95335"/>
    <w:rsid w:val="00A9566B"/>
    <w:rsid w:val="00A960BE"/>
    <w:rsid w:val="00A9657F"/>
    <w:rsid w:val="00A969A4"/>
    <w:rsid w:val="00A9797D"/>
    <w:rsid w:val="00AA015F"/>
    <w:rsid w:val="00AA0C3A"/>
    <w:rsid w:val="00AA1723"/>
    <w:rsid w:val="00AA185C"/>
    <w:rsid w:val="00AA190D"/>
    <w:rsid w:val="00AA1FDD"/>
    <w:rsid w:val="00AA22C3"/>
    <w:rsid w:val="00AA230D"/>
    <w:rsid w:val="00AA2831"/>
    <w:rsid w:val="00AA3025"/>
    <w:rsid w:val="00AA32A1"/>
    <w:rsid w:val="00AA3D9E"/>
    <w:rsid w:val="00AA4941"/>
    <w:rsid w:val="00AA49E9"/>
    <w:rsid w:val="00AA5475"/>
    <w:rsid w:val="00AA5834"/>
    <w:rsid w:val="00AA5876"/>
    <w:rsid w:val="00AA6A8A"/>
    <w:rsid w:val="00AA6B39"/>
    <w:rsid w:val="00AA6DD8"/>
    <w:rsid w:val="00AA6E62"/>
    <w:rsid w:val="00AA6FA3"/>
    <w:rsid w:val="00AA70BB"/>
    <w:rsid w:val="00AA73AA"/>
    <w:rsid w:val="00AA757C"/>
    <w:rsid w:val="00AA7F10"/>
    <w:rsid w:val="00AB0391"/>
    <w:rsid w:val="00AB1011"/>
    <w:rsid w:val="00AB2151"/>
    <w:rsid w:val="00AB2C59"/>
    <w:rsid w:val="00AB2C8A"/>
    <w:rsid w:val="00AB2DEA"/>
    <w:rsid w:val="00AB32D8"/>
    <w:rsid w:val="00AB37EB"/>
    <w:rsid w:val="00AB42B6"/>
    <w:rsid w:val="00AB4D67"/>
    <w:rsid w:val="00AB4F45"/>
    <w:rsid w:val="00AB51A1"/>
    <w:rsid w:val="00AB5271"/>
    <w:rsid w:val="00AB545D"/>
    <w:rsid w:val="00AB54D7"/>
    <w:rsid w:val="00AB57D3"/>
    <w:rsid w:val="00AB631F"/>
    <w:rsid w:val="00AB6886"/>
    <w:rsid w:val="00AB6AE4"/>
    <w:rsid w:val="00AB6C49"/>
    <w:rsid w:val="00AB6E00"/>
    <w:rsid w:val="00AB6F37"/>
    <w:rsid w:val="00AB769E"/>
    <w:rsid w:val="00AB7728"/>
    <w:rsid w:val="00AB7B55"/>
    <w:rsid w:val="00AB7D55"/>
    <w:rsid w:val="00AB7EEC"/>
    <w:rsid w:val="00AC0681"/>
    <w:rsid w:val="00AC11F6"/>
    <w:rsid w:val="00AC154B"/>
    <w:rsid w:val="00AC1B72"/>
    <w:rsid w:val="00AC26D2"/>
    <w:rsid w:val="00AC26FE"/>
    <w:rsid w:val="00AC2F20"/>
    <w:rsid w:val="00AC2F36"/>
    <w:rsid w:val="00AC350D"/>
    <w:rsid w:val="00AC3568"/>
    <w:rsid w:val="00AC368C"/>
    <w:rsid w:val="00AC3CF2"/>
    <w:rsid w:val="00AC47EC"/>
    <w:rsid w:val="00AC4E5D"/>
    <w:rsid w:val="00AC50CC"/>
    <w:rsid w:val="00AC5391"/>
    <w:rsid w:val="00AC53E1"/>
    <w:rsid w:val="00AC684F"/>
    <w:rsid w:val="00AC6C53"/>
    <w:rsid w:val="00AC6E85"/>
    <w:rsid w:val="00AC7284"/>
    <w:rsid w:val="00AC7CE6"/>
    <w:rsid w:val="00AD0828"/>
    <w:rsid w:val="00AD0B13"/>
    <w:rsid w:val="00AD0D1E"/>
    <w:rsid w:val="00AD0E69"/>
    <w:rsid w:val="00AD103D"/>
    <w:rsid w:val="00AD159C"/>
    <w:rsid w:val="00AD17FA"/>
    <w:rsid w:val="00AD19EC"/>
    <w:rsid w:val="00AD2717"/>
    <w:rsid w:val="00AD2E70"/>
    <w:rsid w:val="00AD3693"/>
    <w:rsid w:val="00AD3DC4"/>
    <w:rsid w:val="00AD475A"/>
    <w:rsid w:val="00AD4FF4"/>
    <w:rsid w:val="00AD531D"/>
    <w:rsid w:val="00AD5B4A"/>
    <w:rsid w:val="00AD5C0A"/>
    <w:rsid w:val="00AD600C"/>
    <w:rsid w:val="00AD6395"/>
    <w:rsid w:val="00AD63D6"/>
    <w:rsid w:val="00AD6CD5"/>
    <w:rsid w:val="00AD733B"/>
    <w:rsid w:val="00AD7CA7"/>
    <w:rsid w:val="00AE0040"/>
    <w:rsid w:val="00AE06BE"/>
    <w:rsid w:val="00AE184D"/>
    <w:rsid w:val="00AE1C03"/>
    <w:rsid w:val="00AE201B"/>
    <w:rsid w:val="00AE2328"/>
    <w:rsid w:val="00AE23E3"/>
    <w:rsid w:val="00AE2F65"/>
    <w:rsid w:val="00AE317E"/>
    <w:rsid w:val="00AE35A5"/>
    <w:rsid w:val="00AE3608"/>
    <w:rsid w:val="00AE3939"/>
    <w:rsid w:val="00AE4178"/>
    <w:rsid w:val="00AE4E2A"/>
    <w:rsid w:val="00AE50D2"/>
    <w:rsid w:val="00AE5CF9"/>
    <w:rsid w:val="00AE5DB6"/>
    <w:rsid w:val="00AE67EE"/>
    <w:rsid w:val="00AE6C3C"/>
    <w:rsid w:val="00AE702E"/>
    <w:rsid w:val="00AE73C5"/>
    <w:rsid w:val="00AE73E0"/>
    <w:rsid w:val="00AE7F00"/>
    <w:rsid w:val="00AF03C0"/>
    <w:rsid w:val="00AF068A"/>
    <w:rsid w:val="00AF0A8A"/>
    <w:rsid w:val="00AF1528"/>
    <w:rsid w:val="00AF166F"/>
    <w:rsid w:val="00AF18EA"/>
    <w:rsid w:val="00AF18EF"/>
    <w:rsid w:val="00AF1C03"/>
    <w:rsid w:val="00AF2E03"/>
    <w:rsid w:val="00AF39AF"/>
    <w:rsid w:val="00AF3E3B"/>
    <w:rsid w:val="00AF3E5A"/>
    <w:rsid w:val="00AF458D"/>
    <w:rsid w:val="00AF46FE"/>
    <w:rsid w:val="00AF486F"/>
    <w:rsid w:val="00AF5034"/>
    <w:rsid w:val="00AF510A"/>
    <w:rsid w:val="00AF547B"/>
    <w:rsid w:val="00AF548B"/>
    <w:rsid w:val="00AF55E0"/>
    <w:rsid w:val="00AF5666"/>
    <w:rsid w:val="00AF5870"/>
    <w:rsid w:val="00AF6619"/>
    <w:rsid w:val="00AF694A"/>
    <w:rsid w:val="00AF6CFD"/>
    <w:rsid w:val="00AF7DC1"/>
    <w:rsid w:val="00B000AE"/>
    <w:rsid w:val="00B0040B"/>
    <w:rsid w:val="00B00830"/>
    <w:rsid w:val="00B00AB5"/>
    <w:rsid w:val="00B00AD6"/>
    <w:rsid w:val="00B00CC0"/>
    <w:rsid w:val="00B00F5C"/>
    <w:rsid w:val="00B019C1"/>
    <w:rsid w:val="00B0236E"/>
    <w:rsid w:val="00B02506"/>
    <w:rsid w:val="00B02ACE"/>
    <w:rsid w:val="00B03913"/>
    <w:rsid w:val="00B04241"/>
    <w:rsid w:val="00B04B6C"/>
    <w:rsid w:val="00B04CEA"/>
    <w:rsid w:val="00B05607"/>
    <w:rsid w:val="00B05A08"/>
    <w:rsid w:val="00B05F14"/>
    <w:rsid w:val="00B065DE"/>
    <w:rsid w:val="00B06737"/>
    <w:rsid w:val="00B0784C"/>
    <w:rsid w:val="00B07CE9"/>
    <w:rsid w:val="00B101D5"/>
    <w:rsid w:val="00B10633"/>
    <w:rsid w:val="00B109A4"/>
    <w:rsid w:val="00B10B08"/>
    <w:rsid w:val="00B11A78"/>
    <w:rsid w:val="00B11CFB"/>
    <w:rsid w:val="00B12111"/>
    <w:rsid w:val="00B12551"/>
    <w:rsid w:val="00B12D0E"/>
    <w:rsid w:val="00B13E18"/>
    <w:rsid w:val="00B14109"/>
    <w:rsid w:val="00B14410"/>
    <w:rsid w:val="00B144D4"/>
    <w:rsid w:val="00B1486D"/>
    <w:rsid w:val="00B150D6"/>
    <w:rsid w:val="00B152AC"/>
    <w:rsid w:val="00B15373"/>
    <w:rsid w:val="00B15639"/>
    <w:rsid w:val="00B15D15"/>
    <w:rsid w:val="00B15E42"/>
    <w:rsid w:val="00B15EEE"/>
    <w:rsid w:val="00B16198"/>
    <w:rsid w:val="00B16A2C"/>
    <w:rsid w:val="00B16FB6"/>
    <w:rsid w:val="00B17022"/>
    <w:rsid w:val="00B1776D"/>
    <w:rsid w:val="00B21736"/>
    <w:rsid w:val="00B218B1"/>
    <w:rsid w:val="00B21A33"/>
    <w:rsid w:val="00B224AA"/>
    <w:rsid w:val="00B2277D"/>
    <w:rsid w:val="00B22998"/>
    <w:rsid w:val="00B229FE"/>
    <w:rsid w:val="00B2302B"/>
    <w:rsid w:val="00B23069"/>
    <w:rsid w:val="00B23320"/>
    <w:rsid w:val="00B23A7A"/>
    <w:rsid w:val="00B24363"/>
    <w:rsid w:val="00B2456E"/>
    <w:rsid w:val="00B24979"/>
    <w:rsid w:val="00B250A5"/>
    <w:rsid w:val="00B25651"/>
    <w:rsid w:val="00B26937"/>
    <w:rsid w:val="00B27688"/>
    <w:rsid w:val="00B27E2F"/>
    <w:rsid w:val="00B30243"/>
    <w:rsid w:val="00B30421"/>
    <w:rsid w:val="00B30DC8"/>
    <w:rsid w:val="00B315BB"/>
    <w:rsid w:val="00B31977"/>
    <w:rsid w:val="00B3235A"/>
    <w:rsid w:val="00B32985"/>
    <w:rsid w:val="00B333FE"/>
    <w:rsid w:val="00B3382B"/>
    <w:rsid w:val="00B33928"/>
    <w:rsid w:val="00B34F30"/>
    <w:rsid w:val="00B35094"/>
    <w:rsid w:val="00B350F0"/>
    <w:rsid w:val="00B357AC"/>
    <w:rsid w:val="00B35992"/>
    <w:rsid w:val="00B359CB"/>
    <w:rsid w:val="00B35E4B"/>
    <w:rsid w:val="00B35FCC"/>
    <w:rsid w:val="00B36518"/>
    <w:rsid w:val="00B37694"/>
    <w:rsid w:val="00B378CC"/>
    <w:rsid w:val="00B415BA"/>
    <w:rsid w:val="00B41615"/>
    <w:rsid w:val="00B41FD8"/>
    <w:rsid w:val="00B420DF"/>
    <w:rsid w:val="00B428E2"/>
    <w:rsid w:val="00B42A2C"/>
    <w:rsid w:val="00B42A5C"/>
    <w:rsid w:val="00B42A98"/>
    <w:rsid w:val="00B42C64"/>
    <w:rsid w:val="00B434D0"/>
    <w:rsid w:val="00B448EF"/>
    <w:rsid w:val="00B44900"/>
    <w:rsid w:val="00B45EB5"/>
    <w:rsid w:val="00B472A6"/>
    <w:rsid w:val="00B47346"/>
    <w:rsid w:val="00B47493"/>
    <w:rsid w:val="00B474C8"/>
    <w:rsid w:val="00B474DF"/>
    <w:rsid w:val="00B47915"/>
    <w:rsid w:val="00B50636"/>
    <w:rsid w:val="00B50E18"/>
    <w:rsid w:val="00B51122"/>
    <w:rsid w:val="00B513A9"/>
    <w:rsid w:val="00B51568"/>
    <w:rsid w:val="00B51610"/>
    <w:rsid w:val="00B5167B"/>
    <w:rsid w:val="00B5172A"/>
    <w:rsid w:val="00B520E3"/>
    <w:rsid w:val="00B52336"/>
    <w:rsid w:val="00B529A4"/>
    <w:rsid w:val="00B5388C"/>
    <w:rsid w:val="00B55CED"/>
    <w:rsid w:val="00B55D57"/>
    <w:rsid w:val="00B55F80"/>
    <w:rsid w:val="00B56480"/>
    <w:rsid w:val="00B565D6"/>
    <w:rsid w:val="00B576A4"/>
    <w:rsid w:val="00B57998"/>
    <w:rsid w:val="00B57CD0"/>
    <w:rsid w:val="00B57DA9"/>
    <w:rsid w:val="00B60177"/>
    <w:rsid w:val="00B60639"/>
    <w:rsid w:val="00B60F59"/>
    <w:rsid w:val="00B6308E"/>
    <w:rsid w:val="00B63D58"/>
    <w:rsid w:val="00B64BDB"/>
    <w:rsid w:val="00B64E8A"/>
    <w:rsid w:val="00B65588"/>
    <w:rsid w:val="00B658D1"/>
    <w:rsid w:val="00B66064"/>
    <w:rsid w:val="00B66995"/>
    <w:rsid w:val="00B671A1"/>
    <w:rsid w:val="00B675A6"/>
    <w:rsid w:val="00B6794D"/>
    <w:rsid w:val="00B67AAE"/>
    <w:rsid w:val="00B67B55"/>
    <w:rsid w:val="00B67C05"/>
    <w:rsid w:val="00B67C6C"/>
    <w:rsid w:val="00B67CDA"/>
    <w:rsid w:val="00B7058C"/>
    <w:rsid w:val="00B70838"/>
    <w:rsid w:val="00B70C61"/>
    <w:rsid w:val="00B70E5A"/>
    <w:rsid w:val="00B7220D"/>
    <w:rsid w:val="00B722F2"/>
    <w:rsid w:val="00B736BE"/>
    <w:rsid w:val="00B745B7"/>
    <w:rsid w:val="00B745F4"/>
    <w:rsid w:val="00B749B6"/>
    <w:rsid w:val="00B7509A"/>
    <w:rsid w:val="00B75645"/>
    <w:rsid w:val="00B7613E"/>
    <w:rsid w:val="00B766C1"/>
    <w:rsid w:val="00B76966"/>
    <w:rsid w:val="00B76B96"/>
    <w:rsid w:val="00B76EFB"/>
    <w:rsid w:val="00B77129"/>
    <w:rsid w:val="00B77C37"/>
    <w:rsid w:val="00B77FAD"/>
    <w:rsid w:val="00B807BF"/>
    <w:rsid w:val="00B809B1"/>
    <w:rsid w:val="00B80A0F"/>
    <w:rsid w:val="00B81A45"/>
    <w:rsid w:val="00B82543"/>
    <w:rsid w:val="00B82998"/>
    <w:rsid w:val="00B82C84"/>
    <w:rsid w:val="00B834B0"/>
    <w:rsid w:val="00B837F6"/>
    <w:rsid w:val="00B83DAE"/>
    <w:rsid w:val="00B848E1"/>
    <w:rsid w:val="00B84FB4"/>
    <w:rsid w:val="00B8756E"/>
    <w:rsid w:val="00B87DF9"/>
    <w:rsid w:val="00B91951"/>
    <w:rsid w:val="00B91A58"/>
    <w:rsid w:val="00B91EAD"/>
    <w:rsid w:val="00B920B9"/>
    <w:rsid w:val="00B92FA9"/>
    <w:rsid w:val="00B930D2"/>
    <w:rsid w:val="00B937CD"/>
    <w:rsid w:val="00B938BC"/>
    <w:rsid w:val="00B93997"/>
    <w:rsid w:val="00B939B9"/>
    <w:rsid w:val="00B93C98"/>
    <w:rsid w:val="00B94076"/>
    <w:rsid w:val="00B9514B"/>
    <w:rsid w:val="00B96B02"/>
    <w:rsid w:val="00B976BB"/>
    <w:rsid w:val="00B97CFA"/>
    <w:rsid w:val="00BA01A7"/>
    <w:rsid w:val="00BA0224"/>
    <w:rsid w:val="00BA05C8"/>
    <w:rsid w:val="00BA09AA"/>
    <w:rsid w:val="00BA0AD5"/>
    <w:rsid w:val="00BA0CA0"/>
    <w:rsid w:val="00BA0E3C"/>
    <w:rsid w:val="00BA1F74"/>
    <w:rsid w:val="00BA1FE7"/>
    <w:rsid w:val="00BA22FE"/>
    <w:rsid w:val="00BA2B1D"/>
    <w:rsid w:val="00BA39D2"/>
    <w:rsid w:val="00BA3D14"/>
    <w:rsid w:val="00BA435A"/>
    <w:rsid w:val="00BA4CA8"/>
    <w:rsid w:val="00BA54BA"/>
    <w:rsid w:val="00BA5603"/>
    <w:rsid w:val="00BA56D0"/>
    <w:rsid w:val="00BA56D9"/>
    <w:rsid w:val="00BA5A7A"/>
    <w:rsid w:val="00BA6194"/>
    <w:rsid w:val="00BA7EEE"/>
    <w:rsid w:val="00BB0077"/>
    <w:rsid w:val="00BB1A07"/>
    <w:rsid w:val="00BB1B80"/>
    <w:rsid w:val="00BB2008"/>
    <w:rsid w:val="00BB29DF"/>
    <w:rsid w:val="00BB2CFC"/>
    <w:rsid w:val="00BB34DC"/>
    <w:rsid w:val="00BB35D0"/>
    <w:rsid w:val="00BB3AC4"/>
    <w:rsid w:val="00BB4034"/>
    <w:rsid w:val="00BB4999"/>
    <w:rsid w:val="00BB4BCD"/>
    <w:rsid w:val="00BB56C7"/>
    <w:rsid w:val="00BB59B1"/>
    <w:rsid w:val="00BB5B62"/>
    <w:rsid w:val="00BB6502"/>
    <w:rsid w:val="00BB6BCD"/>
    <w:rsid w:val="00BB7047"/>
    <w:rsid w:val="00BB70F9"/>
    <w:rsid w:val="00BB7C9B"/>
    <w:rsid w:val="00BC1527"/>
    <w:rsid w:val="00BC18D0"/>
    <w:rsid w:val="00BC2306"/>
    <w:rsid w:val="00BC25F1"/>
    <w:rsid w:val="00BC2F31"/>
    <w:rsid w:val="00BC4036"/>
    <w:rsid w:val="00BC4689"/>
    <w:rsid w:val="00BC4F0A"/>
    <w:rsid w:val="00BC509F"/>
    <w:rsid w:val="00BC5180"/>
    <w:rsid w:val="00BC51D2"/>
    <w:rsid w:val="00BC5976"/>
    <w:rsid w:val="00BC64BE"/>
    <w:rsid w:val="00BC7155"/>
    <w:rsid w:val="00BC71DE"/>
    <w:rsid w:val="00BC7550"/>
    <w:rsid w:val="00BD0327"/>
    <w:rsid w:val="00BD090F"/>
    <w:rsid w:val="00BD0B72"/>
    <w:rsid w:val="00BD0CFE"/>
    <w:rsid w:val="00BD1321"/>
    <w:rsid w:val="00BD134F"/>
    <w:rsid w:val="00BD1831"/>
    <w:rsid w:val="00BD1E5E"/>
    <w:rsid w:val="00BD2668"/>
    <w:rsid w:val="00BD35CD"/>
    <w:rsid w:val="00BD3924"/>
    <w:rsid w:val="00BD41FD"/>
    <w:rsid w:val="00BD450F"/>
    <w:rsid w:val="00BD4512"/>
    <w:rsid w:val="00BD4535"/>
    <w:rsid w:val="00BD52AA"/>
    <w:rsid w:val="00BD654D"/>
    <w:rsid w:val="00BD6CAF"/>
    <w:rsid w:val="00BE1061"/>
    <w:rsid w:val="00BE1321"/>
    <w:rsid w:val="00BE13A1"/>
    <w:rsid w:val="00BE13B5"/>
    <w:rsid w:val="00BE2893"/>
    <w:rsid w:val="00BE2D05"/>
    <w:rsid w:val="00BE2EB4"/>
    <w:rsid w:val="00BE2F5A"/>
    <w:rsid w:val="00BE37D3"/>
    <w:rsid w:val="00BE522A"/>
    <w:rsid w:val="00BE57B5"/>
    <w:rsid w:val="00BE5A5D"/>
    <w:rsid w:val="00BE7A7C"/>
    <w:rsid w:val="00BE7B00"/>
    <w:rsid w:val="00BF0A01"/>
    <w:rsid w:val="00BF0A44"/>
    <w:rsid w:val="00BF0CEC"/>
    <w:rsid w:val="00BF1A44"/>
    <w:rsid w:val="00BF1AD4"/>
    <w:rsid w:val="00BF1EDF"/>
    <w:rsid w:val="00BF28E0"/>
    <w:rsid w:val="00BF422A"/>
    <w:rsid w:val="00BF4D3D"/>
    <w:rsid w:val="00BF4E19"/>
    <w:rsid w:val="00BF5B8C"/>
    <w:rsid w:val="00BF66B7"/>
    <w:rsid w:val="00BF6A68"/>
    <w:rsid w:val="00BF70A5"/>
    <w:rsid w:val="00BF7152"/>
    <w:rsid w:val="00BF73F0"/>
    <w:rsid w:val="00BF75B1"/>
    <w:rsid w:val="00BF75C9"/>
    <w:rsid w:val="00BF7BD3"/>
    <w:rsid w:val="00C00352"/>
    <w:rsid w:val="00C007CE"/>
    <w:rsid w:val="00C00A22"/>
    <w:rsid w:val="00C00F18"/>
    <w:rsid w:val="00C0105B"/>
    <w:rsid w:val="00C0114B"/>
    <w:rsid w:val="00C01D39"/>
    <w:rsid w:val="00C01DC1"/>
    <w:rsid w:val="00C0200C"/>
    <w:rsid w:val="00C020A8"/>
    <w:rsid w:val="00C0225C"/>
    <w:rsid w:val="00C03137"/>
    <w:rsid w:val="00C034A4"/>
    <w:rsid w:val="00C03D17"/>
    <w:rsid w:val="00C03DD0"/>
    <w:rsid w:val="00C04445"/>
    <w:rsid w:val="00C04705"/>
    <w:rsid w:val="00C04824"/>
    <w:rsid w:val="00C04A7F"/>
    <w:rsid w:val="00C04B1A"/>
    <w:rsid w:val="00C04E2B"/>
    <w:rsid w:val="00C051AA"/>
    <w:rsid w:val="00C05AD2"/>
    <w:rsid w:val="00C05FB1"/>
    <w:rsid w:val="00C060A0"/>
    <w:rsid w:val="00C06562"/>
    <w:rsid w:val="00C0683C"/>
    <w:rsid w:val="00C0685D"/>
    <w:rsid w:val="00C07187"/>
    <w:rsid w:val="00C075C9"/>
    <w:rsid w:val="00C07BFB"/>
    <w:rsid w:val="00C07FAD"/>
    <w:rsid w:val="00C10079"/>
    <w:rsid w:val="00C106C4"/>
    <w:rsid w:val="00C111EA"/>
    <w:rsid w:val="00C1194D"/>
    <w:rsid w:val="00C119AD"/>
    <w:rsid w:val="00C11F2C"/>
    <w:rsid w:val="00C1228D"/>
    <w:rsid w:val="00C12878"/>
    <w:rsid w:val="00C13FED"/>
    <w:rsid w:val="00C14E7D"/>
    <w:rsid w:val="00C15722"/>
    <w:rsid w:val="00C15B2A"/>
    <w:rsid w:val="00C15BAF"/>
    <w:rsid w:val="00C16627"/>
    <w:rsid w:val="00C16897"/>
    <w:rsid w:val="00C16D8C"/>
    <w:rsid w:val="00C17DA5"/>
    <w:rsid w:val="00C200C9"/>
    <w:rsid w:val="00C2041B"/>
    <w:rsid w:val="00C21D8E"/>
    <w:rsid w:val="00C22525"/>
    <w:rsid w:val="00C23103"/>
    <w:rsid w:val="00C2373A"/>
    <w:rsid w:val="00C23DBB"/>
    <w:rsid w:val="00C23FE1"/>
    <w:rsid w:val="00C2410D"/>
    <w:rsid w:val="00C24BAF"/>
    <w:rsid w:val="00C25F8B"/>
    <w:rsid w:val="00C265C0"/>
    <w:rsid w:val="00C26B9E"/>
    <w:rsid w:val="00C272EF"/>
    <w:rsid w:val="00C2732B"/>
    <w:rsid w:val="00C273E1"/>
    <w:rsid w:val="00C2753F"/>
    <w:rsid w:val="00C276A8"/>
    <w:rsid w:val="00C27975"/>
    <w:rsid w:val="00C279F3"/>
    <w:rsid w:val="00C300BC"/>
    <w:rsid w:val="00C30CEF"/>
    <w:rsid w:val="00C318F7"/>
    <w:rsid w:val="00C319D2"/>
    <w:rsid w:val="00C31F85"/>
    <w:rsid w:val="00C32064"/>
    <w:rsid w:val="00C32534"/>
    <w:rsid w:val="00C326EE"/>
    <w:rsid w:val="00C32951"/>
    <w:rsid w:val="00C32C02"/>
    <w:rsid w:val="00C331CD"/>
    <w:rsid w:val="00C33235"/>
    <w:rsid w:val="00C33677"/>
    <w:rsid w:val="00C33C5B"/>
    <w:rsid w:val="00C34137"/>
    <w:rsid w:val="00C3476B"/>
    <w:rsid w:val="00C3480B"/>
    <w:rsid w:val="00C35240"/>
    <w:rsid w:val="00C358A6"/>
    <w:rsid w:val="00C35D1D"/>
    <w:rsid w:val="00C36004"/>
    <w:rsid w:val="00C36540"/>
    <w:rsid w:val="00C368B3"/>
    <w:rsid w:val="00C36F07"/>
    <w:rsid w:val="00C37214"/>
    <w:rsid w:val="00C372E8"/>
    <w:rsid w:val="00C409DC"/>
    <w:rsid w:val="00C40B1B"/>
    <w:rsid w:val="00C40E88"/>
    <w:rsid w:val="00C416A3"/>
    <w:rsid w:val="00C41785"/>
    <w:rsid w:val="00C41FC1"/>
    <w:rsid w:val="00C422C5"/>
    <w:rsid w:val="00C434C2"/>
    <w:rsid w:val="00C43940"/>
    <w:rsid w:val="00C440E7"/>
    <w:rsid w:val="00C44342"/>
    <w:rsid w:val="00C44694"/>
    <w:rsid w:val="00C44744"/>
    <w:rsid w:val="00C454A4"/>
    <w:rsid w:val="00C457C1"/>
    <w:rsid w:val="00C46625"/>
    <w:rsid w:val="00C467B5"/>
    <w:rsid w:val="00C46870"/>
    <w:rsid w:val="00C46EC0"/>
    <w:rsid w:val="00C47545"/>
    <w:rsid w:val="00C47593"/>
    <w:rsid w:val="00C5044B"/>
    <w:rsid w:val="00C506BD"/>
    <w:rsid w:val="00C50E55"/>
    <w:rsid w:val="00C51426"/>
    <w:rsid w:val="00C51622"/>
    <w:rsid w:val="00C51FB3"/>
    <w:rsid w:val="00C5223C"/>
    <w:rsid w:val="00C529B0"/>
    <w:rsid w:val="00C52A35"/>
    <w:rsid w:val="00C53213"/>
    <w:rsid w:val="00C53917"/>
    <w:rsid w:val="00C53953"/>
    <w:rsid w:val="00C541DE"/>
    <w:rsid w:val="00C54C11"/>
    <w:rsid w:val="00C54C67"/>
    <w:rsid w:val="00C54E65"/>
    <w:rsid w:val="00C55332"/>
    <w:rsid w:val="00C56324"/>
    <w:rsid w:val="00C5641E"/>
    <w:rsid w:val="00C5653B"/>
    <w:rsid w:val="00C5654A"/>
    <w:rsid w:val="00C565A3"/>
    <w:rsid w:val="00C576DB"/>
    <w:rsid w:val="00C577F7"/>
    <w:rsid w:val="00C60667"/>
    <w:rsid w:val="00C61AB9"/>
    <w:rsid w:val="00C61F84"/>
    <w:rsid w:val="00C626D4"/>
    <w:rsid w:val="00C62FA1"/>
    <w:rsid w:val="00C62FF7"/>
    <w:rsid w:val="00C63135"/>
    <w:rsid w:val="00C63687"/>
    <w:rsid w:val="00C637DC"/>
    <w:rsid w:val="00C63ECD"/>
    <w:rsid w:val="00C63EE8"/>
    <w:rsid w:val="00C642BE"/>
    <w:rsid w:val="00C6432E"/>
    <w:rsid w:val="00C6522F"/>
    <w:rsid w:val="00C65718"/>
    <w:rsid w:val="00C65C81"/>
    <w:rsid w:val="00C66772"/>
    <w:rsid w:val="00C669A2"/>
    <w:rsid w:val="00C66D2B"/>
    <w:rsid w:val="00C67580"/>
    <w:rsid w:val="00C6781C"/>
    <w:rsid w:val="00C67D6F"/>
    <w:rsid w:val="00C67EA1"/>
    <w:rsid w:val="00C70AEE"/>
    <w:rsid w:val="00C70C7F"/>
    <w:rsid w:val="00C71D15"/>
    <w:rsid w:val="00C7234D"/>
    <w:rsid w:val="00C7244E"/>
    <w:rsid w:val="00C726C9"/>
    <w:rsid w:val="00C72801"/>
    <w:rsid w:val="00C72C0A"/>
    <w:rsid w:val="00C73E67"/>
    <w:rsid w:val="00C73F84"/>
    <w:rsid w:val="00C73FAD"/>
    <w:rsid w:val="00C74268"/>
    <w:rsid w:val="00C74A56"/>
    <w:rsid w:val="00C74AE1"/>
    <w:rsid w:val="00C74CBD"/>
    <w:rsid w:val="00C757B8"/>
    <w:rsid w:val="00C76906"/>
    <w:rsid w:val="00C76B7C"/>
    <w:rsid w:val="00C76CC7"/>
    <w:rsid w:val="00C76F81"/>
    <w:rsid w:val="00C77394"/>
    <w:rsid w:val="00C776A4"/>
    <w:rsid w:val="00C800DD"/>
    <w:rsid w:val="00C80920"/>
    <w:rsid w:val="00C809F5"/>
    <w:rsid w:val="00C80B03"/>
    <w:rsid w:val="00C8243F"/>
    <w:rsid w:val="00C8289B"/>
    <w:rsid w:val="00C82D54"/>
    <w:rsid w:val="00C82F3B"/>
    <w:rsid w:val="00C837C4"/>
    <w:rsid w:val="00C83829"/>
    <w:rsid w:val="00C83EDD"/>
    <w:rsid w:val="00C84BF1"/>
    <w:rsid w:val="00C84CA2"/>
    <w:rsid w:val="00C84F44"/>
    <w:rsid w:val="00C85A36"/>
    <w:rsid w:val="00C85CD1"/>
    <w:rsid w:val="00C85E37"/>
    <w:rsid w:val="00C8678F"/>
    <w:rsid w:val="00C86C56"/>
    <w:rsid w:val="00C8773E"/>
    <w:rsid w:val="00C8781A"/>
    <w:rsid w:val="00C87D65"/>
    <w:rsid w:val="00C9025F"/>
    <w:rsid w:val="00C90601"/>
    <w:rsid w:val="00C90D16"/>
    <w:rsid w:val="00C9116A"/>
    <w:rsid w:val="00C92422"/>
    <w:rsid w:val="00C9265D"/>
    <w:rsid w:val="00C92824"/>
    <w:rsid w:val="00C937BA"/>
    <w:rsid w:val="00C949FC"/>
    <w:rsid w:val="00C94A1F"/>
    <w:rsid w:val="00C95823"/>
    <w:rsid w:val="00C95AF3"/>
    <w:rsid w:val="00C960CF"/>
    <w:rsid w:val="00C96651"/>
    <w:rsid w:val="00C96672"/>
    <w:rsid w:val="00C96678"/>
    <w:rsid w:val="00C96772"/>
    <w:rsid w:val="00C96C44"/>
    <w:rsid w:val="00C96CFA"/>
    <w:rsid w:val="00C96E5A"/>
    <w:rsid w:val="00C96EB5"/>
    <w:rsid w:val="00C978BC"/>
    <w:rsid w:val="00C97D43"/>
    <w:rsid w:val="00C97FED"/>
    <w:rsid w:val="00CA003F"/>
    <w:rsid w:val="00CA0257"/>
    <w:rsid w:val="00CA0917"/>
    <w:rsid w:val="00CA102B"/>
    <w:rsid w:val="00CA283D"/>
    <w:rsid w:val="00CA29D1"/>
    <w:rsid w:val="00CA2DD6"/>
    <w:rsid w:val="00CA2FC6"/>
    <w:rsid w:val="00CA3247"/>
    <w:rsid w:val="00CA3752"/>
    <w:rsid w:val="00CA3999"/>
    <w:rsid w:val="00CA39C0"/>
    <w:rsid w:val="00CA4768"/>
    <w:rsid w:val="00CA5AD3"/>
    <w:rsid w:val="00CA5D81"/>
    <w:rsid w:val="00CA62DD"/>
    <w:rsid w:val="00CA63E8"/>
    <w:rsid w:val="00CA6990"/>
    <w:rsid w:val="00CA69BA"/>
    <w:rsid w:val="00CA7DE6"/>
    <w:rsid w:val="00CB0339"/>
    <w:rsid w:val="00CB110E"/>
    <w:rsid w:val="00CB11F8"/>
    <w:rsid w:val="00CB13E3"/>
    <w:rsid w:val="00CB1961"/>
    <w:rsid w:val="00CB20BB"/>
    <w:rsid w:val="00CB225B"/>
    <w:rsid w:val="00CB2EF5"/>
    <w:rsid w:val="00CB33E4"/>
    <w:rsid w:val="00CB3BB7"/>
    <w:rsid w:val="00CB4230"/>
    <w:rsid w:val="00CB431B"/>
    <w:rsid w:val="00CB45E2"/>
    <w:rsid w:val="00CB4A77"/>
    <w:rsid w:val="00CB4EA5"/>
    <w:rsid w:val="00CB557F"/>
    <w:rsid w:val="00CB592B"/>
    <w:rsid w:val="00CB5995"/>
    <w:rsid w:val="00CB5C5F"/>
    <w:rsid w:val="00CB5D04"/>
    <w:rsid w:val="00CB600E"/>
    <w:rsid w:val="00CB65B8"/>
    <w:rsid w:val="00CB6CDF"/>
    <w:rsid w:val="00CB7264"/>
    <w:rsid w:val="00CB730F"/>
    <w:rsid w:val="00CB761C"/>
    <w:rsid w:val="00CB76B5"/>
    <w:rsid w:val="00CB7A08"/>
    <w:rsid w:val="00CB7AD6"/>
    <w:rsid w:val="00CC0495"/>
    <w:rsid w:val="00CC110F"/>
    <w:rsid w:val="00CC11B8"/>
    <w:rsid w:val="00CC19D9"/>
    <w:rsid w:val="00CC1A71"/>
    <w:rsid w:val="00CC1AF9"/>
    <w:rsid w:val="00CC20E0"/>
    <w:rsid w:val="00CC214C"/>
    <w:rsid w:val="00CC264A"/>
    <w:rsid w:val="00CC279A"/>
    <w:rsid w:val="00CC2818"/>
    <w:rsid w:val="00CC2F7A"/>
    <w:rsid w:val="00CC3A70"/>
    <w:rsid w:val="00CC4033"/>
    <w:rsid w:val="00CC40B8"/>
    <w:rsid w:val="00CC4BBE"/>
    <w:rsid w:val="00CC5444"/>
    <w:rsid w:val="00CC5631"/>
    <w:rsid w:val="00CC5DC8"/>
    <w:rsid w:val="00CC62A6"/>
    <w:rsid w:val="00CC676C"/>
    <w:rsid w:val="00CC6D1F"/>
    <w:rsid w:val="00CC7A11"/>
    <w:rsid w:val="00CC7EA5"/>
    <w:rsid w:val="00CD04A8"/>
    <w:rsid w:val="00CD051B"/>
    <w:rsid w:val="00CD0883"/>
    <w:rsid w:val="00CD1187"/>
    <w:rsid w:val="00CD1458"/>
    <w:rsid w:val="00CD1DB1"/>
    <w:rsid w:val="00CD1F08"/>
    <w:rsid w:val="00CD22B5"/>
    <w:rsid w:val="00CD22F4"/>
    <w:rsid w:val="00CD25E1"/>
    <w:rsid w:val="00CD34D5"/>
    <w:rsid w:val="00CD367C"/>
    <w:rsid w:val="00CD3A2B"/>
    <w:rsid w:val="00CD454A"/>
    <w:rsid w:val="00CD4F54"/>
    <w:rsid w:val="00CD4FFE"/>
    <w:rsid w:val="00CD57FA"/>
    <w:rsid w:val="00CD5A6E"/>
    <w:rsid w:val="00CD6233"/>
    <w:rsid w:val="00CD6B62"/>
    <w:rsid w:val="00CD711F"/>
    <w:rsid w:val="00CD727C"/>
    <w:rsid w:val="00CD74A7"/>
    <w:rsid w:val="00CD79B2"/>
    <w:rsid w:val="00CD7DE7"/>
    <w:rsid w:val="00CD7E21"/>
    <w:rsid w:val="00CE0085"/>
    <w:rsid w:val="00CE0882"/>
    <w:rsid w:val="00CE157C"/>
    <w:rsid w:val="00CE1AF6"/>
    <w:rsid w:val="00CE2298"/>
    <w:rsid w:val="00CE3064"/>
    <w:rsid w:val="00CE39E4"/>
    <w:rsid w:val="00CE4282"/>
    <w:rsid w:val="00CE43F4"/>
    <w:rsid w:val="00CE54E1"/>
    <w:rsid w:val="00CE55B6"/>
    <w:rsid w:val="00CE5856"/>
    <w:rsid w:val="00CE5BDE"/>
    <w:rsid w:val="00CE607A"/>
    <w:rsid w:val="00CE69DC"/>
    <w:rsid w:val="00CE6A6D"/>
    <w:rsid w:val="00CE7283"/>
    <w:rsid w:val="00CE774C"/>
    <w:rsid w:val="00CF012E"/>
    <w:rsid w:val="00CF04D4"/>
    <w:rsid w:val="00CF079D"/>
    <w:rsid w:val="00CF0B4C"/>
    <w:rsid w:val="00CF11BD"/>
    <w:rsid w:val="00CF1680"/>
    <w:rsid w:val="00CF1BD7"/>
    <w:rsid w:val="00CF21A5"/>
    <w:rsid w:val="00CF2518"/>
    <w:rsid w:val="00CF2DCB"/>
    <w:rsid w:val="00CF2DDE"/>
    <w:rsid w:val="00CF344A"/>
    <w:rsid w:val="00CF36B7"/>
    <w:rsid w:val="00CF39A0"/>
    <w:rsid w:val="00CF3D1C"/>
    <w:rsid w:val="00CF3E3A"/>
    <w:rsid w:val="00CF43CD"/>
    <w:rsid w:val="00CF4713"/>
    <w:rsid w:val="00CF4777"/>
    <w:rsid w:val="00CF4B12"/>
    <w:rsid w:val="00CF58FE"/>
    <w:rsid w:val="00CF5EBE"/>
    <w:rsid w:val="00CF63F1"/>
    <w:rsid w:val="00CF74AC"/>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4E0F"/>
    <w:rsid w:val="00D05892"/>
    <w:rsid w:val="00D05C66"/>
    <w:rsid w:val="00D05F64"/>
    <w:rsid w:val="00D06824"/>
    <w:rsid w:val="00D06BAC"/>
    <w:rsid w:val="00D06C03"/>
    <w:rsid w:val="00D0771A"/>
    <w:rsid w:val="00D07735"/>
    <w:rsid w:val="00D1037A"/>
    <w:rsid w:val="00D10A1C"/>
    <w:rsid w:val="00D10D09"/>
    <w:rsid w:val="00D1163E"/>
    <w:rsid w:val="00D12362"/>
    <w:rsid w:val="00D12A4F"/>
    <w:rsid w:val="00D14A0B"/>
    <w:rsid w:val="00D14C15"/>
    <w:rsid w:val="00D155DD"/>
    <w:rsid w:val="00D157E0"/>
    <w:rsid w:val="00D15C0B"/>
    <w:rsid w:val="00D15CB3"/>
    <w:rsid w:val="00D15F51"/>
    <w:rsid w:val="00D16ED5"/>
    <w:rsid w:val="00D202B1"/>
    <w:rsid w:val="00D20662"/>
    <w:rsid w:val="00D20DCE"/>
    <w:rsid w:val="00D21100"/>
    <w:rsid w:val="00D21291"/>
    <w:rsid w:val="00D21C8A"/>
    <w:rsid w:val="00D2297E"/>
    <w:rsid w:val="00D22DE5"/>
    <w:rsid w:val="00D230A6"/>
    <w:rsid w:val="00D233BD"/>
    <w:rsid w:val="00D233D7"/>
    <w:rsid w:val="00D23CBB"/>
    <w:rsid w:val="00D2467E"/>
    <w:rsid w:val="00D25806"/>
    <w:rsid w:val="00D25E9D"/>
    <w:rsid w:val="00D25F1C"/>
    <w:rsid w:val="00D26DE6"/>
    <w:rsid w:val="00D26EE7"/>
    <w:rsid w:val="00D26F23"/>
    <w:rsid w:val="00D27377"/>
    <w:rsid w:val="00D2765D"/>
    <w:rsid w:val="00D27FA6"/>
    <w:rsid w:val="00D30718"/>
    <w:rsid w:val="00D30DEC"/>
    <w:rsid w:val="00D3217A"/>
    <w:rsid w:val="00D322FB"/>
    <w:rsid w:val="00D32475"/>
    <w:rsid w:val="00D32EF4"/>
    <w:rsid w:val="00D33259"/>
    <w:rsid w:val="00D33F81"/>
    <w:rsid w:val="00D34736"/>
    <w:rsid w:val="00D34850"/>
    <w:rsid w:val="00D34FA2"/>
    <w:rsid w:val="00D35060"/>
    <w:rsid w:val="00D355C2"/>
    <w:rsid w:val="00D35DC2"/>
    <w:rsid w:val="00D369D4"/>
    <w:rsid w:val="00D36AD7"/>
    <w:rsid w:val="00D36B74"/>
    <w:rsid w:val="00D373E9"/>
    <w:rsid w:val="00D37C61"/>
    <w:rsid w:val="00D403FF"/>
    <w:rsid w:val="00D404C4"/>
    <w:rsid w:val="00D40CE9"/>
    <w:rsid w:val="00D41E04"/>
    <w:rsid w:val="00D42115"/>
    <w:rsid w:val="00D42803"/>
    <w:rsid w:val="00D42EFD"/>
    <w:rsid w:val="00D432EC"/>
    <w:rsid w:val="00D4348E"/>
    <w:rsid w:val="00D450DF"/>
    <w:rsid w:val="00D457D1"/>
    <w:rsid w:val="00D458AA"/>
    <w:rsid w:val="00D45E0E"/>
    <w:rsid w:val="00D46338"/>
    <w:rsid w:val="00D46BA2"/>
    <w:rsid w:val="00D46C64"/>
    <w:rsid w:val="00D47234"/>
    <w:rsid w:val="00D47281"/>
    <w:rsid w:val="00D47581"/>
    <w:rsid w:val="00D50295"/>
    <w:rsid w:val="00D50616"/>
    <w:rsid w:val="00D5069A"/>
    <w:rsid w:val="00D509AC"/>
    <w:rsid w:val="00D50E43"/>
    <w:rsid w:val="00D51469"/>
    <w:rsid w:val="00D52B45"/>
    <w:rsid w:val="00D530E1"/>
    <w:rsid w:val="00D530EB"/>
    <w:rsid w:val="00D53393"/>
    <w:rsid w:val="00D535B6"/>
    <w:rsid w:val="00D53694"/>
    <w:rsid w:val="00D54D7F"/>
    <w:rsid w:val="00D55235"/>
    <w:rsid w:val="00D558ED"/>
    <w:rsid w:val="00D55C56"/>
    <w:rsid w:val="00D55D78"/>
    <w:rsid w:val="00D56095"/>
    <w:rsid w:val="00D56EC1"/>
    <w:rsid w:val="00D572B2"/>
    <w:rsid w:val="00D575D7"/>
    <w:rsid w:val="00D57633"/>
    <w:rsid w:val="00D57F53"/>
    <w:rsid w:val="00D60931"/>
    <w:rsid w:val="00D60CAB"/>
    <w:rsid w:val="00D610BB"/>
    <w:rsid w:val="00D610FD"/>
    <w:rsid w:val="00D612AF"/>
    <w:rsid w:val="00D619F3"/>
    <w:rsid w:val="00D62063"/>
    <w:rsid w:val="00D622C8"/>
    <w:rsid w:val="00D62A5B"/>
    <w:rsid w:val="00D62B43"/>
    <w:rsid w:val="00D62ECD"/>
    <w:rsid w:val="00D63748"/>
    <w:rsid w:val="00D639F0"/>
    <w:rsid w:val="00D63C1B"/>
    <w:rsid w:val="00D63D76"/>
    <w:rsid w:val="00D64BFF"/>
    <w:rsid w:val="00D64DE1"/>
    <w:rsid w:val="00D64E3F"/>
    <w:rsid w:val="00D653D0"/>
    <w:rsid w:val="00D65A48"/>
    <w:rsid w:val="00D6692A"/>
    <w:rsid w:val="00D66A0A"/>
    <w:rsid w:val="00D66E55"/>
    <w:rsid w:val="00D674E9"/>
    <w:rsid w:val="00D6750C"/>
    <w:rsid w:val="00D6799A"/>
    <w:rsid w:val="00D7009C"/>
    <w:rsid w:val="00D70165"/>
    <w:rsid w:val="00D704AB"/>
    <w:rsid w:val="00D70911"/>
    <w:rsid w:val="00D70F17"/>
    <w:rsid w:val="00D7122E"/>
    <w:rsid w:val="00D712DA"/>
    <w:rsid w:val="00D719EF"/>
    <w:rsid w:val="00D7209A"/>
    <w:rsid w:val="00D72289"/>
    <w:rsid w:val="00D72327"/>
    <w:rsid w:val="00D727E0"/>
    <w:rsid w:val="00D729F1"/>
    <w:rsid w:val="00D72B87"/>
    <w:rsid w:val="00D72C72"/>
    <w:rsid w:val="00D73AC9"/>
    <w:rsid w:val="00D74160"/>
    <w:rsid w:val="00D756C3"/>
    <w:rsid w:val="00D75D22"/>
    <w:rsid w:val="00D75DA5"/>
    <w:rsid w:val="00D76A79"/>
    <w:rsid w:val="00D76C58"/>
    <w:rsid w:val="00D76CF2"/>
    <w:rsid w:val="00D76E7C"/>
    <w:rsid w:val="00D77209"/>
    <w:rsid w:val="00D77609"/>
    <w:rsid w:val="00D80B40"/>
    <w:rsid w:val="00D80ED5"/>
    <w:rsid w:val="00D814C7"/>
    <w:rsid w:val="00D8155B"/>
    <w:rsid w:val="00D81E79"/>
    <w:rsid w:val="00D825A5"/>
    <w:rsid w:val="00D825B7"/>
    <w:rsid w:val="00D828BB"/>
    <w:rsid w:val="00D8290E"/>
    <w:rsid w:val="00D829B4"/>
    <w:rsid w:val="00D82AD1"/>
    <w:rsid w:val="00D82E6E"/>
    <w:rsid w:val="00D83040"/>
    <w:rsid w:val="00D8323B"/>
    <w:rsid w:val="00D83336"/>
    <w:rsid w:val="00D83489"/>
    <w:rsid w:val="00D83D13"/>
    <w:rsid w:val="00D841AC"/>
    <w:rsid w:val="00D84459"/>
    <w:rsid w:val="00D8461C"/>
    <w:rsid w:val="00D8465B"/>
    <w:rsid w:val="00D84768"/>
    <w:rsid w:val="00D84C75"/>
    <w:rsid w:val="00D8589D"/>
    <w:rsid w:val="00D85A81"/>
    <w:rsid w:val="00D86466"/>
    <w:rsid w:val="00D867DF"/>
    <w:rsid w:val="00D870E8"/>
    <w:rsid w:val="00D87423"/>
    <w:rsid w:val="00D87452"/>
    <w:rsid w:val="00D87485"/>
    <w:rsid w:val="00D90271"/>
    <w:rsid w:val="00D9045F"/>
    <w:rsid w:val="00D907CB"/>
    <w:rsid w:val="00D90FF5"/>
    <w:rsid w:val="00D91BF2"/>
    <w:rsid w:val="00D93B6A"/>
    <w:rsid w:val="00D93C1C"/>
    <w:rsid w:val="00D94026"/>
    <w:rsid w:val="00D94120"/>
    <w:rsid w:val="00D944F9"/>
    <w:rsid w:val="00D94B45"/>
    <w:rsid w:val="00D95008"/>
    <w:rsid w:val="00D951DD"/>
    <w:rsid w:val="00D952ED"/>
    <w:rsid w:val="00D957FA"/>
    <w:rsid w:val="00D9664C"/>
    <w:rsid w:val="00D96F27"/>
    <w:rsid w:val="00D96F4B"/>
    <w:rsid w:val="00D97404"/>
    <w:rsid w:val="00D975A3"/>
    <w:rsid w:val="00D979D0"/>
    <w:rsid w:val="00D97D66"/>
    <w:rsid w:val="00DA08CA"/>
    <w:rsid w:val="00DA0F37"/>
    <w:rsid w:val="00DA101A"/>
    <w:rsid w:val="00DA122C"/>
    <w:rsid w:val="00DA2D3E"/>
    <w:rsid w:val="00DA2E27"/>
    <w:rsid w:val="00DA2FD5"/>
    <w:rsid w:val="00DA4838"/>
    <w:rsid w:val="00DA4989"/>
    <w:rsid w:val="00DA4ACA"/>
    <w:rsid w:val="00DA5721"/>
    <w:rsid w:val="00DA6173"/>
    <w:rsid w:val="00DA6FE9"/>
    <w:rsid w:val="00DA7477"/>
    <w:rsid w:val="00DA7573"/>
    <w:rsid w:val="00DA7BD4"/>
    <w:rsid w:val="00DB0191"/>
    <w:rsid w:val="00DB0262"/>
    <w:rsid w:val="00DB0359"/>
    <w:rsid w:val="00DB0EF6"/>
    <w:rsid w:val="00DB0F8A"/>
    <w:rsid w:val="00DB15DB"/>
    <w:rsid w:val="00DB264D"/>
    <w:rsid w:val="00DB26A8"/>
    <w:rsid w:val="00DB27CF"/>
    <w:rsid w:val="00DB324C"/>
    <w:rsid w:val="00DB3FD3"/>
    <w:rsid w:val="00DB5517"/>
    <w:rsid w:val="00DB5F2A"/>
    <w:rsid w:val="00DB5F83"/>
    <w:rsid w:val="00DB65BC"/>
    <w:rsid w:val="00DB6F45"/>
    <w:rsid w:val="00DB72B7"/>
    <w:rsid w:val="00DB73F3"/>
    <w:rsid w:val="00DB7546"/>
    <w:rsid w:val="00DB776F"/>
    <w:rsid w:val="00DB7EC8"/>
    <w:rsid w:val="00DC0624"/>
    <w:rsid w:val="00DC0FC3"/>
    <w:rsid w:val="00DC1094"/>
    <w:rsid w:val="00DC1A58"/>
    <w:rsid w:val="00DC1AC0"/>
    <w:rsid w:val="00DC1CDD"/>
    <w:rsid w:val="00DC1D8E"/>
    <w:rsid w:val="00DC20C3"/>
    <w:rsid w:val="00DC227A"/>
    <w:rsid w:val="00DC231C"/>
    <w:rsid w:val="00DC2360"/>
    <w:rsid w:val="00DC26E4"/>
    <w:rsid w:val="00DC2BAE"/>
    <w:rsid w:val="00DC2CEE"/>
    <w:rsid w:val="00DC2E48"/>
    <w:rsid w:val="00DC3257"/>
    <w:rsid w:val="00DC3279"/>
    <w:rsid w:val="00DC348E"/>
    <w:rsid w:val="00DC3AA8"/>
    <w:rsid w:val="00DC3BF1"/>
    <w:rsid w:val="00DC3EB3"/>
    <w:rsid w:val="00DC4D1D"/>
    <w:rsid w:val="00DC4D87"/>
    <w:rsid w:val="00DC4FDA"/>
    <w:rsid w:val="00DC54EB"/>
    <w:rsid w:val="00DC580A"/>
    <w:rsid w:val="00DC5B50"/>
    <w:rsid w:val="00DC66BC"/>
    <w:rsid w:val="00DC698F"/>
    <w:rsid w:val="00DC6B23"/>
    <w:rsid w:val="00DC727F"/>
    <w:rsid w:val="00DC7E78"/>
    <w:rsid w:val="00DD0493"/>
    <w:rsid w:val="00DD04D1"/>
    <w:rsid w:val="00DD0924"/>
    <w:rsid w:val="00DD0ACB"/>
    <w:rsid w:val="00DD0CBF"/>
    <w:rsid w:val="00DD1071"/>
    <w:rsid w:val="00DD12FD"/>
    <w:rsid w:val="00DD1576"/>
    <w:rsid w:val="00DD15A3"/>
    <w:rsid w:val="00DD1CAA"/>
    <w:rsid w:val="00DD231B"/>
    <w:rsid w:val="00DD24CF"/>
    <w:rsid w:val="00DD2673"/>
    <w:rsid w:val="00DD2893"/>
    <w:rsid w:val="00DD4107"/>
    <w:rsid w:val="00DD4717"/>
    <w:rsid w:val="00DD4F74"/>
    <w:rsid w:val="00DD531F"/>
    <w:rsid w:val="00DD556C"/>
    <w:rsid w:val="00DD5737"/>
    <w:rsid w:val="00DD5E81"/>
    <w:rsid w:val="00DD6C08"/>
    <w:rsid w:val="00DD6C46"/>
    <w:rsid w:val="00DD6C7A"/>
    <w:rsid w:val="00DD6F44"/>
    <w:rsid w:val="00DD71C8"/>
    <w:rsid w:val="00DD7CCA"/>
    <w:rsid w:val="00DE05BB"/>
    <w:rsid w:val="00DE0806"/>
    <w:rsid w:val="00DE0BDE"/>
    <w:rsid w:val="00DE10CF"/>
    <w:rsid w:val="00DE1270"/>
    <w:rsid w:val="00DE1306"/>
    <w:rsid w:val="00DE145F"/>
    <w:rsid w:val="00DE1E1E"/>
    <w:rsid w:val="00DE1FE0"/>
    <w:rsid w:val="00DE223E"/>
    <w:rsid w:val="00DE226E"/>
    <w:rsid w:val="00DE2BE0"/>
    <w:rsid w:val="00DE2D33"/>
    <w:rsid w:val="00DE32DB"/>
    <w:rsid w:val="00DE34EB"/>
    <w:rsid w:val="00DE3592"/>
    <w:rsid w:val="00DE3B5E"/>
    <w:rsid w:val="00DE3C5A"/>
    <w:rsid w:val="00DE3E78"/>
    <w:rsid w:val="00DE4138"/>
    <w:rsid w:val="00DE41F8"/>
    <w:rsid w:val="00DE4B9D"/>
    <w:rsid w:val="00DE4E74"/>
    <w:rsid w:val="00DE4EB3"/>
    <w:rsid w:val="00DE4FE3"/>
    <w:rsid w:val="00DE50EA"/>
    <w:rsid w:val="00DE545C"/>
    <w:rsid w:val="00DE578A"/>
    <w:rsid w:val="00DE5C9F"/>
    <w:rsid w:val="00DE734E"/>
    <w:rsid w:val="00DE7887"/>
    <w:rsid w:val="00DE7BF8"/>
    <w:rsid w:val="00DF07C8"/>
    <w:rsid w:val="00DF0DC3"/>
    <w:rsid w:val="00DF14F9"/>
    <w:rsid w:val="00DF1C2D"/>
    <w:rsid w:val="00DF1FAE"/>
    <w:rsid w:val="00DF204C"/>
    <w:rsid w:val="00DF276D"/>
    <w:rsid w:val="00DF2AD9"/>
    <w:rsid w:val="00DF2B56"/>
    <w:rsid w:val="00DF3B6E"/>
    <w:rsid w:val="00DF3E9F"/>
    <w:rsid w:val="00DF3FA9"/>
    <w:rsid w:val="00DF46D7"/>
    <w:rsid w:val="00DF54D0"/>
    <w:rsid w:val="00DF580C"/>
    <w:rsid w:val="00DF5C1A"/>
    <w:rsid w:val="00DF62DF"/>
    <w:rsid w:val="00DF6BCB"/>
    <w:rsid w:val="00DF6D45"/>
    <w:rsid w:val="00DF6EC7"/>
    <w:rsid w:val="00DF7042"/>
    <w:rsid w:val="00DF78FD"/>
    <w:rsid w:val="00DF7EFE"/>
    <w:rsid w:val="00E00E15"/>
    <w:rsid w:val="00E00F63"/>
    <w:rsid w:val="00E01210"/>
    <w:rsid w:val="00E01D50"/>
    <w:rsid w:val="00E02664"/>
    <w:rsid w:val="00E02C4D"/>
    <w:rsid w:val="00E02EC0"/>
    <w:rsid w:val="00E031A5"/>
    <w:rsid w:val="00E0341B"/>
    <w:rsid w:val="00E0348F"/>
    <w:rsid w:val="00E035A6"/>
    <w:rsid w:val="00E038F5"/>
    <w:rsid w:val="00E03937"/>
    <w:rsid w:val="00E03D67"/>
    <w:rsid w:val="00E04510"/>
    <w:rsid w:val="00E04784"/>
    <w:rsid w:val="00E04DA0"/>
    <w:rsid w:val="00E05569"/>
    <w:rsid w:val="00E05695"/>
    <w:rsid w:val="00E05A6C"/>
    <w:rsid w:val="00E05DEA"/>
    <w:rsid w:val="00E05F59"/>
    <w:rsid w:val="00E0655D"/>
    <w:rsid w:val="00E06A68"/>
    <w:rsid w:val="00E0754E"/>
    <w:rsid w:val="00E1024A"/>
    <w:rsid w:val="00E104DE"/>
    <w:rsid w:val="00E10B17"/>
    <w:rsid w:val="00E10B67"/>
    <w:rsid w:val="00E11EB8"/>
    <w:rsid w:val="00E123E3"/>
    <w:rsid w:val="00E1256A"/>
    <w:rsid w:val="00E12703"/>
    <w:rsid w:val="00E12742"/>
    <w:rsid w:val="00E12A2B"/>
    <w:rsid w:val="00E12AB9"/>
    <w:rsid w:val="00E12B67"/>
    <w:rsid w:val="00E13EDA"/>
    <w:rsid w:val="00E141D3"/>
    <w:rsid w:val="00E14467"/>
    <w:rsid w:val="00E14941"/>
    <w:rsid w:val="00E14A5E"/>
    <w:rsid w:val="00E1526B"/>
    <w:rsid w:val="00E1534B"/>
    <w:rsid w:val="00E15408"/>
    <w:rsid w:val="00E15743"/>
    <w:rsid w:val="00E15C52"/>
    <w:rsid w:val="00E15EDA"/>
    <w:rsid w:val="00E15F0B"/>
    <w:rsid w:val="00E160E8"/>
    <w:rsid w:val="00E16199"/>
    <w:rsid w:val="00E16311"/>
    <w:rsid w:val="00E1667D"/>
    <w:rsid w:val="00E1702C"/>
    <w:rsid w:val="00E20CC5"/>
    <w:rsid w:val="00E21ACA"/>
    <w:rsid w:val="00E21D37"/>
    <w:rsid w:val="00E22B80"/>
    <w:rsid w:val="00E22C0E"/>
    <w:rsid w:val="00E22CFF"/>
    <w:rsid w:val="00E231CD"/>
    <w:rsid w:val="00E231E1"/>
    <w:rsid w:val="00E23728"/>
    <w:rsid w:val="00E23888"/>
    <w:rsid w:val="00E23A9D"/>
    <w:rsid w:val="00E23B9C"/>
    <w:rsid w:val="00E23CE3"/>
    <w:rsid w:val="00E23CF7"/>
    <w:rsid w:val="00E23E76"/>
    <w:rsid w:val="00E240E3"/>
    <w:rsid w:val="00E249DB"/>
    <w:rsid w:val="00E24DB9"/>
    <w:rsid w:val="00E253A3"/>
    <w:rsid w:val="00E25402"/>
    <w:rsid w:val="00E259B0"/>
    <w:rsid w:val="00E25AF8"/>
    <w:rsid w:val="00E25E18"/>
    <w:rsid w:val="00E26AEC"/>
    <w:rsid w:val="00E2751B"/>
    <w:rsid w:val="00E2757B"/>
    <w:rsid w:val="00E27749"/>
    <w:rsid w:val="00E2792D"/>
    <w:rsid w:val="00E27C13"/>
    <w:rsid w:val="00E30828"/>
    <w:rsid w:val="00E30B37"/>
    <w:rsid w:val="00E3109C"/>
    <w:rsid w:val="00E311D1"/>
    <w:rsid w:val="00E31596"/>
    <w:rsid w:val="00E318E1"/>
    <w:rsid w:val="00E31C2D"/>
    <w:rsid w:val="00E31DF2"/>
    <w:rsid w:val="00E31E60"/>
    <w:rsid w:val="00E32432"/>
    <w:rsid w:val="00E32600"/>
    <w:rsid w:val="00E328DE"/>
    <w:rsid w:val="00E3294A"/>
    <w:rsid w:val="00E32A96"/>
    <w:rsid w:val="00E33B1E"/>
    <w:rsid w:val="00E34277"/>
    <w:rsid w:val="00E35508"/>
    <w:rsid w:val="00E3621B"/>
    <w:rsid w:val="00E36AA6"/>
    <w:rsid w:val="00E36F43"/>
    <w:rsid w:val="00E37A08"/>
    <w:rsid w:val="00E37F0C"/>
    <w:rsid w:val="00E40ADF"/>
    <w:rsid w:val="00E418E3"/>
    <w:rsid w:val="00E423DE"/>
    <w:rsid w:val="00E42590"/>
    <w:rsid w:val="00E42F07"/>
    <w:rsid w:val="00E4370F"/>
    <w:rsid w:val="00E4441D"/>
    <w:rsid w:val="00E45152"/>
    <w:rsid w:val="00E453AB"/>
    <w:rsid w:val="00E45DE2"/>
    <w:rsid w:val="00E462E6"/>
    <w:rsid w:val="00E463A0"/>
    <w:rsid w:val="00E46886"/>
    <w:rsid w:val="00E474FA"/>
    <w:rsid w:val="00E47839"/>
    <w:rsid w:val="00E47C6B"/>
    <w:rsid w:val="00E50214"/>
    <w:rsid w:val="00E5060A"/>
    <w:rsid w:val="00E50C38"/>
    <w:rsid w:val="00E51762"/>
    <w:rsid w:val="00E51CDE"/>
    <w:rsid w:val="00E520F0"/>
    <w:rsid w:val="00E5210B"/>
    <w:rsid w:val="00E53631"/>
    <w:rsid w:val="00E5386E"/>
    <w:rsid w:val="00E5388F"/>
    <w:rsid w:val="00E53CD3"/>
    <w:rsid w:val="00E54239"/>
    <w:rsid w:val="00E54272"/>
    <w:rsid w:val="00E542BC"/>
    <w:rsid w:val="00E54403"/>
    <w:rsid w:val="00E54521"/>
    <w:rsid w:val="00E54617"/>
    <w:rsid w:val="00E5484B"/>
    <w:rsid w:val="00E55AC5"/>
    <w:rsid w:val="00E56023"/>
    <w:rsid w:val="00E56790"/>
    <w:rsid w:val="00E56D6E"/>
    <w:rsid w:val="00E56FEF"/>
    <w:rsid w:val="00E57308"/>
    <w:rsid w:val="00E577F9"/>
    <w:rsid w:val="00E57C27"/>
    <w:rsid w:val="00E57FB5"/>
    <w:rsid w:val="00E60318"/>
    <w:rsid w:val="00E606E9"/>
    <w:rsid w:val="00E609A0"/>
    <w:rsid w:val="00E60B14"/>
    <w:rsid w:val="00E60F14"/>
    <w:rsid w:val="00E611E8"/>
    <w:rsid w:val="00E615BA"/>
    <w:rsid w:val="00E61B23"/>
    <w:rsid w:val="00E625BE"/>
    <w:rsid w:val="00E6284B"/>
    <w:rsid w:val="00E62D07"/>
    <w:rsid w:val="00E62DF6"/>
    <w:rsid w:val="00E63A22"/>
    <w:rsid w:val="00E63B8F"/>
    <w:rsid w:val="00E63F7A"/>
    <w:rsid w:val="00E646B5"/>
    <w:rsid w:val="00E64FDF"/>
    <w:rsid w:val="00E65427"/>
    <w:rsid w:val="00E6543F"/>
    <w:rsid w:val="00E65BE3"/>
    <w:rsid w:val="00E661C0"/>
    <w:rsid w:val="00E663F5"/>
    <w:rsid w:val="00E66E97"/>
    <w:rsid w:val="00E70BD6"/>
    <w:rsid w:val="00E71305"/>
    <w:rsid w:val="00E7186A"/>
    <w:rsid w:val="00E72383"/>
    <w:rsid w:val="00E724D2"/>
    <w:rsid w:val="00E72C45"/>
    <w:rsid w:val="00E72D9F"/>
    <w:rsid w:val="00E72F20"/>
    <w:rsid w:val="00E73922"/>
    <w:rsid w:val="00E73C41"/>
    <w:rsid w:val="00E74933"/>
    <w:rsid w:val="00E74B37"/>
    <w:rsid w:val="00E74EDC"/>
    <w:rsid w:val="00E753E1"/>
    <w:rsid w:val="00E75737"/>
    <w:rsid w:val="00E75875"/>
    <w:rsid w:val="00E75886"/>
    <w:rsid w:val="00E75D6E"/>
    <w:rsid w:val="00E76007"/>
    <w:rsid w:val="00E76181"/>
    <w:rsid w:val="00E76486"/>
    <w:rsid w:val="00E76718"/>
    <w:rsid w:val="00E770F2"/>
    <w:rsid w:val="00E77484"/>
    <w:rsid w:val="00E77EAC"/>
    <w:rsid w:val="00E80111"/>
    <w:rsid w:val="00E807B7"/>
    <w:rsid w:val="00E80D3D"/>
    <w:rsid w:val="00E81069"/>
    <w:rsid w:val="00E817AD"/>
    <w:rsid w:val="00E817EF"/>
    <w:rsid w:val="00E8184F"/>
    <w:rsid w:val="00E82538"/>
    <w:rsid w:val="00E828D5"/>
    <w:rsid w:val="00E82D81"/>
    <w:rsid w:val="00E83259"/>
    <w:rsid w:val="00E837A5"/>
    <w:rsid w:val="00E839BE"/>
    <w:rsid w:val="00E83A25"/>
    <w:rsid w:val="00E83CAC"/>
    <w:rsid w:val="00E84C89"/>
    <w:rsid w:val="00E85D37"/>
    <w:rsid w:val="00E85E56"/>
    <w:rsid w:val="00E860DD"/>
    <w:rsid w:val="00E86719"/>
    <w:rsid w:val="00E86754"/>
    <w:rsid w:val="00E8713D"/>
    <w:rsid w:val="00E87C4F"/>
    <w:rsid w:val="00E87D5E"/>
    <w:rsid w:val="00E90329"/>
    <w:rsid w:val="00E90496"/>
    <w:rsid w:val="00E910D5"/>
    <w:rsid w:val="00E922C4"/>
    <w:rsid w:val="00E92691"/>
    <w:rsid w:val="00E94084"/>
    <w:rsid w:val="00E94308"/>
    <w:rsid w:val="00E943AE"/>
    <w:rsid w:val="00E947B0"/>
    <w:rsid w:val="00E95187"/>
    <w:rsid w:val="00E95A03"/>
    <w:rsid w:val="00E95D82"/>
    <w:rsid w:val="00E95F21"/>
    <w:rsid w:val="00E96273"/>
    <w:rsid w:val="00E96714"/>
    <w:rsid w:val="00E96781"/>
    <w:rsid w:val="00E96E97"/>
    <w:rsid w:val="00E97D49"/>
    <w:rsid w:val="00EA0251"/>
    <w:rsid w:val="00EA1065"/>
    <w:rsid w:val="00EA1434"/>
    <w:rsid w:val="00EA2DDB"/>
    <w:rsid w:val="00EA341E"/>
    <w:rsid w:val="00EA3C3E"/>
    <w:rsid w:val="00EA44EE"/>
    <w:rsid w:val="00EA45A8"/>
    <w:rsid w:val="00EA4694"/>
    <w:rsid w:val="00EA48D3"/>
    <w:rsid w:val="00EA546B"/>
    <w:rsid w:val="00EA57C5"/>
    <w:rsid w:val="00EA5D7E"/>
    <w:rsid w:val="00EA5F31"/>
    <w:rsid w:val="00EA5F92"/>
    <w:rsid w:val="00EA6102"/>
    <w:rsid w:val="00EA6209"/>
    <w:rsid w:val="00EA64B4"/>
    <w:rsid w:val="00EA65F1"/>
    <w:rsid w:val="00EA6665"/>
    <w:rsid w:val="00EA6935"/>
    <w:rsid w:val="00EA6967"/>
    <w:rsid w:val="00EA6F44"/>
    <w:rsid w:val="00EA722A"/>
    <w:rsid w:val="00EA7381"/>
    <w:rsid w:val="00EA7613"/>
    <w:rsid w:val="00EA793B"/>
    <w:rsid w:val="00EA7A7E"/>
    <w:rsid w:val="00EA7AA7"/>
    <w:rsid w:val="00EB0021"/>
    <w:rsid w:val="00EB05DA"/>
    <w:rsid w:val="00EB0A67"/>
    <w:rsid w:val="00EB190F"/>
    <w:rsid w:val="00EB235B"/>
    <w:rsid w:val="00EB31A3"/>
    <w:rsid w:val="00EB325B"/>
    <w:rsid w:val="00EB3E22"/>
    <w:rsid w:val="00EB5334"/>
    <w:rsid w:val="00EB5C26"/>
    <w:rsid w:val="00EB5FA1"/>
    <w:rsid w:val="00EB6271"/>
    <w:rsid w:val="00EB693B"/>
    <w:rsid w:val="00EB7A15"/>
    <w:rsid w:val="00EB7BA9"/>
    <w:rsid w:val="00EB7D75"/>
    <w:rsid w:val="00EC049C"/>
    <w:rsid w:val="00EC0B20"/>
    <w:rsid w:val="00EC0E84"/>
    <w:rsid w:val="00EC0EE7"/>
    <w:rsid w:val="00EC162D"/>
    <w:rsid w:val="00EC1C3A"/>
    <w:rsid w:val="00EC1F51"/>
    <w:rsid w:val="00EC20C8"/>
    <w:rsid w:val="00EC2B1D"/>
    <w:rsid w:val="00EC3C25"/>
    <w:rsid w:val="00EC3C78"/>
    <w:rsid w:val="00EC4141"/>
    <w:rsid w:val="00EC4233"/>
    <w:rsid w:val="00EC4544"/>
    <w:rsid w:val="00EC4A85"/>
    <w:rsid w:val="00EC4FF7"/>
    <w:rsid w:val="00EC5350"/>
    <w:rsid w:val="00EC57B2"/>
    <w:rsid w:val="00EC58F4"/>
    <w:rsid w:val="00EC650B"/>
    <w:rsid w:val="00EC6896"/>
    <w:rsid w:val="00EC6D95"/>
    <w:rsid w:val="00EC74BD"/>
    <w:rsid w:val="00EC7808"/>
    <w:rsid w:val="00EC7BFA"/>
    <w:rsid w:val="00ED0118"/>
    <w:rsid w:val="00ED042E"/>
    <w:rsid w:val="00ED1295"/>
    <w:rsid w:val="00ED2725"/>
    <w:rsid w:val="00ED2A92"/>
    <w:rsid w:val="00ED34D1"/>
    <w:rsid w:val="00ED367F"/>
    <w:rsid w:val="00ED3DD8"/>
    <w:rsid w:val="00ED4206"/>
    <w:rsid w:val="00ED553E"/>
    <w:rsid w:val="00ED58A2"/>
    <w:rsid w:val="00ED58C3"/>
    <w:rsid w:val="00ED5C71"/>
    <w:rsid w:val="00ED5EEE"/>
    <w:rsid w:val="00ED667C"/>
    <w:rsid w:val="00ED7966"/>
    <w:rsid w:val="00ED7FB8"/>
    <w:rsid w:val="00EE01CC"/>
    <w:rsid w:val="00EE03E9"/>
    <w:rsid w:val="00EE04EE"/>
    <w:rsid w:val="00EE1760"/>
    <w:rsid w:val="00EE26F0"/>
    <w:rsid w:val="00EE287D"/>
    <w:rsid w:val="00EE2FB5"/>
    <w:rsid w:val="00EE3659"/>
    <w:rsid w:val="00EE3B32"/>
    <w:rsid w:val="00EE3CFF"/>
    <w:rsid w:val="00EE3F39"/>
    <w:rsid w:val="00EE401C"/>
    <w:rsid w:val="00EE414C"/>
    <w:rsid w:val="00EE44FE"/>
    <w:rsid w:val="00EE5355"/>
    <w:rsid w:val="00EE5406"/>
    <w:rsid w:val="00EE5ACD"/>
    <w:rsid w:val="00EE5EF8"/>
    <w:rsid w:val="00EE61BD"/>
    <w:rsid w:val="00EE66C7"/>
    <w:rsid w:val="00EE6964"/>
    <w:rsid w:val="00EE6A1D"/>
    <w:rsid w:val="00EE6D18"/>
    <w:rsid w:val="00EE7A29"/>
    <w:rsid w:val="00EE7E7A"/>
    <w:rsid w:val="00EE7E8C"/>
    <w:rsid w:val="00EF04DA"/>
    <w:rsid w:val="00EF05CC"/>
    <w:rsid w:val="00EF0FDC"/>
    <w:rsid w:val="00EF1230"/>
    <w:rsid w:val="00EF140D"/>
    <w:rsid w:val="00EF1578"/>
    <w:rsid w:val="00EF21AB"/>
    <w:rsid w:val="00EF223B"/>
    <w:rsid w:val="00EF29DE"/>
    <w:rsid w:val="00EF2FB1"/>
    <w:rsid w:val="00EF3978"/>
    <w:rsid w:val="00EF3AAC"/>
    <w:rsid w:val="00EF4D42"/>
    <w:rsid w:val="00EF4FD1"/>
    <w:rsid w:val="00EF5318"/>
    <w:rsid w:val="00EF5D97"/>
    <w:rsid w:val="00EF64EA"/>
    <w:rsid w:val="00EF6860"/>
    <w:rsid w:val="00EF708A"/>
    <w:rsid w:val="00EF7243"/>
    <w:rsid w:val="00EF72C3"/>
    <w:rsid w:val="00EF79CE"/>
    <w:rsid w:val="00F00152"/>
    <w:rsid w:val="00F00352"/>
    <w:rsid w:val="00F008F7"/>
    <w:rsid w:val="00F00B1B"/>
    <w:rsid w:val="00F00CD8"/>
    <w:rsid w:val="00F00E37"/>
    <w:rsid w:val="00F010EE"/>
    <w:rsid w:val="00F01108"/>
    <w:rsid w:val="00F01383"/>
    <w:rsid w:val="00F0167D"/>
    <w:rsid w:val="00F0177A"/>
    <w:rsid w:val="00F019D5"/>
    <w:rsid w:val="00F02500"/>
    <w:rsid w:val="00F02E37"/>
    <w:rsid w:val="00F032E2"/>
    <w:rsid w:val="00F037E3"/>
    <w:rsid w:val="00F03FF2"/>
    <w:rsid w:val="00F04383"/>
    <w:rsid w:val="00F04F9E"/>
    <w:rsid w:val="00F0506D"/>
    <w:rsid w:val="00F0590A"/>
    <w:rsid w:val="00F06A47"/>
    <w:rsid w:val="00F0717F"/>
    <w:rsid w:val="00F0747A"/>
    <w:rsid w:val="00F07849"/>
    <w:rsid w:val="00F07882"/>
    <w:rsid w:val="00F07883"/>
    <w:rsid w:val="00F10177"/>
    <w:rsid w:val="00F10D83"/>
    <w:rsid w:val="00F1196B"/>
    <w:rsid w:val="00F11A6A"/>
    <w:rsid w:val="00F126BD"/>
    <w:rsid w:val="00F12721"/>
    <w:rsid w:val="00F12A93"/>
    <w:rsid w:val="00F13433"/>
    <w:rsid w:val="00F134FC"/>
    <w:rsid w:val="00F1350E"/>
    <w:rsid w:val="00F14419"/>
    <w:rsid w:val="00F1470E"/>
    <w:rsid w:val="00F147A5"/>
    <w:rsid w:val="00F14AA7"/>
    <w:rsid w:val="00F15884"/>
    <w:rsid w:val="00F158D8"/>
    <w:rsid w:val="00F15B8E"/>
    <w:rsid w:val="00F16665"/>
    <w:rsid w:val="00F16B32"/>
    <w:rsid w:val="00F16D1F"/>
    <w:rsid w:val="00F16FB0"/>
    <w:rsid w:val="00F1733B"/>
    <w:rsid w:val="00F17474"/>
    <w:rsid w:val="00F17B6C"/>
    <w:rsid w:val="00F201CC"/>
    <w:rsid w:val="00F20487"/>
    <w:rsid w:val="00F20F65"/>
    <w:rsid w:val="00F2106D"/>
    <w:rsid w:val="00F2159A"/>
    <w:rsid w:val="00F21848"/>
    <w:rsid w:val="00F22337"/>
    <w:rsid w:val="00F22D65"/>
    <w:rsid w:val="00F23024"/>
    <w:rsid w:val="00F2311B"/>
    <w:rsid w:val="00F23175"/>
    <w:rsid w:val="00F236D5"/>
    <w:rsid w:val="00F23980"/>
    <w:rsid w:val="00F23A6B"/>
    <w:rsid w:val="00F23FB0"/>
    <w:rsid w:val="00F2480A"/>
    <w:rsid w:val="00F24891"/>
    <w:rsid w:val="00F24B9F"/>
    <w:rsid w:val="00F24CA6"/>
    <w:rsid w:val="00F25387"/>
    <w:rsid w:val="00F256AE"/>
    <w:rsid w:val="00F25773"/>
    <w:rsid w:val="00F257FA"/>
    <w:rsid w:val="00F25D7A"/>
    <w:rsid w:val="00F25F58"/>
    <w:rsid w:val="00F26004"/>
    <w:rsid w:val="00F260F9"/>
    <w:rsid w:val="00F270E8"/>
    <w:rsid w:val="00F27CCD"/>
    <w:rsid w:val="00F27EA7"/>
    <w:rsid w:val="00F27EF5"/>
    <w:rsid w:val="00F27FDB"/>
    <w:rsid w:val="00F30251"/>
    <w:rsid w:val="00F303FE"/>
    <w:rsid w:val="00F305CC"/>
    <w:rsid w:val="00F30A7D"/>
    <w:rsid w:val="00F30EE0"/>
    <w:rsid w:val="00F3179A"/>
    <w:rsid w:val="00F31D54"/>
    <w:rsid w:val="00F31F73"/>
    <w:rsid w:val="00F32357"/>
    <w:rsid w:val="00F32C70"/>
    <w:rsid w:val="00F32DB4"/>
    <w:rsid w:val="00F34E02"/>
    <w:rsid w:val="00F34E40"/>
    <w:rsid w:val="00F3549E"/>
    <w:rsid w:val="00F355C1"/>
    <w:rsid w:val="00F361C6"/>
    <w:rsid w:val="00F365A7"/>
    <w:rsid w:val="00F3681C"/>
    <w:rsid w:val="00F3769D"/>
    <w:rsid w:val="00F404F4"/>
    <w:rsid w:val="00F4143E"/>
    <w:rsid w:val="00F41CC5"/>
    <w:rsid w:val="00F41D25"/>
    <w:rsid w:val="00F423C2"/>
    <w:rsid w:val="00F433F8"/>
    <w:rsid w:val="00F433FE"/>
    <w:rsid w:val="00F43627"/>
    <w:rsid w:val="00F43781"/>
    <w:rsid w:val="00F4463B"/>
    <w:rsid w:val="00F4463C"/>
    <w:rsid w:val="00F458F5"/>
    <w:rsid w:val="00F45983"/>
    <w:rsid w:val="00F4662A"/>
    <w:rsid w:val="00F46F48"/>
    <w:rsid w:val="00F4705C"/>
    <w:rsid w:val="00F473A5"/>
    <w:rsid w:val="00F473F3"/>
    <w:rsid w:val="00F474B8"/>
    <w:rsid w:val="00F474C3"/>
    <w:rsid w:val="00F478CA"/>
    <w:rsid w:val="00F47CE2"/>
    <w:rsid w:val="00F5018B"/>
    <w:rsid w:val="00F501F3"/>
    <w:rsid w:val="00F50A98"/>
    <w:rsid w:val="00F50D18"/>
    <w:rsid w:val="00F50E5F"/>
    <w:rsid w:val="00F51460"/>
    <w:rsid w:val="00F51667"/>
    <w:rsid w:val="00F521DC"/>
    <w:rsid w:val="00F527EE"/>
    <w:rsid w:val="00F52E32"/>
    <w:rsid w:val="00F53199"/>
    <w:rsid w:val="00F53BDD"/>
    <w:rsid w:val="00F541A1"/>
    <w:rsid w:val="00F54B09"/>
    <w:rsid w:val="00F54BEA"/>
    <w:rsid w:val="00F54E8A"/>
    <w:rsid w:val="00F550D1"/>
    <w:rsid w:val="00F559A8"/>
    <w:rsid w:val="00F55C21"/>
    <w:rsid w:val="00F55E5F"/>
    <w:rsid w:val="00F55F6D"/>
    <w:rsid w:val="00F55FED"/>
    <w:rsid w:val="00F561A8"/>
    <w:rsid w:val="00F571EE"/>
    <w:rsid w:val="00F5736B"/>
    <w:rsid w:val="00F57880"/>
    <w:rsid w:val="00F608AB"/>
    <w:rsid w:val="00F60BE7"/>
    <w:rsid w:val="00F60CB9"/>
    <w:rsid w:val="00F613FD"/>
    <w:rsid w:val="00F61472"/>
    <w:rsid w:val="00F6159C"/>
    <w:rsid w:val="00F61714"/>
    <w:rsid w:val="00F61D46"/>
    <w:rsid w:val="00F6238F"/>
    <w:rsid w:val="00F62719"/>
    <w:rsid w:val="00F63E59"/>
    <w:rsid w:val="00F6432F"/>
    <w:rsid w:val="00F64BE0"/>
    <w:rsid w:val="00F65B68"/>
    <w:rsid w:val="00F6721D"/>
    <w:rsid w:val="00F67846"/>
    <w:rsid w:val="00F67B42"/>
    <w:rsid w:val="00F70B72"/>
    <w:rsid w:val="00F70DEF"/>
    <w:rsid w:val="00F70EA3"/>
    <w:rsid w:val="00F71398"/>
    <w:rsid w:val="00F715CB"/>
    <w:rsid w:val="00F7294C"/>
    <w:rsid w:val="00F72C5F"/>
    <w:rsid w:val="00F73549"/>
    <w:rsid w:val="00F75782"/>
    <w:rsid w:val="00F75AE9"/>
    <w:rsid w:val="00F76BC1"/>
    <w:rsid w:val="00F77393"/>
    <w:rsid w:val="00F77CE4"/>
    <w:rsid w:val="00F80C1D"/>
    <w:rsid w:val="00F81130"/>
    <w:rsid w:val="00F818F7"/>
    <w:rsid w:val="00F8225D"/>
    <w:rsid w:val="00F82C91"/>
    <w:rsid w:val="00F8325D"/>
    <w:rsid w:val="00F832A9"/>
    <w:rsid w:val="00F832B0"/>
    <w:rsid w:val="00F83307"/>
    <w:rsid w:val="00F833A5"/>
    <w:rsid w:val="00F83CD4"/>
    <w:rsid w:val="00F83E2B"/>
    <w:rsid w:val="00F844D3"/>
    <w:rsid w:val="00F84629"/>
    <w:rsid w:val="00F847C8"/>
    <w:rsid w:val="00F84B55"/>
    <w:rsid w:val="00F84B71"/>
    <w:rsid w:val="00F84BB0"/>
    <w:rsid w:val="00F84F0E"/>
    <w:rsid w:val="00F8519E"/>
    <w:rsid w:val="00F857E2"/>
    <w:rsid w:val="00F85F78"/>
    <w:rsid w:val="00F85FF5"/>
    <w:rsid w:val="00F86BB4"/>
    <w:rsid w:val="00F86F79"/>
    <w:rsid w:val="00F870F5"/>
    <w:rsid w:val="00F87BB9"/>
    <w:rsid w:val="00F902D2"/>
    <w:rsid w:val="00F90B12"/>
    <w:rsid w:val="00F90CBD"/>
    <w:rsid w:val="00F9109E"/>
    <w:rsid w:val="00F9177E"/>
    <w:rsid w:val="00F91E4F"/>
    <w:rsid w:val="00F91FDF"/>
    <w:rsid w:val="00F92AA1"/>
    <w:rsid w:val="00F92FDC"/>
    <w:rsid w:val="00F931D2"/>
    <w:rsid w:val="00F93431"/>
    <w:rsid w:val="00F93A4A"/>
    <w:rsid w:val="00F93D27"/>
    <w:rsid w:val="00F94231"/>
    <w:rsid w:val="00F943C2"/>
    <w:rsid w:val="00F95DD6"/>
    <w:rsid w:val="00F96370"/>
    <w:rsid w:val="00F97940"/>
    <w:rsid w:val="00F97BA3"/>
    <w:rsid w:val="00F97EA2"/>
    <w:rsid w:val="00F97F0D"/>
    <w:rsid w:val="00FA0B0A"/>
    <w:rsid w:val="00FA121C"/>
    <w:rsid w:val="00FA1407"/>
    <w:rsid w:val="00FA14DA"/>
    <w:rsid w:val="00FA1A68"/>
    <w:rsid w:val="00FA1B1A"/>
    <w:rsid w:val="00FA2196"/>
    <w:rsid w:val="00FA25DE"/>
    <w:rsid w:val="00FA2747"/>
    <w:rsid w:val="00FA276C"/>
    <w:rsid w:val="00FA2A33"/>
    <w:rsid w:val="00FA2C8F"/>
    <w:rsid w:val="00FA2CF7"/>
    <w:rsid w:val="00FA338F"/>
    <w:rsid w:val="00FA3410"/>
    <w:rsid w:val="00FA356B"/>
    <w:rsid w:val="00FA3594"/>
    <w:rsid w:val="00FA360B"/>
    <w:rsid w:val="00FA3860"/>
    <w:rsid w:val="00FA3A50"/>
    <w:rsid w:val="00FA429C"/>
    <w:rsid w:val="00FA471B"/>
    <w:rsid w:val="00FA4763"/>
    <w:rsid w:val="00FA4830"/>
    <w:rsid w:val="00FA5032"/>
    <w:rsid w:val="00FA548B"/>
    <w:rsid w:val="00FA5E3B"/>
    <w:rsid w:val="00FA65E0"/>
    <w:rsid w:val="00FA6846"/>
    <w:rsid w:val="00FA6980"/>
    <w:rsid w:val="00FA6CDF"/>
    <w:rsid w:val="00FA7BB5"/>
    <w:rsid w:val="00FA7C85"/>
    <w:rsid w:val="00FB05B5"/>
    <w:rsid w:val="00FB12D8"/>
    <w:rsid w:val="00FB176A"/>
    <w:rsid w:val="00FB1CDC"/>
    <w:rsid w:val="00FB238A"/>
    <w:rsid w:val="00FB2446"/>
    <w:rsid w:val="00FB2C81"/>
    <w:rsid w:val="00FB2D7D"/>
    <w:rsid w:val="00FB3BC4"/>
    <w:rsid w:val="00FB3C2F"/>
    <w:rsid w:val="00FB3F9C"/>
    <w:rsid w:val="00FB3FDE"/>
    <w:rsid w:val="00FB4676"/>
    <w:rsid w:val="00FB5552"/>
    <w:rsid w:val="00FB5789"/>
    <w:rsid w:val="00FB5926"/>
    <w:rsid w:val="00FB5B51"/>
    <w:rsid w:val="00FB5F3A"/>
    <w:rsid w:val="00FB6A95"/>
    <w:rsid w:val="00FB6AA9"/>
    <w:rsid w:val="00FB6AD4"/>
    <w:rsid w:val="00FB6F27"/>
    <w:rsid w:val="00FB7F22"/>
    <w:rsid w:val="00FC00F3"/>
    <w:rsid w:val="00FC0A33"/>
    <w:rsid w:val="00FC1416"/>
    <w:rsid w:val="00FC14B2"/>
    <w:rsid w:val="00FC1823"/>
    <w:rsid w:val="00FC1C39"/>
    <w:rsid w:val="00FC2198"/>
    <w:rsid w:val="00FC26A4"/>
    <w:rsid w:val="00FC2C93"/>
    <w:rsid w:val="00FC2D7E"/>
    <w:rsid w:val="00FC2F3C"/>
    <w:rsid w:val="00FC325A"/>
    <w:rsid w:val="00FC33ED"/>
    <w:rsid w:val="00FC400A"/>
    <w:rsid w:val="00FC4375"/>
    <w:rsid w:val="00FC43AD"/>
    <w:rsid w:val="00FC4535"/>
    <w:rsid w:val="00FC5876"/>
    <w:rsid w:val="00FC62F5"/>
    <w:rsid w:val="00FC6EB6"/>
    <w:rsid w:val="00FC731E"/>
    <w:rsid w:val="00FD035A"/>
    <w:rsid w:val="00FD06B1"/>
    <w:rsid w:val="00FD19F1"/>
    <w:rsid w:val="00FD1A7E"/>
    <w:rsid w:val="00FD1F2E"/>
    <w:rsid w:val="00FD2B88"/>
    <w:rsid w:val="00FD2CC3"/>
    <w:rsid w:val="00FD31BF"/>
    <w:rsid w:val="00FD34C0"/>
    <w:rsid w:val="00FD3CC7"/>
    <w:rsid w:val="00FD4148"/>
    <w:rsid w:val="00FD4D5B"/>
    <w:rsid w:val="00FD5037"/>
    <w:rsid w:val="00FD56AA"/>
    <w:rsid w:val="00FD6453"/>
    <w:rsid w:val="00FD67FD"/>
    <w:rsid w:val="00FD7CB2"/>
    <w:rsid w:val="00FD7D46"/>
    <w:rsid w:val="00FD7D8B"/>
    <w:rsid w:val="00FE0258"/>
    <w:rsid w:val="00FE0AF2"/>
    <w:rsid w:val="00FE11CD"/>
    <w:rsid w:val="00FE1C47"/>
    <w:rsid w:val="00FE22DD"/>
    <w:rsid w:val="00FE2CFB"/>
    <w:rsid w:val="00FE35D5"/>
    <w:rsid w:val="00FE4A60"/>
    <w:rsid w:val="00FE4E03"/>
    <w:rsid w:val="00FE54E0"/>
    <w:rsid w:val="00FE55F0"/>
    <w:rsid w:val="00FE5D7D"/>
    <w:rsid w:val="00FE6331"/>
    <w:rsid w:val="00FE685B"/>
    <w:rsid w:val="00FE6934"/>
    <w:rsid w:val="00FE69FD"/>
    <w:rsid w:val="00FE6C12"/>
    <w:rsid w:val="00FE75C7"/>
    <w:rsid w:val="00FE77CF"/>
    <w:rsid w:val="00FE7894"/>
    <w:rsid w:val="00FF01B2"/>
    <w:rsid w:val="00FF01FA"/>
    <w:rsid w:val="00FF0205"/>
    <w:rsid w:val="00FF0B45"/>
    <w:rsid w:val="00FF21B5"/>
    <w:rsid w:val="00FF21C3"/>
    <w:rsid w:val="00FF2A11"/>
    <w:rsid w:val="00FF2AA0"/>
    <w:rsid w:val="00FF3C06"/>
    <w:rsid w:val="00FF3F6C"/>
    <w:rsid w:val="00FF4603"/>
    <w:rsid w:val="00FF4B07"/>
    <w:rsid w:val="00FF4BFC"/>
    <w:rsid w:val="00FF4C11"/>
    <w:rsid w:val="00FF56B9"/>
    <w:rsid w:val="00FF57E8"/>
    <w:rsid w:val="00FF58C0"/>
    <w:rsid w:val="00FF5948"/>
    <w:rsid w:val="00FF6B71"/>
    <w:rsid w:val="00FF6C41"/>
    <w:rsid w:val="00FF6EDF"/>
    <w:rsid w:val="00FF6EEA"/>
    <w:rsid w:val="00FF707A"/>
    <w:rsid w:val="00FF750A"/>
    <w:rsid w:val="00FF77DF"/>
    <w:rsid w:val="00FF7ABB"/>
    <w:rsid w:val="00FF7B99"/>
    <w:rsid w:val="00FF7F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2F8176"/>
  <w15:docId w15:val="{B56CDCDD-4E76-4ADE-A682-ACCBA4E0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uiPriority="0" w:qFormat="1"/>
    <w:lsdException w:name="List Number" w:semiHidden="1"/>
    <w:lsdException w:name="List 2" w:semiHidden="1"/>
    <w:lsdException w:name="List 3" w:semiHidden="1"/>
    <w:lsdException w:name="List 4" w:semiHidden="1"/>
    <w:lsdException w:name="List 5" w:semiHidden="1"/>
    <w:lsdException w:name="List Bullet 2" w:semiHidden="1" w:uiPriority="1"/>
    <w:lsdException w:name="List Bullet 3" w:semiHidden="1" w:uiPriority="1" w:qFormat="1"/>
    <w:lsdException w:name="List Bullet 4" w:semiHidden="1" w:uiPriority="1"/>
    <w:lsdException w:name="List Bullet 5" w:semiHidden="1" w:uiPriority="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7C99"/>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qFormat/>
    <w:rsid w:val="00B51610"/>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EC6896"/>
    <w:pPr>
      <w:spacing w:before="240"/>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8F"/>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B51610"/>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8B68EC"/>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EC6896"/>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aliases w:val="RS Table Grid a"/>
    <w:basedOn w:val="TableNormal"/>
    <w:uiPriority w:val="3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64B4"/>
    <w:pPr>
      <w:jc w:val="center"/>
    </w:pPr>
    <w:rPr>
      <w:rFonts w:ascii="Arial" w:hAnsi="Arial"/>
      <w:sz w:val="16"/>
    </w:rPr>
  </w:style>
  <w:style w:type="character" w:customStyle="1" w:styleId="HeaderChar">
    <w:name w:val="Header Char"/>
    <w:basedOn w:val="DefaultParagraphFont"/>
    <w:link w:val="Header"/>
    <w:uiPriority w:val="99"/>
    <w:rsid w:val="00F03FF2"/>
    <w:rPr>
      <w:rFonts w:ascii="Arial" w:eastAsiaTheme="minorEastAsia" w:hAnsi="Arial"/>
      <w:sz w:val="16"/>
      <w:lang w:eastAsia="en-NZ"/>
    </w:rPr>
  </w:style>
  <w:style w:type="paragraph" w:styleId="Quote">
    <w:name w:val="Quote"/>
    <w:basedOn w:val="Normal"/>
    <w:next w:val="BodyText"/>
    <w:link w:val="QuoteChar"/>
    <w:uiPriority w:val="1"/>
    <w:semiHidden/>
    <w:qFormat/>
    <w:rsid w:val="00684D9B"/>
    <w:pPr>
      <w:spacing w:before="60" w:after="60"/>
      <w:ind w:left="567" w:right="567"/>
      <w:jc w:val="left"/>
    </w:pPr>
    <w:rPr>
      <w:sz w:val="20"/>
    </w:rPr>
  </w:style>
  <w:style w:type="character" w:customStyle="1" w:styleId="QuoteChar">
    <w:name w:val="Quote Char"/>
    <w:basedOn w:val="DefaultParagraphFont"/>
    <w:link w:val="Quote"/>
    <w:uiPriority w:val="1"/>
    <w:semiHidden/>
    <w:rsid w:val="00C16D8C"/>
    <w:rPr>
      <w:rFonts w:ascii="Calibri" w:eastAsiaTheme="minorEastAsia" w:hAnsi="Calibri"/>
      <w:sz w:val="20"/>
      <w:lang w:eastAsia="en-NZ"/>
    </w:rPr>
  </w:style>
  <w:style w:type="paragraph" w:customStyle="1" w:styleId="Box">
    <w:name w:val="Box"/>
    <w:basedOn w:val="Normal"/>
    <w:uiPriority w:val="1"/>
    <w:semiHidden/>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semiHidden/>
    <w:qFormat/>
    <w:rsid w:val="00A56D3B"/>
    <w:pPr>
      <w:tabs>
        <w:tab w:val="left" w:pos="680"/>
      </w:tabs>
      <w:spacing w:before="0"/>
      <w:ind w:left="681" w:hanging="397"/>
    </w:pPr>
  </w:style>
  <w:style w:type="paragraph" w:customStyle="1" w:styleId="Boxheading">
    <w:name w:val="Box heading"/>
    <w:basedOn w:val="Box"/>
    <w:next w:val="Box"/>
    <w:uiPriority w:val="1"/>
    <w:semiHidden/>
    <w:qFormat/>
    <w:rsid w:val="001820A3"/>
    <w:pPr>
      <w:keepNext/>
      <w:spacing w:after="0"/>
    </w:pPr>
    <w:rPr>
      <w:b/>
    </w:rPr>
  </w:style>
  <w:style w:type="paragraph" w:customStyle="1" w:styleId="Bullet">
    <w:name w:val="Bullet"/>
    <w:basedOn w:val="Normal"/>
    <w:link w:val="BulletChar"/>
    <w:qFormat/>
    <w:rsid w:val="006B23C1"/>
    <w:pPr>
      <w:numPr>
        <w:numId w:val="14"/>
      </w:numPr>
      <w:spacing w:before="0" w:line="240" w:lineRule="atLeast"/>
      <w:ind w:left="397"/>
      <w:jc w:val="left"/>
    </w:pPr>
    <w:rPr>
      <w:rFonts w:eastAsia="Times New Roman" w:cs="Times New Roman"/>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uiPriority w:val="1"/>
    <w:qFormat/>
    <w:rsid w:val="00EA64B4"/>
    <w:pPr>
      <w:keepNext/>
      <w:ind w:left="1134" w:hanging="1134"/>
      <w:jc w:val="left"/>
    </w:pPr>
    <w:rPr>
      <w:b/>
      <w:sz w:val="20"/>
    </w:rPr>
  </w:style>
  <w:style w:type="character" w:styleId="FootnoteReference">
    <w:name w:val="footnote reference"/>
    <w:uiPriority w:val="99"/>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
    <w:semiHidden/>
    <w:rsid w:val="00624018"/>
    <w:pPr>
      <w:spacing w:line="360" w:lineRule="auto"/>
      <w:jc w:val="center"/>
    </w:pPr>
    <w:rPr>
      <w:b/>
      <w:color w:val="17556C"/>
      <w:sz w:val="52"/>
    </w:rPr>
  </w:style>
  <w:style w:type="character" w:customStyle="1" w:styleId="TitleChar">
    <w:name w:val="Title Char"/>
    <w:basedOn w:val="DefaultParagraphFont"/>
    <w:link w:val="Title"/>
    <w:uiPriority w:val="2"/>
    <w:semiHidden/>
    <w:rsid w:val="00C16D8C"/>
    <w:rPr>
      <w:rFonts w:ascii="Calibri" w:eastAsiaTheme="minorEastAsia" w:hAnsi="Calibri"/>
      <w:b/>
      <w:color w:val="17556C"/>
      <w:sz w:val="52"/>
      <w:lang w:eastAsia="en-NZ"/>
    </w:rPr>
  </w:style>
  <w:style w:type="paragraph" w:styleId="Subtitle">
    <w:name w:val="Subtitle"/>
    <w:basedOn w:val="Title"/>
    <w:link w:val="SubtitleChar"/>
    <w:uiPriority w:val="2"/>
    <w:semiHidden/>
    <w:rsid w:val="00D94120"/>
    <w:pPr>
      <w:spacing w:before="600" w:line="240" w:lineRule="auto"/>
    </w:pPr>
    <w:rPr>
      <w:sz w:val="36"/>
      <w:szCs w:val="36"/>
    </w:rPr>
  </w:style>
  <w:style w:type="character" w:customStyle="1" w:styleId="SubtitleChar">
    <w:name w:val="Subtitle Char"/>
    <w:basedOn w:val="DefaultParagraphFont"/>
    <w:link w:val="Subtitle"/>
    <w:uiPriority w:val="2"/>
    <w:semiHidden/>
    <w:rsid w:val="00C16D8C"/>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4468DB"/>
    <w:pPr>
      <w:tabs>
        <w:tab w:val="right" w:pos="8505"/>
      </w:tabs>
      <w:spacing w:before="240" w:after="0" w:line="240" w:lineRule="auto"/>
      <w:ind w:left="567" w:right="567" w:hanging="567"/>
      <w:jc w:val="left"/>
    </w:pPr>
  </w:style>
  <w:style w:type="paragraph" w:styleId="TOC2">
    <w:name w:val="toc 2"/>
    <w:basedOn w:val="Normal"/>
    <w:next w:val="Normal"/>
    <w:uiPriority w:val="39"/>
    <w:rsid w:val="004468DB"/>
    <w:pPr>
      <w:tabs>
        <w:tab w:val="right" w:pos="8505"/>
      </w:tabs>
      <w:spacing w:before="60" w:after="60" w:line="240" w:lineRule="auto"/>
      <w:ind w:left="567" w:right="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uiPriority w:val="39"/>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link w:val="ListParagraphChar"/>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6B23C1"/>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457940"/>
    <w:pPr>
      <w:keepNext/>
      <w:spacing w:before="80" w:after="80" w:line="240" w:lineRule="auto"/>
      <w:ind w:left="284"/>
    </w:pPr>
    <w:rPr>
      <w:b/>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1710E8"/>
    <w:pPr>
      <w:numPr>
        <w:numId w:val="12"/>
      </w:numPr>
      <w:spacing w:before="0"/>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rFonts w:eastAsia="Times New Roman"/>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7823D6"/>
    <w:pPr>
      <w:keepNext/>
      <w:spacing w:before="240" w:after="0"/>
    </w:pPr>
    <w:rPr>
      <w:rFonts w:cs="Times New Roman"/>
      <w:b/>
      <w:szCs w:val="20"/>
    </w:rPr>
  </w:style>
  <w:style w:type="paragraph" w:customStyle="1" w:styleId="Blue-boxsub-bullet">
    <w:name w:val="Blue-box sub-bullet"/>
    <w:basedOn w:val="Blueboxtext"/>
    <w:uiPriority w:val="1"/>
    <w:qFormat/>
    <w:rsid w:val="007823D6"/>
    <w:pPr>
      <w:numPr>
        <w:numId w:val="15"/>
      </w:numPr>
      <w:spacing w:before="0"/>
    </w:pPr>
    <w:rPr>
      <w:rFonts w:cs="Times New Roman"/>
      <w:szCs w:val="20"/>
    </w:rPr>
  </w:style>
  <w:style w:type="paragraph" w:customStyle="1" w:styleId="Greensub-bullet-casestudytables">
    <w:name w:val="Green sub-bullet - case study tables"/>
    <w:basedOn w:val="Greentext-casestudytables"/>
    <w:uiPriority w:val="1"/>
    <w:qFormat/>
    <w:rsid w:val="00C15722"/>
    <w:pPr>
      <w:numPr>
        <w:numId w:val="16"/>
      </w:numPr>
      <w:spacing w:before="0"/>
    </w:pPr>
  </w:style>
  <w:style w:type="paragraph" w:styleId="CommentText">
    <w:name w:val="annotation text"/>
    <w:basedOn w:val="Normal"/>
    <w:link w:val="CommentTextChar"/>
    <w:uiPriority w:val="99"/>
    <w:unhideWhenUsed/>
    <w:rsid w:val="00231BED"/>
    <w:pPr>
      <w:spacing w:before="0" w:after="160" w:line="240" w:lineRule="auto"/>
      <w:jc w:val="left"/>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231BED"/>
    <w:rPr>
      <w:sz w:val="20"/>
      <w:szCs w:val="20"/>
    </w:rPr>
  </w:style>
  <w:style w:type="paragraph" w:styleId="Bibliography">
    <w:name w:val="Bibliography"/>
    <w:basedOn w:val="Normal"/>
    <w:next w:val="Normal"/>
    <w:uiPriority w:val="37"/>
    <w:semiHidden/>
    <w:rsid w:val="002B475E"/>
    <w:pPr>
      <w:spacing w:before="0" w:after="160" w:line="259" w:lineRule="auto"/>
      <w:jc w:val="left"/>
    </w:pPr>
    <w:rPr>
      <w:rFonts w:asciiTheme="minorHAnsi" w:eastAsiaTheme="minorHAnsi" w:hAnsiTheme="minorHAnsi"/>
      <w:lang w:eastAsia="en-US"/>
    </w:rPr>
  </w:style>
  <w:style w:type="paragraph" w:customStyle="1" w:styleId="Default">
    <w:name w:val="Default"/>
    <w:semiHidden/>
    <w:rsid w:val="00C35D1D"/>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semiHidden/>
    <w:locked/>
    <w:rsid w:val="00FA338F"/>
    <w:rPr>
      <w:rFonts w:ascii="Times New Roman" w:eastAsiaTheme="minorEastAsia" w:hAnsi="Times New Roman"/>
      <w:szCs w:val="20"/>
      <w:lang w:eastAsia="en-GB"/>
    </w:rPr>
  </w:style>
  <w:style w:type="table" w:styleId="GridTable5Dark-Accent1">
    <w:name w:val="Grid Table 5 Dark Accent 1"/>
    <w:basedOn w:val="TableNormal"/>
    <w:uiPriority w:val="50"/>
    <w:rsid w:val="00624C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2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556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556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556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556C" w:themeFill="accent1"/>
      </w:tcPr>
    </w:tblStylePr>
    <w:tblStylePr w:type="band1Vert">
      <w:tblPr/>
      <w:tcPr>
        <w:shd w:val="clear" w:color="auto" w:fill="88C6E0" w:themeFill="accent1" w:themeFillTint="66"/>
      </w:tcPr>
    </w:tblStylePr>
    <w:tblStylePr w:type="band1Horz">
      <w:tblPr/>
      <w:tcPr>
        <w:shd w:val="clear" w:color="auto" w:fill="88C6E0" w:themeFill="accent1" w:themeFillTint="66"/>
      </w:tcPr>
    </w:tblStylePr>
  </w:style>
  <w:style w:type="table" w:customStyle="1" w:styleId="TableGrid1">
    <w:name w:val="Table Grid1"/>
    <w:basedOn w:val="TableNormal"/>
    <w:next w:val="TableGrid"/>
    <w:uiPriority w:val="39"/>
    <w:rsid w:val="00920D7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0D7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084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775"/>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0831"/>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526B0D"/>
    <w:pPr>
      <w:keepLines/>
      <w:tabs>
        <w:tab w:val="clear" w:pos="851"/>
      </w:tabs>
      <w:spacing w:before="240" w:after="0" w:line="259" w:lineRule="auto"/>
      <w:outlineLvl w:val="9"/>
    </w:pPr>
    <w:rPr>
      <w:rFonts w:asciiTheme="majorHAnsi" w:hAnsiTheme="majorHAnsi"/>
      <w:b w:val="0"/>
      <w:bCs w:val="0"/>
      <w:color w:val="153F50"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F236D5"/>
    <w:rPr>
      <w:color w:val="605E5C"/>
      <w:shd w:val="clear" w:color="auto" w:fill="E1DFDD"/>
    </w:rPr>
  </w:style>
  <w:style w:type="paragraph" w:customStyle="1" w:styleId="Blueboxnumbered">
    <w:name w:val="Blue box numbered"/>
    <w:basedOn w:val="Blueboxtext"/>
    <w:uiPriority w:val="1"/>
    <w:qFormat/>
    <w:rsid w:val="00566B83"/>
    <w:pPr>
      <w:numPr>
        <w:ilvl w:val="3"/>
        <w:numId w:val="19"/>
      </w:numPr>
      <w:spacing w:before="0"/>
    </w:pPr>
    <w:rPr>
      <w:rFonts w:cs="Times New Roman"/>
      <w:szCs w:val="20"/>
    </w:rPr>
  </w:style>
  <w:style w:type="paragraph" w:styleId="ListBullet">
    <w:name w:val="List Bullet"/>
    <w:basedOn w:val="BodyText"/>
    <w:semiHidden/>
    <w:qFormat/>
    <w:rsid w:val="00172B29"/>
    <w:pPr>
      <w:numPr>
        <w:numId w:val="22"/>
      </w:numPr>
      <w:spacing w:line="240" w:lineRule="auto"/>
    </w:pPr>
    <w:rPr>
      <w:rFonts w:eastAsia="Times New Roman" w:cs="Times New Roman"/>
      <w:lang w:eastAsia="en-AU"/>
    </w:rPr>
  </w:style>
  <w:style w:type="paragraph" w:styleId="ListBullet2">
    <w:name w:val="List Bullet 2"/>
    <w:basedOn w:val="ListBullet"/>
    <w:uiPriority w:val="1"/>
    <w:semiHidden/>
    <w:rsid w:val="00172B29"/>
    <w:pPr>
      <w:numPr>
        <w:ilvl w:val="1"/>
      </w:numPr>
    </w:pPr>
  </w:style>
  <w:style w:type="paragraph" w:styleId="ListBullet3">
    <w:name w:val="List Bullet 3"/>
    <w:basedOn w:val="ListBullet"/>
    <w:uiPriority w:val="1"/>
    <w:qFormat/>
    <w:rsid w:val="00172B29"/>
    <w:pPr>
      <w:numPr>
        <w:ilvl w:val="2"/>
      </w:numPr>
    </w:pPr>
  </w:style>
  <w:style w:type="paragraph" w:styleId="ListBullet4">
    <w:name w:val="List Bullet 4"/>
    <w:basedOn w:val="ListBullet"/>
    <w:uiPriority w:val="1"/>
    <w:semiHidden/>
    <w:rsid w:val="00172B29"/>
    <w:pPr>
      <w:numPr>
        <w:ilvl w:val="3"/>
      </w:numPr>
    </w:pPr>
  </w:style>
  <w:style w:type="paragraph" w:styleId="ListBullet5">
    <w:name w:val="List Bullet 5"/>
    <w:basedOn w:val="ListBullet4"/>
    <w:uiPriority w:val="1"/>
    <w:semiHidden/>
    <w:rsid w:val="00172B29"/>
    <w:pPr>
      <w:numPr>
        <w:ilvl w:val="4"/>
      </w:numPr>
    </w:pPr>
  </w:style>
  <w:style w:type="paragraph" w:customStyle="1" w:styleId="Bullets">
    <w:name w:val="Bullets"/>
    <w:basedOn w:val="ListBullet"/>
    <w:qFormat/>
    <w:rsid w:val="00172B29"/>
    <w:pPr>
      <w:spacing w:before="0"/>
    </w:pPr>
  </w:style>
  <w:style w:type="character" w:customStyle="1" w:styleId="UnresolvedMention">
    <w:name w:val="Unresolved Mention"/>
    <w:basedOn w:val="DefaultParagraphFont"/>
    <w:uiPriority w:val="99"/>
    <w:semiHidden/>
    <w:unhideWhenUsed/>
    <w:rsid w:val="00F83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3620">
      <w:bodyDiv w:val="1"/>
      <w:marLeft w:val="0"/>
      <w:marRight w:val="0"/>
      <w:marTop w:val="0"/>
      <w:marBottom w:val="0"/>
      <w:divBdr>
        <w:top w:val="none" w:sz="0" w:space="0" w:color="auto"/>
        <w:left w:val="none" w:sz="0" w:space="0" w:color="auto"/>
        <w:bottom w:val="none" w:sz="0" w:space="0" w:color="auto"/>
        <w:right w:val="none" w:sz="0" w:space="0" w:color="auto"/>
      </w:divBdr>
    </w:div>
    <w:div w:id="131220033">
      <w:bodyDiv w:val="1"/>
      <w:marLeft w:val="0"/>
      <w:marRight w:val="0"/>
      <w:marTop w:val="0"/>
      <w:marBottom w:val="0"/>
      <w:divBdr>
        <w:top w:val="none" w:sz="0" w:space="0" w:color="auto"/>
        <w:left w:val="none" w:sz="0" w:space="0" w:color="auto"/>
        <w:bottom w:val="none" w:sz="0" w:space="0" w:color="auto"/>
        <w:right w:val="none" w:sz="0" w:space="0" w:color="auto"/>
      </w:divBdr>
    </w:div>
    <w:div w:id="168065707">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45768564">
      <w:bodyDiv w:val="1"/>
      <w:marLeft w:val="0"/>
      <w:marRight w:val="0"/>
      <w:marTop w:val="0"/>
      <w:marBottom w:val="0"/>
      <w:divBdr>
        <w:top w:val="none" w:sz="0" w:space="0" w:color="auto"/>
        <w:left w:val="none" w:sz="0" w:space="0" w:color="auto"/>
        <w:bottom w:val="none" w:sz="0" w:space="0" w:color="auto"/>
        <w:right w:val="none" w:sz="0" w:space="0" w:color="auto"/>
      </w:divBdr>
    </w:div>
    <w:div w:id="255287917">
      <w:bodyDiv w:val="1"/>
      <w:marLeft w:val="0"/>
      <w:marRight w:val="0"/>
      <w:marTop w:val="0"/>
      <w:marBottom w:val="0"/>
      <w:divBdr>
        <w:top w:val="none" w:sz="0" w:space="0" w:color="auto"/>
        <w:left w:val="none" w:sz="0" w:space="0" w:color="auto"/>
        <w:bottom w:val="none" w:sz="0" w:space="0" w:color="auto"/>
        <w:right w:val="none" w:sz="0" w:space="0" w:color="auto"/>
      </w:divBdr>
    </w:div>
    <w:div w:id="261764548">
      <w:bodyDiv w:val="1"/>
      <w:marLeft w:val="0"/>
      <w:marRight w:val="0"/>
      <w:marTop w:val="0"/>
      <w:marBottom w:val="0"/>
      <w:divBdr>
        <w:top w:val="none" w:sz="0" w:space="0" w:color="auto"/>
        <w:left w:val="none" w:sz="0" w:space="0" w:color="auto"/>
        <w:bottom w:val="none" w:sz="0" w:space="0" w:color="auto"/>
        <w:right w:val="none" w:sz="0" w:space="0" w:color="auto"/>
      </w:divBdr>
    </w:div>
    <w:div w:id="312174208">
      <w:bodyDiv w:val="1"/>
      <w:marLeft w:val="0"/>
      <w:marRight w:val="0"/>
      <w:marTop w:val="0"/>
      <w:marBottom w:val="0"/>
      <w:divBdr>
        <w:top w:val="none" w:sz="0" w:space="0" w:color="auto"/>
        <w:left w:val="none" w:sz="0" w:space="0" w:color="auto"/>
        <w:bottom w:val="none" w:sz="0" w:space="0" w:color="auto"/>
        <w:right w:val="none" w:sz="0" w:space="0" w:color="auto"/>
      </w:divBdr>
    </w:div>
    <w:div w:id="314459146">
      <w:bodyDiv w:val="1"/>
      <w:marLeft w:val="0"/>
      <w:marRight w:val="0"/>
      <w:marTop w:val="0"/>
      <w:marBottom w:val="0"/>
      <w:divBdr>
        <w:top w:val="none" w:sz="0" w:space="0" w:color="auto"/>
        <w:left w:val="none" w:sz="0" w:space="0" w:color="auto"/>
        <w:bottom w:val="none" w:sz="0" w:space="0" w:color="auto"/>
        <w:right w:val="none" w:sz="0" w:space="0" w:color="auto"/>
      </w:divBdr>
      <w:divsChild>
        <w:div w:id="358970650">
          <w:marLeft w:val="0"/>
          <w:marRight w:val="0"/>
          <w:marTop w:val="0"/>
          <w:marBottom w:val="0"/>
          <w:divBdr>
            <w:top w:val="none" w:sz="0" w:space="0" w:color="auto"/>
            <w:left w:val="none" w:sz="0" w:space="0" w:color="auto"/>
            <w:bottom w:val="none" w:sz="0" w:space="0" w:color="auto"/>
            <w:right w:val="none" w:sz="0" w:space="0" w:color="auto"/>
          </w:divBdr>
          <w:divsChild>
            <w:div w:id="468014687">
              <w:marLeft w:val="0"/>
              <w:marRight w:val="0"/>
              <w:marTop w:val="0"/>
              <w:marBottom w:val="0"/>
              <w:divBdr>
                <w:top w:val="none" w:sz="0" w:space="0" w:color="auto"/>
                <w:left w:val="none" w:sz="0" w:space="0" w:color="auto"/>
                <w:bottom w:val="none" w:sz="0" w:space="0" w:color="auto"/>
                <w:right w:val="none" w:sz="0" w:space="0" w:color="auto"/>
              </w:divBdr>
              <w:divsChild>
                <w:div w:id="15865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824">
      <w:bodyDiv w:val="1"/>
      <w:marLeft w:val="0"/>
      <w:marRight w:val="0"/>
      <w:marTop w:val="0"/>
      <w:marBottom w:val="0"/>
      <w:divBdr>
        <w:top w:val="none" w:sz="0" w:space="0" w:color="auto"/>
        <w:left w:val="none" w:sz="0" w:space="0" w:color="auto"/>
        <w:bottom w:val="none" w:sz="0" w:space="0" w:color="auto"/>
        <w:right w:val="none" w:sz="0" w:space="0" w:color="auto"/>
      </w:divBdr>
    </w:div>
    <w:div w:id="473984180">
      <w:bodyDiv w:val="1"/>
      <w:marLeft w:val="0"/>
      <w:marRight w:val="0"/>
      <w:marTop w:val="0"/>
      <w:marBottom w:val="0"/>
      <w:divBdr>
        <w:top w:val="none" w:sz="0" w:space="0" w:color="auto"/>
        <w:left w:val="none" w:sz="0" w:space="0" w:color="auto"/>
        <w:bottom w:val="none" w:sz="0" w:space="0" w:color="auto"/>
        <w:right w:val="none" w:sz="0" w:space="0" w:color="auto"/>
      </w:divBdr>
    </w:div>
    <w:div w:id="479690117">
      <w:bodyDiv w:val="1"/>
      <w:marLeft w:val="0"/>
      <w:marRight w:val="0"/>
      <w:marTop w:val="0"/>
      <w:marBottom w:val="0"/>
      <w:divBdr>
        <w:top w:val="none" w:sz="0" w:space="0" w:color="auto"/>
        <w:left w:val="none" w:sz="0" w:space="0" w:color="auto"/>
        <w:bottom w:val="none" w:sz="0" w:space="0" w:color="auto"/>
        <w:right w:val="none" w:sz="0" w:space="0" w:color="auto"/>
      </w:divBdr>
      <w:divsChild>
        <w:div w:id="688334257">
          <w:marLeft w:val="864"/>
          <w:marRight w:val="0"/>
          <w:marTop w:val="134"/>
          <w:marBottom w:val="185"/>
          <w:divBdr>
            <w:top w:val="none" w:sz="0" w:space="0" w:color="auto"/>
            <w:left w:val="none" w:sz="0" w:space="0" w:color="auto"/>
            <w:bottom w:val="none" w:sz="0" w:space="0" w:color="auto"/>
            <w:right w:val="none" w:sz="0" w:space="0" w:color="auto"/>
          </w:divBdr>
        </w:div>
        <w:div w:id="831261147">
          <w:marLeft w:val="864"/>
          <w:marRight w:val="0"/>
          <w:marTop w:val="134"/>
          <w:marBottom w:val="185"/>
          <w:divBdr>
            <w:top w:val="none" w:sz="0" w:space="0" w:color="auto"/>
            <w:left w:val="none" w:sz="0" w:space="0" w:color="auto"/>
            <w:bottom w:val="none" w:sz="0" w:space="0" w:color="auto"/>
            <w:right w:val="none" w:sz="0" w:space="0" w:color="auto"/>
          </w:divBdr>
        </w:div>
      </w:divsChild>
    </w:div>
    <w:div w:id="484781418">
      <w:bodyDiv w:val="1"/>
      <w:marLeft w:val="0"/>
      <w:marRight w:val="0"/>
      <w:marTop w:val="0"/>
      <w:marBottom w:val="0"/>
      <w:divBdr>
        <w:top w:val="none" w:sz="0" w:space="0" w:color="auto"/>
        <w:left w:val="none" w:sz="0" w:space="0" w:color="auto"/>
        <w:bottom w:val="none" w:sz="0" w:space="0" w:color="auto"/>
        <w:right w:val="none" w:sz="0" w:space="0" w:color="auto"/>
      </w:divBdr>
      <w:divsChild>
        <w:div w:id="617881817">
          <w:marLeft w:val="0"/>
          <w:marRight w:val="0"/>
          <w:marTop w:val="0"/>
          <w:marBottom w:val="0"/>
          <w:divBdr>
            <w:top w:val="none" w:sz="0" w:space="0" w:color="auto"/>
            <w:left w:val="none" w:sz="0" w:space="0" w:color="auto"/>
            <w:bottom w:val="none" w:sz="0" w:space="0" w:color="auto"/>
            <w:right w:val="none" w:sz="0" w:space="0" w:color="auto"/>
          </w:divBdr>
          <w:divsChild>
            <w:div w:id="749810519">
              <w:marLeft w:val="0"/>
              <w:marRight w:val="0"/>
              <w:marTop w:val="0"/>
              <w:marBottom w:val="0"/>
              <w:divBdr>
                <w:top w:val="none" w:sz="0" w:space="0" w:color="auto"/>
                <w:left w:val="none" w:sz="0" w:space="0" w:color="auto"/>
                <w:bottom w:val="none" w:sz="0" w:space="0" w:color="auto"/>
                <w:right w:val="none" w:sz="0" w:space="0" w:color="auto"/>
              </w:divBdr>
              <w:divsChild>
                <w:div w:id="1147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4231">
      <w:bodyDiv w:val="1"/>
      <w:marLeft w:val="0"/>
      <w:marRight w:val="0"/>
      <w:marTop w:val="0"/>
      <w:marBottom w:val="0"/>
      <w:divBdr>
        <w:top w:val="none" w:sz="0" w:space="0" w:color="auto"/>
        <w:left w:val="none" w:sz="0" w:space="0" w:color="auto"/>
        <w:bottom w:val="none" w:sz="0" w:space="0" w:color="auto"/>
        <w:right w:val="none" w:sz="0" w:space="0" w:color="auto"/>
      </w:divBdr>
    </w:div>
    <w:div w:id="555893056">
      <w:bodyDiv w:val="1"/>
      <w:marLeft w:val="0"/>
      <w:marRight w:val="0"/>
      <w:marTop w:val="0"/>
      <w:marBottom w:val="0"/>
      <w:divBdr>
        <w:top w:val="none" w:sz="0" w:space="0" w:color="auto"/>
        <w:left w:val="none" w:sz="0" w:space="0" w:color="auto"/>
        <w:bottom w:val="none" w:sz="0" w:space="0" w:color="auto"/>
        <w:right w:val="none" w:sz="0" w:space="0" w:color="auto"/>
      </w:divBdr>
    </w:div>
    <w:div w:id="565989339">
      <w:bodyDiv w:val="1"/>
      <w:marLeft w:val="0"/>
      <w:marRight w:val="0"/>
      <w:marTop w:val="0"/>
      <w:marBottom w:val="0"/>
      <w:divBdr>
        <w:top w:val="none" w:sz="0" w:space="0" w:color="auto"/>
        <w:left w:val="none" w:sz="0" w:space="0" w:color="auto"/>
        <w:bottom w:val="none" w:sz="0" w:space="0" w:color="auto"/>
        <w:right w:val="none" w:sz="0" w:space="0" w:color="auto"/>
      </w:divBdr>
    </w:div>
    <w:div w:id="576016921">
      <w:bodyDiv w:val="1"/>
      <w:marLeft w:val="0"/>
      <w:marRight w:val="0"/>
      <w:marTop w:val="0"/>
      <w:marBottom w:val="0"/>
      <w:divBdr>
        <w:top w:val="none" w:sz="0" w:space="0" w:color="auto"/>
        <w:left w:val="none" w:sz="0" w:space="0" w:color="auto"/>
        <w:bottom w:val="none" w:sz="0" w:space="0" w:color="auto"/>
        <w:right w:val="none" w:sz="0" w:space="0" w:color="auto"/>
      </w:divBdr>
    </w:div>
    <w:div w:id="588660618">
      <w:bodyDiv w:val="1"/>
      <w:marLeft w:val="0"/>
      <w:marRight w:val="0"/>
      <w:marTop w:val="0"/>
      <w:marBottom w:val="0"/>
      <w:divBdr>
        <w:top w:val="none" w:sz="0" w:space="0" w:color="auto"/>
        <w:left w:val="none" w:sz="0" w:space="0" w:color="auto"/>
        <w:bottom w:val="none" w:sz="0" w:space="0" w:color="auto"/>
        <w:right w:val="none" w:sz="0" w:space="0" w:color="auto"/>
      </w:divBdr>
    </w:div>
    <w:div w:id="635333480">
      <w:bodyDiv w:val="1"/>
      <w:marLeft w:val="0"/>
      <w:marRight w:val="0"/>
      <w:marTop w:val="0"/>
      <w:marBottom w:val="0"/>
      <w:divBdr>
        <w:top w:val="none" w:sz="0" w:space="0" w:color="auto"/>
        <w:left w:val="none" w:sz="0" w:space="0" w:color="auto"/>
        <w:bottom w:val="none" w:sz="0" w:space="0" w:color="auto"/>
        <w:right w:val="none" w:sz="0" w:space="0" w:color="auto"/>
      </w:divBdr>
    </w:div>
    <w:div w:id="659192999">
      <w:bodyDiv w:val="1"/>
      <w:marLeft w:val="0"/>
      <w:marRight w:val="0"/>
      <w:marTop w:val="0"/>
      <w:marBottom w:val="0"/>
      <w:divBdr>
        <w:top w:val="none" w:sz="0" w:space="0" w:color="auto"/>
        <w:left w:val="none" w:sz="0" w:space="0" w:color="auto"/>
        <w:bottom w:val="none" w:sz="0" w:space="0" w:color="auto"/>
        <w:right w:val="none" w:sz="0" w:space="0" w:color="auto"/>
      </w:divBdr>
      <w:divsChild>
        <w:div w:id="1654022645">
          <w:marLeft w:val="691"/>
          <w:marRight w:val="0"/>
          <w:marTop w:val="183"/>
          <w:marBottom w:val="183"/>
          <w:divBdr>
            <w:top w:val="none" w:sz="0" w:space="0" w:color="auto"/>
            <w:left w:val="none" w:sz="0" w:space="0" w:color="auto"/>
            <w:bottom w:val="none" w:sz="0" w:space="0" w:color="auto"/>
            <w:right w:val="none" w:sz="0" w:space="0" w:color="auto"/>
          </w:divBdr>
        </w:div>
      </w:divsChild>
    </w:div>
    <w:div w:id="664554244">
      <w:bodyDiv w:val="1"/>
      <w:marLeft w:val="0"/>
      <w:marRight w:val="0"/>
      <w:marTop w:val="0"/>
      <w:marBottom w:val="0"/>
      <w:divBdr>
        <w:top w:val="none" w:sz="0" w:space="0" w:color="auto"/>
        <w:left w:val="none" w:sz="0" w:space="0" w:color="auto"/>
        <w:bottom w:val="none" w:sz="0" w:space="0" w:color="auto"/>
        <w:right w:val="none" w:sz="0" w:space="0" w:color="auto"/>
      </w:divBdr>
      <w:divsChild>
        <w:div w:id="915700242">
          <w:marLeft w:val="0"/>
          <w:marRight w:val="0"/>
          <w:marTop w:val="0"/>
          <w:marBottom w:val="0"/>
          <w:divBdr>
            <w:top w:val="none" w:sz="0" w:space="0" w:color="auto"/>
            <w:left w:val="none" w:sz="0" w:space="0" w:color="auto"/>
            <w:bottom w:val="none" w:sz="0" w:space="0" w:color="auto"/>
            <w:right w:val="none" w:sz="0" w:space="0" w:color="auto"/>
          </w:divBdr>
          <w:divsChild>
            <w:div w:id="1277323790">
              <w:marLeft w:val="0"/>
              <w:marRight w:val="0"/>
              <w:marTop w:val="0"/>
              <w:marBottom w:val="0"/>
              <w:divBdr>
                <w:top w:val="none" w:sz="0" w:space="0" w:color="auto"/>
                <w:left w:val="none" w:sz="0" w:space="0" w:color="auto"/>
                <w:bottom w:val="none" w:sz="0" w:space="0" w:color="auto"/>
                <w:right w:val="none" w:sz="0" w:space="0" w:color="auto"/>
              </w:divBdr>
              <w:divsChild>
                <w:div w:id="111170524">
                  <w:marLeft w:val="0"/>
                  <w:marRight w:val="0"/>
                  <w:marTop w:val="0"/>
                  <w:marBottom w:val="0"/>
                  <w:divBdr>
                    <w:top w:val="none" w:sz="0" w:space="0" w:color="auto"/>
                    <w:left w:val="none" w:sz="0" w:space="0" w:color="auto"/>
                    <w:bottom w:val="none" w:sz="0" w:space="0" w:color="auto"/>
                    <w:right w:val="none" w:sz="0" w:space="0" w:color="auto"/>
                  </w:divBdr>
                  <w:divsChild>
                    <w:div w:id="754785699">
                      <w:marLeft w:val="300"/>
                      <w:marRight w:val="0"/>
                      <w:marTop w:val="0"/>
                      <w:marBottom w:val="0"/>
                      <w:divBdr>
                        <w:top w:val="none" w:sz="0" w:space="0" w:color="auto"/>
                        <w:left w:val="none" w:sz="0" w:space="0" w:color="auto"/>
                        <w:bottom w:val="none" w:sz="0" w:space="0" w:color="auto"/>
                        <w:right w:val="none" w:sz="0" w:space="0" w:color="auto"/>
                      </w:divBdr>
                      <w:divsChild>
                        <w:div w:id="1022514567">
                          <w:marLeft w:val="-300"/>
                          <w:marRight w:val="0"/>
                          <w:marTop w:val="0"/>
                          <w:marBottom w:val="0"/>
                          <w:divBdr>
                            <w:top w:val="none" w:sz="0" w:space="0" w:color="auto"/>
                            <w:left w:val="none" w:sz="0" w:space="0" w:color="auto"/>
                            <w:bottom w:val="none" w:sz="0" w:space="0" w:color="auto"/>
                            <w:right w:val="none" w:sz="0" w:space="0" w:color="auto"/>
                          </w:divBdr>
                          <w:divsChild>
                            <w:div w:id="19357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65486">
      <w:bodyDiv w:val="1"/>
      <w:marLeft w:val="0"/>
      <w:marRight w:val="0"/>
      <w:marTop w:val="0"/>
      <w:marBottom w:val="0"/>
      <w:divBdr>
        <w:top w:val="none" w:sz="0" w:space="0" w:color="auto"/>
        <w:left w:val="none" w:sz="0" w:space="0" w:color="auto"/>
        <w:bottom w:val="none" w:sz="0" w:space="0" w:color="auto"/>
        <w:right w:val="none" w:sz="0" w:space="0" w:color="auto"/>
      </w:divBdr>
    </w:div>
    <w:div w:id="772243201">
      <w:bodyDiv w:val="1"/>
      <w:marLeft w:val="0"/>
      <w:marRight w:val="0"/>
      <w:marTop w:val="0"/>
      <w:marBottom w:val="0"/>
      <w:divBdr>
        <w:top w:val="none" w:sz="0" w:space="0" w:color="auto"/>
        <w:left w:val="none" w:sz="0" w:space="0" w:color="auto"/>
        <w:bottom w:val="none" w:sz="0" w:space="0" w:color="auto"/>
        <w:right w:val="none" w:sz="0" w:space="0" w:color="auto"/>
      </w:divBdr>
    </w:div>
    <w:div w:id="786201927">
      <w:bodyDiv w:val="1"/>
      <w:marLeft w:val="0"/>
      <w:marRight w:val="0"/>
      <w:marTop w:val="0"/>
      <w:marBottom w:val="0"/>
      <w:divBdr>
        <w:top w:val="none" w:sz="0" w:space="0" w:color="auto"/>
        <w:left w:val="none" w:sz="0" w:space="0" w:color="auto"/>
        <w:bottom w:val="none" w:sz="0" w:space="0" w:color="auto"/>
        <w:right w:val="none" w:sz="0" w:space="0" w:color="auto"/>
      </w:divBdr>
    </w:div>
    <w:div w:id="794328692">
      <w:bodyDiv w:val="1"/>
      <w:marLeft w:val="0"/>
      <w:marRight w:val="0"/>
      <w:marTop w:val="0"/>
      <w:marBottom w:val="0"/>
      <w:divBdr>
        <w:top w:val="none" w:sz="0" w:space="0" w:color="auto"/>
        <w:left w:val="none" w:sz="0" w:space="0" w:color="auto"/>
        <w:bottom w:val="none" w:sz="0" w:space="0" w:color="auto"/>
        <w:right w:val="none" w:sz="0" w:space="0" w:color="auto"/>
      </w:divBdr>
    </w:div>
    <w:div w:id="826168982">
      <w:bodyDiv w:val="1"/>
      <w:marLeft w:val="0"/>
      <w:marRight w:val="0"/>
      <w:marTop w:val="0"/>
      <w:marBottom w:val="0"/>
      <w:divBdr>
        <w:top w:val="none" w:sz="0" w:space="0" w:color="auto"/>
        <w:left w:val="none" w:sz="0" w:space="0" w:color="auto"/>
        <w:bottom w:val="none" w:sz="0" w:space="0" w:color="auto"/>
        <w:right w:val="none" w:sz="0" w:space="0" w:color="auto"/>
      </w:divBdr>
    </w:div>
    <w:div w:id="840778836">
      <w:bodyDiv w:val="1"/>
      <w:marLeft w:val="0"/>
      <w:marRight w:val="0"/>
      <w:marTop w:val="0"/>
      <w:marBottom w:val="0"/>
      <w:divBdr>
        <w:top w:val="none" w:sz="0" w:space="0" w:color="auto"/>
        <w:left w:val="none" w:sz="0" w:space="0" w:color="auto"/>
        <w:bottom w:val="none" w:sz="0" w:space="0" w:color="auto"/>
        <w:right w:val="none" w:sz="0" w:space="0" w:color="auto"/>
      </w:divBdr>
    </w:div>
    <w:div w:id="929313843">
      <w:bodyDiv w:val="1"/>
      <w:marLeft w:val="0"/>
      <w:marRight w:val="0"/>
      <w:marTop w:val="0"/>
      <w:marBottom w:val="0"/>
      <w:divBdr>
        <w:top w:val="none" w:sz="0" w:space="0" w:color="auto"/>
        <w:left w:val="none" w:sz="0" w:space="0" w:color="auto"/>
        <w:bottom w:val="none" w:sz="0" w:space="0" w:color="auto"/>
        <w:right w:val="none" w:sz="0" w:space="0" w:color="auto"/>
      </w:divBdr>
      <w:divsChild>
        <w:div w:id="1656954957">
          <w:marLeft w:val="1699"/>
          <w:marRight w:val="0"/>
          <w:marTop w:val="183"/>
          <w:marBottom w:val="183"/>
          <w:divBdr>
            <w:top w:val="none" w:sz="0" w:space="0" w:color="auto"/>
            <w:left w:val="none" w:sz="0" w:space="0" w:color="auto"/>
            <w:bottom w:val="none" w:sz="0" w:space="0" w:color="auto"/>
            <w:right w:val="none" w:sz="0" w:space="0" w:color="auto"/>
          </w:divBdr>
        </w:div>
      </w:divsChild>
    </w:div>
    <w:div w:id="933244354">
      <w:bodyDiv w:val="1"/>
      <w:marLeft w:val="0"/>
      <w:marRight w:val="0"/>
      <w:marTop w:val="0"/>
      <w:marBottom w:val="0"/>
      <w:divBdr>
        <w:top w:val="none" w:sz="0" w:space="0" w:color="auto"/>
        <w:left w:val="none" w:sz="0" w:space="0" w:color="auto"/>
        <w:bottom w:val="none" w:sz="0" w:space="0" w:color="auto"/>
        <w:right w:val="none" w:sz="0" w:space="0" w:color="auto"/>
      </w:divBdr>
    </w:div>
    <w:div w:id="936408700">
      <w:bodyDiv w:val="1"/>
      <w:marLeft w:val="0"/>
      <w:marRight w:val="0"/>
      <w:marTop w:val="0"/>
      <w:marBottom w:val="0"/>
      <w:divBdr>
        <w:top w:val="none" w:sz="0" w:space="0" w:color="auto"/>
        <w:left w:val="none" w:sz="0" w:space="0" w:color="auto"/>
        <w:bottom w:val="none" w:sz="0" w:space="0" w:color="auto"/>
        <w:right w:val="none" w:sz="0" w:space="0" w:color="auto"/>
      </w:divBdr>
    </w:div>
    <w:div w:id="982081496">
      <w:bodyDiv w:val="1"/>
      <w:marLeft w:val="0"/>
      <w:marRight w:val="0"/>
      <w:marTop w:val="0"/>
      <w:marBottom w:val="0"/>
      <w:divBdr>
        <w:top w:val="none" w:sz="0" w:space="0" w:color="auto"/>
        <w:left w:val="none" w:sz="0" w:space="0" w:color="auto"/>
        <w:bottom w:val="none" w:sz="0" w:space="0" w:color="auto"/>
        <w:right w:val="none" w:sz="0" w:space="0" w:color="auto"/>
      </w:divBdr>
      <w:divsChild>
        <w:div w:id="1707290255">
          <w:marLeft w:val="1699"/>
          <w:marRight w:val="0"/>
          <w:marTop w:val="183"/>
          <w:marBottom w:val="183"/>
          <w:divBdr>
            <w:top w:val="none" w:sz="0" w:space="0" w:color="auto"/>
            <w:left w:val="none" w:sz="0" w:space="0" w:color="auto"/>
            <w:bottom w:val="none" w:sz="0" w:space="0" w:color="auto"/>
            <w:right w:val="none" w:sz="0" w:space="0" w:color="auto"/>
          </w:divBdr>
        </w:div>
      </w:divsChild>
    </w:div>
    <w:div w:id="1012490094">
      <w:bodyDiv w:val="1"/>
      <w:marLeft w:val="0"/>
      <w:marRight w:val="0"/>
      <w:marTop w:val="0"/>
      <w:marBottom w:val="0"/>
      <w:divBdr>
        <w:top w:val="none" w:sz="0" w:space="0" w:color="auto"/>
        <w:left w:val="none" w:sz="0" w:space="0" w:color="auto"/>
        <w:bottom w:val="none" w:sz="0" w:space="0" w:color="auto"/>
        <w:right w:val="none" w:sz="0" w:space="0" w:color="auto"/>
      </w:divBdr>
    </w:div>
    <w:div w:id="1083603102">
      <w:bodyDiv w:val="1"/>
      <w:marLeft w:val="0"/>
      <w:marRight w:val="0"/>
      <w:marTop w:val="0"/>
      <w:marBottom w:val="0"/>
      <w:divBdr>
        <w:top w:val="none" w:sz="0" w:space="0" w:color="auto"/>
        <w:left w:val="none" w:sz="0" w:space="0" w:color="auto"/>
        <w:bottom w:val="none" w:sz="0" w:space="0" w:color="auto"/>
        <w:right w:val="none" w:sz="0" w:space="0" w:color="auto"/>
      </w:divBdr>
    </w:div>
    <w:div w:id="1144545291">
      <w:bodyDiv w:val="1"/>
      <w:marLeft w:val="0"/>
      <w:marRight w:val="0"/>
      <w:marTop w:val="0"/>
      <w:marBottom w:val="0"/>
      <w:divBdr>
        <w:top w:val="none" w:sz="0" w:space="0" w:color="auto"/>
        <w:left w:val="none" w:sz="0" w:space="0" w:color="auto"/>
        <w:bottom w:val="none" w:sz="0" w:space="0" w:color="auto"/>
        <w:right w:val="none" w:sz="0" w:space="0" w:color="auto"/>
      </w:divBdr>
    </w:div>
    <w:div w:id="1147747408">
      <w:bodyDiv w:val="1"/>
      <w:marLeft w:val="0"/>
      <w:marRight w:val="0"/>
      <w:marTop w:val="0"/>
      <w:marBottom w:val="0"/>
      <w:divBdr>
        <w:top w:val="none" w:sz="0" w:space="0" w:color="auto"/>
        <w:left w:val="none" w:sz="0" w:space="0" w:color="auto"/>
        <w:bottom w:val="none" w:sz="0" w:space="0" w:color="auto"/>
        <w:right w:val="none" w:sz="0" w:space="0" w:color="auto"/>
      </w:divBdr>
    </w:div>
    <w:div w:id="1166436457">
      <w:bodyDiv w:val="1"/>
      <w:marLeft w:val="0"/>
      <w:marRight w:val="0"/>
      <w:marTop w:val="0"/>
      <w:marBottom w:val="0"/>
      <w:divBdr>
        <w:top w:val="none" w:sz="0" w:space="0" w:color="auto"/>
        <w:left w:val="none" w:sz="0" w:space="0" w:color="auto"/>
        <w:bottom w:val="none" w:sz="0" w:space="0" w:color="auto"/>
        <w:right w:val="none" w:sz="0" w:space="0" w:color="auto"/>
      </w:divBdr>
      <w:divsChild>
        <w:div w:id="1945574620">
          <w:marLeft w:val="691"/>
          <w:marRight w:val="0"/>
          <w:marTop w:val="183"/>
          <w:marBottom w:val="183"/>
          <w:divBdr>
            <w:top w:val="none" w:sz="0" w:space="0" w:color="auto"/>
            <w:left w:val="none" w:sz="0" w:space="0" w:color="auto"/>
            <w:bottom w:val="none" w:sz="0" w:space="0" w:color="auto"/>
            <w:right w:val="none" w:sz="0" w:space="0" w:color="auto"/>
          </w:divBdr>
        </w:div>
      </w:divsChild>
    </w:div>
    <w:div w:id="1168322787">
      <w:bodyDiv w:val="1"/>
      <w:marLeft w:val="0"/>
      <w:marRight w:val="0"/>
      <w:marTop w:val="0"/>
      <w:marBottom w:val="0"/>
      <w:divBdr>
        <w:top w:val="none" w:sz="0" w:space="0" w:color="auto"/>
        <w:left w:val="none" w:sz="0" w:space="0" w:color="auto"/>
        <w:bottom w:val="none" w:sz="0" w:space="0" w:color="auto"/>
        <w:right w:val="none" w:sz="0" w:space="0" w:color="auto"/>
      </w:divBdr>
    </w:div>
    <w:div w:id="1169249494">
      <w:bodyDiv w:val="1"/>
      <w:marLeft w:val="0"/>
      <w:marRight w:val="0"/>
      <w:marTop w:val="0"/>
      <w:marBottom w:val="0"/>
      <w:divBdr>
        <w:top w:val="none" w:sz="0" w:space="0" w:color="auto"/>
        <w:left w:val="none" w:sz="0" w:space="0" w:color="auto"/>
        <w:bottom w:val="none" w:sz="0" w:space="0" w:color="auto"/>
        <w:right w:val="none" w:sz="0" w:space="0" w:color="auto"/>
      </w:divBdr>
      <w:divsChild>
        <w:div w:id="376441909">
          <w:marLeft w:val="691"/>
          <w:marRight w:val="0"/>
          <w:marTop w:val="183"/>
          <w:marBottom w:val="183"/>
          <w:divBdr>
            <w:top w:val="none" w:sz="0" w:space="0" w:color="auto"/>
            <w:left w:val="none" w:sz="0" w:space="0" w:color="auto"/>
            <w:bottom w:val="none" w:sz="0" w:space="0" w:color="auto"/>
            <w:right w:val="none" w:sz="0" w:space="0" w:color="auto"/>
          </w:divBdr>
        </w:div>
      </w:divsChild>
    </w:div>
    <w:div w:id="1187669917">
      <w:bodyDiv w:val="1"/>
      <w:marLeft w:val="0"/>
      <w:marRight w:val="0"/>
      <w:marTop w:val="0"/>
      <w:marBottom w:val="0"/>
      <w:divBdr>
        <w:top w:val="none" w:sz="0" w:space="0" w:color="auto"/>
        <w:left w:val="none" w:sz="0" w:space="0" w:color="auto"/>
        <w:bottom w:val="none" w:sz="0" w:space="0" w:color="auto"/>
        <w:right w:val="none" w:sz="0" w:space="0" w:color="auto"/>
      </w:divBdr>
    </w:div>
    <w:div w:id="1235971295">
      <w:bodyDiv w:val="1"/>
      <w:marLeft w:val="0"/>
      <w:marRight w:val="0"/>
      <w:marTop w:val="0"/>
      <w:marBottom w:val="0"/>
      <w:divBdr>
        <w:top w:val="none" w:sz="0" w:space="0" w:color="auto"/>
        <w:left w:val="none" w:sz="0" w:space="0" w:color="auto"/>
        <w:bottom w:val="none" w:sz="0" w:space="0" w:color="auto"/>
        <w:right w:val="none" w:sz="0" w:space="0" w:color="auto"/>
      </w:divBdr>
    </w:div>
    <w:div w:id="1284116009">
      <w:bodyDiv w:val="1"/>
      <w:marLeft w:val="0"/>
      <w:marRight w:val="0"/>
      <w:marTop w:val="0"/>
      <w:marBottom w:val="0"/>
      <w:divBdr>
        <w:top w:val="none" w:sz="0" w:space="0" w:color="auto"/>
        <w:left w:val="none" w:sz="0" w:space="0" w:color="auto"/>
        <w:bottom w:val="none" w:sz="0" w:space="0" w:color="auto"/>
        <w:right w:val="none" w:sz="0" w:space="0" w:color="auto"/>
      </w:divBdr>
    </w:div>
    <w:div w:id="1287811890">
      <w:bodyDiv w:val="1"/>
      <w:marLeft w:val="0"/>
      <w:marRight w:val="0"/>
      <w:marTop w:val="0"/>
      <w:marBottom w:val="0"/>
      <w:divBdr>
        <w:top w:val="none" w:sz="0" w:space="0" w:color="auto"/>
        <w:left w:val="none" w:sz="0" w:space="0" w:color="auto"/>
        <w:bottom w:val="none" w:sz="0" w:space="0" w:color="auto"/>
        <w:right w:val="none" w:sz="0" w:space="0" w:color="auto"/>
      </w:divBdr>
    </w:div>
    <w:div w:id="1291011109">
      <w:bodyDiv w:val="1"/>
      <w:marLeft w:val="0"/>
      <w:marRight w:val="0"/>
      <w:marTop w:val="0"/>
      <w:marBottom w:val="0"/>
      <w:divBdr>
        <w:top w:val="none" w:sz="0" w:space="0" w:color="auto"/>
        <w:left w:val="none" w:sz="0" w:space="0" w:color="auto"/>
        <w:bottom w:val="none" w:sz="0" w:space="0" w:color="auto"/>
        <w:right w:val="none" w:sz="0" w:space="0" w:color="auto"/>
      </w:divBdr>
      <w:divsChild>
        <w:div w:id="1574050776">
          <w:marLeft w:val="0"/>
          <w:marRight w:val="0"/>
          <w:marTop w:val="0"/>
          <w:marBottom w:val="0"/>
          <w:divBdr>
            <w:top w:val="none" w:sz="0" w:space="0" w:color="auto"/>
            <w:left w:val="none" w:sz="0" w:space="0" w:color="auto"/>
            <w:bottom w:val="none" w:sz="0" w:space="0" w:color="auto"/>
            <w:right w:val="none" w:sz="0" w:space="0" w:color="auto"/>
          </w:divBdr>
        </w:div>
      </w:divsChild>
    </w:div>
    <w:div w:id="1313213600">
      <w:bodyDiv w:val="1"/>
      <w:marLeft w:val="0"/>
      <w:marRight w:val="0"/>
      <w:marTop w:val="0"/>
      <w:marBottom w:val="0"/>
      <w:divBdr>
        <w:top w:val="none" w:sz="0" w:space="0" w:color="auto"/>
        <w:left w:val="none" w:sz="0" w:space="0" w:color="auto"/>
        <w:bottom w:val="none" w:sz="0" w:space="0" w:color="auto"/>
        <w:right w:val="none" w:sz="0" w:space="0" w:color="auto"/>
      </w:divBdr>
    </w:div>
    <w:div w:id="1313560668">
      <w:bodyDiv w:val="1"/>
      <w:marLeft w:val="0"/>
      <w:marRight w:val="0"/>
      <w:marTop w:val="0"/>
      <w:marBottom w:val="0"/>
      <w:divBdr>
        <w:top w:val="none" w:sz="0" w:space="0" w:color="auto"/>
        <w:left w:val="none" w:sz="0" w:space="0" w:color="auto"/>
        <w:bottom w:val="none" w:sz="0" w:space="0" w:color="auto"/>
        <w:right w:val="none" w:sz="0" w:space="0" w:color="auto"/>
      </w:divBdr>
      <w:divsChild>
        <w:div w:id="1571423277">
          <w:marLeft w:val="1699"/>
          <w:marRight w:val="0"/>
          <w:marTop w:val="183"/>
          <w:marBottom w:val="183"/>
          <w:divBdr>
            <w:top w:val="none" w:sz="0" w:space="0" w:color="auto"/>
            <w:left w:val="none" w:sz="0" w:space="0" w:color="auto"/>
            <w:bottom w:val="none" w:sz="0" w:space="0" w:color="auto"/>
            <w:right w:val="none" w:sz="0" w:space="0" w:color="auto"/>
          </w:divBdr>
        </w:div>
      </w:divsChild>
    </w:div>
    <w:div w:id="1381780775">
      <w:bodyDiv w:val="1"/>
      <w:marLeft w:val="0"/>
      <w:marRight w:val="0"/>
      <w:marTop w:val="0"/>
      <w:marBottom w:val="0"/>
      <w:divBdr>
        <w:top w:val="none" w:sz="0" w:space="0" w:color="auto"/>
        <w:left w:val="none" w:sz="0" w:space="0" w:color="auto"/>
        <w:bottom w:val="none" w:sz="0" w:space="0" w:color="auto"/>
        <w:right w:val="none" w:sz="0" w:space="0" w:color="auto"/>
      </w:divBdr>
      <w:divsChild>
        <w:div w:id="483861131">
          <w:marLeft w:val="691"/>
          <w:marRight w:val="0"/>
          <w:marTop w:val="183"/>
          <w:marBottom w:val="183"/>
          <w:divBdr>
            <w:top w:val="none" w:sz="0" w:space="0" w:color="auto"/>
            <w:left w:val="none" w:sz="0" w:space="0" w:color="auto"/>
            <w:bottom w:val="none" w:sz="0" w:space="0" w:color="auto"/>
            <w:right w:val="none" w:sz="0" w:space="0" w:color="auto"/>
          </w:divBdr>
        </w:div>
      </w:divsChild>
    </w:div>
    <w:div w:id="1408116096">
      <w:bodyDiv w:val="1"/>
      <w:marLeft w:val="0"/>
      <w:marRight w:val="0"/>
      <w:marTop w:val="0"/>
      <w:marBottom w:val="0"/>
      <w:divBdr>
        <w:top w:val="none" w:sz="0" w:space="0" w:color="auto"/>
        <w:left w:val="none" w:sz="0" w:space="0" w:color="auto"/>
        <w:bottom w:val="none" w:sz="0" w:space="0" w:color="auto"/>
        <w:right w:val="none" w:sz="0" w:space="0" w:color="auto"/>
      </w:divBdr>
      <w:divsChild>
        <w:div w:id="2086031938">
          <w:marLeft w:val="864"/>
          <w:marRight w:val="0"/>
          <w:marTop w:val="120"/>
          <w:marBottom w:val="120"/>
          <w:divBdr>
            <w:top w:val="none" w:sz="0" w:space="0" w:color="auto"/>
            <w:left w:val="none" w:sz="0" w:space="0" w:color="auto"/>
            <w:bottom w:val="none" w:sz="0" w:space="0" w:color="auto"/>
            <w:right w:val="none" w:sz="0" w:space="0" w:color="auto"/>
          </w:divBdr>
        </w:div>
      </w:divsChild>
    </w:div>
    <w:div w:id="1411730680">
      <w:bodyDiv w:val="1"/>
      <w:marLeft w:val="0"/>
      <w:marRight w:val="0"/>
      <w:marTop w:val="0"/>
      <w:marBottom w:val="0"/>
      <w:divBdr>
        <w:top w:val="none" w:sz="0" w:space="0" w:color="auto"/>
        <w:left w:val="none" w:sz="0" w:space="0" w:color="auto"/>
        <w:bottom w:val="none" w:sz="0" w:space="0" w:color="auto"/>
        <w:right w:val="none" w:sz="0" w:space="0" w:color="auto"/>
      </w:divBdr>
    </w:div>
    <w:div w:id="1454710580">
      <w:bodyDiv w:val="1"/>
      <w:marLeft w:val="0"/>
      <w:marRight w:val="0"/>
      <w:marTop w:val="0"/>
      <w:marBottom w:val="0"/>
      <w:divBdr>
        <w:top w:val="none" w:sz="0" w:space="0" w:color="auto"/>
        <w:left w:val="none" w:sz="0" w:space="0" w:color="auto"/>
        <w:bottom w:val="none" w:sz="0" w:space="0" w:color="auto"/>
        <w:right w:val="none" w:sz="0" w:space="0" w:color="auto"/>
      </w:divBdr>
    </w:div>
    <w:div w:id="1487895787">
      <w:bodyDiv w:val="1"/>
      <w:marLeft w:val="0"/>
      <w:marRight w:val="0"/>
      <w:marTop w:val="0"/>
      <w:marBottom w:val="0"/>
      <w:divBdr>
        <w:top w:val="none" w:sz="0" w:space="0" w:color="auto"/>
        <w:left w:val="none" w:sz="0" w:space="0" w:color="auto"/>
        <w:bottom w:val="none" w:sz="0" w:space="0" w:color="auto"/>
        <w:right w:val="none" w:sz="0" w:space="0" w:color="auto"/>
      </w:divBdr>
    </w:div>
    <w:div w:id="1504970201">
      <w:bodyDiv w:val="1"/>
      <w:marLeft w:val="0"/>
      <w:marRight w:val="0"/>
      <w:marTop w:val="0"/>
      <w:marBottom w:val="0"/>
      <w:divBdr>
        <w:top w:val="none" w:sz="0" w:space="0" w:color="auto"/>
        <w:left w:val="none" w:sz="0" w:space="0" w:color="auto"/>
        <w:bottom w:val="none" w:sz="0" w:space="0" w:color="auto"/>
        <w:right w:val="none" w:sz="0" w:space="0" w:color="auto"/>
      </w:divBdr>
    </w:div>
    <w:div w:id="1512723853">
      <w:bodyDiv w:val="1"/>
      <w:marLeft w:val="0"/>
      <w:marRight w:val="0"/>
      <w:marTop w:val="0"/>
      <w:marBottom w:val="0"/>
      <w:divBdr>
        <w:top w:val="none" w:sz="0" w:space="0" w:color="auto"/>
        <w:left w:val="none" w:sz="0" w:space="0" w:color="auto"/>
        <w:bottom w:val="none" w:sz="0" w:space="0" w:color="auto"/>
        <w:right w:val="none" w:sz="0" w:space="0" w:color="auto"/>
      </w:divBdr>
    </w:div>
    <w:div w:id="1525047841">
      <w:bodyDiv w:val="1"/>
      <w:marLeft w:val="0"/>
      <w:marRight w:val="0"/>
      <w:marTop w:val="0"/>
      <w:marBottom w:val="0"/>
      <w:divBdr>
        <w:top w:val="none" w:sz="0" w:space="0" w:color="auto"/>
        <w:left w:val="none" w:sz="0" w:space="0" w:color="auto"/>
        <w:bottom w:val="none" w:sz="0" w:space="0" w:color="auto"/>
        <w:right w:val="none" w:sz="0" w:space="0" w:color="auto"/>
      </w:divBdr>
      <w:divsChild>
        <w:div w:id="1369834797">
          <w:marLeft w:val="720"/>
          <w:marRight w:val="0"/>
          <w:marTop w:val="0"/>
          <w:marBottom w:val="0"/>
          <w:divBdr>
            <w:top w:val="none" w:sz="0" w:space="0" w:color="auto"/>
            <w:left w:val="none" w:sz="0" w:space="0" w:color="auto"/>
            <w:bottom w:val="none" w:sz="0" w:space="0" w:color="auto"/>
            <w:right w:val="none" w:sz="0" w:space="0" w:color="auto"/>
          </w:divBdr>
        </w:div>
        <w:div w:id="1051811237">
          <w:marLeft w:val="720"/>
          <w:marRight w:val="0"/>
          <w:marTop w:val="0"/>
          <w:marBottom w:val="0"/>
          <w:divBdr>
            <w:top w:val="none" w:sz="0" w:space="0" w:color="auto"/>
            <w:left w:val="none" w:sz="0" w:space="0" w:color="auto"/>
            <w:bottom w:val="none" w:sz="0" w:space="0" w:color="auto"/>
            <w:right w:val="none" w:sz="0" w:space="0" w:color="auto"/>
          </w:divBdr>
        </w:div>
        <w:div w:id="535503704">
          <w:marLeft w:val="720"/>
          <w:marRight w:val="0"/>
          <w:marTop w:val="0"/>
          <w:marBottom w:val="0"/>
          <w:divBdr>
            <w:top w:val="none" w:sz="0" w:space="0" w:color="auto"/>
            <w:left w:val="none" w:sz="0" w:space="0" w:color="auto"/>
            <w:bottom w:val="none" w:sz="0" w:space="0" w:color="auto"/>
            <w:right w:val="none" w:sz="0" w:space="0" w:color="auto"/>
          </w:divBdr>
        </w:div>
        <w:div w:id="1384983177">
          <w:marLeft w:val="720"/>
          <w:marRight w:val="0"/>
          <w:marTop w:val="0"/>
          <w:marBottom w:val="0"/>
          <w:divBdr>
            <w:top w:val="none" w:sz="0" w:space="0" w:color="auto"/>
            <w:left w:val="none" w:sz="0" w:space="0" w:color="auto"/>
            <w:bottom w:val="none" w:sz="0" w:space="0" w:color="auto"/>
            <w:right w:val="none" w:sz="0" w:space="0" w:color="auto"/>
          </w:divBdr>
        </w:div>
      </w:divsChild>
    </w:div>
    <w:div w:id="1529104133">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46864446">
      <w:bodyDiv w:val="1"/>
      <w:marLeft w:val="0"/>
      <w:marRight w:val="0"/>
      <w:marTop w:val="0"/>
      <w:marBottom w:val="0"/>
      <w:divBdr>
        <w:top w:val="none" w:sz="0" w:space="0" w:color="auto"/>
        <w:left w:val="none" w:sz="0" w:space="0" w:color="auto"/>
        <w:bottom w:val="none" w:sz="0" w:space="0" w:color="auto"/>
        <w:right w:val="none" w:sz="0" w:space="0" w:color="auto"/>
      </w:divBdr>
    </w:div>
    <w:div w:id="1626539756">
      <w:bodyDiv w:val="1"/>
      <w:marLeft w:val="0"/>
      <w:marRight w:val="0"/>
      <w:marTop w:val="0"/>
      <w:marBottom w:val="0"/>
      <w:divBdr>
        <w:top w:val="none" w:sz="0" w:space="0" w:color="auto"/>
        <w:left w:val="none" w:sz="0" w:space="0" w:color="auto"/>
        <w:bottom w:val="none" w:sz="0" w:space="0" w:color="auto"/>
        <w:right w:val="none" w:sz="0" w:space="0" w:color="auto"/>
      </w:divBdr>
    </w:div>
    <w:div w:id="1705787081">
      <w:bodyDiv w:val="1"/>
      <w:marLeft w:val="0"/>
      <w:marRight w:val="0"/>
      <w:marTop w:val="0"/>
      <w:marBottom w:val="0"/>
      <w:divBdr>
        <w:top w:val="none" w:sz="0" w:space="0" w:color="auto"/>
        <w:left w:val="none" w:sz="0" w:space="0" w:color="auto"/>
        <w:bottom w:val="none" w:sz="0" w:space="0" w:color="auto"/>
        <w:right w:val="none" w:sz="0" w:space="0" w:color="auto"/>
      </w:divBdr>
    </w:div>
    <w:div w:id="1715808037">
      <w:bodyDiv w:val="1"/>
      <w:marLeft w:val="0"/>
      <w:marRight w:val="0"/>
      <w:marTop w:val="0"/>
      <w:marBottom w:val="0"/>
      <w:divBdr>
        <w:top w:val="none" w:sz="0" w:space="0" w:color="auto"/>
        <w:left w:val="none" w:sz="0" w:space="0" w:color="auto"/>
        <w:bottom w:val="none" w:sz="0" w:space="0" w:color="auto"/>
        <w:right w:val="none" w:sz="0" w:space="0" w:color="auto"/>
      </w:divBdr>
    </w:div>
    <w:div w:id="1725715547">
      <w:bodyDiv w:val="1"/>
      <w:marLeft w:val="0"/>
      <w:marRight w:val="0"/>
      <w:marTop w:val="0"/>
      <w:marBottom w:val="0"/>
      <w:divBdr>
        <w:top w:val="none" w:sz="0" w:space="0" w:color="auto"/>
        <w:left w:val="none" w:sz="0" w:space="0" w:color="auto"/>
        <w:bottom w:val="none" w:sz="0" w:space="0" w:color="auto"/>
        <w:right w:val="none" w:sz="0" w:space="0" w:color="auto"/>
      </w:divBdr>
    </w:div>
    <w:div w:id="1728256353">
      <w:bodyDiv w:val="1"/>
      <w:marLeft w:val="0"/>
      <w:marRight w:val="0"/>
      <w:marTop w:val="0"/>
      <w:marBottom w:val="0"/>
      <w:divBdr>
        <w:top w:val="none" w:sz="0" w:space="0" w:color="auto"/>
        <w:left w:val="none" w:sz="0" w:space="0" w:color="auto"/>
        <w:bottom w:val="none" w:sz="0" w:space="0" w:color="auto"/>
        <w:right w:val="none" w:sz="0" w:space="0" w:color="auto"/>
      </w:divBdr>
    </w:div>
    <w:div w:id="1739473995">
      <w:bodyDiv w:val="1"/>
      <w:marLeft w:val="0"/>
      <w:marRight w:val="0"/>
      <w:marTop w:val="0"/>
      <w:marBottom w:val="0"/>
      <w:divBdr>
        <w:top w:val="none" w:sz="0" w:space="0" w:color="auto"/>
        <w:left w:val="none" w:sz="0" w:space="0" w:color="auto"/>
        <w:bottom w:val="none" w:sz="0" w:space="0" w:color="auto"/>
        <w:right w:val="none" w:sz="0" w:space="0" w:color="auto"/>
      </w:divBdr>
    </w:div>
    <w:div w:id="1775901916">
      <w:bodyDiv w:val="1"/>
      <w:marLeft w:val="0"/>
      <w:marRight w:val="0"/>
      <w:marTop w:val="0"/>
      <w:marBottom w:val="0"/>
      <w:divBdr>
        <w:top w:val="none" w:sz="0" w:space="0" w:color="auto"/>
        <w:left w:val="none" w:sz="0" w:space="0" w:color="auto"/>
        <w:bottom w:val="none" w:sz="0" w:space="0" w:color="auto"/>
        <w:right w:val="none" w:sz="0" w:space="0" w:color="auto"/>
      </w:divBdr>
    </w:div>
    <w:div w:id="1801340074">
      <w:bodyDiv w:val="1"/>
      <w:marLeft w:val="0"/>
      <w:marRight w:val="0"/>
      <w:marTop w:val="0"/>
      <w:marBottom w:val="0"/>
      <w:divBdr>
        <w:top w:val="none" w:sz="0" w:space="0" w:color="auto"/>
        <w:left w:val="none" w:sz="0" w:space="0" w:color="auto"/>
        <w:bottom w:val="none" w:sz="0" w:space="0" w:color="auto"/>
        <w:right w:val="none" w:sz="0" w:space="0" w:color="auto"/>
      </w:divBdr>
    </w:div>
    <w:div w:id="1822964343">
      <w:bodyDiv w:val="1"/>
      <w:marLeft w:val="0"/>
      <w:marRight w:val="0"/>
      <w:marTop w:val="0"/>
      <w:marBottom w:val="0"/>
      <w:divBdr>
        <w:top w:val="none" w:sz="0" w:space="0" w:color="auto"/>
        <w:left w:val="none" w:sz="0" w:space="0" w:color="auto"/>
        <w:bottom w:val="none" w:sz="0" w:space="0" w:color="auto"/>
        <w:right w:val="none" w:sz="0" w:space="0" w:color="auto"/>
      </w:divBdr>
    </w:div>
    <w:div w:id="1825312251">
      <w:bodyDiv w:val="1"/>
      <w:marLeft w:val="0"/>
      <w:marRight w:val="0"/>
      <w:marTop w:val="0"/>
      <w:marBottom w:val="0"/>
      <w:divBdr>
        <w:top w:val="none" w:sz="0" w:space="0" w:color="auto"/>
        <w:left w:val="none" w:sz="0" w:space="0" w:color="auto"/>
        <w:bottom w:val="none" w:sz="0" w:space="0" w:color="auto"/>
        <w:right w:val="none" w:sz="0" w:space="0" w:color="auto"/>
      </w:divBdr>
    </w:div>
    <w:div w:id="1852796138">
      <w:bodyDiv w:val="1"/>
      <w:marLeft w:val="0"/>
      <w:marRight w:val="0"/>
      <w:marTop w:val="0"/>
      <w:marBottom w:val="0"/>
      <w:divBdr>
        <w:top w:val="none" w:sz="0" w:space="0" w:color="auto"/>
        <w:left w:val="none" w:sz="0" w:space="0" w:color="auto"/>
        <w:bottom w:val="none" w:sz="0" w:space="0" w:color="auto"/>
        <w:right w:val="none" w:sz="0" w:space="0" w:color="auto"/>
      </w:divBdr>
      <w:divsChild>
        <w:div w:id="1125929425">
          <w:marLeft w:val="1699"/>
          <w:marRight w:val="0"/>
          <w:marTop w:val="183"/>
          <w:marBottom w:val="183"/>
          <w:divBdr>
            <w:top w:val="none" w:sz="0" w:space="0" w:color="auto"/>
            <w:left w:val="none" w:sz="0" w:space="0" w:color="auto"/>
            <w:bottom w:val="none" w:sz="0" w:space="0" w:color="auto"/>
            <w:right w:val="none" w:sz="0" w:space="0" w:color="auto"/>
          </w:divBdr>
        </w:div>
      </w:divsChild>
    </w:div>
    <w:div w:id="1858352107">
      <w:bodyDiv w:val="1"/>
      <w:marLeft w:val="0"/>
      <w:marRight w:val="0"/>
      <w:marTop w:val="0"/>
      <w:marBottom w:val="0"/>
      <w:divBdr>
        <w:top w:val="none" w:sz="0" w:space="0" w:color="auto"/>
        <w:left w:val="none" w:sz="0" w:space="0" w:color="auto"/>
        <w:bottom w:val="none" w:sz="0" w:space="0" w:color="auto"/>
        <w:right w:val="none" w:sz="0" w:space="0" w:color="auto"/>
      </w:divBdr>
    </w:div>
    <w:div w:id="1863738644">
      <w:bodyDiv w:val="1"/>
      <w:marLeft w:val="0"/>
      <w:marRight w:val="0"/>
      <w:marTop w:val="0"/>
      <w:marBottom w:val="0"/>
      <w:divBdr>
        <w:top w:val="none" w:sz="0" w:space="0" w:color="auto"/>
        <w:left w:val="none" w:sz="0" w:space="0" w:color="auto"/>
        <w:bottom w:val="none" w:sz="0" w:space="0" w:color="auto"/>
        <w:right w:val="none" w:sz="0" w:space="0" w:color="auto"/>
      </w:divBdr>
    </w:div>
    <w:div w:id="1870679968">
      <w:bodyDiv w:val="1"/>
      <w:marLeft w:val="0"/>
      <w:marRight w:val="0"/>
      <w:marTop w:val="0"/>
      <w:marBottom w:val="0"/>
      <w:divBdr>
        <w:top w:val="none" w:sz="0" w:space="0" w:color="auto"/>
        <w:left w:val="none" w:sz="0" w:space="0" w:color="auto"/>
        <w:bottom w:val="none" w:sz="0" w:space="0" w:color="auto"/>
        <w:right w:val="none" w:sz="0" w:space="0" w:color="auto"/>
      </w:divBdr>
    </w:div>
    <w:div w:id="1964993640">
      <w:bodyDiv w:val="1"/>
      <w:marLeft w:val="0"/>
      <w:marRight w:val="0"/>
      <w:marTop w:val="0"/>
      <w:marBottom w:val="0"/>
      <w:divBdr>
        <w:top w:val="none" w:sz="0" w:space="0" w:color="auto"/>
        <w:left w:val="none" w:sz="0" w:space="0" w:color="auto"/>
        <w:bottom w:val="none" w:sz="0" w:space="0" w:color="auto"/>
        <w:right w:val="none" w:sz="0" w:space="0" w:color="auto"/>
      </w:divBdr>
    </w:div>
    <w:div w:id="2059158639">
      <w:bodyDiv w:val="1"/>
      <w:marLeft w:val="0"/>
      <w:marRight w:val="0"/>
      <w:marTop w:val="0"/>
      <w:marBottom w:val="0"/>
      <w:divBdr>
        <w:top w:val="none" w:sz="0" w:space="0" w:color="auto"/>
        <w:left w:val="none" w:sz="0" w:space="0" w:color="auto"/>
        <w:bottom w:val="none" w:sz="0" w:space="0" w:color="auto"/>
        <w:right w:val="none" w:sz="0" w:space="0" w:color="auto"/>
      </w:divBdr>
      <w:divsChild>
        <w:div w:id="1803956431">
          <w:marLeft w:val="691"/>
          <w:marRight w:val="0"/>
          <w:marTop w:val="183"/>
          <w:marBottom w:val="183"/>
          <w:divBdr>
            <w:top w:val="none" w:sz="0" w:space="0" w:color="auto"/>
            <w:left w:val="none" w:sz="0" w:space="0" w:color="auto"/>
            <w:bottom w:val="none" w:sz="0" w:space="0" w:color="auto"/>
            <w:right w:val="none" w:sz="0" w:space="0" w:color="auto"/>
          </w:divBdr>
        </w:div>
      </w:divsChild>
    </w:div>
    <w:div w:id="2082897815">
      <w:bodyDiv w:val="1"/>
      <w:marLeft w:val="0"/>
      <w:marRight w:val="0"/>
      <w:marTop w:val="0"/>
      <w:marBottom w:val="0"/>
      <w:divBdr>
        <w:top w:val="none" w:sz="0" w:space="0" w:color="auto"/>
        <w:left w:val="none" w:sz="0" w:space="0" w:color="auto"/>
        <w:bottom w:val="none" w:sz="0" w:space="0" w:color="auto"/>
        <w:right w:val="none" w:sz="0" w:space="0" w:color="auto"/>
      </w:divBdr>
    </w:div>
    <w:div w:id="2126193194">
      <w:bodyDiv w:val="1"/>
      <w:marLeft w:val="0"/>
      <w:marRight w:val="0"/>
      <w:marTop w:val="0"/>
      <w:marBottom w:val="0"/>
      <w:divBdr>
        <w:top w:val="none" w:sz="0" w:space="0" w:color="auto"/>
        <w:left w:val="none" w:sz="0" w:space="0" w:color="auto"/>
        <w:bottom w:val="none" w:sz="0" w:space="0" w:color="auto"/>
        <w:right w:val="none" w:sz="0" w:space="0" w:color="auto"/>
      </w:divBdr>
    </w:div>
    <w:div w:id="2140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www.worksafe.govt.nz/topic-and-industry/hazardous-substances/guidance/industry-guidance/" TargetMode="External"/><Relationship Id="rId39" Type="http://schemas.openxmlformats.org/officeDocument/2006/relationships/hyperlink" Target="https://www.legislation.govt.nz/regulation/public/2016/0258/latest/DLM6960568.html" TargetMode="External"/><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hyperlink" Target="https://fsp-register.companiesoffice.govt.nz/" TargetMode="External"/><Relationship Id="rId42" Type="http://schemas.openxmlformats.org/officeDocument/2006/relationships/hyperlink" Target="mailto:etsconsultation@mfe.govt.nz" TargetMode="External"/><Relationship Id="rId47" Type="http://schemas.openxmlformats.org/officeDocument/2006/relationships/hyperlink" Target="https://euobserver.com/economic/129433" TargetMode="Externa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fma.govt.nz/compliance/guidance-library/" TargetMode="External"/><Relationship Id="rId33" Type="http://schemas.openxmlformats.org/officeDocument/2006/relationships/hyperlink" Target="https://www.nursingcouncil.org.nz/Public/Nursing/Code_of_Conduct/NCNZ/nursing-section/Code_of_Conduct.aspx" TargetMode="External"/><Relationship Id="rId38" Type="http://schemas.openxmlformats.org/officeDocument/2006/relationships/hyperlink" Target="https://www.nasdaq.com/solutions/transaction-reporting" TargetMode="External"/><Relationship Id="rId46" Type="http://schemas.openxmlformats.org/officeDocument/2006/relationships/hyperlink" Target="https://www.dlapiper.com/en/newzealand/insights/publications/2017/03/first-case-market-manipulation-nz/"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emf"/><Relationship Id="rId29" Type="http://schemas.openxmlformats.org/officeDocument/2006/relationships/hyperlink" Target="https://financialadvicecode.govt.nz/" TargetMode="External"/><Relationship Id="rId41" Type="http://schemas.openxmlformats.org/officeDocument/2006/relationships/hyperlink" Target="https://consult.environment.govt.nz/"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g"/><Relationship Id="rId32" Type="http://schemas.openxmlformats.org/officeDocument/2006/relationships/hyperlink" Target="https://www.iaa.govt.nz/for-advisers/code-of-conduct/" TargetMode="External"/><Relationship Id="rId37" Type="http://schemas.openxmlformats.org/officeDocument/2006/relationships/hyperlink" Target="https://www.nursingcouncil.org.nz/NCNZ/Public_Register/NCNZ/Public_Register.aspx" TargetMode="External"/><Relationship Id="rId40" Type="http://schemas.openxmlformats.org/officeDocument/2006/relationships/hyperlink" Target="https://consult.environment.govt.nz/climate/designing-a-governance-framework-for-the-nz-ets" TargetMode="External"/><Relationship Id="rId45" Type="http://schemas.openxmlformats.org/officeDocument/2006/relationships/hyperlink" Target="https://carbon-pulse.com/12575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vironment.govt.nz" TargetMode="External"/><Relationship Id="rId23" Type="http://schemas.openxmlformats.org/officeDocument/2006/relationships/hyperlink" Target="mailto:etsconsultation@mfe.govt.nz" TargetMode="External"/><Relationship Id="rId28" Type="http://schemas.openxmlformats.org/officeDocument/2006/relationships/hyperlink" Target="https://nzcic.co.nz/resources/guidelines/" TargetMode="External"/><Relationship Id="rId36" Type="http://schemas.openxmlformats.org/officeDocument/2006/relationships/hyperlink" Target="https://iaa.ewr.govt.nz/PublicRegister/Search.aspx" TargetMode="External"/><Relationship Id="rId49"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www.rea.govt.nz/real-estate-professionals/education-and-obligations/the-code-of-conduct/" TargetMode="External"/><Relationship Id="rId44" Type="http://schemas.openxmlformats.org/officeDocument/2006/relationships/hyperlink" Target="http://www.environment.govt.nz" TargetMode="Externa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onsult.environment.govt.nz/climate/designing-a-governance-framework-for-the-nz-ets" TargetMode="External"/><Relationship Id="rId27" Type="http://schemas.openxmlformats.org/officeDocument/2006/relationships/hyperlink" Target="https://www.hazardoussubstances.govt.nz/" TargetMode="External"/><Relationship Id="rId30" Type="http://schemas.openxmlformats.org/officeDocument/2006/relationships/hyperlink" Target="https://financialadvicecode.govt.nz/" TargetMode="External"/><Relationship Id="rId35" Type="http://schemas.openxmlformats.org/officeDocument/2006/relationships/hyperlink" Target="https://portal.rea.govt.nz/public/register-search/" TargetMode="External"/><Relationship Id="rId43" Type="http://schemas.openxmlformats.org/officeDocument/2006/relationships/hyperlink" Target="mailto:etsconsultation@mfe.govt.nz" TargetMode="External"/><Relationship Id="rId48" Type="http://schemas.openxmlformats.org/officeDocument/2006/relationships/hyperlink" Target="https://ec.europa.eu/clima/policies/ets/oversight_en" TargetMode="External"/><Relationship Id="rId8" Type="http://schemas.openxmlformats.org/officeDocument/2006/relationships/image" Target="media/image1.jpeg"/><Relationship Id="rId51"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www.productivity.govt.nz/assets/Documents/4e01d69a83/Productivity-Commission_Low-emissions-economy_Final-Report.pdf" TargetMode="External"/><Relationship Id="rId2" Type="http://schemas.openxmlformats.org/officeDocument/2006/relationships/hyperlink" Target="https://ccc-production-media.s3.ap-southeast-2.amazonaws.com/public/evidence/advice-report-DRAFT-1ST-FEB/ADVICE/CCC-ADVICE-TO-GOVT-31-JAN-2021-pdf.pdf" TargetMode="External"/><Relationship Id="rId1" Type="http://schemas.openxmlformats.org/officeDocument/2006/relationships/hyperlink" Target="https://environment.govt.nz/sites/default/files/media/Climate%20Change/Final%20-%20ETS%20Consultation%20document.pdf" TargetMode="External"/><Relationship Id="rId6" Type="http://schemas.openxmlformats.org/officeDocument/2006/relationships/hyperlink" Target="https://www.treasury.govt.nz/sites/default/files/2019-05/ria-mfe-cci6-may19.pdf" TargetMode="External"/><Relationship Id="rId5" Type="http://schemas.openxmlformats.org/officeDocument/2006/relationships/hyperlink" Target="https://environment.govt.nz/publications/improvements-to-the-new-zealand-emissions-trading-scheme/" TargetMode="External"/><Relationship Id="rId4" Type="http://schemas.openxmlformats.org/officeDocument/2006/relationships/hyperlink" Target="https://environment.govt.nz/assets/Publications/Files/transitioning-to-a-low-emissions-fut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tonv\AppData\Local\Microsoft\Windows\INetCache\IE\X5IYNSMW\MfE%20report%20template.dotx"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Lei18</b:Tag>
    <b:SourceType>Report</b:SourceType>
    <b:Guid>{7F7884A5-1417-4646-A773-ECB68F3DB7DD}</b:Guid>
    <b:Title>A guide to the New Zealand Emissions Trading Scheme</b:Title>
    <b:Year>2018</b:Year>
    <b:City>Wellington</b:City>
    <b:Publisher>Motu</b:Publisher>
    <b:Author>
      <b:Author>
        <b:NameList>
          <b:Person>
            <b:Last>Leining</b:Last>
            <b:First>Catherine</b:First>
          </b:Person>
          <b:Person>
            <b:Last>Kerr</b:Last>
            <b:First>Suzi</b:First>
          </b:Person>
        </b:NameList>
      </b:Author>
    </b:Author>
    <b:RefOrder>1</b:RefOrder>
  </b:Source>
  <b:Source>
    <b:Tag>Min17</b:Tag>
    <b:SourceType>Report</b:SourceType>
    <b:Guid>{3C7B7D2E-B29F-4735-9004-96BD97E96C7C}</b:Guid>
    <b:Author>
      <b:Author>
        <b:Corporate>Ministry for the Environment</b:Corporate>
      </b:Author>
    </b:Author>
    <b:Title>Improvements to the New Zealand Emissions Trading Scheme</b:Title>
    <b:Year>2018</b:Year>
    <b:Publisher>Ministry for the Environment</b:Publisher>
    <b:City>Wellington</b:City>
    <b:RefOrder>2</b:RefOrder>
  </b:Source>
  <b:Source>
    <b:Tag>Pro18</b:Tag>
    <b:SourceType>Report</b:SourceType>
    <b:Guid>{569BE52B-7AA9-4061-9A0F-7F7A03F5E945}</b:Guid>
    <b:Author>
      <b:Author>
        <b:Corporate>New Zealand Productivity Commission</b:Corporate>
      </b:Author>
    </b:Author>
    <b:Title>Low-emissions economy: Final Report</b:Title>
    <b:Year>2018</b:Year>
    <b:Publisher>Te Kōmihana Whai Hua o Aotearoa</b:Publisher>
    <b:City>Wellington</b:City>
    <b:RefOrder>3</b:RefOrder>
  </b:Source>
  <b:Source>
    <b:Tag>Off19</b:Tag>
    <b:SourceType>Report</b:SourceType>
    <b:Guid>{857A7B93-3800-4814-BDCB-613E62A12BEA}</b:Guid>
    <b:Author>
      <b:Author>
        <b:Corporate>Office of the Minister for Climate Change</b:Corporate>
      </b:Author>
    </b:Author>
    <b:Title>Amendments to the Climate Change Response Act 2002: tranche two</b:Title>
    <b:Year>2019</b:Year>
    <b:Publisher>Office of the Minister for Climate Change</b:Publisher>
    <b:City>Wellington</b:City>
    <b:RefOrder>4</b:RefOrder>
  </b:Source>
  <b:Source>
    <b:Tag>Off191</b:Tag>
    <b:SourceType>Report</b:SourceType>
    <b:Guid>{54B6A3D0-D9AC-4DC2-A7CF-F8587F9588A9}</b:Guid>
    <b:Author>
      <b:Author>
        <b:Corporate>Office of the Minister for Climate Change</b:Corporate>
      </b:Author>
    </b:Author>
    <b:Title>Amendments to the Climate Change Response Act 2002: tranche one</b:Title>
    <b:Year>2019</b:Year>
    <b:Publisher>Office of the Minister for Climate Change</b:Publisher>
    <b:City>Wellington</b:City>
    <b:RefOrder>5</b:RefOrder>
  </b:Source>
  <b:Source>
    <b:Tag>Cab19</b:Tag>
    <b:SourceType>Report</b:SourceType>
    <b:Guid>{1C990C8F-289F-4B68-AC8C-D85E4A9B76DD}</b:Guid>
    <b:Author>
      <b:Author>
        <b:Corporate>Cabinet</b:Corporate>
      </b:Author>
    </b:Author>
    <b:Title>A government position on international carbon markets</b:Title>
    <b:Year>2019</b:Year>
    <b:Publisher>Cabinet Envirnment, Energy and Climate Committee</b:Publisher>
    <b:City>Wellington</b:City>
    <b:RefOrder>6</b:RefOrder>
  </b:Source>
  <b:Source>
    <b:Tag>Min19</b:Tag>
    <b:SourceType>Report</b:SourceType>
    <b:Guid>{835F0079-5F32-4283-AAF8-C4805C38F9BD}</b:Guid>
    <b:Title>Improvements to the New Zealand Emissions Trading Scheme: Summary of Consultation Responses</b:Title>
    <b:Year>2019</b:Year>
    <b:City>Wellington</b:City>
    <b:Publisher>Ministry for the Environment</b:Publisher>
    <b:Author>
      <b:Author>
        <b:Corporate>Ministry for the Environment</b:Corporate>
      </b:Author>
    </b:Author>
    <b:RefOrder>7</b:RefOrder>
  </b:Source>
  <b:Source>
    <b:Tag>Cen16</b:Tag>
    <b:SourceType>Report</b:SourceType>
    <b:Guid>{9FE688FF-8AC8-4C07-AF74-F1DC6BD32668}</b:Guid>
    <b:Author>
      <b:Author>
        <b:Corporate>Center for Climate and Energy Solutions</b:Corporate>
      </b:Author>
    </b:Author>
    <b:Title>Secondary Carbon Markets</b:Title>
    <b:Year>2016</b:Year>
    <b:Publisher>Center for Climate and Energy Solutions</b:Publisher>
    <b:City>Arlington</b:City>
    <b:RefOrder>8</b:RefOrder>
  </b:Source>
  <b:Source>
    <b:Tag>Bus06</b:Tag>
    <b:SourceType>Report</b:SourceType>
    <b:Guid>{93A473A8-4DFD-485C-9AA7-9C266839CEAA}</b:Guid>
    <b:Author>
      <b:Author>
        <b:Corporate>Business NZ</b:Corporate>
      </b:Author>
    </b:Author>
    <b:Title>Regulation Perspectives</b:Title>
    <b:Year>2006</b:Year>
    <b:Publisher>Business NZ</b:Publisher>
    <b:City>Wellington</b:City>
    <b:RefOrder>9</b:RefOrder>
  </b:Source>
  <b:Source>
    <b:Tag>Cur13</b:Tag>
    <b:SourceType>JournalArticle</b:SourceType>
    <b:Guid>{4B298760-9EA2-4257-BE25-249B2CD7A8A1}</b:Guid>
    <b:Title>A burning desire: The need for anti-money laundering regulations in carbon emissions trading schemes to combat emerging criminal typologies</b:Title>
    <b:Year>2013</b:Year>
    <b:JournalName>Journal of Money Laundering Control, 16(4)</b:JournalName>
    <b:Pages>298-320</b:Pages>
    <b:Author>
      <b:Author>
        <b:NameList>
          <b:Person>
            <b:Last>Curtis Williams</b:Last>
            <b:First>Clifford</b:First>
          </b:Person>
        </b:NameList>
      </b:Author>
    </b:Author>
    <b:RefOrder>10</b:RefOrder>
  </b:Source>
  <b:Source>
    <b:Tag>WCI21</b:Tag>
    <b:SourceType>InternetSite</b:SourceType>
    <b:Guid>{9E346028-612A-497C-9842-4ACCBA79FA69}</b:Guid>
    <b:Author>
      <b:Author>
        <b:Corporate>WCI Inc.</b:Corporate>
      </b:Author>
    </b:Author>
    <b:Title>Program Design and Implementation</b:Title>
    <b:Year>2021</b:Year>
    <b:YearAccessed>2021</b:YearAccessed>
    <b:MonthAccessed>May</b:MonthAccessed>
    <b:DayAccessed>17</b:DayAccessed>
    <b:URL>https://wci-inc.org/our-work/program-design-and-implementation</b:URL>
    <b:RefOrder>11</b:RefOrder>
  </b:Source>
  <b:Source>
    <b:Tag>Pra12</b:Tag>
    <b:SourceType>Report</b:SourceType>
    <b:Guid>{5868E607-8CA3-492F-8D8C-4A885E13FA35}</b:Guid>
    <b:Title>Making Markets: Unpacking Design and Governance of Carbon Market Mechanisms</b:Title>
    <b:Year>2012</b:Year>
    <b:Author>
      <b:Author>
        <b:NameList>
          <b:Person>
            <b:Last>Prag</b:Last>
            <b:First>Andrew</b:First>
          </b:Person>
          <b:Person>
            <b:Last>Briner</b:Last>
            <b:First>Gregory</b:First>
          </b:Person>
          <b:Person>
            <b:Last>Hood</b:Last>
            <b:First>Christina</b:First>
          </b:Person>
        </b:NameList>
      </b:Author>
    </b:Author>
    <b:Publisher>OECD/IEA Climate Change Expert Group Papers, No. 2012/03, OECD Publishing</b:Publisher>
    <b:City>Paris</b:City>
    <b:RefOrder>12</b:RefOrder>
  </b:Source>
  <b:Source>
    <b:Tag>Eur21</b:Tag>
    <b:SourceType>InternetSite</b:SourceType>
    <b:Guid>{5B86698C-063C-4214-9D06-1F83E11C698E}</b:Guid>
    <b:Author>
      <b:Author>
        <b:Corporate>European Commission</b:Corporate>
      </b:Author>
    </b:Author>
    <b:Title>Ensuring the integrity of the European carbon market</b:Title>
    <b:Year>2021</b:Year>
    <b:YearAccessed>2021</b:YearAccessed>
    <b:MonthAccessed>May</b:MonthAccessed>
    <b:DayAccessed>10</b:DayAccessed>
    <b:URL>https://ec.europa.eu/clima/policies/ets/oversight_en</b:URL>
    <b:RefOrder>13</b:RefOrder>
  </b:Source>
  <b:Source>
    <b:Tag>Nie11</b:Tag>
    <b:SourceType>JournalArticle</b:SourceType>
    <b:Guid>{D393B903-5285-49A5-B92A-86B27A4AB9B1}</b:Guid>
    <b:Title>Fraud on the European Union Emissions Trading Scheme: Effects. Vulnerabilities and Regulatory Reform</b:Title>
    <b:Year>2011</b:Year>
    <b:JournalName>European Energy and Environmental Law Review 20(6)</b:JournalName>
    <b:Pages>255-289</b:Pages>
    <b:Author>
      <b:Author>
        <b:NameList>
          <b:Person>
            <b:Last>Nield</b:Last>
            <b:First>Katherine</b:First>
          </b:Person>
          <b:Person>
            <b:Last>Pereira</b:Last>
            <b:First>Ricardo</b:First>
          </b:Person>
        </b:NameList>
      </b:Author>
    </b:Author>
    <b:RefOrder>14</b:RefOrder>
  </b:Source>
  <b:Source>
    <b:Tag>EUo15</b:Tag>
    <b:SourceType>InternetSite</b:SourceType>
    <b:Guid>{B8ADC4C4-ECBF-41B8-92FF-EABCDD1DB7CE}</b:Guid>
    <b:Author>
      <b:Author>
        <b:Corporate>EUobserver</b:Corporate>
      </b:Author>
    </b:Author>
    <b:Title>EU carbon credit system still 'at risk of VAT fraud</b:Title>
    <b:Year>2015</b:Year>
    <b:Month>July</b:Month>
    <b:Day>02</b:Day>
    <b:YearAccessed>2021</b:YearAccessed>
    <b:MonthAccessed>May</b:MonthAccessed>
    <b:DayAccessed>10</b:DayAccessed>
    <b:URL>https://euobserver.com/economic/129433</b:URL>
    <b:RefOrder>15</b:RefOrder>
  </b:Source>
  <b:Source>
    <b:Tag>Eur10</b:Tag>
    <b:SourceType>InternetSite</b:SourceType>
    <b:Guid>{7004E621-534B-4468-B525-63EFFFCFF5CC}</b:Guid>
    <b:Author>
      <b:Author>
        <b:Corporate>Europol</b:Corporate>
      </b:Author>
    </b:Author>
    <b:Title>Further investigations into VAT fraud linked to the carbon emissions trading system</b:Title>
    <b:Year>2010</b:Year>
    <b:Month>December</b:Month>
    <b:Day>28</b:Day>
    <b:YearAccessed>2021</b:YearAccessed>
    <b:MonthAccessed>May</b:MonthAccessed>
    <b:DayAccessed>03</b:DayAccessed>
    <b:URL>https://www.europol.europa.eu/newsroom/news/further-investigations-vat-fraud-linked-to-carbon-emissions-trading-system</b:URL>
    <b:RefOrder>16</b:RefOrder>
  </b:Source>
</b:Sources>
</file>

<file path=customXml/itemProps1.xml><?xml version="1.0" encoding="utf-8"?>
<ds:datastoreItem xmlns:ds="http://schemas.openxmlformats.org/officeDocument/2006/customXml" ds:itemID="{0D12F405-3494-4C0D-94F3-0E5A8ACC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MfE report template.dotx</Template>
  <TotalTime>0</TotalTime>
  <Pages>1</Pages>
  <Words>23719</Words>
  <Characters>135199</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suttonv</dc:creator>
  <cp:lastModifiedBy>Lani Nesbit</cp:lastModifiedBy>
  <cp:revision>2</cp:revision>
  <cp:lastPrinted>2021-06-21T20:18:00Z</cp:lastPrinted>
  <dcterms:created xsi:type="dcterms:W3CDTF">2021-07-07T03:43:00Z</dcterms:created>
  <dcterms:modified xsi:type="dcterms:W3CDTF">2021-07-07T03:43:00Z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2021-06-09T00:20:43Z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7587101e-c8ba-4d60-87d4-ecb9f7345fd4</vt:lpwstr>
  </property>
  <property fmtid="{D5CDD505-2E9C-101B-9397-08002B2CF9AE}" pid="8" name="MSIP_Label_52dda6cc-d61d-4fd2-bf18-9b3017d931cc_ContentBits">
    <vt:lpwstr>0</vt:lpwstr>
  </property>
</Properties>
</file>