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2E511" w14:textId="6E0F9A13" w:rsidR="001C4D70" w:rsidRPr="00640AA1" w:rsidRDefault="00DA500C" w:rsidP="00640AA1">
      <w:pPr>
        <w:pStyle w:val="BodyText"/>
        <w:spacing w:after="3600"/>
        <w:rPr>
          <w:rStyle w:val="normaltextrun"/>
        </w:rPr>
      </w:pPr>
      <w:r>
        <w:rPr>
          <w:noProof/>
        </w:rPr>
        <mc:AlternateContent>
          <mc:Choice Requires="wps">
            <w:drawing>
              <wp:anchor distT="0" distB="0" distL="114300" distR="114300" simplePos="0" relativeHeight="251658240" behindDoc="0" locked="0" layoutInCell="1" allowOverlap="1" wp14:anchorId="1F9B9299" wp14:editId="525A7D18">
                <wp:simplePos x="0" y="0"/>
                <wp:positionH relativeFrom="column">
                  <wp:posOffset>-49530</wp:posOffset>
                </wp:positionH>
                <wp:positionV relativeFrom="paragraph">
                  <wp:posOffset>1127760</wp:posOffset>
                </wp:positionV>
                <wp:extent cx="5808345" cy="2247900"/>
                <wp:effectExtent l="0" t="0" r="1905" b="0"/>
                <wp:wrapTopAndBottom/>
                <wp:docPr id="6" name="Text Box 6"/>
                <wp:cNvGraphicFramePr/>
                <a:graphic xmlns:a="http://schemas.openxmlformats.org/drawingml/2006/main">
                  <a:graphicData uri="http://schemas.microsoft.com/office/word/2010/wordprocessingShape">
                    <wps:wsp>
                      <wps:cNvSpPr txBox="1"/>
                      <wps:spPr>
                        <a:xfrm>
                          <a:off x="0" y="0"/>
                          <a:ext cx="5808345" cy="2247900"/>
                        </a:xfrm>
                        <a:prstGeom prst="rect">
                          <a:avLst/>
                        </a:prstGeom>
                        <a:noFill/>
                        <a:ln w="6350">
                          <a:noFill/>
                        </a:ln>
                      </wps:spPr>
                      <wps:txbx>
                        <w:txbxContent>
                          <w:p w14:paraId="1D8D2C05" w14:textId="7E716EDF" w:rsidR="00D3171B" w:rsidRPr="00EC0B89" w:rsidRDefault="00BC7DFA" w:rsidP="00296A94">
                            <w:pPr>
                              <w:pStyle w:val="Subtitle"/>
                              <w:rPr>
                                <w:color w:val="2C9986" w:themeColor="accent4"/>
                                <w:sz w:val="48"/>
                                <w:szCs w:val="48"/>
                              </w:rPr>
                            </w:pPr>
                            <w:r w:rsidRPr="00BC7DFA">
                              <w:rPr>
                                <w:color w:val="2C9986" w:themeColor="accent4"/>
                                <w:sz w:val="48"/>
                                <w:szCs w:val="48"/>
                              </w:rPr>
                              <w:t xml:space="preserve">Ngā </w:t>
                            </w:r>
                            <w:proofErr w:type="spellStart"/>
                            <w:r w:rsidRPr="00BC7DFA">
                              <w:rPr>
                                <w:color w:val="2C9986" w:themeColor="accent4"/>
                                <w:sz w:val="48"/>
                                <w:szCs w:val="48"/>
                              </w:rPr>
                              <w:t>whakahau</w:t>
                            </w:r>
                            <w:proofErr w:type="spellEnd"/>
                            <w:r w:rsidRPr="00BC7DFA">
                              <w:rPr>
                                <w:color w:val="2C9986" w:themeColor="accent4"/>
                                <w:sz w:val="48"/>
                                <w:szCs w:val="48"/>
                              </w:rPr>
                              <w:t xml:space="preserve"> </w:t>
                            </w:r>
                            <w:proofErr w:type="spellStart"/>
                            <w:r w:rsidRPr="00BC7DFA">
                              <w:rPr>
                                <w:color w:val="2C9986" w:themeColor="accent4"/>
                                <w:sz w:val="48"/>
                                <w:szCs w:val="48"/>
                              </w:rPr>
                              <w:t>whāomoomo</w:t>
                            </w:r>
                            <w:proofErr w:type="spellEnd"/>
                            <w:r w:rsidRPr="00BC7DFA">
                              <w:rPr>
                                <w:color w:val="2C9986" w:themeColor="accent4"/>
                                <w:sz w:val="48"/>
                                <w:szCs w:val="48"/>
                              </w:rPr>
                              <w:t xml:space="preserve"> </w:t>
                            </w:r>
                            <w:proofErr w:type="spellStart"/>
                            <w:r w:rsidRPr="00BC7DFA">
                              <w:rPr>
                                <w:color w:val="2C9986" w:themeColor="accent4"/>
                                <w:sz w:val="48"/>
                                <w:szCs w:val="48"/>
                              </w:rPr>
                              <w:t>wai</w:t>
                            </w:r>
                            <w:proofErr w:type="spellEnd"/>
                            <w:r w:rsidRPr="00BC7DFA">
                              <w:rPr>
                                <w:color w:val="2C9986" w:themeColor="accent4"/>
                                <w:sz w:val="48"/>
                                <w:szCs w:val="48"/>
                              </w:rPr>
                              <w:t>: Te</w:t>
                            </w:r>
                            <w:r>
                              <w:rPr>
                                <w:color w:val="2C9986" w:themeColor="accent4"/>
                                <w:sz w:val="48"/>
                                <w:szCs w:val="48"/>
                              </w:rPr>
                              <w:t> </w:t>
                            </w:r>
                            <w:proofErr w:type="spellStart"/>
                            <w:r w:rsidRPr="00BC7DFA">
                              <w:rPr>
                                <w:color w:val="2C9986" w:themeColor="accent4"/>
                                <w:sz w:val="48"/>
                                <w:szCs w:val="48"/>
                              </w:rPr>
                              <w:t>neke</w:t>
                            </w:r>
                            <w:proofErr w:type="spellEnd"/>
                            <w:r w:rsidRPr="00BC7DFA">
                              <w:rPr>
                                <w:color w:val="2C9986" w:themeColor="accent4"/>
                                <w:sz w:val="48"/>
                                <w:szCs w:val="48"/>
                              </w:rPr>
                              <w:t xml:space="preserve"> ki te </w:t>
                            </w:r>
                            <w:proofErr w:type="spellStart"/>
                            <w:r w:rsidRPr="00BC7DFA">
                              <w:rPr>
                                <w:color w:val="2C9986" w:themeColor="accent4"/>
                                <w:sz w:val="48"/>
                                <w:szCs w:val="48"/>
                              </w:rPr>
                              <w:t>pūnaha</w:t>
                            </w:r>
                            <w:proofErr w:type="spellEnd"/>
                            <w:r w:rsidRPr="00BC7DFA">
                              <w:rPr>
                                <w:color w:val="2C9986" w:themeColor="accent4"/>
                                <w:sz w:val="48"/>
                                <w:szCs w:val="48"/>
                              </w:rPr>
                              <w:t xml:space="preserve"> </w:t>
                            </w:r>
                            <w:proofErr w:type="spellStart"/>
                            <w:r w:rsidRPr="00BC7DFA">
                              <w:rPr>
                                <w:color w:val="2C9986" w:themeColor="accent4"/>
                                <w:sz w:val="48"/>
                                <w:szCs w:val="48"/>
                              </w:rPr>
                              <w:t>hou</w:t>
                            </w:r>
                            <w:proofErr w:type="spellEnd"/>
                            <w:r w:rsidR="00D3171B">
                              <w:rPr>
                                <w:color w:val="2C9986" w:themeColor="accent4"/>
                                <w:sz w:val="48"/>
                                <w:szCs w:val="48"/>
                              </w:rPr>
                              <w:t xml:space="preserve"> </w:t>
                            </w:r>
                          </w:p>
                          <w:p w14:paraId="5B4174F8" w14:textId="1539F0C8" w:rsidR="00D3171B" w:rsidRPr="00EC0B89" w:rsidRDefault="00AA78E8" w:rsidP="00D3171B">
                            <w:pPr>
                              <w:pStyle w:val="Subtitle"/>
                              <w:rPr>
                                <w:color w:val="1B556B" w:themeColor="text2"/>
                                <w:sz w:val="48"/>
                                <w:szCs w:val="48"/>
                              </w:rPr>
                            </w:pPr>
                            <w:r w:rsidRPr="00AA78E8">
                              <w:rPr>
                                <w:color w:val="1B556B" w:themeColor="text2"/>
                                <w:sz w:val="48"/>
                                <w:szCs w:val="48"/>
                              </w:rPr>
                              <w:t>Water conservation orders: Moving to the new system</w:t>
                            </w:r>
                          </w:p>
                          <w:p w14:paraId="0FFE03BE" w14:textId="79314467" w:rsidR="00B349E3" w:rsidRPr="00EC0B89" w:rsidRDefault="00D3171B" w:rsidP="00296A94">
                            <w:pPr>
                              <w:pStyle w:val="Subtitle"/>
                              <w:rPr>
                                <w:color w:val="1B556B" w:themeColor="text2"/>
                                <w:sz w:val="48"/>
                                <w:szCs w:val="48"/>
                              </w:rPr>
                            </w:pPr>
                            <w:r>
                              <w:rPr>
                                <w:color w:val="1B556B" w:themeColor="text2"/>
                                <w:sz w:val="48"/>
                                <w:szCs w:val="48"/>
                              </w:rPr>
                              <w:t xml:space="preserve"> </w:t>
                            </w:r>
                          </w:p>
                        </w:txbxContent>
                      </wps:txbx>
                      <wps:bodyPr rot="0" spcFirstLastPara="0" vertOverflow="overflow" horzOverflow="overflow" vert="horz" wrap="square" lIns="36000" tIns="72000" rIns="0" bIns="54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51DA1B8">
              <v:shapetype id="_x0000_t202" coordsize="21600,21600" o:spt="202" path="m,l,21600r21600,l21600,xe" w14:anchorId="1F9B9299">
                <v:stroke joinstyle="miter"/>
                <v:path gradientshapeok="t" o:connecttype="rect"/>
              </v:shapetype>
              <v:shape id="Text Box 6" style="position:absolute;margin-left:-3.9pt;margin-top:88.8pt;width:457.3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">
                <v:textbox inset="1mm,2mm,0,15mm">
                  <w:txbxContent>
                    <w:p w:rsidRPr="00EC0B89" w:rsidR="00D3171B" w:rsidP="00296A94" w:rsidRDefault="00BC7DFA" w14:paraId="313C74EF" w14:textId="7E716EDF">
                      <w:pPr>
                        <w:pStyle w:val="Subtitle"/>
                        <w:rPr>
                          <w:color w:val="2C9986" w:themeColor="accent4"/>
                          <w:sz w:val="48"/>
                          <w:szCs w:val="48"/>
                        </w:rPr>
                      </w:pPr>
                      <w:r w:rsidRPr="00BC7DFA">
                        <w:rPr>
                          <w:color w:val="2C9986" w:themeColor="accent4"/>
                          <w:sz w:val="48"/>
                          <w:szCs w:val="48"/>
                        </w:rPr>
                        <w:t xml:space="preserve">Ngā </w:t>
                      </w:r>
                      <w:proofErr w:type="spellStart"/>
                      <w:r w:rsidRPr="00BC7DFA">
                        <w:rPr>
                          <w:color w:val="2C9986" w:themeColor="accent4"/>
                          <w:sz w:val="48"/>
                          <w:szCs w:val="48"/>
                        </w:rPr>
                        <w:t>whakahau</w:t>
                      </w:r>
                      <w:proofErr w:type="spellEnd"/>
                      <w:r w:rsidRPr="00BC7DFA">
                        <w:rPr>
                          <w:color w:val="2C9986" w:themeColor="accent4"/>
                          <w:sz w:val="48"/>
                          <w:szCs w:val="48"/>
                        </w:rPr>
                        <w:t xml:space="preserve"> </w:t>
                      </w:r>
                      <w:proofErr w:type="spellStart"/>
                      <w:r w:rsidRPr="00BC7DFA">
                        <w:rPr>
                          <w:color w:val="2C9986" w:themeColor="accent4"/>
                          <w:sz w:val="48"/>
                          <w:szCs w:val="48"/>
                        </w:rPr>
                        <w:t>whāomoomo</w:t>
                      </w:r>
                      <w:proofErr w:type="spellEnd"/>
                      <w:r w:rsidRPr="00BC7DFA">
                        <w:rPr>
                          <w:color w:val="2C9986" w:themeColor="accent4"/>
                          <w:sz w:val="48"/>
                          <w:szCs w:val="48"/>
                        </w:rPr>
                        <w:t xml:space="preserve"> </w:t>
                      </w:r>
                      <w:proofErr w:type="spellStart"/>
                      <w:r w:rsidRPr="00BC7DFA">
                        <w:rPr>
                          <w:color w:val="2C9986" w:themeColor="accent4"/>
                          <w:sz w:val="48"/>
                          <w:szCs w:val="48"/>
                        </w:rPr>
                        <w:t>wai</w:t>
                      </w:r>
                      <w:proofErr w:type="spellEnd"/>
                      <w:r w:rsidRPr="00BC7DFA">
                        <w:rPr>
                          <w:color w:val="2C9986" w:themeColor="accent4"/>
                          <w:sz w:val="48"/>
                          <w:szCs w:val="48"/>
                        </w:rPr>
                        <w:t>: Te</w:t>
                      </w:r>
                      <w:r>
                        <w:rPr>
                          <w:color w:val="2C9986" w:themeColor="accent4"/>
                          <w:sz w:val="48"/>
                          <w:szCs w:val="48"/>
                        </w:rPr>
                        <w:t> </w:t>
                      </w:r>
                      <w:proofErr w:type="spellStart"/>
                      <w:r w:rsidRPr="00BC7DFA">
                        <w:rPr>
                          <w:color w:val="2C9986" w:themeColor="accent4"/>
                          <w:sz w:val="48"/>
                          <w:szCs w:val="48"/>
                        </w:rPr>
                        <w:t>neke</w:t>
                      </w:r>
                      <w:proofErr w:type="spellEnd"/>
                      <w:r w:rsidRPr="00BC7DFA">
                        <w:rPr>
                          <w:color w:val="2C9986" w:themeColor="accent4"/>
                          <w:sz w:val="48"/>
                          <w:szCs w:val="48"/>
                        </w:rPr>
                        <w:t xml:space="preserve"> ki te </w:t>
                      </w:r>
                      <w:proofErr w:type="spellStart"/>
                      <w:r w:rsidRPr="00BC7DFA">
                        <w:rPr>
                          <w:color w:val="2C9986" w:themeColor="accent4"/>
                          <w:sz w:val="48"/>
                          <w:szCs w:val="48"/>
                        </w:rPr>
                        <w:t>pūnaha</w:t>
                      </w:r>
                      <w:proofErr w:type="spellEnd"/>
                      <w:r w:rsidRPr="00BC7DFA">
                        <w:rPr>
                          <w:color w:val="2C9986" w:themeColor="accent4"/>
                          <w:sz w:val="48"/>
                          <w:szCs w:val="48"/>
                        </w:rPr>
                        <w:t xml:space="preserve"> </w:t>
                      </w:r>
                      <w:proofErr w:type="spellStart"/>
                      <w:r w:rsidRPr="00BC7DFA">
                        <w:rPr>
                          <w:color w:val="2C9986" w:themeColor="accent4"/>
                          <w:sz w:val="48"/>
                          <w:szCs w:val="48"/>
                        </w:rPr>
                        <w:t>hou</w:t>
                      </w:r>
                      <w:proofErr w:type="spellEnd"/>
                      <w:r w:rsidR="00D3171B">
                        <w:rPr>
                          <w:color w:val="2C9986" w:themeColor="accent4"/>
                          <w:sz w:val="48"/>
                          <w:szCs w:val="48"/>
                        </w:rPr>
                        <w:t xml:space="preserve"> </w:t>
                      </w:r>
                    </w:p>
                    <w:p w:rsidRPr="00EC0B89" w:rsidR="00D3171B" w:rsidP="00D3171B" w:rsidRDefault="00AA78E8" w14:paraId="6A93BF17" w14:textId="1539F0C8">
                      <w:pPr>
                        <w:pStyle w:val="Subtitle"/>
                        <w:rPr>
                          <w:color w:val="1B556B" w:themeColor="text2"/>
                          <w:sz w:val="48"/>
                          <w:szCs w:val="48"/>
                        </w:rPr>
                      </w:pPr>
                      <w:r w:rsidRPr="00AA78E8">
                        <w:rPr>
                          <w:color w:val="1B556B" w:themeColor="text2"/>
                          <w:sz w:val="48"/>
                          <w:szCs w:val="48"/>
                        </w:rPr>
                        <w:t>Water conservation orders: Moving to the new system</w:t>
                      </w:r>
                    </w:p>
                    <w:p w:rsidRPr="00EC0B89" w:rsidR="00B349E3" w:rsidP="00296A94" w:rsidRDefault="00D3171B" w14:paraId="29D6B04F" w14:textId="79314467">
                      <w:pPr>
                        <w:pStyle w:val="Subtitle"/>
                        <w:rPr>
                          <w:color w:val="1B556B" w:themeColor="text2"/>
                          <w:sz w:val="48"/>
                          <w:szCs w:val="48"/>
                        </w:rPr>
                      </w:pPr>
                      <w:r>
                        <w:rPr>
                          <w:color w:val="1B556B" w:themeColor="text2"/>
                          <w:sz w:val="48"/>
                          <w:szCs w:val="48"/>
                        </w:rPr>
                        <w:t xml:space="preserve"> </w:t>
                      </w:r>
                    </w:p>
                  </w:txbxContent>
                </v:textbox>
                <w10:wrap type="topAndBottom"/>
              </v:shape>
            </w:pict>
          </mc:Fallback>
        </mc:AlternateContent>
      </w:r>
      <w:r w:rsidR="00721893">
        <w:rPr>
          <w:noProof/>
        </w:rPr>
        <mc:AlternateContent>
          <mc:Choice Requires="wps">
            <w:drawing>
              <wp:anchor distT="45720" distB="45720" distL="114300" distR="114300" simplePos="0" relativeHeight="251658243" behindDoc="0" locked="0" layoutInCell="1" allowOverlap="1" wp14:anchorId="4DEC8DBD" wp14:editId="0F6E427D">
                <wp:simplePos x="0" y="0"/>
                <wp:positionH relativeFrom="column">
                  <wp:posOffset>3693779</wp:posOffset>
                </wp:positionH>
                <wp:positionV relativeFrom="page">
                  <wp:posOffset>349250</wp:posOffset>
                </wp:positionV>
                <wp:extent cx="2408555" cy="71247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712470"/>
                        </a:xfrm>
                        <a:prstGeom prst="rect">
                          <a:avLst/>
                        </a:prstGeom>
                        <a:noFill/>
                        <a:ln w="9525">
                          <a:noFill/>
                          <a:miter lim="800000"/>
                          <a:headEnd/>
                          <a:tailEnd/>
                        </a:ln>
                      </wps:spPr>
                      <wps:txbx>
                        <w:txbxContent>
                          <w:p w14:paraId="3D10EA6F" w14:textId="20C7C496" w:rsidR="007A383E" w:rsidRPr="00721893" w:rsidRDefault="007A383E" w:rsidP="00DA500C">
                            <w:pPr>
                              <w:pStyle w:val="Headerinfo"/>
                              <w:rPr>
                                <w:b/>
                              </w:rPr>
                            </w:pPr>
                            <w:r w:rsidRPr="00721893">
                              <w:t>The new resource management system:</w:t>
                            </w:r>
                            <w:r w:rsidRPr="00721893">
                              <w:br/>
                              <w:t>Natural and Built Environment Act</w:t>
                            </w:r>
                            <w:r w:rsidR="00570FC0">
                              <w:t xml:space="preserve"> 2023</w:t>
                            </w:r>
                            <w:r w:rsidRPr="00721893">
                              <w:br/>
                              <w:t>and Spatial Planning Act 2023</w:t>
                            </w:r>
                          </w:p>
                          <w:p w14:paraId="4CFE7685" w14:textId="77777777" w:rsidR="007A383E" w:rsidRDefault="007A383E" w:rsidP="007A3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0772058">
              <v:shape id="Text Box 217" style="position:absolute;margin-left:290.85pt;margin-top:27.5pt;width:189.65pt;height:56.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" w14:anchorId="4DEC8DBD">
                <v:textbox>
                  <w:txbxContent>
                    <w:p w:rsidRPr="00721893" w:rsidR="007A383E" w:rsidP="00DA500C" w:rsidRDefault="007A383E" w14:paraId="18C7DB12" w14:textId="20C7C496">
                      <w:pPr>
                        <w:pStyle w:val="Headerinfo"/>
                        <w:rPr>
                          <w:b/>
                        </w:rPr>
                      </w:pPr>
                      <w:r w:rsidRPr="00721893">
                        <w:t>The new resource management system:</w:t>
                      </w:r>
                      <w:r w:rsidRPr="00721893">
                        <w:br/>
                      </w:r>
                      <w:r w:rsidRPr="00721893">
                        <w:t>Natural and Built Environment Act</w:t>
                      </w:r>
                      <w:r w:rsidR="00570FC0">
                        <w:t xml:space="preserve"> 2023</w:t>
                      </w:r>
                      <w:r w:rsidRPr="00721893">
                        <w:br/>
                      </w:r>
                      <w:r w:rsidRPr="00721893">
                        <w:t>and Spatial Planning Act 2023</w:t>
                      </w:r>
                    </w:p>
                    <w:p w:rsidR="007A383E" w:rsidP="007A383E" w:rsidRDefault="007A383E" w14:paraId="672A6659" w14:textId="77777777"/>
                  </w:txbxContent>
                </v:textbox>
                <w10:wrap type="square" anchory="page"/>
              </v:shape>
            </w:pict>
          </mc:Fallback>
        </mc:AlternateContent>
      </w:r>
      <w:r w:rsidR="005C7862">
        <w:rPr>
          <w:rFonts w:asciiTheme="minorHAnsi" w:hAnsiTheme="minorHAnsi" w:cstheme="minorHAnsi"/>
          <w:noProof/>
          <w:color w:val="FFFFFF" w:themeColor="background1"/>
        </w:rPr>
        <w:drawing>
          <wp:anchor distT="0" distB="0" distL="114300" distR="114300" simplePos="0" relativeHeight="251658242" behindDoc="1" locked="0" layoutInCell="1" allowOverlap="1" wp14:anchorId="4EB9157D" wp14:editId="0B08B977">
            <wp:simplePos x="0" y="0"/>
            <wp:positionH relativeFrom="page">
              <wp:posOffset>8115</wp:posOffset>
            </wp:positionH>
            <wp:positionV relativeFrom="paragraph">
              <wp:posOffset>-737080</wp:posOffset>
            </wp:positionV>
            <wp:extent cx="7543165" cy="1352550"/>
            <wp:effectExtent l="0" t="0" r="635"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543165"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782EAB" w14:textId="250FBB16" w:rsidR="00CA121E" w:rsidRDefault="00CA121E" w:rsidP="00CA121E">
      <w:pPr>
        <w:pStyle w:val="BodyText"/>
      </w:pPr>
      <w:r>
        <w:t>New laws are being phased in that aim to help Aotearoa New Zealand protect and manage the environment and its resources. The Spatial Planning Act 2023 (SPA) and the Natural and Built Environment Act 2023 (NBA) were enacted on 23 August 2023.</w:t>
      </w:r>
      <w:r w:rsidR="00ED13BD">
        <w:rPr>
          <w:rStyle w:val="FootnoteReference"/>
        </w:rPr>
        <w:footnoteReference w:id="2"/>
      </w:r>
    </w:p>
    <w:p w14:paraId="0F2BE547" w14:textId="77777777" w:rsidR="00CA121E" w:rsidRDefault="00CA121E" w:rsidP="00CA121E">
      <w:pPr>
        <w:pStyle w:val="BodyText"/>
      </w:pPr>
      <w:r>
        <w:t xml:space="preserve">Water conservation orders (WCOs) are designed to recognise and protect outstanding bodies of water. They can be applied to rivers, lakes, streams, ponds, wetlands, </w:t>
      </w:r>
      <w:proofErr w:type="gramStart"/>
      <w:r>
        <w:t>aquifers</w:t>
      </w:r>
      <w:proofErr w:type="gramEnd"/>
      <w:r>
        <w:t xml:space="preserve"> and geothermal water outside the coastal marine area.</w:t>
      </w:r>
    </w:p>
    <w:p w14:paraId="142391D7" w14:textId="77777777" w:rsidR="00CA121E" w:rsidRDefault="00CA121E" w:rsidP="00CA121E">
      <w:pPr>
        <w:pStyle w:val="BodyText"/>
      </w:pPr>
      <w:r>
        <w:t>The WCO provisions in the NBA are essentially the same as those in the Resource Management Act 1991 (RMA). For example, the things they protect and the types of restrictions that can be imposed are the same, and the process for putting WCOs in place is very similar.</w:t>
      </w:r>
    </w:p>
    <w:p w14:paraId="6817F94D" w14:textId="77777777" w:rsidR="00CA121E" w:rsidRDefault="00CA121E" w:rsidP="00CA121E">
      <w:pPr>
        <w:pStyle w:val="BodyText"/>
      </w:pPr>
      <w:r>
        <w:t>Part 7, subpart 1 of the NBA contains the provisions relating to WCOs, and Schedule 1 contains the transitional provisions that apply during the move to the new resource management system.</w:t>
      </w:r>
    </w:p>
    <w:p w14:paraId="28F1690C" w14:textId="2617EB9A" w:rsidR="007A5E15" w:rsidRDefault="00CA121E" w:rsidP="00CA121E">
      <w:pPr>
        <w:pStyle w:val="BodyText"/>
      </w:pPr>
      <w:r>
        <w:t xml:space="preserve">For information about existing WCOs, visit </w:t>
      </w:r>
      <w:hyperlink r:id="rId13" w:history="1">
        <w:r w:rsidRPr="00B309B4">
          <w:rPr>
            <w:rStyle w:val="Hyperlink"/>
          </w:rPr>
          <w:t>Water conservation orders</w:t>
        </w:r>
      </w:hyperlink>
      <w:r>
        <w:t>.</w:t>
      </w:r>
    </w:p>
    <w:p w14:paraId="1828B766" w14:textId="4FD31115" w:rsidR="006D6733" w:rsidRDefault="006D6733" w:rsidP="00F10EF6">
      <w:pPr>
        <w:pStyle w:val="Heading2"/>
        <w:spacing w:before="300" w:after="120"/>
      </w:pPr>
      <w:r>
        <w:t>This fact sheet contains:</w:t>
      </w:r>
    </w:p>
    <w:p w14:paraId="6D107189" w14:textId="4949E43F" w:rsidR="006D6733" w:rsidRDefault="006D6733" w:rsidP="006D6733">
      <w:pPr>
        <w:pStyle w:val="Bullet"/>
      </w:pPr>
      <w:r>
        <w:t>overview of water conservation orders</w:t>
      </w:r>
    </w:p>
    <w:p w14:paraId="2AE0786D" w14:textId="74876365" w:rsidR="006D6733" w:rsidRDefault="006D6733" w:rsidP="006D6733">
      <w:pPr>
        <w:pStyle w:val="Bullet"/>
      </w:pPr>
      <w:r>
        <w:t xml:space="preserve">transitional provisions for water conservation orders </w:t>
      </w:r>
    </w:p>
    <w:p w14:paraId="347AA457" w14:textId="2AB70B72" w:rsidR="00501011" w:rsidRDefault="006D6733" w:rsidP="00536617">
      <w:pPr>
        <w:pStyle w:val="Bullet"/>
      </w:pPr>
      <w:r>
        <w:t>the water conservation order process.</w:t>
      </w:r>
    </w:p>
    <w:p w14:paraId="0EBF6193" w14:textId="5FFF6B01" w:rsidR="00501011" w:rsidRDefault="00501011" w:rsidP="00F5746A">
      <w:pPr>
        <w:pStyle w:val="BodyText"/>
        <w:sectPr w:rsidR="00501011" w:rsidSect="006D6733">
          <w:footerReference w:type="even" r:id="rId14"/>
          <w:footerReference w:type="default" r:id="rId15"/>
          <w:footerReference w:type="first" r:id="rId16"/>
          <w:pgSz w:w="11907" w:h="16840" w:code="9"/>
          <w:pgMar w:top="1134" w:right="1418" w:bottom="2835" w:left="1418" w:header="573" w:footer="726" w:gutter="0"/>
          <w:cols w:space="720"/>
          <w:titlePg/>
          <w:docGrid w:linePitch="299"/>
        </w:sectPr>
      </w:pPr>
    </w:p>
    <w:p w14:paraId="4C55DE5A" w14:textId="77777777" w:rsidR="007977FA" w:rsidRDefault="007977FA" w:rsidP="007977FA">
      <w:pPr>
        <w:pStyle w:val="Heading2"/>
      </w:pPr>
      <w:r>
        <w:t>Overview of water conservation orders</w:t>
      </w:r>
    </w:p>
    <w:p w14:paraId="15400BD3" w14:textId="4F565088" w:rsidR="007977FA" w:rsidRDefault="007977FA" w:rsidP="007977FA">
      <w:pPr>
        <w:pStyle w:val="BodyText"/>
      </w:pPr>
      <w:r>
        <w:t>Like the RMA, the NBA allows WCOs to be put in place to:</w:t>
      </w:r>
      <w:r w:rsidR="00A2561D">
        <w:rPr>
          <w:rStyle w:val="FootnoteReference"/>
        </w:rPr>
        <w:footnoteReference w:id="3"/>
      </w:r>
    </w:p>
    <w:p w14:paraId="55124B0F" w14:textId="25C276D5" w:rsidR="007977FA" w:rsidRDefault="007977FA" w:rsidP="005063C5">
      <w:pPr>
        <w:pStyle w:val="Bullet"/>
      </w:pPr>
      <w:r>
        <w:t>preserve an outstanding water body</w:t>
      </w:r>
    </w:p>
    <w:p w14:paraId="39D65B23" w14:textId="5B810545" w:rsidR="007977FA" w:rsidRDefault="007977FA" w:rsidP="005063C5">
      <w:pPr>
        <w:pStyle w:val="Bullet"/>
      </w:pPr>
      <w:r>
        <w:t>protect the outstanding characteristics that a water body has or contributes to:</w:t>
      </w:r>
    </w:p>
    <w:p w14:paraId="6F731BA3" w14:textId="77777777" w:rsidR="007977FA" w:rsidRDefault="007977FA" w:rsidP="005063C5">
      <w:pPr>
        <w:pStyle w:val="Sub-bullet"/>
      </w:pPr>
      <w:r>
        <w:t>-</w:t>
      </w:r>
      <w:r>
        <w:tab/>
        <w:t>as a habitat for terrestrial or aquatic organisms</w:t>
      </w:r>
    </w:p>
    <w:p w14:paraId="2DF838D2" w14:textId="77777777" w:rsidR="007977FA" w:rsidRDefault="007977FA" w:rsidP="005063C5">
      <w:pPr>
        <w:pStyle w:val="Sub-bullet"/>
      </w:pPr>
      <w:r>
        <w:t>-</w:t>
      </w:r>
      <w:r>
        <w:tab/>
        <w:t>as a fishery</w:t>
      </w:r>
    </w:p>
    <w:p w14:paraId="26A8ACD4" w14:textId="77777777" w:rsidR="007977FA" w:rsidRDefault="007977FA" w:rsidP="005063C5">
      <w:pPr>
        <w:pStyle w:val="Sub-bullet"/>
      </w:pPr>
      <w:r>
        <w:t>-</w:t>
      </w:r>
      <w:r>
        <w:tab/>
        <w:t>for its wild, scenic, or other natural characteristics</w:t>
      </w:r>
    </w:p>
    <w:p w14:paraId="2FFB0101" w14:textId="77777777" w:rsidR="007977FA" w:rsidRDefault="007977FA" w:rsidP="005063C5">
      <w:pPr>
        <w:pStyle w:val="Sub-bullet"/>
      </w:pPr>
      <w:r>
        <w:t>-</w:t>
      </w:r>
      <w:r>
        <w:tab/>
        <w:t>for scientific and ecological values</w:t>
      </w:r>
    </w:p>
    <w:p w14:paraId="4B6261D9" w14:textId="77777777" w:rsidR="007977FA" w:rsidRDefault="007977FA" w:rsidP="005063C5">
      <w:pPr>
        <w:pStyle w:val="Sub-bullet"/>
      </w:pPr>
      <w:r>
        <w:t>-</w:t>
      </w:r>
      <w:r>
        <w:tab/>
        <w:t>for recreational, historical, spiritual, or cultural purposes</w:t>
      </w:r>
    </w:p>
    <w:p w14:paraId="18509D8C" w14:textId="7F423443" w:rsidR="007977FA" w:rsidRDefault="007977FA" w:rsidP="005063C5">
      <w:pPr>
        <w:pStyle w:val="Bullet"/>
      </w:pPr>
      <w:r>
        <w:t xml:space="preserve">protect characteristics of outstanding significance, in accordance with tikanga Māori, that a water body has or contributes to. </w:t>
      </w:r>
    </w:p>
    <w:p w14:paraId="36411A30" w14:textId="4882CAFA" w:rsidR="007977FA" w:rsidRDefault="007977FA" w:rsidP="007977FA">
      <w:pPr>
        <w:pStyle w:val="BodyText"/>
      </w:pPr>
      <w:r>
        <w:t xml:space="preserve">WCOs can put restrictions on activities that affect water bodies’ flow, level, </w:t>
      </w:r>
      <w:proofErr w:type="gramStart"/>
      <w:r>
        <w:t>temperature</w:t>
      </w:r>
      <w:proofErr w:type="gramEnd"/>
      <w:r>
        <w:t xml:space="preserve"> and other factors including maximum allocation, maximum contaminant and loading concentrations.</w:t>
      </w:r>
      <w:r w:rsidR="00015D4D">
        <w:rPr>
          <w:rStyle w:val="FootnoteReference"/>
        </w:rPr>
        <w:footnoteReference w:id="4"/>
      </w:r>
    </w:p>
    <w:p w14:paraId="7A967B07" w14:textId="77777777" w:rsidR="007977FA" w:rsidRDefault="007977FA" w:rsidP="005063C5">
      <w:pPr>
        <w:pStyle w:val="Heading2"/>
      </w:pPr>
      <w:r>
        <w:t>Transitional provisions for water conservation orders</w:t>
      </w:r>
    </w:p>
    <w:p w14:paraId="79FAA257" w14:textId="77777777" w:rsidR="007977FA" w:rsidRDefault="007977FA" w:rsidP="007977FA">
      <w:pPr>
        <w:pStyle w:val="BodyText"/>
      </w:pPr>
      <w:r>
        <w:t xml:space="preserve">The RMA’s WCO provisions will continue to apply in a region until its natural and built environment plan (NBE plan) comes into effect. </w:t>
      </w:r>
    </w:p>
    <w:p w14:paraId="7F90BFFA" w14:textId="77777777" w:rsidR="007977FA" w:rsidRDefault="007977FA" w:rsidP="007977FA">
      <w:pPr>
        <w:pStyle w:val="BodyText"/>
      </w:pPr>
      <w:r>
        <w:t>This will be on the region’s NBEA date, which is 10 working days after the regional planning committee notifies the decisions version of the NBE plan.</w:t>
      </w:r>
    </w:p>
    <w:p w14:paraId="7E3AA694" w14:textId="58D39E31" w:rsidR="007977FA" w:rsidRDefault="007977FA" w:rsidP="007977FA">
      <w:pPr>
        <w:pStyle w:val="BodyText"/>
      </w:pPr>
      <w:r>
        <w:t>From the region’s NBEA date:</w:t>
      </w:r>
      <w:r w:rsidR="00FF4C12">
        <w:rPr>
          <w:rStyle w:val="FootnoteReference"/>
        </w:rPr>
        <w:footnoteReference w:id="5"/>
      </w:r>
    </w:p>
    <w:p w14:paraId="2B157F91" w14:textId="412D79A3" w:rsidR="007977FA" w:rsidRDefault="007977FA" w:rsidP="005063C5">
      <w:pPr>
        <w:pStyle w:val="Bullet"/>
      </w:pPr>
      <w:r>
        <w:t>WCOs made under the RMA will continue to be valid</w:t>
      </w:r>
    </w:p>
    <w:p w14:paraId="72CBA4A1" w14:textId="481E19F7" w:rsidR="007977FA" w:rsidRDefault="007977FA" w:rsidP="005063C5">
      <w:pPr>
        <w:pStyle w:val="Bullet"/>
      </w:pPr>
      <w:r>
        <w:t>WCO applications already underway will continue to be processed under the RMA,</w:t>
      </w:r>
      <w:r w:rsidR="004F1091">
        <w:rPr>
          <w:rStyle w:val="FootnoteReference"/>
        </w:rPr>
        <w:footnoteReference w:id="6"/>
      </w:r>
      <w:r>
        <w:t xml:space="preserve"> and those that are made will be added to the region’s NBE plan</w:t>
      </w:r>
    </w:p>
    <w:p w14:paraId="0977B538" w14:textId="6B8D3916" w:rsidR="007977FA" w:rsidRDefault="007977FA" w:rsidP="005063C5">
      <w:pPr>
        <w:pStyle w:val="Bullet"/>
      </w:pPr>
      <w:r>
        <w:t>WCO provisions granted under the RMA cannot be submitted on or considered in hearings on NBE plans.</w:t>
      </w:r>
    </w:p>
    <w:p w14:paraId="506FDB37" w14:textId="77777777" w:rsidR="007977FA" w:rsidRDefault="007977FA" w:rsidP="00CF09B5">
      <w:pPr>
        <w:pStyle w:val="Heading2"/>
        <w:keepLines/>
      </w:pPr>
      <w:r>
        <w:t xml:space="preserve">The water conservation order process </w:t>
      </w:r>
    </w:p>
    <w:p w14:paraId="6E39BDD2" w14:textId="77777777" w:rsidR="007977FA" w:rsidRDefault="007977FA" w:rsidP="00CF09B5">
      <w:pPr>
        <w:pStyle w:val="BodyText"/>
        <w:keepNext/>
        <w:keepLines/>
      </w:pPr>
      <w:r>
        <w:t>The process under the NBA is essentially the same as under the RMA. There is a minor difference to the special tribunal’s role (noted below).</w:t>
      </w:r>
    </w:p>
    <w:p w14:paraId="38341042" w14:textId="267BDAD9" w:rsidR="007977FA" w:rsidRDefault="007977FA" w:rsidP="00CF09B5">
      <w:pPr>
        <w:pStyle w:val="BodyText"/>
        <w:keepNext/>
        <w:keepLines/>
      </w:pPr>
      <w:r>
        <w:t>Any person may apply to the Minister for the Environment for a WCO. The application must:</w:t>
      </w:r>
      <w:r w:rsidR="00D1762A">
        <w:rPr>
          <w:rStyle w:val="FootnoteReference"/>
        </w:rPr>
        <w:footnoteReference w:id="7"/>
      </w:r>
    </w:p>
    <w:p w14:paraId="40608E44" w14:textId="06ECDFE1" w:rsidR="007977FA" w:rsidRDefault="007977FA" w:rsidP="00CF09B5">
      <w:pPr>
        <w:pStyle w:val="Bullet"/>
        <w:keepNext/>
        <w:keepLines/>
      </w:pPr>
      <w:r>
        <w:t xml:space="preserve">identify the water body </w:t>
      </w:r>
    </w:p>
    <w:p w14:paraId="533E9BD2" w14:textId="702DDB08" w:rsidR="007977FA" w:rsidRDefault="007977FA" w:rsidP="00C03569">
      <w:pPr>
        <w:pStyle w:val="Bullet"/>
        <w:keepNext/>
        <w:keepLines/>
      </w:pPr>
      <w:r>
        <w:t>state the reason for the application</w:t>
      </w:r>
      <w:r w:rsidR="00C464E0">
        <w:rPr>
          <w:rStyle w:val="FootnoteReference"/>
        </w:rPr>
        <w:footnoteReference w:id="8"/>
      </w:r>
    </w:p>
    <w:p w14:paraId="23ECAE51" w14:textId="526F707A" w:rsidR="007977FA" w:rsidRDefault="007977FA" w:rsidP="00536617">
      <w:pPr>
        <w:pStyle w:val="Bullet"/>
        <w:keepNext/>
        <w:keepLines/>
      </w:pPr>
      <w:r>
        <w:t>outline the matters that must be considered by the special tribunal.</w:t>
      </w:r>
      <w:r w:rsidR="00F95E38">
        <w:rPr>
          <w:rStyle w:val="FootnoteReference"/>
        </w:rPr>
        <w:footnoteReference w:id="9"/>
      </w:r>
    </w:p>
    <w:p w14:paraId="49E829E6" w14:textId="2350CADE" w:rsidR="007977FA" w:rsidRDefault="007977FA" w:rsidP="007977FA">
      <w:pPr>
        <w:pStyle w:val="BodyText"/>
      </w:pPr>
      <w:r>
        <w:t>The Minister may require further information and may accept (as complete) or reject the application.</w:t>
      </w:r>
      <w:r w:rsidR="00653DCF">
        <w:rPr>
          <w:rStyle w:val="FootnoteReference"/>
        </w:rPr>
        <w:footnoteReference w:id="10"/>
      </w:r>
      <w:r>
        <w:t xml:space="preserve"> If the Minister accepts the application, </w:t>
      </w:r>
      <w:proofErr w:type="gramStart"/>
      <w:r>
        <w:t>they</w:t>
      </w:r>
      <w:proofErr w:type="gramEnd"/>
      <w:r>
        <w:t xml:space="preserve"> then:</w:t>
      </w:r>
      <w:r w:rsidR="004D4F7D">
        <w:rPr>
          <w:rStyle w:val="FootnoteReference"/>
        </w:rPr>
        <w:footnoteReference w:id="11"/>
      </w:r>
      <w:r>
        <w:t xml:space="preserve"> </w:t>
      </w:r>
    </w:p>
    <w:p w14:paraId="6A9C398A" w14:textId="0B348B58" w:rsidR="007977FA" w:rsidRDefault="007977FA" w:rsidP="005063C5">
      <w:pPr>
        <w:pStyle w:val="Bullet"/>
      </w:pPr>
      <w:r>
        <w:t>appoint a special tribunal to hear and report on the application</w:t>
      </w:r>
    </w:p>
    <w:p w14:paraId="06584CEF" w14:textId="454AF699" w:rsidR="007977FA" w:rsidRDefault="007977FA" w:rsidP="005063C5">
      <w:pPr>
        <w:pStyle w:val="Bullet"/>
      </w:pPr>
      <w:r>
        <w:t>consult the Minister for Māori Development and Minister of Conservation (if appropriate) on the membership of the tribunal.</w:t>
      </w:r>
      <w:r w:rsidR="00934D76">
        <w:rPr>
          <w:rStyle w:val="FootnoteReference"/>
        </w:rPr>
        <w:footnoteReference w:id="12"/>
      </w:r>
    </w:p>
    <w:p w14:paraId="048C3296" w14:textId="5D6ADE46" w:rsidR="007977FA" w:rsidRDefault="007977FA" w:rsidP="007977FA">
      <w:pPr>
        <w:pStyle w:val="BodyText"/>
      </w:pPr>
      <w:r>
        <w:t>The special tribunal notifies the application in preparation for a hearing on the WCO. When considering the application, the tribunal must consider the:</w:t>
      </w:r>
      <w:r w:rsidR="00584F7A">
        <w:rPr>
          <w:rStyle w:val="FootnoteReference"/>
        </w:rPr>
        <w:footnoteReference w:id="13"/>
      </w:r>
    </w:p>
    <w:p w14:paraId="117D5C18" w14:textId="7A4DD589" w:rsidR="007977FA" w:rsidRDefault="007977FA" w:rsidP="005063C5">
      <w:pPr>
        <w:pStyle w:val="Bullet"/>
      </w:pPr>
      <w:r>
        <w:t>purpose of a WCO</w:t>
      </w:r>
    </w:p>
    <w:p w14:paraId="1142AFA8" w14:textId="57CD5561" w:rsidR="007977FA" w:rsidRDefault="007977FA" w:rsidP="005063C5">
      <w:pPr>
        <w:pStyle w:val="Bullet"/>
      </w:pPr>
      <w:r>
        <w:t>preservation of the water body and protection of the characteristics</w:t>
      </w:r>
    </w:p>
    <w:p w14:paraId="46597694" w14:textId="79990ED2" w:rsidR="007977FA" w:rsidRDefault="007977FA" w:rsidP="005063C5">
      <w:pPr>
        <w:pStyle w:val="Bullet"/>
      </w:pPr>
      <w:r>
        <w:t>application and all submissions</w:t>
      </w:r>
    </w:p>
    <w:p w14:paraId="7126EE98" w14:textId="7C6BA29B" w:rsidR="007977FA" w:rsidRDefault="007977FA" w:rsidP="005063C5">
      <w:pPr>
        <w:pStyle w:val="Bullet"/>
      </w:pPr>
      <w:r>
        <w:t>needs of primary and secondary industry and community</w:t>
      </w:r>
    </w:p>
    <w:p w14:paraId="7D9C2D75" w14:textId="5D12F68F" w:rsidR="007977FA" w:rsidRDefault="007977FA" w:rsidP="005063C5">
      <w:pPr>
        <w:pStyle w:val="Bullet"/>
      </w:pPr>
      <w:r>
        <w:t xml:space="preserve">relevant provisions of the National Planning Framework and the NBE plans for the relevant regions. </w:t>
      </w:r>
    </w:p>
    <w:p w14:paraId="6B88E59A" w14:textId="77777777" w:rsidR="007977FA" w:rsidRDefault="007977FA" w:rsidP="007977FA">
      <w:pPr>
        <w:pStyle w:val="BodyText"/>
      </w:pPr>
      <w:r>
        <w:t xml:space="preserve">Once all the information has been considered, the special tribunal must: </w:t>
      </w:r>
    </w:p>
    <w:p w14:paraId="7DDD27C6" w14:textId="65B67CB1" w:rsidR="007977FA" w:rsidRDefault="007977FA" w:rsidP="005063C5">
      <w:pPr>
        <w:pStyle w:val="Bullet"/>
      </w:pPr>
      <w:r>
        <w:t>either recommend a draft WCO to the Minister, or recommend that the application be declined</w:t>
      </w:r>
      <w:r w:rsidR="00E27491">
        <w:rPr>
          <w:rStyle w:val="FootnoteReference"/>
        </w:rPr>
        <w:footnoteReference w:id="14"/>
      </w:r>
    </w:p>
    <w:p w14:paraId="284BC740" w14:textId="1CE2ED9A" w:rsidR="007977FA" w:rsidRDefault="007977FA" w:rsidP="005063C5">
      <w:pPr>
        <w:pStyle w:val="Bullet"/>
      </w:pPr>
      <w:r>
        <w:t>if the recommendation is to approve the WCO, provide the regional planning committee with the draft provisions to include in the region’s NBE plan</w:t>
      </w:r>
      <w:r w:rsidR="003C17B8">
        <w:rPr>
          <w:rStyle w:val="FootnoteReference"/>
        </w:rPr>
        <w:footnoteReference w:id="15"/>
      </w:r>
      <w:r>
        <w:t xml:space="preserve"> (under the RMA, the special tribunal provides a draft WCO, but not draft provisions about the order).</w:t>
      </w:r>
    </w:p>
    <w:p w14:paraId="7E27A083" w14:textId="7CFE5AE7" w:rsidR="007977FA" w:rsidRDefault="007977FA" w:rsidP="007977FA">
      <w:pPr>
        <w:pStyle w:val="BodyText"/>
      </w:pPr>
      <w:r>
        <w:t>The Minister then makes the final decision. If their decision is to approve, they recommend the making of a WCO by Order in Council.</w:t>
      </w:r>
      <w:r w:rsidR="00D03651">
        <w:rPr>
          <w:rStyle w:val="FootnoteReference"/>
        </w:rPr>
        <w:footnoteReference w:id="16"/>
      </w:r>
    </w:p>
    <w:p w14:paraId="5145BF9E" w14:textId="7B8063E5" w:rsidR="007977FA" w:rsidRDefault="007977FA" w:rsidP="007977FA">
      <w:pPr>
        <w:pStyle w:val="BodyText"/>
      </w:pPr>
      <w:r>
        <w:t>The applicant, submitters or any other person granted leave by the Environment Court can request a public inquiry into the special tribunal’s report and recommendations.</w:t>
      </w:r>
      <w:r w:rsidR="00086C1F">
        <w:rPr>
          <w:rStyle w:val="FootnoteReference"/>
        </w:rPr>
        <w:footnoteReference w:id="17"/>
      </w:r>
      <w:r>
        <w:t xml:space="preserve"> If an inquiry is held, the Environment Court recommends whether the Minister should accept or reject the special tribunal’s report, with or without modifications.</w:t>
      </w:r>
      <w:r w:rsidR="00E30FA8">
        <w:rPr>
          <w:rStyle w:val="FootnoteReference"/>
        </w:rPr>
        <w:footnoteReference w:id="18"/>
      </w:r>
    </w:p>
    <w:p w14:paraId="7BD4FE51" w14:textId="63239993" w:rsidR="007977FA" w:rsidRDefault="007977FA" w:rsidP="007977FA">
      <w:pPr>
        <w:pStyle w:val="BodyText"/>
      </w:pPr>
      <w:r>
        <w:t>Once a WCO is made under the NBA, the regional planning committee (RPC) will include its provisions in the region’s NBE plan without needing to go through a plan change process.</w:t>
      </w:r>
      <w:r w:rsidR="00D7174B">
        <w:rPr>
          <w:rStyle w:val="FootnoteReference"/>
        </w:rPr>
        <w:footnoteReference w:id="19"/>
      </w:r>
      <w:r>
        <w:t xml:space="preserve"> Consent authorities must then take the WCO into account when making decisions on resource consents.</w:t>
      </w:r>
      <w:r w:rsidR="00FF75DC">
        <w:rPr>
          <w:rStyle w:val="FootnoteReference"/>
        </w:rPr>
        <w:footnoteReference w:id="20"/>
      </w:r>
      <w:r>
        <w:t xml:space="preserve"> However, a WCO doesn’t affect or restrict existing resource consents or lawfully established uses in place before the WCO was made.</w:t>
      </w:r>
      <w:r w:rsidR="00ED23A2">
        <w:rPr>
          <w:rStyle w:val="FootnoteReference"/>
        </w:rPr>
        <w:footnoteReference w:id="21"/>
      </w:r>
    </w:p>
    <w:p w14:paraId="7AC70DD8" w14:textId="77777777" w:rsidR="00FF75DC" w:rsidRDefault="00FF75DC" w:rsidP="00D1660E">
      <w:pPr>
        <w:pStyle w:val="BodyText"/>
      </w:pPr>
    </w:p>
    <w:p w14:paraId="438F1DC8" w14:textId="64765D84" w:rsidR="00FF75DC" w:rsidRDefault="00FF75DC">
      <w:pPr>
        <w:spacing w:before="0" w:after="0" w:line="240" w:lineRule="auto"/>
        <w:jc w:val="left"/>
      </w:pPr>
      <w:r>
        <w:br w:type="page"/>
      </w:r>
    </w:p>
    <w:p w14:paraId="6FC6E505" w14:textId="416B119A" w:rsidR="00FA0C86" w:rsidRDefault="006239DF" w:rsidP="00D1660E">
      <w:pPr>
        <w:pStyle w:val="BodyText"/>
      </w:pPr>
      <w:r>
        <w:rPr>
          <w:noProof/>
        </w:rPr>
        <mc:AlternateContent>
          <mc:Choice Requires="wps">
            <w:drawing>
              <wp:anchor distT="0" distB="0" distL="114300" distR="114300" simplePos="0" relativeHeight="251658241" behindDoc="0" locked="1" layoutInCell="1" allowOverlap="1" wp14:anchorId="321757F2" wp14:editId="29CDCAD8">
                <wp:simplePos x="0" y="0"/>
                <wp:positionH relativeFrom="column">
                  <wp:posOffset>-16510</wp:posOffset>
                </wp:positionH>
                <wp:positionV relativeFrom="page">
                  <wp:posOffset>6496050</wp:posOffset>
                </wp:positionV>
                <wp:extent cx="5835650" cy="399415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5835650" cy="399415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6"/>
                              <w:gridCol w:w="3579"/>
                            </w:tblGrid>
                            <w:tr w:rsidR="006E7652" w14:paraId="6823FB2C" w14:textId="77777777" w:rsidTr="00C83A03">
                              <w:trPr>
                                <w:cnfStyle w:val="100000000000" w:firstRow="1" w:lastRow="0" w:firstColumn="0" w:lastColumn="0" w:oddVBand="0" w:evenVBand="0" w:oddHBand="0" w:evenHBand="0" w:firstRowFirstColumn="0" w:firstRowLastColumn="0" w:lastRowFirstColumn="0" w:lastRowLastColumn="0"/>
                              </w:trPr>
                              <w:tc>
                                <w:tcPr>
                                  <w:tcW w:w="9185" w:type="dxa"/>
                                  <w:gridSpan w:val="2"/>
                                  <w:shd w:val="clear" w:color="auto" w:fill="FFFFFF" w:themeFill="background1"/>
                                </w:tcPr>
                                <w:p w14:paraId="0B9F1479" w14:textId="77777777" w:rsidR="006E7652" w:rsidRPr="0002270C" w:rsidRDefault="006E7652" w:rsidP="006E7652">
                                  <w:pPr>
                                    <w:pStyle w:val="TableText"/>
                                    <w:rPr>
                                      <w:b/>
                                      <w:bCs/>
                                    </w:rPr>
                                  </w:pPr>
                                  <w:r w:rsidRPr="0002270C">
                                    <w:rPr>
                                      <w:b/>
                                      <w:bCs/>
                                    </w:rPr>
                                    <w:t>Disclaimer</w:t>
                                  </w:r>
                                </w:p>
                                <w:p w14:paraId="70E1263E" w14:textId="77777777" w:rsidR="006E7652" w:rsidRDefault="006E7652" w:rsidP="006E7652">
                                  <w:pPr>
                                    <w:pStyle w:val="TableText"/>
                                  </w:pPr>
                                  <w:r>
                                    <w:t>The information in this publication is, according to the Ministry for the Environment’s best efforts, accurate at the time of publication. The Ministry will make every reasonable effort to keep it current and accurate. However, users of this publication are advised that:</w:t>
                                  </w:r>
                                </w:p>
                                <w:p w14:paraId="088512E3" w14:textId="77777777" w:rsidR="006E7652" w:rsidRDefault="006E7652" w:rsidP="006E7652">
                                  <w:pPr>
                                    <w:pStyle w:val="TableText"/>
                                  </w:pPr>
                                  <w:r>
                                    <w:t xml:space="preserve">• The information provided has no official status and so does not alter the laws of New Zealand, other official </w:t>
                                  </w:r>
                                  <w:proofErr w:type="gramStart"/>
                                  <w:r>
                                    <w:t>guidelines</w:t>
                                  </w:r>
                                  <w:proofErr w:type="gramEnd"/>
                                  <w:r>
                                    <w:t xml:space="preserve"> or requirements.</w:t>
                                  </w:r>
                                </w:p>
                                <w:p w14:paraId="74323367" w14:textId="77777777" w:rsidR="006E7652" w:rsidRDefault="006E7652" w:rsidP="006E7652">
                                  <w:pPr>
                                    <w:pStyle w:val="TableText"/>
                                  </w:pPr>
                                  <w:r>
                                    <w:t xml:space="preserve">• It does not constitute legal advice, and users should take specific advice from qualified professionals before taking any action </w:t>
                                  </w:r>
                                  <w:proofErr w:type="gramStart"/>
                                  <w:r>
                                    <w:t>as a result of</w:t>
                                  </w:r>
                                  <w:proofErr w:type="gramEnd"/>
                                  <w:r>
                                    <w:t xml:space="preserve"> information obtained from this publication.</w:t>
                                  </w:r>
                                </w:p>
                                <w:p w14:paraId="44EAE550" w14:textId="77777777" w:rsidR="006E7652" w:rsidRDefault="006E7652" w:rsidP="006E7652">
                                  <w:pPr>
                                    <w:pStyle w:val="TableText"/>
                                  </w:pPr>
                                  <w:r>
                                    <w:t xml:space="preserve">• The Ministry for the Environment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provided in this publication.</w:t>
                                  </w:r>
                                </w:p>
                                <w:p w14:paraId="026C0150" w14:textId="77777777" w:rsidR="006E7652" w:rsidRDefault="006E7652" w:rsidP="006E7652">
                                  <w:pPr>
                                    <w:pStyle w:val="TableText"/>
                                  </w:pPr>
                                  <w:r>
                                    <w:t xml:space="preserve">• All references to websites, </w:t>
                                  </w:r>
                                  <w:proofErr w:type="gramStart"/>
                                  <w:r>
                                    <w:t>organisations</w:t>
                                  </w:r>
                                  <w:proofErr w:type="gramEnd"/>
                                  <w:r>
                                    <w:t xml:space="preserve"> or people not within the Ministry for the Environment are provided for convenience only and should not be taken as endorsement of those websites or information contained in those websites nor of organisations or people referred to.</w:t>
                                  </w:r>
                                </w:p>
                                <w:p w14:paraId="1F0A45C9" w14:textId="77777777" w:rsidR="006E7652" w:rsidRDefault="006E7652" w:rsidP="001B6610">
                                  <w:pPr>
                                    <w:pStyle w:val="Footer"/>
                                    <w:rPr>
                                      <w:noProof/>
                                    </w:rPr>
                                  </w:pPr>
                                </w:p>
                              </w:tc>
                            </w:tr>
                            <w:tr w:rsidR="006239DF" w14:paraId="23D3A417" w14:textId="77777777" w:rsidTr="00E85357">
                              <w:tc>
                                <w:tcPr>
                                  <w:tcW w:w="5606" w:type="dxa"/>
                                  <w:tcBorders>
                                    <w:bottom w:val="single" w:sz="6" w:space="0" w:color="auto"/>
                                  </w:tcBorders>
                                  <w:shd w:val="clear" w:color="auto" w:fill="FFFFFF" w:themeFill="background1"/>
                                </w:tcPr>
                                <w:p w14:paraId="3639332A" w14:textId="3B0AF417" w:rsidR="006239DF" w:rsidRDefault="006239DF" w:rsidP="003A6769">
                                  <w:pPr>
                                    <w:pStyle w:val="TableText"/>
                                  </w:pPr>
                                  <w:r w:rsidRPr="006C18C8">
                                    <w:t xml:space="preserve">Published in </w:t>
                                  </w:r>
                                  <w:r w:rsidR="00ED23A2">
                                    <w:t>Octob</w:t>
                                  </w:r>
                                  <w:r w:rsidR="00ED23A2" w:rsidRPr="00ED23A2">
                                    <w:t>er</w:t>
                                  </w:r>
                                  <w:r w:rsidRPr="00ED23A2">
                                    <w:t xml:space="preserve"> 202</w:t>
                                  </w:r>
                                  <w:r w:rsidR="00ED23A2" w:rsidRPr="00ED23A2">
                                    <w:t>3</w:t>
                                  </w:r>
                                  <w:r w:rsidRPr="006C18C8">
                                    <w:t xml:space="preserve"> by the </w:t>
                                  </w:r>
                                  <w:r w:rsidRPr="006C18C8">
                                    <w:br/>
                                    <w:t>Ministry for the Environment – Manatū Mō Te Taiao</w:t>
                                  </w:r>
                                  <w:r w:rsidRPr="006C18C8">
                                    <w:br/>
                                    <w:t xml:space="preserve">Publication number: INFO </w:t>
                                  </w:r>
                                  <w:r w:rsidR="00177EA3">
                                    <w:t>1195</w:t>
                                  </w:r>
                                </w:p>
                              </w:tc>
                              <w:tc>
                                <w:tcPr>
                                  <w:tcW w:w="3579" w:type="dxa"/>
                                  <w:tcBorders>
                                    <w:bottom w:val="single" w:sz="6" w:space="0" w:color="auto"/>
                                  </w:tcBorders>
                                  <w:shd w:val="clear" w:color="auto" w:fill="FFFFFF" w:themeFill="background1"/>
                                  <w:tcMar>
                                    <w:left w:w="0" w:type="dxa"/>
                                    <w:right w:w="0" w:type="dxa"/>
                                  </w:tcMar>
                                  <w:vAlign w:val="bottom"/>
                                </w:tcPr>
                                <w:p w14:paraId="4B6CB11E" w14:textId="77777777" w:rsidR="006239DF" w:rsidRDefault="006239DF" w:rsidP="00E57601">
                                  <w:pPr>
                                    <w:pStyle w:val="Footer"/>
                                    <w:jc w:val="right"/>
                                  </w:pPr>
                                  <w:r>
                                    <w:rPr>
                                      <w:noProof/>
                                    </w:rPr>
                                    <w:drawing>
                                      <wp:inline distT="0" distB="0" distL="0" distR="0" wp14:anchorId="441B26E1" wp14:editId="60AF7109">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7">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4AD82E"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E39EDFF">
              <v:shape id="Text Box 1" style="position:absolute;margin-left:-1.3pt;margin-top:511.5pt;width:459.5pt;height:3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" w14:anchorId="321757F2">
                <v:textbox inset="0,0,0,0">
                  <w:txbxContent>
                    <w:tbl>
                      <w:tblPr>
                        <w:tblStyle w:val="TableGrid3"/>
                        <w:tblW w:w="9185" w:type="dxa"/>
                        <w:tblBorders>
                          <w:top w:val="none" w:color="auto" w:sz="0" w:space="0"/>
                          <w:left w:val="none" w:color="auto" w:sz="0" w:space="0"/>
                          <w:bottom w:val="none" w:color="auto" w:sz="0" w:space="0"/>
                          <w:right w:val="none" w:color="auto" w:sz="0" w:space="0"/>
                          <w:insideV w:val="none" w:color="auto" w:sz="0" w:space="0"/>
                        </w:tblBorders>
                        <w:shd w:val="clear" w:color="auto" w:fill="FFFFFF" w:themeFill="background1"/>
                        <w:tblLook w:val="04A0" w:firstRow="1" w:lastRow="0" w:firstColumn="1" w:lastColumn="0" w:noHBand="0" w:noVBand="1"/>
                      </w:tblPr>
                      <w:tblGrid>
                        <w:gridCol w:w="5606"/>
                        <w:gridCol w:w="3579"/>
                      </w:tblGrid>
                      <w:tr w:rsidR="006E7652" w:rsidTr="00C83A03" w14:paraId="46D092E5" w14:textId="77777777">
                        <w:trPr>
                          <w:cnfStyle w:val="100000000000" w:firstRow="1" w:lastRow="0" w:firstColumn="0" w:lastColumn="0" w:oddVBand="0" w:evenVBand="0" w:oddHBand="0" w:evenHBand="0" w:firstRowFirstColumn="0" w:firstRowLastColumn="0" w:lastRowFirstColumn="0" w:lastRowLastColumn="0"/>
                        </w:trPr>
                        <w:tc>
                          <w:tcPr>
                            <w:tcW w:w="9185" w:type="dxa"/>
                            <w:gridSpan w:val="2"/>
                            <w:shd w:val="clear" w:color="auto" w:fill="FFFFFF" w:themeFill="background1"/>
                          </w:tcPr>
                          <w:p w:rsidRPr="0002270C" w:rsidR="006E7652" w:rsidP="006E7652" w:rsidRDefault="006E7652" w14:paraId="13436AE0" w14:textId="77777777">
                            <w:pPr>
                              <w:pStyle w:val="TableText"/>
                              <w:rPr>
                                <w:b/>
                                <w:bCs/>
                              </w:rPr>
                            </w:pPr>
                            <w:r w:rsidRPr="0002270C">
                              <w:rPr>
                                <w:b/>
                                <w:bCs/>
                              </w:rPr>
                              <w:t>Disclaimer</w:t>
                            </w:r>
                          </w:p>
                          <w:p w:rsidR="006E7652" w:rsidP="006E7652" w:rsidRDefault="006E7652" w14:paraId="50BC8C4D" w14:textId="77777777">
                            <w:pPr>
                              <w:pStyle w:val="TableText"/>
                            </w:pPr>
                            <w:r>
                              <w:t>The information in this publication is, according to the Ministry for the Environment’s best efforts, accurate at the time of publication. The Ministry will make every reasonable effort to keep it current and accurate. However, users of this publication are advised that:</w:t>
                            </w:r>
                          </w:p>
                          <w:p w:rsidR="006E7652" w:rsidP="006E7652" w:rsidRDefault="006E7652" w14:paraId="43749116" w14:textId="77777777">
                            <w:pPr>
                              <w:pStyle w:val="TableText"/>
                            </w:pPr>
                            <w:r>
                              <w:t xml:space="preserve">• The information provided has no official status and so does not alter the laws of New Zealand, other official </w:t>
                            </w:r>
                            <w:proofErr w:type="gramStart"/>
                            <w:r>
                              <w:t>guidelines</w:t>
                            </w:r>
                            <w:proofErr w:type="gramEnd"/>
                            <w:r>
                              <w:t xml:space="preserve"> or requirements.</w:t>
                            </w:r>
                          </w:p>
                          <w:p w:rsidR="006E7652" w:rsidP="006E7652" w:rsidRDefault="006E7652" w14:paraId="0D468547" w14:textId="77777777">
                            <w:pPr>
                              <w:pStyle w:val="TableText"/>
                            </w:pPr>
                            <w:r>
                              <w:t xml:space="preserve">• It does not constitute legal advice, and users should take specific advice from qualified professionals before taking any action </w:t>
                            </w:r>
                            <w:proofErr w:type="gramStart"/>
                            <w:r>
                              <w:t>as a result of</w:t>
                            </w:r>
                            <w:proofErr w:type="gramEnd"/>
                            <w:r>
                              <w:t xml:space="preserve"> information obtained from this publication.</w:t>
                            </w:r>
                          </w:p>
                          <w:p w:rsidR="006E7652" w:rsidP="006E7652" w:rsidRDefault="006E7652" w14:paraId="491B3C67" w14:textId="77777777">
                            <w:pPr>
                              <w:pStyle w:val="TableText"/>
                            </w:pPr>
                            <w:r>
                              <w:t xml:space="preserve">• The Ministry for the Environment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provided in this publication.</w:t>
                            </w:r>
                          </w:p>
                          <w:p w:rsidR="006E7652" w:rsidP="006E7652" w:rsidRDefault="006E7652" w14:paraId="4A13C251" w14:textId="77777777">
                            <w:pPr>
                              <w:pStyle w:val="TableText"/>
                            </w:pPr>
                            <w:r>
                              <w:t xml:space="preserve">• All references to websites, </w:t>
                            </w:r>
                            <w:proofErr w:type="gramStart"/>
                            <w:r>
                              <w:t>organisations</w:t>
                            </w:r>
                            <w:proofErr w:type="gramEnd"/>
                            <w:r>
                              <w:t xml:space="preserve"> or people not within the Ministry for the Environment are provided for convenience only and should not be taken as endorsement of those websites or information contained in those websites nor of organisations or people referred to.</w:t>
                            </w:r>
                          </w:p>
                          <w:p w:rsidR="006E7652" w:rsidP="001B6610" w:rsidRDefault="006E7652" w14:paraId="0A37501D" w14:textId="77777777">
                            <w:pPr>
                              <w:pStyle w:val="Footer"/>
                              <w:rPr>
                                <w:noProof/>
                              </w:rPr>
                            </w:pPr>
                          </w:p>
                        </w:tc>
                      </w:tr>
                      <w:tr w:rsidR="006239DF" w:rsidTr="00E85357" w14:paraId="177E422A" w14:textId="77777777">
                        <w:tc>
                          <w:tcPr>
                            <w:tcW w:w="5606" w:type="dxa"/>
                            <w:tcBorders>
                              <w:bottom w:val="single" w:color="auto" w:sz="6" w:space="0"/>
                            </w:tcBorders>
                            <w:shd w:val="clear" w:color="auto" w:fill="FFFFFF" w:themeFill="background1"/>
                          </w:tcPr>
                          <w:p w:rsidR="006239DF" w:rsidP="003A6769" w:rsidRDefault="006239DF" w14:paraId="3467EBF2" w14:textId="3B0AF417">
                            <w:pPr>
                              <w:pStyle w:val="TableText"/>
                            </w:pPr>
                            <w:r w:rsidRPr="006C18C8">
                              <w:t xml:space="preserve">Published in </w:t>
                            </w:r>
                            <w:r w:rsidR="00ED23A2">
                              <w:t>Octob</w:t>
                            </w:r>
                            <w:r w:rsidRPr="00ED23A2" w:rsidR="00ED23A2">
                              <w:t>er</w:t>
                            </w:r>
                            <w:r w:rsidRPr="00ED23A2">
                              <w:t xml:space="preserve"> 202</w:t>
                            </w:r>
                            <w:r w:rsidRPr="00ED23A2" w:rsidR="00ED23A2">
                              <w:t>3</w:t>
                            </w:r>
                            <w:r w:rsidRPr="006C18C8">
                              <w:t xml:space="preserve"> by the </w:t>
                            </w:r>
                            <w:r w:rsidRPr="006C18C8">
                              <w:br/>
                            </w:r>
                            <w:r w:rsidRPr="006C18C8">
                              <w:t>Ministry for the Environment – Manatū Mō Te Taiao</w:t>
                            </w:r>
                            <w:r w:rsidRPr="006C18C8">
                              <w:br/>
                            </w:r>
                            <w:r w:rsidRPr="006C18C8">
                              <w:t xml:space="preserve">Publication number: INFO </w:t>
                            </w:r>
                            <w:r w:rsidR="00177EA3">
                              <w:t>1195</w:t>
                            </w:r>
                          </w:p>
                        </w:tc>
                        <w:tc>
                          <w:tcPr>
                            <w:tcW w:w="3579" w:type="dxa"/>
                            <w:tcBorders>
                              <w:bottom w:val="single" w:color="auto" w:sz="6" w:space="0"/>
                            </w:tcBorders>
                            <w:shd w:val="clear" w:color="auto" w:fill="FFFFFF" w:themeFill="background1"/>
                            <w:tcMar>
                              <w:left w:w="0" w:type="dxa"/>
                              <w:right w:w="0" w:type="dxa"/>
                            </w:tcMar>
                            <w:vAlign w:val="bottom"/>
                          </w:tcPr>
                          <w:p w:rsidR="006239DF" w:rsidP="00E57601" w:rsidRDefault="006239DF" w14:paraId="5DAB6C7B" w14:textId="77777777">
                            <w:pPr>
                              <w:pStyle w:val="Footer"/>
                              <w:jc w:val="right"/>
                            </w:pPr>
                            <w:r>
                              <w:rPr>
                                <w:noProof/>
                              </w:rPr>
                              <w:drawing>
                                <wp:inline distT="0" distB="0" distL="0" distR="0" wp14:anchorId="698629C5" wp14:editId="60AF7109">
                                  <wp:extent cx="2194459" cy="538456"/>
                                  <wp:effectExtent l="0" t="0" r="0" b="0"/>
                                  <wp:docPr id="1978239480"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8">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C82C4B" w:rsidR="006239DF" w:rsidP="006239DF" w:rsidRDefault="006239DF" w14:paraId="02EB378F" w14:textId="77777777">
                      <w:pPr>
                        <w:pStyle w:val="BodyText"/>
                        <w:spacing w:before="0" w:after="0" w:line="240" w:lineRule="auto"/>
                        <w:rPr>
                          <w:sz w:val="16"/>
                          <w:szCs w:val="16"/>
                        </w:rPr>
                      </w:pPr>
                    </w:p>
                  </w:txbxContent>
                </v:textbox>
                <w10:wrap anchory="page"/>
                <w10:anchorlock/>
              </v:shape>
            </w:pict>
          </mc:Fallback>
        </mc:AlternateContent>
      </w:r>
    </w:p>
    <w:sectPr w:rsidR="00FA0C86" w:rsidSect="00F55E2E">
      <w:footerReference w:type="first" r:id="rId19"/>
      <w:pgSz w:w="11907" w:h="16840" w:code="9"/>
      <w:pgMar w:top="1134" w:right="1418" w:bottom="1134" w:left="1418" w:header="567" w:footer="7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7C9C9" w14:textId="77777777" w:rsidR="00267D74" w:rsidRDefault="00267D74" w:rsidP="0080531E">
      <w:pPr>
        <w:spacing w:before="0" w:after="0" w:line="240" w:lineRule="auto"/>
      </w:pPr>
      <w:r>
        <w:separator/>
      </w:r>
    </w:p>
    <w:p w14:paraId="7154FA09" w14:textId="77777777" w:rsidR="00267D74" w:rsidRDefault="00267D74"/>
  </w:endnote>
  <w:endnote w:type="continuationSeparator" w:id="0">
    <w:p w14:paraId="4C183242" w14:textId="77777777" w:rsidR="00267D74" w:rsidRDefault="00267D74" w:rsidP="0080531E">
      <w:pPr>
        <w:spacing w:before="0" w:after="0" w:line="240" w:lineRule="auto"/>
      </w:pPr>
      <w:r>
        <w:continuationSeparator/>
      </w:r>
    </w:p>
    <w:p w14:paraId="574CF66D" w14:textId="77777777" w:rsidR="00267D74" w:rsidRDefault="00267D74"/>
  </w:endnote>
  <w:endnote w:type="continuationNotice" w:id="1">
    <w:p w14:paraId="31ED85A7" w14:textId="77777777" w:rsidR="00267D74" w:rsidRDefault="00267D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E718" w14:textId="09629590"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0878BE" w:rsidRPr="000878BE">
      <w:t>Water conservation orders: Moving to the new system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1E4A" w14:textId="4F765723" w:rsidR="006C18C8" w:rsidRPr="005E24DE" w:rsidRDefault="005E24DE" w:rsidP="000878BE">
    <w:pPr>
      <w:tabs>
        <w:tab w:val="right" w:pos="8505"/>
        <w:tab w:val="right" w:pos="9071"/>
      </w:tabs>
      <w:jc w:val="left"/>
      <w:rPr>
        <w:sz w:val="16"/>
      </w:rPr>
    </w:pPr>
    <w:r w:rsidRPr="005E24DE">
      <w:rPr>
        <w:sz w:val="16"/>
      </w:rPr>
      <w:tab/>
    </w:r>
    <w:r w:rsidR="000878BE" w:rsidRPr="000878BE">
      <w:rPr>
        <w:sz w:val="16"/>
      </w:rPr>
      <w:t>Water conservation orders: Moving to the new system</w:t>
    </w:r>
    <w:r w:rsidRPr="005E24DE">
      <w:rPr>
        <w:sz w:val="16"/>
      </w:rPr>
      <w:tab/>
    </w:r>
    <w:r w:rsidRPr="005E24DE">
      <w:rPr>
        <w:sz w:val="16"/>
      </w:rPr>
      <w:fldChar w:fldCharType="begin"/>
    </w:r>
    <w:r w:rsidRPr="005E24DE">
      <w:rPr>
        <w:sz w:val="16"/>
      </w:rPr>
      <w:instrText xml:space="preserve"> PAGE   \* MERGEFORMAT </w:instrText>
    </w:r>
    <w:r w:rsidRPr="005E24DE">
      <w:rPr>
        <w:sz w:val="16"/>
      </w:rPr>
      <w:fldChar w:fldCharType="separate"/>
    </w:r>
    <w:r w:rsidRPr="005E24DE">
      <w:rPr>
        <w:sz w:val="16"/>
      </w:rPr>
      <w:t>3</w:t>
    </w:r>
    <w:r w:rsidRPr="005E24DE">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A31F" w14:textId="4A18B932" w:rsidR="0085118C" w:rsidRDefault="00501011" w:rsidP="0085118C">
    <w:pPr>
      <w:pStyle w:val="Footerodd"/>
    </w:pPr>
    <w:r w:rsidRPr="00487ED4">
      <w:rPr>
        <w:noProof/>
        <w:sz w:val="20"/>
        <w:szCs w:val="20"/>
      </w:rPr>
      <w:drawing>
        <wp:anchor distT="0" distB="0" distL="114300" distR="114300" simplePos="0" relativeHeight="251658240" behindDoc="1" locked="0" layoutInCell="1" allowOverlap="1" wp14:anchorId="318599F8" wp14:editId="4106170B">
          <wp:simplePos x="0" y="0"/>
          <wp:positionH relativeFrom="column">
            <wp:posOffset>-895350</wp:posOffset>
          </wp:positionH>
          <wp:positionV relativeFrom="paragraph">
            <wp:posOffset>-882015</wp:posOffset>
          </wp:positionV>
          <wp:extent cx="7543800" cy="1646555"/>
          <wp:effectExtent l="0" t="0" r="0" b="0"/>
          <wp:wrapNone/>
          <wp:docPr id="473615810" name="Picture 473615810"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3800" cy="1646555"/>
                  </a:xfrm>
                  <a:prstGeom prst="rect">
                    <a:avLst/>
                  </a:prstGeom>
                </pic:spPr>
              </pic:pic>
            </a:graphicData>
          </a:graphic>
          <wp14:sizeRelH relativeFrom="page">
            <wp14:pctWidth>0</wp14:pctWidth>
          </wp14:sizeRelH>
          <wp14:sizeRelV relativeFrom="page">
            <wp14:pctHeight>0</wp14:pctHeight>
          </wp14:sizeRelV>
        </wp:anchor>
      </w:drawing>
    </w:r>
    <w:r w:rsidR="0085118C">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9FD3" w14:textId="05B6BD20" w:rsidR="00501011" w:rsidRPr="00501011" w:rsidRDefault="00501011" w:rsidP="00501011">
    <w:pPr>
      <w:tabs>
        <w:tab w:val="left" w:pos="567"/>
      </w:tabs>
      <w:rPr>
        <w:sz w:val="16"/>
      </w:rPr>
    </w:pPr>
    <w:r w:rsidRPr="00501011">
      <w:rPr>
        <w:b/>
        <w:sz w:val="16"/>
      </w:rPr>
      <w:fldChar w:fldCharType="begin"/>
    </w:r>
    <w:r w:rsidRPr="00501011">
      <w:rPr>
        <w:sz w:val="16"/>
      </w:rPr>
      <w:instrText xml:space="preserve"> PAGE </w:instrText>
    </w:r>
    <w:r w:rsidRPr="00501011">
      <w:rPr>
        <w:b/>
        <w:sz w:val="16"/>
      </w:rPr>
      <w:fldChar w:fldCharType="separate"/>
    </w:r>
    <w:r w:rsidRPr="00501011">
      <w:rPr>
        <w:b/>
        <w:sz w:val="16"/>
      </w:rPr>
      <w:t>4</w:t>
    </w:r>
    <w:r w:rsidRPr="00501011">
      <w:rPr>
        <w:b/>
        <w:sz w:val="16"/>
      </w:rPr>
      <w:fldChar w:fldCharType="end"/>
    </w:r>
    <w:r w:rsidRPr="00501011">
      <w:rPr>
        <w:sz w:val="16"/>
      </w:rPr>
      <w:tab/>
    </w:r>
    <w:r w:rsidR="006D6733" w:rsidRPr="006D6733">
      <w:rPr>
        <w:sz w:val="16"/>
      </w:rPr>
      <w:t>Water conservation orders: Moving to the new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5F172" w14:textId="77777777" w:rsidR="00267D74" w:rsidRDefault="00267D74" w:rsidP="00CB5C5F">
      <w:pPr>
        <w:spacing w:before="0" w:after="80" w:line="240" w:lineRule="auto"/>
      </w:pPr>
      <w:bookmarkStart w:id="0" w:name="_Hlk86912439"/>
      <w:bookmarkEnd w:id="0"/>
      <w:r>
        <w:separator/>
      </w:r>
    </w:p>
  </w:footnote>
  <w:footnote w:type="continuationSeparator" w:id="0">
    <w:p w14:paraId="5B5B4427" w14:textId="77777777" w:rsidR="00267D74" w:rsidRDefault="00267D74" w:rsidP="0080531E">
      <w:pPr>
        <w:spacing w:before="0" w:after="0" w:line="240" w:lineRule="auto"/>
      </w:pPr>
      <w:r>
        <w:continuationSeparator/>
      </w:r>
    </w:p>
    <w:p w14:paraId="57526375" w14:textId="77777777" w:rsidR="00267D74" w:rsidRDefault="00267D74"/>
  </w:footnote>
  <w:footnote w:type="continuationNotice" w:id="1">
    <w:p w14:paraId="3AFA0E2A" w14:textId="77777777" w:rsidR="00267D74" w:rsidRDefault="00267D74">
      <w:pPr>
        <w:spacing w:before="0" w:after="0" w:line="240" w:lineRule="auto"/>
      </w:pPr>
    </w:p>
  </w:footnote>
  <w:footnote w:id="2">
    <w:p w14:paraId="6788F296" w14:textId="769F8BF5" w:rsidR="00ED13BD" w:rsidRDefault="00ED13BD">
      <w:pPr>
        <w:pStyle w:val="FootnoteText"/>
      </w:pPr>
      <w:r>
        <w:rPr>
          <w:rStyle w:val="FootnoteReference"/>
        </w:rPr>
        <w:footnoteRef/>
      </w:r>
      <w:r>
        <w:t xml:space="preserve"> </w:t>
      </w:r>
      <w:r>
        <w:tab/>
      </w:r>
      <w:r w:rsidRPr="00691A46">
        <w:rPr>
          <w:sz w:val="20"/>
          <w:szCs w:val="20"/>
        </w:rPr>
        <w:t>The Climate Adaptation Act is also planned</w:t>
      </w:r>
      <w:r>
        <w:rPr>
          <w:sz w:val="20"/>
          <w:szCs w:val="20"/>
        </w:rPr>
        <w:t>, which will</w:t>
      </w:r>
      <w:r w:rsidRPr="00691A46" w:rsidDel="00FE59C0">
        <w:rPr>
          <w:sz w:val="20"/>
          <w:szCs w:val="20"/>
        </w:rPr>
        <w:t xml:space="preserve"> </w:t>
      </w:r>
      <w:r w:rsidRPr="00691A46">
        <w:rPr>
          <w:sz w:val="20"/>
          <w:szCs w:val="20"/>
        </w:rPr>
        <w:t>address managed retreat, and funding and financing of climate adaptation. A date for introduction of the Bill is not yet confirmed.</w:t>
      </w:r>
    </w:p>
  </w:footnote>
  <w:footnote w:id="3">
    <w:p w14:paraId="3D5C591C" w14:textId="148FB966" w:rsidR="00A2561D" w:rsidRDefault="00A2561D">
      <w:pPr>
        <w:pStyle w:val="FootnoteText"/>
      </w:pPr>
      <w:r>
        <w:rPr>
          <w:rStyle w:val="FootnoteReference"/>
        </w:rPr>
        <w:footnoteRef/>
      </w:r>
      <w:r>
        <w:t xml:space="preserve"> </w:t>
      </w:r>
      <w:r>
        <w:tab/>
        <w:t>Section 364 of the NBA.</w:t>
      </w:r>
    </w:p>
  </w:footnote>
  <w:footnote w:id="4">
    <w:p w14:paraId="5CB1C610" w14:textId="02A30E52" w:rsidR="00015D4D" w:rsidRDefault="00015D4D">
      <w:pPr>
        <w:pStyle w:val="FootnoteText"/>
      </w:pPr>
      <w:r>
        <w:rPr>
          <w:rStyle w:val="FootnoteReference"/>
        </w:rPr>
        <w:footnoteRef/>
      </w:r>
      <w:r>
        <w:t xml:space="preserve"> </w:t>
      </w:r>
      <w:r>
        <w:tab/>
        <w:t>Section 365 of the NBA.</w:t>
      </w:r>
    </w:p>
  </w:footnote>
  <w:footnote w:id="5">
    <w:p w14:paraId="4968B2FD" w14:textId="3D8E2946" w:rsidR="00FF4C12" w:rsidRDefault="00FF4C12">
      <w:pPr>
        <w:pStyle w:val="FootnoteText"/>
      </w:pPr>
      <w:r>
        <w:rPr>
          <w:rStyle w:val="FootnoteReference"/>
        </w:rPr>
        <w:footnoteRef/>
      </w:r>
      <w:r>
        <w:t xml:space="preserve"> </w:t>
      </w:r>
      <w:r>
        <w:tab/>
        <w:t>Schedule 1 clause 48 of the NBA.</w:t>
      </w:r>
    </w:p>
  </w:footnote>
  <w:footnote w:id="6">
    <w:p w14:paraId="45D6F976" w14:textId="4D767BD7" w:rsidR="004F1091" w:rsidRDefault="004F1091">
      <w:pPr>
        <w:pStyle w:val="FootnoteText"/>
      </w:pPr>
      <w:r>
        <w:rPr>
          <w:rStyle w:val="FootnoteReference"/>
        </w:rPr>
        <w:footnoteRef/>
      </w:r>
      <w:r>
        <w:t xml:space="preserve"> </w:t>
      </w:r>
      <w:r>
        <w:tab/>
        <w:t>Schedule 1 clause 49 of the NBA.</w:t>
      </w:r>
    </w:p>
  </w:footnote>
  <w:footnote w:id="7">
    <w:p w14:paraId="78876BCE" w14:textId="3D28694D" w:rsidR="00D1762A" w:rsidRDefault="00D1762A">
      <w:pPr>
        <w:pStyle w:val="FootnoteText"/>
      </w:pPr>
      <w:r>
        <w:rPr>
          <w:rStyle w:val="FootnoteReference"/>
        </w:rPr>
        <w:footnoteRef/>
      </w:r>
      <w:r>
        <w:t xml:space="preserve"> </w:t>
      </w:r>
      <w:r>
        <w:tab/>
      </w:r>
      <w:bookmarkStart w:id="1" w:name="_Hlk144909447"/>
      <w:r>
        <w:t xml:space="preserve">Section </w:t>
      </w:r>
      <w:bookmarkEnd w:id="1"/>
      <w:r>
        <w:t>366</w:t>
      </w:r>
      <w:r w:rsidRPr="005C7F30">
        <w:t xml:space="preserve"> </w:t>
      </w:r>
      <w:r>
        <w:t>of the NBA.</w:t>
      </w:r>
    </w:p>
  </w:footnote>
  <w:footnote w:id="8">
    <w:p w14:paraId="2A38B41A" w14:textId="00973803" w:rsidR="00C464E0" w:rsidRDefault="00C464E0">
      <w:pPr>
        <w:pStyle w:val="FootnoteText"/>
      </w:pPr>
      <w:r>
        <w:rPr>
          <w:rStyle w:val="FootnoteReference"/>
        </w:rPr>
        <w:footnoteRef/>
      </w:r>
      <w:r>
        <w:t xml:space="preserve"> </w:t>
      </w:r>
      <w:r>
        <w:tab/>
        <w:t>S</w:t>
      </w:r>
      <w:r w:rsidRPr="00CC0431">
        <w:t>ection 366(2)(b) of the NBA refers to sections 364, 365 and 372 of the RMA</w:t>
      </w:r>
      <w:r>
        <w:t>.</w:t>
      </w:r>
    </w:p>
  </w:footnote>
  <w:footnote w:id="9">
    <w:p w14:paraId="07827924" w14:textId="4D8831CE" w:rsidR="00F95E38" w:rsidRDefault="00F95E38">
      <w:pPr>
        <w:pStyle w:val="FootnoteText"/>
      </w:pPr>
      <w:r>
        <w:rPr>
          <w:rStyle w:val="FootnoteReference"/>
        </w:rPr>
        <w:footnoteRef/>
      </w:r>
      <w:r>
        <w:t xml:space="preserve"> </w:t>
      </w:r>
      <w:r>
        <w:tab/>
        <w:t>S</w:t>
      </w:r>
      <w:r w:rsidRPr="00CC0431">
        <w:t>ection 366(2)(b) of the NBA refers to s</w:t>
      </w:r>
      <w:r>
        <w:t>ections</w:t>
      </w:r>
      <w:r w:rsidRPr="00CC0431">
        <w:t xml:space="preserve"> 372 of the RMA</w:t>
      </w:r>
      <w:r>
        <w:t>.</w:t>
      </w:r>
    </w:p>
  </w:footnote>
  <w:footnote w:id="10">
    <w:p w14:paraId="3E212EC1" w14:textId="5B7BEE42" w:rsidR="00653DCF" w:rsidRDefault="00653DCF">
      <w:pPr>
        <w:pStyle w:val="FootnoteText"/>
      </w:pPr>
      <w:r>
        <w:rPr>
          <w:rStyle w:val="FootnoteReference"/>
        </w:rPr>
        <w:footnoteRef/>
      </w:r>
      <w:r>
        <w:t xml:space="preserve"> </w:t>
      </w:r>
      <w:r>
        <w:tab/>
        <w:t>Section 367(1)(b)</w:t>
      </w:r>
      <w:r w:rsidRPr="005C7F30">
        <w:t xml:space="preserve"> </w:t>
      </w:r>
      <w:r>
        <w:t>of the NBA.</w:t>
      </w:r>
    </w:p>
  </w:footnote>
  <w:footnote w:id="11">
    <w:p w14:paraId="6D836A62" w14:textId="4270BBC9" w:rsidR="004D4F7D" w:rsidRDefault="004D4F7D">
      <w:pPr>
        <w:pStyle w:val="FootnoteText"/>
      </w:pPr>
      <w:r>
        <w:rPr>
          <w:rStyle w:val="FootnoteReference"/>
        </w:rPr>
        <w:footnoteRef/>
      </w:r>
      <w:r>
        <w:t xml:space="preserve"> </w:t>
      </w:r>
      <w:r>
        <w:tab/>
        <w:t>Section 367 of the NBA.</w:t>
      </w:r>
    </w:p>
  </w:footnote>
  <w:footnote w:id="12">
    <w:p w14:paraId="67E32EEF" w14:textId="6FD0C368" w:rsidR="00934D76" w:rsidRDefault="00934D76">
      <w:pPr>
        <w:pStyle w:val="FootnoteText"/>
      </w:pPr>
      <w:r>
        <w:rPr>
          <w:rStyle w:val="FootnoteReference"/>
        </w:rPr>
        <w:footnoteRef/>
      </w:r>
      <w:r>
        <w:t xml:space="preserve"> </w:t>
      </w:r>
      <w:r>
        <w:tab/>
        <w:t>Section 367(3)</w:t>
      </w:r>
      <w:r w:rsidRPr="005C7F30">
        <w:t xml:space="preserve"> </w:t>
      </w:r>
      <w:r>
        <w:t>of the NBA.</w:t>
      </w:r>
    </w:p>
  </w:footnote>
  <w:footnote w:id="13">
    <w:p w14:paraId="67DE08BB" w14:textId="76B78E8F" w:rsidR="00584F7A" w:rsidRDefault="00584F7A">
      <w:pPr>
        <w:pStyle w:val="FootnoteText"/>
      </w:pPr>
      <w:r>
        <w:rPr>
          <w:rStyle w:val="FootnoteReference"/>
        </w:rPr>
        <w:footnoteRef/>
      </w:r>
      <w:r>
        <w:t xml:space="preserve"> </w:t>
      </w:r>
      <w:r>
        <w:tab/>
        <w:t>Section 372</w:t>
      </w:r>
      <w:r w:rsidRPr="005C7F30">
        <w:t xml:space="preserve"> </w:t>
      </w:r>
      <w:r>
        <w:t>of the NBA.</w:t>
      </w:r>
    </w:p>
  </w:footnote>
  <w:footnote w:id="14">
    <w:p w14:paraId="24DA7FFF" w14:textId="6B2DC49D" w:rsidR="00E27491" w:rsidRDefault="00E27491">
      <w:pPr>
        <w:pStyle w:val="FootnoteText"/>
      </w:pPr>
      <w:r>
        <w:rPr>
          <w:rStyle w:val="FootnoteReference"/>
        </w:rPr>
        <w:footnoteRef/>
      </w:r>
      <w:r>
        <w:t xml:space="preserve"> </w:t>
      </w:r>
      <w:r>
        <w:tab/>
        <w:t>Section 373</w:t>
      </w:r>
      <w:r w:rsidRPr="005C7F30">
        <w:t xml:space="preserve"> </w:t>
      </w:r>
      <w:r>
        <w:t>of the NBA.</w:t>
      </w:r>
    </w:p>
  </w:footnote>
  <w:footnote w:id="15">
    <w:p w14:paraId="48C1FA0C" w14:textId="4647B337" w:rsidR="003C17B8" w:rsidRDefault="003C17B8">
      <w:pPr>
        <w:pStyle w:val="FootnoteText"/>
      </w:pPr>
      <w:r>
        <w:rPr>
          <w:rStyle w:val="FootnoteReference"/>
        </w:rPr>
        <w:footnoteRef/>
      </w:r>
      <w:r>
        <w:t xml:space="preserve"> </w:t>
      </w:r>
      <w:r>
        <w:tab/>
        <w:t>Section 373(2)</w:t>
      </w:r>
      <w:r w:rsidRPr="005C7F30">
        <w:t xml:space="preserve"> </w:t>
      </w:r>
      <w:r>
        <w:t>of the NBA.</w:t>
      </w:r>
    </w:p>
  </w:footnote>
  <w:footnote w:id="16">
    <w:p w14:paraId="44F23E36" w14:textId="339B1FD1" w:rsidR="00D03651" w:rsidRDefault="00D03651">
      <w:pPr>
        <w:pStyle w:val="FootnoteText"/>
      </w:pPr>
      <w:r>
        <w:rPr>
          <w:rStyle w:val="FootnoteReference"/>
        </w:rPr>
        <w:footnoteRef/>
      </w:r>
      <w:r>
        <w:t xml:space="preserve"> </w:t>
      </w:r>
      <w:r>
        <w:tab/>
        <w:t>Section 379 of the NBA.</w:t>
      </w:r>
    </w:p>
  </w:footnote>
  <w:footnote w:id="17">
    <w:p w14:paraId="1FBD9CF7" w14:textId="49B86989" w:rsidR="00086C1F" w:rsidRDefault="00086C1F">
      <w:pPr>
        <w:pStyle w:val="FootnoteText"/>
      </w:pPr>
      <w:r>
        <w:rPr>
          <w:rStyle w:val="FootnoteReference"/>
        </w:rPr>
        <w:footnoteRef/>
      </w:r>
      <w:r>
        <w:t xml:space="preserve"> </w:t>
      </w:r>
      <w:r>
        <w:tab/>
        <w:t>Section 374</w:t>
      </w:r>
      <w:r w:rsidRPr="005C7F30">
        <w:t xml:space="preserve"> </w:t>
      </w:r>
      <w:r>
        <w:t>of the NBA.</w:t>
      </w:r>
    </w:p>
  </w:footnote>
  <w:footnote w:id="18">
    <w:p w14:paraId="078549BF" w14:textId="16008101" w:rsidR="00E30FA8" w:rsidRDefault="00E30FA8">
      <w:pPr>
        <w:pStyle w:val="FootnoteText"/>
      </w:pPr>
      <w:r>
        <w:rPr>
          <w:rStyle w:val="FootnoteReference"/>
        </w:rPr>
        <w:footnoteRef/>
      </w:r>
      <w:r>
        <w:t xml:space="preserve"> </w:t>
      </w:r>
      <w:r>
        <w:tab/>
        <w:t>Section 378 of the NBA.</w:t>
      </w:r>
    </w:p>
  </w:footnote>
  <w:footnote w:id="19">
    <w:p w14:paraId="1B7012BF" w14:textId="548AE078" w:rsidR="00D7174B" w:rsidRDefault="00D7174B">
      <w:pPr>
        <w:pStyle w:val="FootnoteText"/>
      </w:pPr>
      <w:r>
        <w:rPr>
          <w:rStyle w:val="FootnoteReference"/>
        </w:rPr>
        <w:footnoteRef/>
      </w:r>
      <w:r>
        <w:t xml:space="preserve"> </w:t>
      </w:r>
      <w:r>
        <w:tab/>
        <w:t>Section 384(2) of the NBA.</w:t>
      </w:r>
    </w:p>
  </w:footnote>
  <w:footnote w:id="20">
    <w:p w14:paraId="35A47212" w14:textId="7D1C104D" w:rsidR="00FF75DC" w:rsidRDefault="00FF75DC">
      <w:pPr>
        <w:pStyle w:val="FootnoteText"/>
      </w:pPr>
      <w:r>
        <w:rPr>
          <w:rStyle w:val="FootnoteReference"/>
        </w:rPr>
        <w:footnoteRef/>
      </w:r>
      <w:r>
        <w:t xml:space="preserve"> </w:t>
      </w:r>
      <w:r>
        <w:tab/>
        <w:t>Section 383 of the NBA.</w:t>
      </w:r>
    </w:p>
  </w:footnote>
  <w:footnote w:id="21">
    <w:p w14:paraId="67C78ED1" w14:textId="4F959A37" w:rsidR="00ED23A2" w:rsidRDefault="00ED23A2">
      <w:pPr>
        <w:pStyle w:val="FootnoteText"/>
      </w:pPr>
      <w:r>
        <w:rPr>
          <w:rStyle w:val="FootnoteReference"/>
        </w:rPr>
        <w:footnoteRef/>
      </w:r>
      <w:r>
        <w:t xml:space="preserve"> </w:t>
      </w:r>
      <w:r>
        <w:tab/>
        <w:t>Section 382 of the NBA.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3002F1"/>
    <w:multiLevelType w:val="hybridMultilevel"/>
    <w:tmpl w:val="E8E2B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C70A75"/>
    <w:multiLevelType w:val="hybridMultilevel"/>
    <w:tmpl w:val="AB9CFF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70EC9"/>
    <w:multiLevelType w:val="hybridMultilevel"/>
    <w:tmpl w:val="C53AF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47790156">
    <w:abstractNumId w:val="15"/>
  </w:num>
  <w:num w:numId="2" w16cid:durableId="1270701948">
    <w:abstractNumId w:val="25"/>
  </w:num>
  <w:num w:numId="3" w16cid:durableId="1676030043">
    <w:abstractNumId w:val="38"/>
  </w:num>
  <w:num w:numId="4" w16cid:durableId="946737636">
    <w:abstractNumId w:val="20"/>
  </w:num>
  <w:num w:numId="5" w16cid:durableId="181937884">
    <w:abstractNumId w:val="13"/>
  </w:num>
  <w:num w:numId="6" w16cid:durableId="1789470371">
    <w:abstractNumId w:val="8"/>
  </w:num>
  <w:num w:numId="7" w16cid:durableId="1751468041">
    <w:abstractNumId w:val="23"/>
  </w:num>
  <w:num w:numId="8" w16cid:durableId="319700520">
    <w:abstractNumId w:val="22"/>
  </w:num>
  <w:num w:numId="9" w16cid:durableId="61634995">
    <w:abstractNumId w:val="36"/>
  </w:num>
  <w:num w:numId="10" w16cid:durableId="1381782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25479">
    <w:abstractNumId w:val="1"/>
  </w:num>
  <w:num w:numId="12" w16cid:durableId="1681812109">
    <w:abstractNumId w:val="29"/>
  </w:num>
  <w:num w:numId="13" w16cid:durableId="2111318697">
    <w:abstractNumId w:val="12"/>
  </w:num>
  <w:num w:numId="14" w16cid:durableId="527908752">
    <w:abstractNumId w:val="32"/>
  </w:num>
  <w:num w:numId="15" w16cid:durableId="1810710488">
    <w:abstractNumId w:val="21"/>
  </w:num>
  <w:num w:numId="16" w16cid:durableId="1832209572">
    <w:abstractNumId w:val="11"/>
  </w:num>
  <w:num w:numId="17" w16cid:durableId="882985350">
    <w:abstractNumId w:val="30"/>
  </w:num>
  <w:num w:numId="18" w16cid:durableId="1414619994">
    <w:abstractNumId w:val="26"/>
  </w:num>
  <w:num w:numId="19" w16cid:durableId="1876043617">
    <w:abstractNumId w:val="33"/>
  </w:num>
  <w:num w:numId="20" w16cid:durableId="1466776422">
    <w:abstractNumId w:val="14"/>
  </w:num>
  <w:num w:numId="21" w16cid:durableId="2058817310">
    <w:abstractNumId w:val="27"/>
  </w:num>
  <w:num w:numId="22" w16cid:durableId="1700279313">
    <w:abstractNumId w:val="5"/>
  </w:num>
  <w:num w:numId="23" w16cid:durableId="2058817359">
    <w:abstractNumId w:val="24"/>
  </w:num>
  <w:num w:numId="24" w16cid:durableId="1654988709">
    <w:abstractNumId w:val="16"/>
  </w:num>
  <w:num w:numId="25" w16cid:durableId="163515585">
    <w:abstractNumId w:val="35"/>
  </w:num>
  <w:num w:numId="26" w16cid:durableId="1923172751">
    <w:abstractNumId w:val="28"/>
  </w:num>
  <w:num w:numId="27" w16cid:durableId="1169712652">
    <w:abstractNumId w:val="0"/>
  </w:num>
  <w:num w:numId="28" w16cid:durableId="318702976">
    <w:abstractNumId w:val="18"/>
  </w:num>
  <w:num w:numId="29" w16cid:durableId="1493326007">
    <w:abstractNumId w:val="9"/>
  </w:num>
  <w:num w:numId="30" w16cid:durableId="148442728">
    <w:abstractNumId w:val="3"/>
  </w:num>
  <w:num w:numId="31" w16cid:durableId="598565880">
    <w:abstractNumId w:val="2"/>
  </w:num>
  <w:num w:numId="32" w16cid:durableId="1547906841">
    <w:abstractNumId w:val="6"/>
  </w:num>
  <w:num w:numId="33" w16cid:durableId="214006165">
    <w:abstractNumId w:val="10"/>
  </w:num>
  <w:num w:numId="34" w16cid:durableId="460806462">
    <w:abstractNumId w:val="19"/>
  </w:num>
  <w:num w:numId="35" w16cid:durableId="351688295">
    <w:abstractNumId w:val="17"/>
  </w:num>
  <w:num w:numId="36" w16cid:durableId="953633058">
    <w:abstractNumId w:val="7"/>
  </w:num>
  <w:num w:numId="37" w16cid:durableId="57486827">
    <w:abstractNumId w:val="34"/>
  </w:num>
  <w:num w:numId="38" w16cid:durableId="416098131">
    <w:abstractNumId w:val="25"/>
  </w:num>
  <w:num w:numId="39" w16cid:durableId="2073501908">
    <w:abstractNumId w:val="7"/>
  </w:num>
  <w:num w:numId="40" w16cid:durableId="1120416703">
    <w:abstractNumId w:val="37"/>
  </w:num>
  <w:num w:numId="41" w16cid:durableId="1912618082">
    <w:abstractNumId w:val="31"/>
  </w:num>
  <w:num w:numId="42" w16cid:durableId="202743568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4C"/>
    <w:rsid w:val="00000792"/>
    <w:rsid w:val="00000F04"/>
    <w:rsid w:val="00003C4F"/>
    <w:rsid w:val="00004E0A"/>
    <w:rsid w:val="00004FD3"/>
    <w:rsid w:val="00006DF5"/>
    <w:rsid w:val="00006F95"/>
    <w:rsid w:val="00007023"/>
    <w:rsid w:val="0000709F"/>
    <w:rsid w:val="000071D6"/>
    <w:rsid w:val="00007F2D"/>
    <w:rsid w:val="00007FAC"/>
    <w:rsid w:val="00010247"/>
    <w:rsid w:val="00010A9C"/>
    <w:rsid w:val="00010ABA"/>
    <w:rsid w:val="00010E15"/>
    <w:rsid w:val="00010F57"/>
    <w:rsid w:val="0001100C"/>
    <w:rsid w:val="00011188"/>
    <w:rsid w:val="00012555"/>
    <w:rsid w:val="00012777"/>
    <w:rsid w:val="00014236"/>
    <w:rsid w:val="000148F6"/>
    <w:rsid w:val="00015217"/>
    <w:rsid w:val="000159D2"/>
    <w:rsid w:val="00015D4D"/>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DA0"/>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330"/>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1EB5"/>
    <w:rsid w:val="000827D0"/>
    <w:rsid w:val="000831C8"/>
    <w:rsid w:val="000836C9"/>
    <w:rsid w:val="00083F5E"/>
    <w:rsid w:val="00084FDB"/>
    <w:rsid w:val="0008505C"/>
    <w:rsid w:val="00085C46"/>
    <w:rsid w:val="0008686A"/>
    <w:rsid w:val="00086C1F"/>
    <w:rsid w:val="00087175"/>
    <w:rsid w:val="000878BE"/>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17E7"/>
    <w:rsid w:val="000C3270"/>
    <w:rsid w:val="000C574D"/>
    <w:rsid w:val="000C577E"/>
    <w:rsid w:val="000C5B87"/>
    <w:rsid w:val="000D04BA"/>
    <w:rsid w:val="000D0B6E"/>
    <w:rsid w:val="000D0D65"/>
    <w:rsid w:val="000D113B"/>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6708"/>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A4B"/>
    <w:rsid w:val="00107C23"/>
    <w:rsid w:val="00110307"/>
    <w:rsid w:val="00110C7F"/>
    <w:rsid w:val="00110EE2"/>
    <w:rsid w:val="001113DA"/>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1C"/>
    <w:rsid w:val="00131EC2"/>
    <w:rsid w:val="00133E73"/>
    <w:rsid w:val="00133FDB"/>
    <w:rsid w:val="00134C79"/>
    <w:rsid w:val="00134F4A"/>
    <w:rsid w:val="00135E4E"/>
    <w:rsid w:val="00136246"/>
    <w:rsid w:val="001362A1"/>
    <w:rsid w:val="001364D4"/>
    <w:rsid w:val="00136C39"/>
    <w:rsid w:val="001371C8"/>
    <w:rsid w:val="001372ED"/>
    <w:rsid w:val="0014168C"/>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5BF4"/>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0B2"/>
    <w:rsid w:val="001713A7"/>
    <w:rsid w:val="00171449"/>
    <w:rsid w:val="0017199C"/>
    <w:rsid w:val="00171C7E"/>
    <w:rsid w:val="00171F35"/>
    <w:rsid w:val="00172552"/>
    <w:rsid w:val="00172873"/>
    <w:rsid w:val="00172CF7"/>
    <w:rsid w:val="0017319E"/>
    <w:rsid w:val="0017349E"/>
    <w:rsid w:val="00173A1F"/>
    <w:rsid w:val="00173BC3"/>
    <w:rsid w:val="00174128"/>
    <w:rsid w:val="00175C34"/>
    <w:rsid w:val="00175F9A"/>
    <w:rsid w:val="00176E98"/>
    <w:rsid w:val="001772EA"/>
    <w:rsid w:val="00177432"/>
    <w:rsid w:val="00177996"/>
    <w:rsid w:val="00177EA3"/>
    <w:rsid w:val="00180B3F"/>
    <w:rsid w:val="00180C83"/>
    <w:rsid w:val="00180CE5"/>
    <w:rsid w:val="0018175B"/>
    <w:rsid w:val="001820A3"/>
    <w:rsid w:val="0018332A"/>
    <w:rsid w:val="00183D80"/>
    <w:rsid w:val="001842C8"/>
    <w:rsid w:val="00185044"/>
    <w:rsid w:val="001850DB"/>
    <w:rsid w:val="0018599C"/>
    <w:rsid w:val="00185C24"/>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A1BBB"/>
    <w:rsid w:val="001A1CED"/>
    <w:rsid w:val="001A279B"/>
    <w:rsid w:val="001A2DC3"/>
    <w:rsid w:val="001A2E87"/>
    <w:rsid w:val="001A3869"/>
    <w:rsid w:val="001A38C2"/>
    <w:rsid w:val="001A4581"/>
    <w:rsid w:val="001A65C8"/>
    <w:rsid w:val="001A732E"/>
    <w:rsid w:val="001A7F30"/>
    <w:rsid w:val="001B06E2"/>
    <w:rsid w:val="001B103A"/>
    <w:rsid w:val="001B103D"/>
    <w:rsid w:val="001B1513"/>
    <w:rsid w:val="001B1767"/>
    <w:rsid w:val="001B2453"/>
    <w:rsid w:val="001B3D48"/>
    <w:rsid w:val="001B5AF9"/>
    <w:rsid w:val="001B6600"/>
    <w:rsid w:val="001B6610"/>
    <w:rsid w:val="001B6B9B"/>
    <w:rsid w:val="001B6C27"/>
    <w:rsid w:val="001B7144"/>
    <w:rsid w:val="001B7B8A"/>
    <w:rsid w:val="001B7E91"/>
    <w:rsid w:val="001C0748"/>
    <w:rsid w:val="001C147E"/>
    <w:rsid w:val="001C151B"/>
    <w:rsid w:val="001C19E5"/>
    <w:rsid w:val="001C3800"/>
    <w:rsid w:val="001C3C7B"/>
    <w:rsid w:val="001C4D70"/>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0D8E"/>
    <w:rsid w:val="002312BC"/>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67D74"/>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6A94"/>
    <w:rsid w:val="00296F24"/>
    <w:rsid w:val="0029706A"/>
    <w:rsid w:val="0029720C"/>
    <w:rsid w:val="002972EE"/>
    <w:rsid w:val="00297F01"/>
    <w:rsid w:val="002A025D"/>
    <w:rsid w:val="002A052D"/>
    <w:rsid w:val="002A0DF8"/>
    <w:rsid w:val="002A1928"/>
    <w:rsid w:val="002A1F0D"/>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030"/>
    <w:rsid w:val="002D2B10"/>
    <w:rsid w:val="002D386A"/>
    <w:rsid w:val="002D4100"/>
    <w:rsid w:val="002D477F"/>
    <w:rsid w:val="002D4F48"/>
    <w:rsid w:val="002D519B"/>
    <w:rsid w:val="002D621E"/>
    <w:rsid w:val="002D66DA"/>
    <w:rsid w:val="002D7027"/>
    <w:rsid w:val="002D70DC"/>
    <w:rsid w:val="002D73A3"/>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724"/>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615"/>
    <w:rsid w:val="003A0899"/>
    <w:rsid w:val="003A1512"/>
    <w:rsid w:val="003A1EB7"/>
    <w:rsid w:val="003A23F3"/>
    <w:rsid w:val="003A2D82"/>
    <w:rsid w:val="003A337C"/>
    <w:rsid w:val="003A36DA"/>
    <w:rsid w:val="003A38F1"/>
    <w:rsid w:val="003A3D1B"/>
    <w:rsid w:val="003A3F39"/>
    <w:rsid w:val="003A4170"/>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2986"/>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17B8"/>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0B4"/>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34B"/>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173"/>
    <w:rsid w:val="004255B4"/>
    <w:rsid w:val="00426766"/>
    <w:rsid w:val="004267D0"/>
    <w:rsid w:val="004279CA"/>
    <w:rsid w:val="00427A82"/>
    <w:rsid w:val="00427EA2"/>
    <w:rsid w:val="00430115"/>
    <w:rsid w:val="004303CA"/>
    <w:rsid w:val="00430A4B"/>
    <w:rsid w:val="00431C46"/>
    <w:rsid w:val="004327E6"/>
    <w:rsid w:val="004329DC"/>
    <w:rsid w:val="00432AC6"/>
    <w:rsid w:val="00434C5E"/>
    <w:rsid w:val="00434E0B"/>
    <w:rsid w:val="00435765"/>
    <w:rsid w:val="004360B6"/>
    <w:rsid w:val="004362E5"/>
    <w:rsid w:val="00436356"/>
    <w:rsid w:val="0044041E"/>
    <w:rsid w:val="00440722"/>
    <w:rsid w:val="00440DF5"/>
    <w:rsid w:val="004425D9"/>
    <w:rsid w:val="00443244"/>
    <w:rsid w:val="00444AF6"/>
    <w:rsid w:val="0044519D"/>
    <w:rsid w:val="00445544"/>
    <w:rsid w:val="00445C0B"/>
    <w:rsid w:val="00446068"/>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77BBA"/>
    <w:rsid w:val="00480FA1"/>
    <w:rsid w:val="00481FD7"/>
    <w:rsid w:val="00482DE5"/>
    <w:rsid w:val="00483266"/>
    <w:rsid w:val="0048352E"/>
    <w:rsid w:val="004836A9"/>
    <w:rsid w:val="00483B23"/>
    <w:rsid w:val="004840D7"/>
    <w:rsid w:val="004846F4"/>
    <w:rsid w:val="004847FD"/>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04C"/>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89F"/>
    <w:rsid w:val="004C198D"/>
    <w:rsid w:val="004C1AD6"/>
    <w:rsid w:val="004C1B7D"/>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4F7D"/>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091"/>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011"/>
    <w:rsid w:val="005010D6"/>
    <w:rsid w:val="00501144"/>
    <w:rsid w:val="005013EF"/>
    <w:rsid w:val="005019E0"/>
    <w:rsid w:val="005019F1"/>
    <w:rsid w:val="00501CEB"/>
    <w:rsid w:val="0050211F"/>
    <w:rsid w:val="005022E7"/>
    <w:rsid w:val="00502A93"/>
    <w:rsid w:val="005037F9"/>
    <w:rsid w:val="00506083"/>
    <w:rsid w:val="005063C5"/>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617"/>
    <w:rsid w:val="005368AD"/>
    <w:rsid w:val="005370BC"/>
    <w:rsid w:val="00537B35"/>
    <w:rsid w:val="00537DE7"/>
    <w:rsid w:val="00537EC4"/>
    <w:rsid w:val="00537FE4"/>
    <w:rsid w:val="0054027D"/>
    <w:rsid w:val="00541222"/>
    <w:rsid w:val="00541A8D"/>
    <w:rsid w:val="00541D4D"/>
    <w:rsid w:val="0054309B"/>
    <w:rsid w:val="0054335C"/>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30C"/>
    <w:rsid w:val="00565406"/>
    <w:rsid w:val="00565570"/>
    <w:rsid w:val="005657DD"/>
    <w:rsid w:val="00565B29"/>
    <w:rsid w:val="005664CC"/>
    <w:rsid w:val="0056664B"/>
    <w:rsid w:val="00567588"/>
    <w:rsid w:val="00567992"/>
    <w:rsid w:val="00567C3C"/>
    <w:rsid w:val="005702F8"/>
    <w:rsid w:val="00570FC0"/>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34DD"/>
    <w:rsid w:val="00584F3A"/>
    <w:rsid w:val="00584F7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174"/>
    <w:rsid w:val="005B5D40"/>
    <w:rsid w:val="005B5EFC"/>
    <w:rsid w:val="005B6412"/>
    <w:rsid w:val="005B6698"/>
    <w:rsid w:val="005B68A7"/>
    <w:rsid w:val="005B6AC3"/>
    <w:rsid w:val="005C055E"/>
    <w:rsid w:val="005C0FA1"/>
    <w:rsid w:val="005C120B"/>
    <w:rsid w:val="005C132F"/>
    <w:rsid w:val="005C1615"/>
    <w:rsid w:val="005C1D98"/>
    <w:rsid w:val="005C1DA5"/>
    <w:rsid w:val="005C2559"/>
    <w:rsid w:val="005C2873"/>
    <w:rsid w:val="005C28AB"/>
    <w:rsid w:val="005C34FC"/>
    <w:rsid w:val="005C3B5C"/>
    <w:rsid w:val="005C3C7F"/>
    <w:rsid w:val="005C5143"/>
    <w:rsid w:val="005C5639"/>
    <w:rsid w:val="005C5742"/>
    <w:rsid w:val="005C6005"/>
    <w:rsid w:val="005C760E"/>
    <w:rsid w:val="005C7862"/>
    <w:rsid w:val="005C7E9E"/>
    <w:rsid w:val="005D18C9"/>
    <w:rsid w:val="005D1B72"/>
    <w:rsid w:val="005D23BD"/>
    <w:rsid w:val="005D2471"/>
    <w:rsid w:val="005D25A3"/>
    <w:rsid w:val="005D2779"/>
    <w:rsid w:val="005D3242"/>
    <w:rsid w:val="005D610C"/>
    <w:rsid w:val="005D74E7"/>
    <w:rsid w:val="005D7F7B"/>
    <w:rsid w:val="005E24DE"/>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DE6"/>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505"/>
    <w:rsid w:val="006060C4"/>
    <w:rsid w:val="00607C35"/>
    <w:rsid w:val="00611777"/>
    <w:rsid w:val="0061189F"/>
    <w:rsid w:val="0061219B"/>
    <w:rsid w:val="00612D05"/>
    <w:rsid w:val="00613FB6"/>
    <w:rsid w:val="006140C6"/>
    <w:rsid w:val="00614134"/>
    <w:rsid w:val="00614241"/>
    <w:rsid w:val="0061428D"/>
    <w:rsid w:val="00615046"/>
    <w:rsid w:val="00615411"/>
    <w:rsid w:val="00615776"/>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6F"/>
    <w:rsid w:val="006240C4"/>
    <w:rsid w:val="00625304"/>
    <w:rsid w:val="0062581B"/>
    <w:rsid w:val="006261F4"/>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AA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059"/>
    <w:rsid w:val="00653DCF"/>
    <w:rsid w:val="00653FC4"/>
    <w:rsid w:val="00654F91"/>
    <w:rsid w:val="00655361"/>
    <w:rsid w:val="00656253"/>
    <w:rsid w:val="00656799"/>
    <w:rsid w:val="00656B77"/>
    <w:rsid w:val="00656E72"/>
    <w:rsid w:val="006570B1"/>
    <w:rsid w:val="006578A1"/>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6E8A"/>
    <w:rsid w:val="00667AEA"/>
    <w:rsid w:val="00670004"/>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4DD"/>
    <w:rsid w:val="006A561D"/>
    <w:rsid w:val="006A5A0C"/>
    <w:rsid w:val="006A5BA0"/>
    <w:rsid w:val="006A5BB1"/>
    <w:rsid w:val="006A5F88"/>
    <w:rsid w:val="006A7D95"/>
    <w:rsid w:val="006B120D"/>
    <w:rsid w:val="006B13C1"/>
    <w:rsid w:val="006B2CC7"/>
    <w:rsid w:val="006B3AF9"/>
    <w:rsid w:val="006B4158"/>
    <w:rsid w:val="006B44C5"/>
    <w:rsid w:val="006B54FC"/>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30E7"/>
    <w:rsid w:val="006D48E7"/>
    <w:rsid w:val="006D4947"/>
    <w:rsid w:val="006D4C4B"/>
    <w:rsid w:val="006D4D7C"/>
    <w:rsid w:val="006D5F16"/>
    <w:rsid w:val="006D63AD"/>
    <w:rsid w:val="006D6733"/>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E7652"/>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1893"/>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6CF1"/>
    <w:rsid w:val="00727077"/>
    <w:rsid w:val="00730EA6"/>
    <w:rsid w:val="00731C15"/>
    <w:rsid w:val="00732045"/>
    <w:rsid w:val="007322A0"/>
    <w:rsid w:val="00732C1A"/>
    <w:rsid w:val="00733CDC"/>
    <w:rsid w:val="00734B9A"/>
    <w:rsid w:val="00735695"/>
    <w:rsid w:val="00735863"/>
    <w:rsid w:val="007360CB"/>
    <w:rsid w:val="0073653E"/>
    <w:rsid w:val="00737566"/>
    <w:rsid w:val="00740DDA"/>
    <w:rsid w:val="00741BA2"/>
    <w:rsid w:val="00741CF4"/>
    <w:rsid w:val="00741DCC"/>
    <w:rsid w:val="00741DE2"/>
    <w:rsid w:val="007421A1"/>
    <w:rsid w:val="007427FE"/>
    <w:rsid w:val="00742A47"/>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C54"/>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7FA"/>
    <w:rsid w:val="00797B06"/>
    <w:rsid w:val="00797B9C"/>
    <w:rsid w:val="007A0483"/>
    <w:rsid w:val="007A1065"/>
    <w:rsid w:val="007A1D86"/>
    <w:rsid w:val="007A2A97"/>
    <w:rsid w:val="007A2CDC"/>
    <w:rsid w:val="007A371B"/>
    <w:rsid w:val="007A3832"/>
    <w:rsid w:val="007A383E"/>
    <w:rsid w:val="007A3A0F"/>
    <w:rsid w:val="007A3E60"/>
    <w:rsid w:val="007A407D"/>
    <w:rsid w:val="007A464F"/>
    <w:rsid w:val="007A5E15"/>
    <w:rsid w:val="007A6196"/>
    <w:rsid w:val="007A63D5"/>
    <w:rsid w:val="007A689A"/>
    <w:rsid w:val="007A68EA"/>
    <w:rsid w:val="007A6B7D"/>
    <w:rsid w:val="007A7629"/>
    <w:rsid w:val="007B1027"/>
    <w:rsid w:val="007B1691"/>
    <w:rsid w:val="007B174F"/>
    <w:rsid w:val="007B1863"/>
    <w:rsid w:val="007B18C5"/>
    <w:rsid w:val="007B22E0"/>
    <w:rsid w:val="007B28CA"/>
    <w:rsid w:val="007B358D"/>
    <w:rsid w:val="007B5401"/>
    <w:rsid w:val="007B5FB4"/>
    <w:rsid w:val="007B6B2B"/>
    <w:rsid w:val="007B7949"/>
    <w:rsid w:val="007B7D30"/>
    <w:rsid w:val="007C015D"/>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2063"/>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17E"/>
    <w:rsid w:val="008174B2"/>
    <w:rsid w:val="00817CFF"/>
    <w:rsid w:val="0082000D"/>
    <w:rsid w:val="0082037E"/>
    <w:rsid w:val="00820C9C"/>
    <w:rsid w:val="00820F55"/>
    <w:rsid w:val="00821572"/>
    <w:rsid w:val="00821D9C"/>
    <w:rsid w:val="0082207D"/>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4DC7"/>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78D"/>
    <w:rsid w:val="008658AA"/>
    <w:rsid w:val="00865CBD"/>
    <w:rsid w:val="0086665C"/>
    <w:rsid w:val="00866E37"/>
    <w:rsid w:val="00866F9E"/>
    <w:rsid w:val="008672E2"/>
    <w:rsid w:val="0086793D"/>
    <w:rsid w:val="00867B1C"/>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7D9"/>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312C"/>
    <w:rsid w:val="008D427A"/>
    <w:rsid w:val="008D496B"/>
    <w:rsid w:val="008D4DD5"/>
    <w:rsid w:val="008D5657"/>
    <w:rsid w:val="008D5F2F"/>
    <w:rsid w:val="008D6752"/>
    <w:rsid w:val="008D69E7"/>
    <w:rsid w:val="008D6FC1"/>
    <w:rsid w:val="008E0140"/>
    <w:rsid w:val="008E0688"/>
    <w:rsid w:val="008E0BEF"/>
    <w:rsid w:val="008E266D"/>
    <w:rsid w:val="008E2F0C"/>
    <w:rsid w:val="008E3E2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6D10"/>
    <w:rsid w:val="00907656"/>
    <w:rsid w:val="00907785"/>
    <w:rsid w:val="00907E47"/>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3D0"/>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2828"/>
    <w:rsid w:val="009333D3"/>
    <w:rsid w:val="009339B6"/>
    <w:rsid w:val="00933B4C"/>
    <w:rsid w:val="00933DC4"/>
    <w:rsid w:val="0093431B"/>
    <w:rsid w:val="009346D6"/>
    <w:rsid w:val="00934743"/>
    <w:rsid w:val="0093487E"/>
    <w:rsid w:val="00934D76"/>
    <w:rsid w:val="00934FFE"/>
    <w:rsid w:val="009358EA"/>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CB"/>
    <w:rsid w:val="009548FB"/>
    <w:rsid w:val="0095538B"/>
    <w:rsid w:val="0095695D"/>
    <w:rsid w:val="00957A9E"/>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180"/>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0CE4"/>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316"/>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3C1"/>
    <w:rsid w:val="00A10586"/>
    <w:rsid w:val="00A10A48"/>
    <w:rsid w:val="00A110DA"/>
    <w:rsid w:val="00A1132B"/>
    <w:rsid w:val="00A11930"/>
    <w:rsid w:val="00A11B54"/>
    <w:rsid w:val="00A11CDC"/>
    <w:rsid w:val="00A1207B"/>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5317"/>
    <w:rsid w:val="00A2561D"/>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4749"/>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20BD"/>
    <w:rsid w:val="00A637A0"/>
    <w:rsid w:val="00A63ECD"/>
    <w:rsid w:val="00A64093"/>
    <w:rsid w:val="00A640EB"/>
    <w:rsid w:val="00A6412F"/>
    <w:rsid w:val="00A64815"/>
    <w:rsid w:val="00A65043"/>
    <w:rsid w:val="00A66DF9"/>
    <w:rsid w:val="00A704E4"/>
    <w:rsid w:val="00A706FC"/>
    <w:rsid w:val="00A70BD2"/>
    <w:rsid w:val="00A7136A"/>
    <w:rsid w:val="00A71C44"/>
    <w:rsid w:val="00A7204C"/>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1FC"/>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08B"/>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8E8"/>
    <w:rsid w:val="00AA7F10"/>
    <w:rsid w:val="00AB0391"/>
    <w:rsid w:val="00AB06B4"/>
    <w:rsid w:val="00AB09B2"/>
    <w:rsid w:val="00AB15DA"/>
    <w:rsid w:val="00AB2085"/>
    <w:rsid w:val="00AB2151"/>
    <w:rsid w:val="00AB235B"/>
    <w:rsid w:val="00AB2C59"/>
    <w:rsid w:val="00AB2C71"/>
    <w:rsid w:val="00AB2C8A"/>
    <w:rsid w:val="00AB42B6"/>
    <w:rsid w:val="00AB4A01"/>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4E92"/>
    <w:rsid w:val="00AC520B"/>
    <w:rsid w:val="00AC6C53"/>
    <w:rsid w:val="00AC6E85"/>
    <w:rsid w:val="00AC7284"/>
    <w:rsid w:val="00AC7CE6"/>
    <w:rsid w:val="00AD0828"/>
    <w:rsid w:val="00AD0B13"/>
    <w:rsid w:val="00AD0E69"/>
    <w:rsid w:val="00AD103D"/>
    <w:rsid w:val="00AD159C"/>
    <w:rsid w:val="00AD17FA"/>
    <w:rsid w:val="00AD19EC"/>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2AE"/>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737"/>
    <w:rsid w:val="00B0784C"/>
    <w:rsid w:val="00B07C46"/>
    <w:rsid w:val="00B07CE9"/>
    <w:rsid w:val="00B101D5"/>
    <w:rsid w:val="00B10633"/>
    <w:rsid w:val="00B10B08"/>
    <w:rsid w:val="00B10D50"/>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9B4"/>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60E6"/>
    <w:rsid w:val="00B8756E"/>
    <w:rsid w:val="00B87A7D"/>
    <w:rsid w:val="00B87DF9"/>
    <w:rsid w:val="00B91951"/>
    <w:rsid w:val="00B91A58"/>
    <w:rsid w:val="00B91EAD"/>
    <w:rsid w:val="00B920B9"/>
    <w:rsid w:val="00B930D2"/>
    <w:rsid w:val="00B937CD"/>
    <w:rsid w:val="00B938BC"/>
    <w:rsid w:val="00B93997"/>
    <w:rsid w:val="00B93C98"/>
    <w:rsid w:val="00B93DF6"/>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7155"/>
    <w:rsid w:val="00BC7550"/>
    <w:rsid w:val="00BC7DFA"/>
    <w:rsid w:val="00BD0B72"/>
    <w:rsid w:val="00BD2668"/>
    <w:rsid w:val="00BD2FEB"/>
    <w:rsid w:val="00BD3924"/>
    <w:rsid w:val="00BD3C33"/>
    <w:rsid w:val="00BD450F"/>
    <w:rsid w:val="00BD4512"/>
    <w:rsid w:val="00BD52AA"/>
    <w:rsid w:val="00BD5E4A"/>
    <w:rsid w:val="00BD6D3E"/>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569"/>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4E0"/>
    <w:rsid w:val="00C46625"/>
    <w:rsid w:val="00C46870"/>
    <w:rsid w:val="00C47545"/>
    <w:rsid w:val="00C47593"/>
    <w:rsid w:val="00C5024D"/>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A03"/>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A11"/>
    <w:rsid w:val="00C96CFA"/>
    <w:rsid w:val="00C96E5A"/>
    <w:rsid w:val="00C96EB5"/>
    <w:rsid w:val="00CA0257"/>
    <w:rsid w:val="00CA0917"/>
    <w:rsid w:val="00CA102B"/>
    <w:rsid w:val="00CA121E"/>
    <w:rsid w:val="00CA283D"/>
    <w:rsid w:val="00CA2918"/>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1A5"/>
    <w:rsid w:val="00CE54E1"/>
    <w:rsid w:val="00CE55B6"/>
    <w:rsid w:val="00CE5856"/>
    <w:rsid w:val="00CE5BDE"/>
    <w:rsid w:val="00CE6A6D"/>
    <w:rsid w:val="00CE774C"/>
    <w:rsid w:val="00CF012E"/>
    <w:rsid w:val="00CF04D4"/>
    <w:rsid w:val="00CF09B5"/>
    <w:rsid w:val="00CF0B4C"/>
    <w:rsid w:val="00CF1680"/>
    <w:rsid w:val="00CF1780"/>
    <w:rsid w:val="00CF1BD7"/>
    <w:rsid w:val="00CF1E21"/>
    <w:rsid w:val="00CF21A5"/>
    <w:rsid w:val="00CF2518"/>
    <w:rsid w:val="00CF2DDE"/>
    <w:rsid w:val="00CF344A"/>
    <w:rsid w:val="00CF39A0"/>
    <w:rsid w:val="00CF3D1C"/>
    <w:rsid w:val="00CF4713"/>
    <w:rsid w:val="00CF477B"/>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330B"/>
    <w:rsid w:val="00D03651"/>
    <w:rsid w:val="00D03BF7"/>
    <w:rsid w:val="00D03F1E"/>
    <w:rsid w:val="00D0428E"/>
    <w:rsid w:val="00D04426"/>
    <w:rsid w:val="00D0482F"/>
    <w:rsid w:val="00D04A33"/>
    <w:rsid w:val="00D05892"/>
    <w:rsid w:val="00D06824"/>
    <w:rsid w:val="00D06C03"/>
    <w:rsid w:val="00D1037A"/>
    <w:rsid w:val="00D10499"/>
    <w:rsid w:val="00D10D09"/>
    <w:rsid w:val="00D1163E"/>
    <w:rsid w:val="00D12362"/>
    <w:rsid w:val="00D12A4F"/>
    <w:rsid w:val="00D14C15"/>
    <w:rsid w:val="00D15CB3"/>
    <w:rsid w:val="00D15F51"/>
    <w:rsid w:val="00D1660E"/>
    <w:rsid w:val="00D16ED5"/>
    <w:rsid w:val="00D171C6"/>
    <w:rsid w:val="00D1762A"/>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171B"/>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74B"/>
    <w:rsid w:val="00D719EF"/>
    <w:rsid w:val="00D72327"/>
    <w:rsid w:val="00D727E0"/>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00C"/>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D86"/>
    <w:rsid w:val="00DB6F45"/>
    <w:rsid w:val="00DB72B7"/>
    <w:rsid w:val="00DB7546"/>
    <w:rsid w:val="00DB7E60"/>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1B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145"/>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491"/>
    <w:rsid w:val="00E2757B"/>
    <w:rsid w:val="00E2792D"/>
    <w:rsid w:val="00E30828"/>
    <w:rsid w:val="00E30B37"/>
    <w:rsid w:val="00E30FA8"/>
    <w:rsid w:val="00E3109C"/>
    <w:rsid w:val="00E311D1"/>
    <w:rsid w:val="00E31537"/>
    <w:rsid w:val="00E31B6D"/>
    <w:rsid w:val="00E31C2D"/>
    <w:rsid w:val="00E32432"/>
    <w:rsid w:val="00E33B1E"/>
    <w:rsid w:val="00E34277"/>
    <w:rsid w:val="00E35C6C"/>
    <w:rsid w:val="00E3621B"/>
    <w:rsid w:val="00E36D6F"/>
    <w:rsid w:val="00E36F43"/>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357"/>
    <w:rsid w:val="00E85E56"/>
    <w:rsid w:val="00E860DD"/>
    <w:rsid w:val="00E8713D"/>
    <w:rsid w:val="00E87DAB"/>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B89"/>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13BD"/>
    <w:rsid w:val="00ED23A2"/>
    <w:rsid w:val="00ED2725"/>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768"/>
    <w:rsid w:val="00EF79CE"/>
    <w:rsid w:val="00F00152"/>
    <w:rsid w:val="00F00352"/>
    <w:rsid w:val="00F00997"/>
    <w:rsid w:val="00F00B1B"/>
    <w:rsid w:val="00F00E37"/>
    <w:rsid w:val="00F010EE"/>
    <w:rsid w:val="00F01383"/>
    <w:rsid w:val="00F0167D"/>
    <w:rsid w:val="00F0177A"/>
    <w:rsid w:val="00F019D5"/>
    <w:rsid w:val="00F01E9B"/>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0EF6"/>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079"/>
    <w:rsid w:val="00F256AE"/>
    <w:rsid w:val="00F25773"/>
    <w:rsid w:val="00F257FA"/>
    <w:rsid w:val="00F26004"/>
    <w:rsid w:val="00F270E8"/>
    <w:rsid w:val="00F27EF5"/>
    <w:rsid w:val="00F27FDB"/>
    <w:rsid w:val="00F30251"/>
    <w:rsid w:val="00F305CC"/>
    <w:rsid w:val="00F3179A"/>
    <w:rsid w:val="00F31D54"/>
    <w:rsid w:val="00F31D8B"/>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1D65"/>
    <w:rsid w:val="00F521DC"/>
    <w:rsid w:val="00F525D9"/>
    <w:rsid w:val="00F53199"/>
    <w:rsid w:val="00F541A1"/>
    <w:rsid w:val="00F54B09"/>
    <w:rsid w:val="00F54BEA"/>
    <w:rsid w:val="00F54E8A"/>
    <w:rsid w:val="00F55386"/>
    <w:rsid w:val="00F559A8"/>
    <w:rsid w:val="00F55C21"/>
    <w:rsid w:val="00F55E2E"/>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87D02"/>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5E38"/>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D56"/>
    <w:rsid w:val="00FF3F6C"/>
    <w:rsid w:val="00FF4603"/>
    <w:rsid w:val="00FF4B07"/>
    <w:rsid w:val="00FF4BFC"/>
    <w:rsid w:val="00FF4C11"/>
    <w:rsid w:val="00FF4C12"/>
    <w:rsid w:val="00FF56B9"/>
    <w:rsid w:val="00FF57E8"/>
    <w:rsid w:val="00FF58C0"/>
    <w:rsid w:val="00FF5948"/>
    <w:rsid w:val="00FF6B71"/>
    <w:rsid w:val="00FF6EDF"/>
    <w:rsid w:val="00FF6EEA"/>
    <w:rsid w:val="00FF75DC"/>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9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02"/>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C6005"/>
    <w:pPr>
      <w:keepNext/>
      <w:tabs>
        <w:tab w:val="left" w:pos="851"/>
      </w:tabs>
      <w:spacing w:before="240" w:after="360" w:line="600" w:lineRule="atLeast"/>
      <w:jc w:val="left"/>
      <w:outlineLvl w:val="0"/>
    </w:pPr>
    <w:rPr>
      <w:rFonts w:ascii="Georgia" w:eastAsiaTheme="majorEastAsia" w:hAnsi="Georgia" w:cstheme="majorBidi"/>
      <w:b/>
      <w:bCs/>
      <w:color w:val="1B556B"/>
      <w:sz w:val="40"/>
      <w:szCs w:val="28"/>
    </w:rPr>
  </w:style>
  <w:style w:type="paragraph" w:styleId="Heading2">
    <w:name w:val="heading 2"/>
    <w:basedOn w:val="Normal"/>
    <w:next w:val="BodyText"/>
    <w:link w:val="Heading2Char"/>
    <w:qFormat/>
    <w:rsid w:val="00640AA1"/>
    <w:pPr>
      <w:keepNext/>
      <w:tabs>
        <w:tab w:val="left" w:pos="851"/>
      </w:tabs>
      <w:spacing w:before="360" w:after="0" w:line="440" w:lineRule="atLeast"/>
      <w:jc w:val="left"/>
      <w:outlineLvl w:val="1"/>
    </w:pPr>
    <w:rPr>
      <w:rFonts w:ascii="Georgia" w:eastAsiaTheme="majorEastAsia" w:hAnsi="Georgia" w:cstheme="majorBidi"/>
      <w:b/>
      <w:bCs/>
      <w:color w:val="1B556B"/>
      <w:sz w:val="32"/>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005"/>
    <w:rPr>
      <w:rFonts w:ascii="Georgia" w:eastAsiaTheme="majorEastAsia" w:hAnsi="Georgia" w:cstheme="majorBidi"/>
      <w:b/>
      <w:bCs/>
      <w:color w:val="1B556B"/>
      <w:sz w:val="40"/>
      <w:szCs w:val="28"/>
    </w:rPr>
  </w:style>
  <w:style w:type="character" w:customStyle="1" w:styleId="Heading2Char">
    <w:name w:val="Heading 2 Char"/>
    <w:basedOn w:val="DefaultParagraphFont"/>
    <w:link w:val="Heading2"/>
    <w:rsid w:val="00640AA1"/>
    <w:rPr>
      <w:rFonts w:ascii="Georgia" w:eastAsiaTheme="majorEastAsia" w:hAnsi="Georgia" w:cstheme="majorBidi"/>
      <w:b/>
      <w:bCs/>
      <w:color w:val="1B556B"/>
      <w:sz w:val="32"/>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uiPriority w:val="99"/>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3B2986"/>
    <w:pPr>
      <w:jc w:val="left"/>
    </w:pPr>
    <w:rPr>
      <w:rFonts w:ascii="Georgia" w:hAnsi="Georgia"/>
      <w:b/>
      <w:bCs/>
      <w:color w:val="1B556B" w:themeColor="text2"/>
      <w:sz w:val="56"/>
      <w:szCs w:val="56"/>
    </w:rPr>
  </w:style>
  <w:style w:type="character" w:customStyle="1" w:styleId="TitleChar">
    <w:name w:val="Title Char"/>
    <w:link w:val="Title"/>
    <w:uiPriority w:val="2"/>
    <w:rsid w:val="003B2986"/>
    <w:rPr>
      <w:rFonts w:ascii="Georgia" w:eastAsia="Times New Roman" w:hAnsi="Georgia"/>
      <w:b/>
      <w:bCs/>
      <w:color w:val="1B556B" w:themeColor="text2"/>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6E2E45"/>
    <w:pPr>
      <w:tabs>
        <w:tab w:val="right" w:pos="8505"/>
        <w:tab w:val="right" w:pos="9072"/>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Segoe UI" w:eastAsia="Times New Roman" w:hAnsi="Segoe UI"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Segoe UI" w:eastAsia="Times New Roman" w:hAnsi="Segoe UI"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Segoe UI" w:eastAsia="Times New Roman" w:hAnsi="Segoe UI"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zh-CN"/>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normaltextrun">
    <w:name w:val="normaltextrun"/>
    <w:basedOn w:val="DefaultParagraphFont"/>
    <w:rsid w:val="009548CB"/>
  </w:style>
  <w:style w:type="character" w:customStyle="1" w:styleId="eop">
    <w:name w:val="eop"/>
    <w:basedOn w:val="DefaultParagraphFont"/>
    <w:rsid w:val="009548CB"/>
  </w:style>
  <w:style w:type="paragraph" w:customStyle="1" w:styleId="paragraph">
    <w:name w:val="paragraph"/>
    <w:basedOn w:val="Normal"/>
    <w:rsid w:val="00CF1780"/>
    <w:pPr>
      <w:spacing w:before="100" w:beforeAutospacing="1" w:after="100" w:afterAutospacing="1" w:line="240" w:lineRule="auto"/>
      <w:jc w:val="left"/>
    </w:pPr>
    <w:rPr>
      <w:rFonts w:ascii="Times New Roman" w:hAnsi="Times New Roman"/>
      <w:sz w:val="24"/>
      <w:szCs w:val="24"/>
    </w:rPr>
  </w:style>
  <w:style w:type="paragraph" w:customStyle="1" w:styleId="Headerinfo">
    <w:name w:val="Header info"/>
    <w:basedOn w:val="Title"/>
    <w:qFormat/>
    <w:rsid w:val="00DA500C"/>
    <w:pPr>
      <w:ind w:right="-710"/>
    </w:pPr>
    <w:rPr>
      <w:rFonts w:asciiTheme="minorHAnsi" w:hAnsiTheme="minorHAnsi" w:cstheme="minorHAnsi"/>
      <w:b w:val="0"/>
      <w:color w:val="FFFFFF" w:themeColor="background1"/>
      <w:sz w:val="22"/>
      <w:szCs w:val="22"/>
    </w:rPr>
  </w:style>
  <w:style w:type="paragraph" w:styleId="NormalWeb">
    <w:name w:val="Normal (Web)"/>
    <w:basedOn w:val="Normal"/>
    <w:uiPriority w:val="99"/>
    <w:semiHidden/>
    <w:unhideWhenUsed/>
    <w:rsid w:val="00932828"/>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81861943">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996418032">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88448218">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24835314">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492067194">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596476283">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05446908">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water-conservation-orders/" TargetMode="External"/><Relationship Id="rId18" Type="http://schemas.openxmlformats.org/officeDocument/2006/relationships/image" Target="media/image3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_x0020_Table xmlns="4a94300e-a927-4b92-9d3a-682523035cb6" xsi:nil="true"/>
    <Sender_x0020_Date xmlns="4a94300e-a927-4b92-9d3a-682523035cb6" xsi:nil="true"/>
    <Carbon_x0020_Copy xmlns="4a94300e-a927-4b92-9d3a-682523035cb6" xsi:nil="true"/>
    <Class xmlns="4a94300e-a927-4b92-9d3a-682523035cb6" xsi:nil="true"/>
    <From xmlns="4a94300e-a927-4b92-9d3a-682523035cb6" xsi:nil="true"/>
    <_dlc_DocId xmlns="58a6f171-52cb-4404-b47d-af1c8daf8fd1">ECM-1122293896-104028</_dlc_DocId>
    <Other_x0020_Details_2 xmlns="4a94300e-a927-4b92-9d3a-682523035cb6" xsi:nil="true"/>
    <Receiver xmlns="4a94300e-a927-4b92-9d3a-682523035cb6" xsi:nil="true"/>
    <Legacy_x0020_Version xmlns="4a94300e-a927-4b92-9d3a-682523035cb6" xsi:nil="true"/>
    <Author0 xmlns="4a94300e-a927-4b92-9d3a-682523035cb6" xsi:nil="true"/>
    <IconOverlay xmlns="http://schemas.microsoft.com/sharepoint/v4" xsi:nil="true"/>
    <Sent_x002f_Received xmlns="4a94300e-a927-4b92-9d3a-682523035cb6" xsi:nil="true"/>
    <Other_x0020_Details_3 xmlns="4a94300e-a927-4b92-9d3a-682523035cb6" xsi:nil="true"/>
    <_ip_UnifiedCompliancePolicyUIAction xmlns="http://schemas.microsoft.com/sharepoint/v3" xsi:nil="true"/>
    <Document_x0020_Type xmlns="4a94300e-a927-4b92-9d3a-682523035cb6" xsi:nil="true"/>
    <Legacy_x0020_DocID xmlns="4a94300e-a927-4b92-9d3a-682523035cb6" xsi:nil="true"/>
    <_ip_UnifiedCompliancePolicyProperties xmlns="http://schemas.microsoft.com/sharepoint/v3" xsi:nil="true"/>
    <Receiver_x0020_Date xmlns="4a94300e-a927-4b92-9d3a-682523035cb6" xsi:nil="true"/>
    <Year xmlns="4a94300e-a927-4b92-9d3a-682523035cb6" xsi:nil="true"/>
    <MTS_x0020_Type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Status xmlns="4a94300e-a927-4b92-9d3a-682523035cb6" xsi:nil="true"/>
    <Sender xmlns="4a94300e-a927-4b92-9d3a-682523035cb6" xsi:nil="true"/>
    <MTS_x0020_ID xmlns="4a94300e-a927-4b92-9d3a-682523035cb6" xsi:nil="true"/>
    <To xmlns="4a94300e-a927-4b92-9d3a-682523035cb6" xsi:nil="true"/>
    <Library xmlns="4a94300e-a927-4b92-9d3a-682523035cb6" xsi:nil="true"/>
    <Other_x0020_Details xmlns="4a94300e-a927-4b92-9d3a-682523035cb6" xsi:nil="true"/>
    <_dlc_DocIdUrl xmlns="58a6f171-52cb-4404-b47d-af1c8daf8fd1">
      <Url>https://ministryforenvironment.sharepoint.com/sites/ECM-ER-Comms/_layouts/15/DocIdRedir.aspx?ID=ECM-1122293896-104028</Url>
      <Description>ECM-1122293896-104028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4" ma:contentTypeDescription="Create a new document." ma:contentTypeScope="" ma:versionID="71ca4ff2c816bf98e720b531c5ba270a">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19f05a26c8dc5a9aa0303e2594aee7a9"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4446C-78EF-4278-8B42-7CE7B1D55FD2}">
  <ds:schemaRefs>
    <ds:schemaRef ds:uri="http://schemas.microsoft.com/office/2006/metadata/properties"/>
    <ds:schemaRef ds:uri="http://schemas.microsoft.com/office/infopath/2007/PartnerControls"/>
    <ds:schemaRef ds:uri="4a94300e-a927-4b92-9d3a-682523035cb6"/>
    <ds:schemaRef ds:uri="58a6f171-52cb-4404-b47d-af1c8daf8fd1"/>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0F710720-C851-4FB9-972E-342B2405F2DE}">
  <ds:schemaRefs>
    <ds:schemaRef ds:uri="http://schemas.microsoft.com/sharepoint/events"/>
  </ds:schemaRefs>
</ds:datastoreItem>
</file>

<file path=customXml/itemProps4.xml><?xml version="1.0" encoding="utf-8"?>
<ds:datastoreItem xmlns:ds="http://schemas.openxmlformats.org/officeDocument/2006/customXml" ds:itemID="{AD85E6C4-368E-460D-9F7C-CD048845335C}">
  <ds:schemaRefs>
    <ds:schemaRef ds:uri="http://schemas.microsoft.com/sharepoint/v3/contenttype/forms"/>
  </ds:schemaRefs>
</ds:datastoreItem>
</file>

<file path=customXml/itemProps5.xml><?xml version="1.0" encoding="utf-8"?>
<ds:datastoreItem xmlns:ds="http://schemas.openxmlformats.org/officeDocument/2006/customXml" ds:itemID="{502ED9CF-B3CA-4805-AE33-D5B3F91EF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2023-10-11T17:35:00Z</dcterms:created>
  <dcterms:modified xsi:type="dcterms:W3CDTF">2023-10-11T17:36:00Z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0x010100EA5FB0BEBF7DE54D9F252D8A06C053F7</vt:lpwstr>
  </property>
  <property fmtid="{D5CDD505-2E9C-101B-9397-08002B2CF9AE}" pid="5" name="ComplianceAssetId">
    <vt:lpwstr/>
  </property>
  <property fmtid="{D5CDD505-2E9C-101B-9397-08002B2CF9AE}" pid="6" name="TemplateUrl">
    <vt:lpwstr/>
  </property>
  <property fmtid="{D5CDD505-2E9C-101B-9397-08002B2CF9AE}" pid="7" name="MSIP_Label_52dda6cc-d61d-4fd2-bf18-9b3017d931cc_Enabled">
    <vt:lpwstr>true</vt:lpwstr>
  </property>
  <property fmtid="{D5CDD505-2E9C-101B-9397-08002B2CF9AE}" pid="8" name="_ExtendedDescription">
    <vt:lpwstr/>
  </property>
  <property fmtid="{D5CDD505-2E9C-101B-9397-08002B2CF9AE}" pid="9" name="MSIP_Label_52dda6cc-d61d-4fd2-bf18-9b3017d931cc_SetDate">
    <vt:lpwstr>2021-05-25T22:11:25Z</vt:lpwstr>
  </property>
  <property fmtid="{D5CDD505-2E9C-101B-9397-08002B2CF9AE}" pid="10" name="MSIP_Label_52dda6cc-d61d-4fd2-bf18-9b3017d931cc_Method">
    <vt:lpwstr>Privileged</vt:lpwstr>
  </property>
  <property fmtid="{D5CDD505-2E9C-101B-9397-08002B2CF9AE}" pid="11" name="MSIP_Label_52dda6cc-d61d-4fd2-bf18-9b3017d931cc_SiteId">
    <vt:lpwstr>761dd003-d4ff-4049-8a72-8549b20fcbb1</vt:lpwstr>
  </property>
  <property fmtid="{D5CDD505-2E9C-101B-9397-08002B2CF9AE}" pid="12" name="MSIP_Label_52dda6cc-d61d-4fd2-bf18-9b3017d931cc_Name">
    <vt:lpwstr>[UNCLASSIFIED]</vt:lpwstr>
  </property>
  <property fmtid="{D5CDD505-2E9C-101B-9397-08002B2CF9AE}" pid="13" name="xd_Signature">
    <vt:bool>false</vt:bool>
  </property>
  <property fmtid="{D5CDD505-2E9C-101B-9397-08002B2CF9AE}" pid="14" name="MSIP_Label_52dda6cc-d61d-4fd2-bf18-9b3017d931cc_ContentBits">
    <vt:lpwstr>0</vt:lpwstr>
  </property>
  <property fmtid="{D5CDD505-2E9C-101B-9397-08002B2CF9AE}" pid="15" name="_dlc_DocIdItemGuid">
    <vt:lpwstr>a2184c0b-b595-4727-94fc-6b34227e6c56</vt:lpwstr>
  </property>
  <property fmtid="{D5CDD505-2E9C-101B-9397-08002B2CF9AE}" pid="16" name="MSIP_Label_52dda6cc-d61d-4fd2-bf18-9b3017d931cc_ActionId">
    <vt:lpwstr>731e7918-3ffb-4c6a-9229-fd7813de85ec</vt:lpwstr>
  </property>
  <property fmtid="{D5CDD505-2E9C-101B-9397-08002B2CF9AE}" pid="17" name="TriggerFlowInfo">
    <vt:lpwstr/>
  </property>
  <property fmtid="{D5CDD505-2E9C-101B-9397-08002B2CF9AE}" pid="18" name="Order">
    <vt:r8>9970200</vt:r8>
  </property>
</Properties>
</file>