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E511" w14:textId="6E0F9A13" w:rsidR="001C4D70" w:rsidRPr="00640AA1" w:rsidRDefault="00DA500C" w:rsidP="00640AA1">
      <w:pPr>
        <w:pStyle w:val="BodyText"/>
        <w:spacing w:after="3600"/>
        <w:rPr>
          <w:rStyle w:val="normaltextrun"/>
        </w:rPr>
      </w:pPr>
      <w:r>
        <w:rPr>
          <w:noProof/>
        </w:rPr>
        <mc:AlternateContent>
          <mc:Choice Requires="wps">
            <w:drawing>
              <wp:anchor distT="0" distB="0" distL="114300" distR="114300" simplePos="0" relativeHeight="251658240" behindDoc="0" locked="0" layoutInCell="1" allowOverlap="1" wp14:anchorId="1F9B9299" wp14:editId="6B87BA1A">
                <wp:simplePos x="0" y="0"/>
                <wp:positionH relativeFrom="column">
                  <wp:posOffset>-49530</wp:posOffset>
                </wp:positionH>
                <wp:positionV relativeFrom="paragraph">
                  <wp:posOffset>1121410</wp:posOffset>
                </wp:positionV>
                <wp:extent cx="5808345" cy="2273300"/>
                <wp:effectExtent l="0" t="0" r="1905" b="0"/>
                <wp:wrapTopAndBottom/>
                <wp:docPr id="6" name="Text Box 6"/>
                <wp:cNvGraphicFramePr/>
                <a:graphic xmlns:a="http://schemas.openxmlformats.org/drawingml/2006/main">
                  <a:graphicData uri="http://schemas.microsoft.com/office/word/2010/wordprocessingShape">
                    <wps:wsp>
                      <wps:cNvSpPr txBox="1"/>
                      <wps:spPr>
                        <a:xfrm>
                          <a:off x="0" y="0"/>
                          <a:ext cx="5808345" cy="2273300"/>
                        </a:xfrm>
                        <a:prstGeom prst="rect">
                          <a:avLst/>
                        </a:prstGeom>
                        <a:noFill/>
                        <a:ln w="6350">
                          <a:noFill/>
                        </a:ln>
                      </wps:spPr>
                      <wps:txbx>
                        <w:txbxContent>
                          <w:p w14:paraId="3F1B8C50" w14:textId="19E2A4CF" w:rsidR="00ED680D" w:rsidRDefault="00ED680D" w:rsidP="00D3171B">
                            <w:pPr>
                              <w:pStyle w:val="Subtitle"/>
                              <w:rPr>
                                <w:color w:val="2C9986" w:themeColor="accent4"/>
                                <w:sz w:val="48"/>
                                <w:szCs w:val="48"/>
                              </w:rPr>
                            </w:pPr>
                            <w:r w:rsidRPr="00ED680D">
                              <w:rPr>
                                <w:color w:val="2C9986" w:themeColor="accent4"/>
                                <w:sz w:val="48"/>
                                <w:szCs w:val="48"/>
                              </w:rPr>
                              <w:t xml:space="preserve">Ngā mahere pāmu wai māori: </w:t>
                            </w:r>
                            <w:r>
                              <w:rPr>
                                <w:color w:val="2C9986" w:themeColor="accent4"/>
                                <w:sz w:val="48"/>
                                <w:szCs w:val="48"/>
                              </w:rPr>
                              <w:br/>
                            </w:r>
                            <w:r w:rsidRPr="00ED680D">
                              <w:rPr>
                                <w:color w:val="2C9986" w:themeColor="accent4"/>
                                <w:sz w:val="48"/>
                                <w:szCs w:val="48"/>
                              </w:rPr>
                              <w:t>Te neke ki te pūnaha hou</w:t>
                            </w:r>
                          </w:p>
                          <w:p w14:paraId="5B4174F8" w14:textId="302CBB56" w:rsidR="00D3171B" w:rsidRPr="00EC0B89" w:rsidRDefault="00464BAC" w:rsidP="00D3171B">
                            <w:pPr>
                              <w:pStyle w:val="Subtitle"/>
                              <w:rPr>
                                <w:color w:val="1B556B" w:themeColor="text2"/>
                                <w:sz w:val="48"/>
                                <w:szCs w:val="48"/>
                              </w:rPr>
                            </w:pPr>
                            <w:r w:rsidRPr="00464BAC">
                              <w:rPr>
                                <w:color w:val="1B556B" w:themeColor="text2"/>
                                <w:sz w:val="48"/>
                                <w:szCs w:val="48"/>
                              </w:rPr>
                              <w:t xml:space="preserve">Freshwater farm plans: </w:t>
                            </w:r>
                            <w:r w:rsidR="00364F79">
                              <w:rPr>
                                <w:color w:val="1B556B" w:themeColor="text2"/>
                                <w:sz w:val="48"/>
                                <w:szCs w:val="48"/>
                              </w:rPr>
                              <w:br/>
                            </w:r>
                            <w:r w:rsidRPr="00464BAC">
                              <w:rPr>
                                <w:color w:val="1B556B" w:themeColor="text2"/>
                                <w:sz w:val="48"/>
                                <w:szCs w:val="48"/>
                              </w:rPr>
                              <w:t>Moving to the new system</w:t>
                            </w:r>
                          </w:p>
                          <w:p w14:paraId="0FFE03BE" w14:textId="79314467" w:rsidR="00B349E3" w:rsidRPr="00EC0B89" w:rsidRDefault="00D3171B" w:rsidP="00296A94">
                            <w:pPr>
                              <w:pStyle w:val="Subtitle"/>
                              <w:rPr>
                                <w:color w:val="1B556B" w:themeColor="text2"/>
                                <w:sz w:val="48"/>
                                <w:szCs w:val="48"/>
                              </w:rPr>
                            </w:pPr>
                            <w:r>
                              <w:rPr>
                                <w:color w:val="1B556B" w:themeColor="text2"/>
                                <w:sz w:val="48"/>
                                <w:szCs w:val="48"/>
                              </w:rPr>
                              <w:t xml:space="preserve"> </w:t>
                            </w:r>
                          </w:p>
                        </w:txbxContent>
                      </wps:txbx>
                      <wps:bodyPr rot="0" spcFirstLastPara="0" vertOverflow="overflow" horzOverflow="overflow" vert="horz" wrap="square" lIns="36000" tIns="72000" rIns="0" bIns="54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9299" id="_x0000_t202" coordsize="21600,21600" o:spt="202" path="m,l,21600r21600,l21600,xe">
                <v:stroke joinstyle="miter"/>
                <v:path gradientshapeok="t" o:connecttype="rect"/>
              </v:shapetype>
              <v:shape id="Text Box 6" o:spid="_x0000_s1026" type="#_x0000_t202" style="position:absolute;margin-left:-3.9pt;margin-top:88.3pt;width:457.3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" filled="f" stroked="f" strokeweight=".5pt">
                <v:textbox inset="1mm,2mm,0,15mm">
                  <w:txbxContent>
                    <w:p w14:paraId="3F1B8C50" w14:textId="19E2A4CF" w:rsidR="00ED680D" w:rsidRDefault="00ED680D" w:rsidP="00D3171B">
                      <w:pPr>
                        <w:pStyle w:val="Subtitle"/>
                        <w:rPr>
                          <w:color w:val="2C9986" w:themeColor="accent4"/>
                          <w:sz w:val="48"/>
                          <w:szCs w:val="48"/>
                        </w:rPr>
                      </w:pPr>
                      <w:r w:rsidRPr="00ED680D">
                        <w:rPr>
                          <w:color w:val="2C9986" w:themeColor="accent4"/>
                          <w:sz w:val="48"/>
                          <w:szCs w:val="48"/>
                        </w:rPr>
                        <w:t xml:space="preserve">Ngā mahere pāmu wai māori: </w:t>
                      </w:r>
                      <w:r>
                        <w:rPr>
                          <w:color w:val="2C9986" w:themeColor="accent4"/>
                          <w:sz w:val="48"/>
                          <w:szCs w:val="48"/>
                        </w:rPr>
                        <w:br/>
                      </w:r>
                      <w:r w:rsidRPr="00ED680D">
                        <w:rPr>
                          <w:color w:val="2C9986" w:themeColor="accent4"/>
                          <w:sz w:val="48"/>
                          <w:szCs w:val="48"/>
                        </w:rPr>
                        <w:t>Te neke ki te pūnaha hou</w:t>
                      </w:r>
                    </w:p>
                    <w:p w14:paraId="5B4174F8" w14:textId="302CBB56" w:rsidR="00D3171B" w:rsidRPr="00EC0B89" w:rsidRDefault="00464BAC" w:rsidP="00D3171B">
                      <w:pPr>
                        <w:pStyle w:val="Subtitle"/>
                        <w:rPr>
                          <w:color w:val="1B556B" w:themeColor="text2"/>
                          <w:sz w:val="48"/>
                          <w:szCs w:val="48"/>
                        </w:rPr>
                      </w:pPr>
                      <w:r w:rsidRPr="00464BAC">
                        <w:rPr>
                          <w:color w:val="1B556B" w:themeColor="text2"/>
                          <w:sz w:val="48"/>
                          <w:szCs w:val="48"/>
                        </w:rPr>
                        <w:t xml:space="preserve">Freshwater farm plans: </w:t>
                      </w:r>
                      <w:r w:rsidR="00364F79">
                        <w:rPr>
                          <w:color w:val="1B556B" w:themeColor="text2"/>
                          <w:sz w:val="48"/>
                          <w:szCs w:val="48"/>
                        </w:rPr>
                        <w:br/>
                      </w:r>
                      <w:r w:rsidRPr="00464BAC">
                        <w:rPr>
                          <w:color w:val="1B556B" w:themeColor="text2"/>
                          <w:sz w:val="48"/>
                          <w:szCs w:val="48"/>
                        </w:rPr>
                        <w:t>Moving to the new system</w:t>
                      </w:r>
                    </w:p>
                    <w:p w14:paraId="0FFE03BE" w14:textId="79314467" w:rsidR="00B349E3" w:rsidRPr="00EC0B89" w:rsidRDefault="00D3171B" w:rsidP="00296A94">
                      <w:pPr>
                        <w:pStyle w:val="Subtitle"/>
                        <w:rPr>
                          <w:color w:val="1B556B" w:themeColor="text2"/>
                          <w:sz w:val="48"/>
                          <w:szCs w:val="48"/>
                        </w:rPr>
                      </w:pPr>
                      <w:r>
                        <w:rPr>
                          <w:color w:val="1B556B" w:themeColor="text2"/>
                          <w:sz w:val="48"/>
                          <w:szCs w:val="48"/>
                        </w:rPr>
                        <w:t xml:space="preserve"> </w:t>
                      </w:r>
                    </w:p>
                  </w:txbxContent>
                </v:textbox>
                <w10:wrap type="topAndBottom"/>
              </v:shape>
            </w:pict>
          </mc:Fallback>
        </mc:AlternateContent>
      </w:r>
      <w:r w:rsidR="00721893">
        <w:rPr>
          <w:noProof/>
        </w:rPr>
        <mc:AlternateContent>
          <mc:Choice Requires="wps">
            <w:drawing>
              <wp:anchor distT="45720" distB="45720" distL="114300" distR="114300" simplePos="0" relativeHeight="251658243" behindDoc="0" locked="0" layoutInCell="1" allowOverlap="1" wp14:anchorId="4DEC8DBD" wp14:editId="0F6E427D">
                <wp:simplePos x="0" y="0"/>
                <wp:positionH relativeFrom="column">
                  <wp:posOffset>3693779</wp:posOffset>
                </wp:positionH>
                <wp:positionV relativeFrom="page">
                  <wp:posOffset>349250</wp:posOffset>
                </wp:positionV>
                <wp:extent cx="2408555" cy="7124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712470"/>
                        </a:xfrm>
                        <a:prstGeom prst="rect">
                          <a:avLst/>
                        </a:prstGeom>
                        <a:noFill/>
                        <a:ln w="9525">
                          <a:noFill/>
                          <a:miter lim="800000"/>
                          <a:headEnd/>
                          <a:tailEnd/>
                        </a:ln>
                      </wps:spPr>
                      <wps:txb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C8DBD" id="Text Box 217" o:spid="_x0000_s1027" type="#_x0000_t202" style="position:absolute;margin-left:290.85pt;margin-top:27.5pt;width:189.65pt;height:56.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" filled="f" stroked="f">
                <v:textbox>
                  <w:txbxContent>
                    <w:p w14:paraId="3D10EA6F" w14:textId="20C7C496" w:rsidR="007A383E" w:rsidRPr="00721893" w:rsidRDefault="007A383E" w:rsidP="00DA500C">
                      <w:pPr>
                        <w:pStyle w:val="Headerinfo"/>
                        <w:rPr>
                          <w:b/>
                        </w:rPr>
                      </w:pPr>
                      <w:r w:rsidRPr="00721893">
                        <w:t>The new resource management system:</w:t>
                      </w:r>
                      <w:r w:rsidRPr="00721893">
                        <w:br/>
                        <w:t>Natural and Built Environment Act</w:t>
                      </w:r>
                      <w:r w:rsidR="00570FC0">
                        <w:t xml:space="preserve"> 2023</w:t>
                      </w:r>
                      <w:r w:rsidRPr="00721893">
                        <w:br/>
                        <w:t>and Spatial Planning Act 2023</w:t>
                      </w:r>
                    </w:p>
                    <w:p w14:paraId="4CFE7685" w14:textId="77777777" w:rsidR="007A383E" w:rsidRDefault="007A383E" w:rsidP="007A383E"/>
                  </w:txbxContent>
                </v:textbox>
                <w10:wrap type="square" anchory="page"/>
              </v:shape>
            </w:pict>
          </mc:Fallback>
        </mc:AlternateContent>
      </w:r>
      <w:r w:rsidR="005C7862">
        <w:rPr>
          <w:rFonts w:asciiTheme="minorHAnsi" w:hAnsiTheme="minorHAnsi" w:cstheme="minorHAnsi"/>
          <w:noProof/>
          <w:color w:val="FFFFFF" w:themeColor="background1"/>
        </w:rPr>
        <w:drawing>
          <wp:anchor distT="0" distB="0" distL="114300" distR="114300" simplePos="0" relativeHeight="251658242" behindDoc="1" locked="0" layoutInCell="1" allowOverlap="1" wp14:anchorId="4EB9157D" wp14:editId="0B08B977">
            <wp:simplePos x="0" y="0"/>
            <wp:positionH relativeFrom="page">
              <wp:posOffset>8115</wp:posOffset>
            </wp:positionH>
            <wp:positionV relativeFrom="paragraph">
              <wp:posOffset>-737080</wp:posOffset>
            </wp:positionV>
            <wp:extent cx="7543165" cy="1352550"/>
            <wp:effectExtent l="0" t="0" r="635"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7543165"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07B29" w14:textId="722589A1" w:rsidR="00371DA6" w:rsidRDefault="00371DA6" w:rsidP="00371DA6">
      <w:pPr>
        <w:pStyle w:val="BodyText"/>
      </w:pPr>
      <w:r>
        <w:t>New laws are being phased in that aim to help Aotearoa New Zealand protect and manage the environment and its resources. The Spatial Planning Act 2023 (SPA) and the Natural and Built Environment Act 2023 (NBA) were enacted on 23 August 2023.</w:t>
      </w:r>
      <w:r w:rsidR="00922F9B">
        <w:rPr>
          <w:rStyle w:val="FootnoteReference"/>
        </w:rPr>
        <w:footnoteReference w:id="2"/>
      </w:r>
    </w:p>
    <w:p w14:paraId="2A018D4B" w14:textId="77777777" w:rsidR="00371DA6" w:rsidRDefault="00371DA6" w:rsidP="00371DA6">
      <w:pPr>
        <w:pStyle w:val="Heading2"/>
      </w:pPr>
      <w:r>
        <w:t>This fact sheet covers:</w:t>
      </w:r>
    </w:p>
    <w:p w14:paraId="18962EF8" w14:textId="0C34C1FB" w:rsidR="00371DA6" w:rsidRDefault="00371DA6" w:rsidP="00371DA6">
      <w:pPr>
        <w:pStyle w:val="Bullet"/>
        <w:spacing w:before="120"/>
      </w:pPr>
      <w:r>
        <w:t>what is a freshwater farm plan</w:t>
      </w:r>
    </w:p>
    <w:p w14:paraId="5494A6D3" w14:textId="7D0D28DB" w:rsidR="00371DA6" w:rsidRDefault="00371DA6" w:rsidP="00371DA6">
      <w:pPr>
        <w:pStyle w:val="Bullet"/>
      </w:pPr>
      <w:r>
        <w:t>freshwater farm plans during the transition to the new system</w:t>
      </w:r>
    </w:p>
    <w:p w14:paraId="28F1690C" w14:textId="0213C93C" w:rsidR="007A5E15" w:rsidRDefault="00371DA6" w:rsidP="00371DA6">
      <w:pPr>
        <w:pStyle w:val="Bullet"/>
      </w:pPr>
      <w:r>
        <w:t>freshwater farm plans from a region’s NBEA date.</w:t>
      </w:r>
    </w:p>
    <w:p w14:paraId="372F7F93" w14:textId="77777777" w:rsidR="0038229B" w:rsidRDefault="0038229B" w:rsidP="0038229B">
      <w:pPr>
        <w:pStyle w:val="Heading2"/>
      </w:pPr>
      <w:r>
        <w:t>What is a freshwater farm plan?</w:t>
      </w:r>
    </w:p>
    <w:p w14:paraId="343DF57B" w14:textId="77777777" w:rsidR="0038229B" w:rsidRDefault="0038229B" w:rsidP="0038229B">
      <w:pPr>
        <w:pStyle w:val="BodyText"/>
      </w:pPr>
      <w:r>
        <w:t>Freshwater farm plans aim to reduce the impact of farming on freshwater and freshwater ecosystems in specific districts, regions, or parts of Aotearoa.</w:t>
      </w:r>
      <w:r>
        <w:rPr>
          <w:rStyle w:val="FootnoteReference"/>
        </w:rPr>
        <w:footnoteReference w:id="3"/>
      </w:r>
    </w:p>
    <w:p w14:paraId="347AA457" w14:textId="1FE51B92" w:rsidR="00501011" w:rsidRDefault="0038229B" w:rsidP="00F5746A">
      <w:pPr>
        <w:pStyle w:val="BodyText"/>
      </w:pPr>
      <w:r>
        <w:t xml:space="preserve">The Resource Management Act 1991 (RMA) specifies the areas where </w:t>
      </w:r>
      <w:r w:rsidR="5D42987F">
        <w:t xml:space="preserve">freshwater farm </w:t>
      </w:r>
      <w:r>
        <w:t>plans are required, using an Order in Council.</w:t>
      </w:r>
      <w:r>
        <w:rPr>
          <w:rStyle w:val="FootnoteReference"/>
        </w:rPr>
        <w:footnoteReference w:id="4"/>
      </w:r>
      <w:r>
        <w:t xml:space="preserve"> If there’s no Order in Council in place for your area, you don’t need to have a freshwater farm plan.</w:t>
      </w:r>
    </w:p>
    <w:p w14:paraId="0EBF6193" w14:textId="5FFF6B01" w:rsidR="00501011" w:rsidRDefault="00501011" w:rsidP="00F5746A">
      <w:pPr>
        <w:pStyle w:val="BodyText"/>
        <w:sectPr w:rsidR="00501011" w:rsidSect="0038229B">
          <w:footerReference w:type="even" r:id="rId13"/>
          <w:footerReference w:type="default" r:id="rId14"/>
          <w:footerReference w:type="first" r:id="rId15"/>
          <w:pgSz w:w="11907" w:h="16840" w:code="9"/>
          <w:pgMar w:top="1134" w:right="1418" w:bottom="2835" w:left="1418" w:header="573" w:footer="726" w:gutter="0"/>
          <w:cols w:space="720"/>
          <w:titlePg/>
          <w:docGrid w:linePitch="299"/>
        </w:sectPr>
      </w:pPr>
    </w:p>
    <w:p w14:paraId="49CB70E6" w14:textId="26173469" w:rsidR="00344709" w:rsidRPr="007A2A9D" w:rsidRDefault="00344709" w:rsidP="00344709">
      <w:pPr>
        <w:pStyle w:val="BodyText"/>
        <w:rPr>
          <w:spacing w:val="-2"/>
        </w:rPr>
      </w:pPr>
      <w:r w:rsidRPr="007A2A9D">
        <w:rPr>
          <w:spacing w:val="-2"/>
        </w:rPr>
        <w:lastRenderedPageBreak/>
        <w:t>Details such as the size of farms that must have a freshwater farm plan, plan contents, and auditing arrangements, are set out in the RMA</w:t>
      </w:r>
      <w:r w:rsidR="009E0BEC" w:rsidRPr="007A2A9D">
        <w:rPr>
          <w:rStyle w:val="FootnoteReference"/>
          <w:spacing w:val="-2"/>
        </w:rPr>
        <w:footnoteReference w:id="5"/>
      </w:r>
      <w:r w:rsidRPr="007A2A9D">
        <w:rPr>
          <w:spacing w:val="-2"/>
        </w:rPr>
        <w:t xml:space="preserve"> and the NBA.</w:t>
      </w:r>
      <w:r w:rsidR="00237B3B" w:rsidRPr="007A2A9D">
        <w:rPr>
          <w:rStyle w:val="FootnoteReference"/>
          <w:spacing w:val="-2"/>
        </w:rPr>
        <w:footnoteReference w:id="6"/>
      </w:r>
      <w:r w:rsidRPr="007A2A9D">
        <w:rPr>
          <w:spacing w:val="-2"/>
        </w:rPr>
        <w:t xml:space="preserve"> The details are essentially the same in both Acts. </w:t>
      </w:r>
    </w:p>
    <w:p w14:paraId="1CB701D9" w14:textId="17CFF708" w:rsidR="00344709" w:rsidRDefault="00344709" w:rsidP="00344709">
      <w:pPr>
        <w:pStyle w:val="BodyText"/>
      </w:pPr>
      <w:r>
        <w:t xml:space="preserve">For more information about </w:t>
      </w:r>
      <w:r w:rsidR="79ED1447">
        <w:t>these details</w:t>
      </w:r>
      <w:r>
        <w:t xml:space="preserve">, see </w:t>
      </w:r>
      <w:hyperlink r:id="rId16">
        <w:r w:rsidRPr="1DB1FEBA">
          <w:rPr>
            <w:rStyle w:val="Hyperlink"/>
          </w:rPr>
          <w:t>Freshwater farm plans</w:t>
        </w:r>
      </w:hyperlink>
      <w:r>
        <w:t>.</w:t>
      </w:r>
    </w:p>
    <w:p w14:paraId="33CE9097" w14:textId="569F87E5" w:rsidR="00344709" w:rsidRDefault="00344709" w:rsidP="001D1077">
      <w:pPr>
        <w:pStyle w:val="Heading2"/>
      </w:pPr>
      <w:r>
        <w:t>Freshwater farm plans during the transition to the new</w:t>
      </w:r>
      <w:r w:rsidR="007A2A9D">
        <w:t> </w:t>
      </w:r>
      <w:r>
        <w:t>system</w:t>
      </w:r>
    </w:p>
    <w:p w14:paraId="168DB185" w14:textId="77777777" w:rsidR="00344709" w:rsidRDefault="00344709" w:rsidP="00344709">
      <w:pPr>
        <w:pStyle w:val="BodyText"/>
      </w:pPr>
      <w:r>
        <w:t xml:space="preserve">The RMA’s provisions will continue to apply up until a region’s NBEA date. This is the date 10 working days after a regional planning committee (RPC) has notified the decisions version of its first NBE plan. </w:t>
      </w:r>
    </w:p>
    <w:p w14:paraId="54E00BCA" w14:textId="77777777" w:rsidR="00344709" w:rsidRDefault="00344709" w:rsidP="00344709">
      <w:pPr>
        <w:pStyle w:val="BodyText"/>
      </w:pPr>
      <w:r>
        <w:t>From that date, the NBA provisions apply.</w:t>
      </w:r>
    </w:p>
    <w:p w14:paraId="21D9FCF3" w14:textId="77777777" w:rsidR="00344709" w:rsidRDefault="00344709" w:rsidP="001D1077">
      <w:pPr>
        <w:pStyle w:val="Heading2"/>
      </w:pPr>
      <w:r>
        <w:t>Freshwater farm plans from a region’s NBEA date</w:t>
      </w:r>
    </w:p>
    <w:p w14:paraId="42C9BC09" w14:textId="77777777" w:rsidR="00344709" w:rsidRDefault="00344709" w:rsidP="00344709">
      <w:pPr>
        <w:pStyle w:val="BodyText"/>
      </w:pPr>
      <w:r>
        <w:t xml:space="preserve">Provisions to transition freshwater farm plans from the RMA into the new system are in Schedule 1 (subpart 13) of the NBA. </w:t>
      </w:r>
    </w:p>
    <w:p w14:paraId="503F833B" w14:textId="77777777" w:rsidR="00344709" w:rsidRDefault="00344709" w:rsidP="00344709">
      <w:pPr>
        <w:pStyle w:val="BodyText"/>
      </w:pPr>
      <w:r>
        <w:t>From each region’s NBEA date:</w:t>
      </w:r>
    </w:p>
    <w:p w14:paraId="2F9A3FBB" w14:textId="52DE5C4A" w:rsidR="00344709" w:rsidRDefault="00344709" w:rsidP="001D1077">
      <w:pPr>
        <w:pStyle w:val="Bullet"/>
      </w:pPr>
      <w:r>
        <w:t>existing RMA Orders in Council will continue to apply</w:t>
      </w:r>
      <w:r w:rsidR="007E4579">
        <w:rPr>
          <w:rStyle w:val="FootnoteReference"/>
        </w:rPr>
        <w:footnoteReference w:id="7"/>
      </w:r>
    </w:p>
    <w:p w14:paraId="4B8BC5D8" w14:textId="4F4F41B7" w:rsidR="00344709" w:rsidRDefault="00344709" w:rsidP="001D1077">
      <w:pPr>
        <w:pStyle w:val="Bullet"/>
      </w:pPr>
      <w:r>
        <w:t>existing freshwater farm plans will still be valid (any plan certified under the RMA is treated as certified under the NBA</w:t>
      </w:r>
      <w:r w:rsidR="00F20E7A">
        <w:rPr>
          <w:rStyle w:val="FootnoteReference"/>
        </w:rPr>
        <w:footnoteReference w:id="8"/>
      </w:r>
      <w:r>
        <w:t>)</w:t>
      </w:r>
    </w:p>
    <w:p w14:paraId="4C31D24C" w14:textId="1BE99627" w:rsidR="00344709" w:rsidRDefault="00344709" w:rsidP="001D1077">
      <w:pPr>
        <w:pStyle w:val="Bullet"/>
      </w:pPr>
      <w:r>
        <w:t>freshwater farm plan certifiers and auditors appointed by regional councils under the RMA will be recognised as if they were appointed under the NBA.</w:t>
      </w:r>
      <w:r w:rsidR="00425F76">
        <w:rPr>
          <w:rStyle w:val="FootnoteReference"/>
        </w:rPr>
        <w:footnoteReference w:id="9"/>
      </w:r>
    </w:p>
    <w:p w14:paraId="587D91C8" w14:textId="3CC7B53A" w:rsidR="00344709" w:rsidRDefault="00344709" w:rsidP="00344709">
      <w:pPr>
        <w:pStyle w:val="BodyText"/>
      </w:pPr>
      <w:r>
        <w:t>As under the RMA, under the NBA an Order in Council will be needed to require new freshwater farm plans in specific regions or in part of a region.</w:t>
      </w:r>
      <w:r w:rsidR="0038229B">
        <w:rPr>
          <w:rStyle w:val="FootnoteReference"/>
        </w:rPr>
        <w:footnoteReference w:id="10"/>
      </w:r>
    </w:p>
    <w:p w14:paraId="644E7A79" w14:textId="77777777" w:rsidR="00344709" w:rsidRDefault="00344709" w:rsidP="00344709">
      <w:pPr>
        <w:pStyle w:val="BodyText"/>
      </w:pPr>
      <w:r>
        <w:t xml:space="preserve">The Part 9A RMA provisions relating to freshwater farm plans will be repealed at a future date through an Order in Council. </w:t>
      </w:r>
    </w:p>
    <w:p w14:paraId="526B4C91" w14:textId="77777777" w:rsidR="00344709" w:rsidRDefault="00344709" w:rsidP="00344709">
      <w:pPr>
        <w:pStyle w:val="BodyText"/>
      </w:pPr>
    </w:p>
    <w:p w14:paraId="67748965" w14:textId="3EF8308C" w:rsidR="00344709" w:rsidRDefault="00344709" w:rsidP="00344709">
      <w:pPr>
        <w:pStyle w:val="BodyText"/>
      </w:pPr>
      <w:r>
        <w:br w:type="page"/>
      </w:r>
    </w:p>
    <w:p w14:paraId="6FC6E505" w14:textId="77777777" w:rsidR="00FA0C86" w:rsidRDefault="006239DF" w:rsidP="00D1660E">
      <w:pPr>
        <w:pStyle w:val="BodyText"/>
      </w:pPr>
      <w:r>
        <w:rPr>
          <w:noProof/>
        </w:rPr>
        <w:lastRenderedPageBreak/>
        <mc:AlternateContent>
          <mc:Choice Requires="wps">
            <w:drawing>
              <wp:anchor distT="0" distB="0" distL="114300" distR="114300" simplePos="0" relativeHeight="251658241" behindDoc="0" locked="1" layoutInCell="1" allowOverlap="1" wp14:anchorId="321757F2" wp14:editId="26458E47">
                <wp:simplePos x="0" y="0"/>
                <wp:positionH relativeFrom="column">
                  <wp:posOffset>-16510</wp:posOffset>
                </wp:positionH>
                <wp:positionV relativeFrom="page">
                  <wp:posOffset>6496050</wp:posOffset>
                </wp:positionV>
                <wp:extent cx="5835650" cy="399415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835650" cy="399415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tcBorders>
                                    <w:bottom w:val="none" w:sz="0" w:space="0" w:color="auto"/>
                                  </w:tcBorders>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The information provided has no official status and so does not alter the laws of New Zealand, other official guidelines or requirements.</w:t>
                                  </w:r>
                                </w:p>
                                <w:p w14:paraId="74323367" w14:textId="77777777" w:rsidR="006E7652" w:rsidRDefault="006E7652" w:rsidP="006E7652">
                                  <w:pPr>
                                    <w:pStyle w:val="TableText"/>
                                  </w:pPr>
                                  <w:r>
                                    <w:t>• It does not constitute legal advice, and users should take specific advice from qualified professionals before taking any action as a result of information obtained from this publication.</w:t>
                                  </w:r>
                                </w:p>
                                <w:p w14:paraId="44EAE550" w14:textId="77777777" w:rsidR="006E7652" w:rsidRDefault="006E7652" w:rsidP="006E7652">
                                  <w:pPr>
                                    <w:pStyle w:val="TableText"/>
                                  </w:pPr>
                                  <w:r>
                                    <w:t>• 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All references to websites, organisations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6FA1D5C5" w:rsidR="006239DF" w:rsidRDefault="006239DF" w:rsidP="003A6769">
                                  <w:pPr>
                                    <w:pStyle w:val="TableText"/>
                                  </w:pPr>
                                  <w:r w:rsidRPr="006C18C8">
                                    <w:t xml:space="preserve">Published in </w:t>
                                  </w:r>
                                  <w:r w:rsidR="00564AA0">
                                    <w:t xml:space="preserve">October </w:t>
                                  </w:r>
                                  <w:r w:rsidR="00364F79">
                                    <w:t>2023</w:t>
                                  </w:r>
                                  <w:r w:rsidRPr="006C18C8">
                                    <w:t xml:space="preserve"> by the </w:t>
                                  </w:r>
                                  <w:r w:rsidRPr="006C18C8">
                                    <w:br/>
                                    <w:t>Ministry for the Environment – Manatū Mō Te Taiao</w:t>
                                  </w:r>
                                  <w:r w:rsidRPr="006C18C8">
                                    <w:br/>
                                    <w:t xml:space="preserve">Publication number: INFO </w:t>
                                  </w:r>
                                  <w:r w:rsidR="00364F79">
                                    <w:t>1189</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57F2" id="Text Box 1" o:spid="_x0000_s1028" type="#_x0000_t202" style="position:absolute;margin-left:-1.3pt;margin-top:511.5pt;width:459.5pt;height:3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6"/>
                        <w:gridCol w:w="3579"/>
                      </w:tblGrid>
                      <w:tr w:rsidR="006E7652" w14:paraId="6823FB2C" w14:textId="77777777" w:rsidTr="00C83A03">
                        <w:trPr>
                          <w:cnfStyle w:val="100000000000" w:firstRow="1" w:lastRow="0" w:firstColumn="0" w:lastColumn="0" w:oddVBand="0" w:evenVBand="0" w:oddHBand="0" w:evenHBand="0" w:firstRowFirstColumn="0" w:firstRowLastColumn="0" w:lastRowFirstColumn="0" w:lastRowLastColumn="0"/>
                        </w:trPr>
                        <w:tc>
                          <w:tcPr>
                            <w:tcW w:w="9185" w:type="dxa"/>
                            <w:gridSpan w:val="2"/>
                            <w:tcBorders>
                              <w:bottom w:val="none" w:sz="0" w:space="0" w:color="auto"/>
                            </w:tcBorders>
                            <w:shd w:val="clear" w:color="auto" w:fill="FFFFFF" w:themeFill="background1"/>
                          </w:tcPr>
                          <w:p w14:paraId="0B9F1479" w14:textId="77777777" w:rsidR="006E7652" w:rsidRPr="0002270C" w:rsidRDefault="006E7652" w:rsidP="006E7652">
                            <w:pPr>
                              <w:pStyle w:val="TableText"/>
                              <w:rPr>
                                <w:b/>
                                <w:bCs/>
                              </w:rPr>
                            </w:pPr>
                            <w:r w:rsidRPr="0002270C">
                              <w:rPr>
                                <w:b/>
                                <w:bCs/>
                              </w:rPr>
                              <w:t>Disclaimer</w:t>
                            </w:r>
                          </w:p>
                          <w:p w14:paraId="70E1263E" w14:textId="77777777" w:rsidR="006E7652" w:rsidRDefault="006E7652" w:rsidP="006E7652">
                            <w:pPr>
                              <w:pStyle w:val="TableText"/>
                            </w:pPr>
                            <w:r>
                              <w:t>The information in this publication is, according to the Ministry for the Environment’s best efforts, accurate at the time of publication. The Ministry will make every reasonable effort to keep it current and accurate. However, users of this publication are advised that:</w:t>
                            </w:r>
                          </w:p>
                          <w:p w14:paraId="088512E3" w14:textId="77777777" w:rsidR="006E7652" w:rsidRDefault="006E7652" w:rsidP="006E7652">
                            <w:pPr>
                              <w:pStyle w:val="TableText"/>
                            </w:pPr>
                            <w:r>
                              <w:t>• The information provided has no official status and so does not alter the laws of New Zealand, other official guidelines or requirements.</w:t>
                            </w:r>
                          </w:p>
                          <w:p w14:paraId="74323367" w14:textId="77777777" w:rsidR="006E7652" w:rsidRDefault="006E7652" w:rsidP="006E7652">
                            <w:pPr>
                              <w:pStyle w:val="TableText"/>
                            </w:pPr>
                            <w:r>
                              <w:t>• It does not constitute legal advice, and users should take specific advice from qualified professionals before taking any action as a result of information obtained from this publication.</w:t>
                            </w:r>
                          </w:p>
                          <w:p w14:paraId="44EAE550" w14:textId="77777777" w:rsidR="006E7652" w:rsidRDefault="006E7652" w:rsidP="006E7652">
                            <w:pPr>
                              <w:pStyle w:val="TableText"/>
                            </w:pPr>
                            <w:r>
                              <w:t>• The Ministry for the Environment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provided in this publication.</w:t>
                            </w:r>
                          </w:p>
                          <w:p w14:paraId="026C0150" w14:textId="77777777" w:rsidR="006E7652" w:rsidRDefault="006E7652" w:rsidP="006E7652">
                            <w:pPr>
                              <w:pStyle w:val="TableText"/>
                            </w:pPr>
                            <w:r>
                              <w:t>• All references to websites, organisations or people not within the Ministry for the Environment are provided for convenience only and should not be taken as endorsement of those websites or information contained in those websites nor of organisations or people referred to.</w:t>
                            </w:r>
                          </w:p>
                          <w:p w14:paraId="1F0A45C9" w14:textId="77777777" w:rsidR="006E7652" w:rsidRDefault="006E7652" w:rsidP="001B6610">
                            <w:pPr>
                              <w:pStyle w:val="Footer"/>
                              <w:rPr>
                                <w:noProof/>
                              </w:rPr>
                            </w:pPr>
                          </w:p>
                        </w:tc>
                      </w:tr>
                      <w:tr w:rsidR="006239DF" w14:paraId="23D3A417" w14:textId="77777777" w:rsidTr="00E85357">
                        <w:tc>
                          <w:tcPr>
                            <w:tcW w:w="5606" w:type="dxa"/>
                            <w:tcBorders>
                              <w:bottom w:val="single" w:sz="6" w:space="0" w:color="auto"/>
                            </w:tcBorders>
                            <w:shd w:val="clear" w:color="auto" w:fill="FFFFFF" w:themeFill="background1"/>
                          </w:tcPr>
                          <w:p w14:paraId="3639332A" w14:textId="6FA1D5C5" w:rsidR="006239DF" w:rsidRDefault="006239DF" w:rsidP="003A6769">
                            <w:pPr>
                              <w:pStyle w:val="TableText"/>
                            </w:pPr>
                            <w:r w:rsidRPr="006C18C8">
                              <w:t xml:space="preserve">Published in </w:t>
                            </w:r>
                            <w:r w:rsidR="00564AA0">
                              <w:t xml:space="preserve">October </w:t>
                            </w:r>
                            <w:r w:rsidR="00364F79">
                              <w:t>2023</w:t>
                            </w:r>
                            <w:r w:rsidRPr="006C18C8">
                              <w:t xml:space="preserve"> by the </w:t>
                            </w:r>
                            <w:r w:rsidRPr="006C18C8">
                              <w:br/>
                              <w:t>Ministry for the Environment – Manatū Mō Te Taiao</w:t>
                            </w:r>
                            <w:r w:rsidRPr="006C18C8">
                              <w:br/>
                              <w:t xml:space="preserve">Publication number: INFO </w:t>
                            </w:r>
                            <w:r w:rsidR="00364F79">
                              <w:t>1189</w:t>
                            </w:r>
                          </w:p>
                        </w:tc>
                        <w:tc>
                          <w:tcPr>
                            <w:tcW w:w="3579" w:type="dxa"/>
                            <w:tcBorders>
                              <w:bottom w:val="single" w:sz="6" w:space="0" w:color="auto"/>
                            </w:tcBorders>
                            <w:shd w:val="clear" w:color="auto" w:fill="FFFFFF" w:themeFill="background1"/>
                            <w:tcMar>
                              <w:left w:w="0" w:type="dxa"/>
                              <w:right w:w="0" w:type="dxa"/>
                            </w:tcMar>
                            <w:vAlign w:val="bottom"/>
                          </w:tcPr>
                          <w:p w14:paraId="4B6CB11E" w14:textId="77777777" w:rsidR="006239DF" w:rsidRDefault="006239DF" w:rsidP="00E57601">
                            <w:pPr>
                              <w:pStyle w:val="Footer"/>
                              <w:jc w:val="right"/>
                            </w:pPr>
                            <w:r>
                              <w:rPr>
                                <w:noProof/>
                              </w:rPr>
                              <w:drawing>
                                <wp:inline distT="0" distB="0" distL="0" distR="0" wp14:anchorId="441B26E1" wp14:editId="60AF7109">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94AD82E"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F55E2E">
      <w:footerReference w:type="first" r:id="rId18"/>
      <w:pgSz w:w="11907" w:h="16840" w:code="9"/>
      <w:pgMar w:top="1134" w:right="1418" w:bottom="1134" w:left="1418" w:header="567" w:footer="7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5923" w14:textId="77777777" w:rsidR="004D6442" w:rsidRDefault="004D6442" w:rsidP="0080531E">
      <w:pPr>
        <w:spacing w:before="0" w:after="0" w:line="240" w:lineRule="auto"/>
      </w:pPr>
      <w:r>
        <w:separator/>
      </w:r>
    </w:p>
    <w:p w14:paraId="04006B89" w14:textId="77777777" w:rsidR="004D6442" w:rsidRDefault="004D6442"/>
  </w:endnote>
  <w:endnote w:type="continuationSeparator" w:id="0">
    <w:p w14:paraId="2C913C52" w14:textId="77777777" w:rsidR="004D6442" w:rsidRDefault="004D6442" w:rsidP="0080531E">
      <w:pPr>
        <w:spacing w:before="0" w:after="0" w:line="240" w:lineRule="auto"/>
      </w:pPr>
      <w:r>
        <w:continuationSeparator/>
      </w:r>
    </w:p>
    <w:p w14:paraId="5AC3D9E6" w14:textId="77777777" w:rsidR="004D6442" w:rsidRDefault="004D6442"/>
  </w:endnote>
  <w:endnote w:type="continuationNotice" w:id="1">
    <w:p w14:paraId="43F09AFE" w14:textId="77777777" w:rsidR="004D6442" w:rsidRDefault="004D64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E718" w14:textId="0AA5DA2C"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344709" w:rsidRPr="00344709">
      <w:t>Freshwater farm plans: Moving to the new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1E4A" w14:textId="6A76469E" w:rsidR="006C18C8" w:rsidRPr="005E24DE" w:rsidRDefault="005E24DE" w:rsidP="00344709">
    <w:pPr>
      <w:tabs>
        <w:tab w:val="right" w:pos="8505"/>
        <w:tab w:val="right" w:pos="9071"/>
      </w:tabs>
      <w:jc w:val="left"/>
      <w:rPr>
        <w:sz w:val="16"/>
      </w:rPr>
    </w:pPr>
    <w:r w:rsidRPr="005E24DE">
      <w:rPr>
        <w:sz w:val="16"/>
      </w:rPr>
      <w:tab/>
    </w:r>
    <w:r w:rsidR="00344709" w:rsidRPr="00344709">
      <w:rPr>
        <w:sz w:val="16"/>
      </w:rPr>
      <w:t>Freshwater farm plans: Moving to the new system</w:t>
    </w:r>
    <w:r w:rsidRPr="005E24DE">
      <w:rPr>
        <w:sz w:val="16"/>
      </w:rPr>
      <w:tab/>
    </w:r>
    <w:r w:rsidRPr="005E24DE">
      <w:rPr>
        <w:sz w:val="16"/>
      </w:rPr>
      <w:fldChar w:fldCharType="begin"/>
    </w:r>
    <w:r w:rsidRPr="005E24DE">
      <w:rPr>
        <w:sz w:val="16"/>
      </w:rPr>
      <w:instrText xml:space="preserve"> PAGE   \* MERGEFORMAT </w:instrText>
    </w:r>
    <w:r w:rsidRPr="005E24DE">
      <w:rPr>
        <w:sz w:val="16"/>
      </w:rPr>
      <w:fldChar w:fldCharType="separate"/>
    </w:r>
    <w:r w:rsidRPr="005E24DE">
      <w:rPr>
        <w:sz w:val="16"/>
      </w:rPr>
      <w:t>3</w:t>
    </w:r>
    <w:r w:rsidRPr="005E24DE">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A31F" w14:textId="4A18B932" w:rsidR="0085118C" w:rsidRDefault="00501011" w:rsidP="0085118C">
    <w:pPr>
      <w:pStyle w:val="Footerodd"/>
    </w:pPr>
    <w:r w:rsidRPr="00487ED4">
      <w:rPr>
        <w:noProof/>
        <w:sz w:val="20"/>
        <w:szCs w:val="20"/>
      </w:rPr>
      <w:drawing>
        <wp:anchor distT="0" distB="0" distL="114300" distR="114300" simplePos="0" relativeHeight="251658240" behindDoc="1" locked="0" layoutInCell="1" allowOverlap="1" wp14:anchorId="318599F8" wp14:editId="4106170B">
          <wp:simplePos x="0" y="0"/>
          <wp:positionH relativeFrom="column">
            <wp:posOffset>-895350</wp:posOffset>
          </wp:positionH>
          <wp:positionV relativeFrom="paragraph">
            <wp:posOffset>-882015</wp:posOffset>
          </wp:positionV>
          <wp:extent cx="7543800" cy="1646555"/>
          <wp:effectExtent l="0" t="0" r="0" b="0"/>
          <wp:wrapNone/>
          <wp:docPr id="473615810" name="Picture 473615810"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3800" cy="1646555"/>
                  </a:xfrm>
                  <a:prstGeom prst="rect">
                    <a:avLst/>
                  </a:prstGeom>
                </pic:spPr>
              </pic:pic>
            </a:graphicData>
          </a:graphic>
          <wp14:sizeRelH relativeFrom="page">
            <wp14:pctWidth>0</wp14:pctWidth>
          </wp14:sizeRelH>
          <wp14:sizeRelV relativeFrom="page">
            <wp14:pctHeight>0</wp14:pctHeight>
          </wp14:sizeRelV>
        </wp:anchor>
      </w:drawing>
    </w:r>
    <w:r w:rsidR="0085118C">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9FD3" w14:textId="7FA55F35" w:rsidR="00501011" w:rsidRPr="00501011" w:rsidRDefault="00501011" w:rsidP="00501011">
    <w:pPr>
      <w:tabs>
        <w:tab w:val="left" w:pos="567"/>
      </w:tabs>
      <w:rPr>
        <w:sz w:val="16"/>
      </w:rPr>
    </w:pPr>
    <w:r w:rsidRPr="00501011">
      <w:rPr>
        <w:b/>
        <w:sz w:val="16"/>
      </w:rPr>
      <w:fldChar w:fldCharType="begin"/>
    </w:r>
    <w:r w:rsidRPr="00501011">
      <w:rPr>
        <w:sz w:val="16"/>
      </w:rPr>
      <w:instrText xml:space="preserve"> PAGE </w:instrText>
    </w:r>
    <w:r w:rsidRPr="00501011">
      <w:rPr>
        <w:b/>
        <w:sz w:val="16"/>
      </w:rPr>
      <w:fldChar w:fldCharType="separate"/>
    </w:r>
    <w:r w:rsidRPr="00501011">
      <w:rPr>
        <w:b/>
        <w:sz w:val="16"/>
      </w:rPr>
      <w:t>4</w:t>
    </w:r>
    <w:r w:rsidRPr="00501011">
      <w:rPr>
        <w:b/>
        <w:sz w:val="16"/>
      </w:rPr>
      <w:fldChar w:fldCharType="end"/>
    </w:r>
    <w:r w:rsidRPr="00501011">
      <w:rPr>
        <w:sz w:val="16"/>
      </w:rPr>
      <w:tab/>
    </w:r>
    <w:r w:rsidR="00344709" w:rsidRPr="00344709">
      <w:rPr>
        <w:sz w:val="16"/>
      </w:rPr>
      <w:t>Freshwater farm plans: Moving to the new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0847" w14:textId="77777777" w:rsidR="004D6442" w:rsidRDefault="004D6442" w:rsidP="00CB5C5F">
      <w:pPr>
        <w:spacing w:before="0" w:after="80" w:line="240" w:lineRule="auto"/>
      </w:pPr>
      <w:bookmarkStart w:id="0" w:name="_Hlk86912439"/>
      <w:bookmarkEnd w:id="0"/>
      <w:r>
        <w:separator/>
      </w:r>
    </w:p>
  </w:footnote>
  <w:footnote w:type="continuationSeparator" w:id="0">
    <w:p w14:paraId="16617BB4" w14:textId="77777777" w:rsidR="004D6442" w:rsidRDefault="004D6442" w:rsidP="0080531E">
      <w:pPr>
        <w:spacing w:before="0" w:after="0" w:line="240" w:lineRule="auto"/>
      </w:pPr>
      <w:r>
        <w:continuationSeparator/>
      </w:r>
    </w:p>
    <w:p w14:paraId="34D3757E" w14:textId="77777777" w:rsidR="004D6442" w:rsidRDefault="004D6442"/>
  </w:footnote>
  <w:footnote w:type="continuationNotice" w:id="1">
    <w:p w14:paraId="0D4E0ACA" w14:textId="77777777" w:rsidR="004D6442" w:rsidRDefault="004D6442">
      <w:pPr>
        <w:spacing w:before="0" w:after="0" w:line="240" w:lineRule="auto"/>
      </w:pPr>
    </w:p>
  </w:footnote>
  <w:footnote w:id="2">
    <w:p w14:paraId="251DE6AB" w14:textId="71F1FB12" w:rsidR="00922F9B" w:rsidRDefault="00922F9B">
      <w:pPr>
        <w:pStyle w:val="FootnoteText"/>
      </w:pPr>
      <w:r>
        <w:rPr>
          <w:rStyle w:val="FootnoteReference"/>
        </w:rPr>
        <w:footnoteRef/>
      </w:r>
      <w:r>
        <w:t xml:space="preserve"> </w:t>
      </w:r>
      <w:r>
        <w:tab/>
      </w:r>
      <w:r w:rsidRPr="00691A46">
        <w:rPr>
          <w:sz w:val="20"/>
          <w:szCs w:val="20"/>
        </w:rPr>
        <w:t>The Climate Adaptation Act is also planned</w:t>
      </w:r>
      <w:r>
        <w:rPr>
          <w:sz w:val="20"/>
          <w:szCs w:val="20"/>
        </w:rPr>
        <w:t>, which will</w:t>
      </w:r>
      <w:r w:rsidRPr="00691A46">
        <w:rPr>
          <w:sz w:val="20"/>
          <w:szCs w:val="20"/>
        </w:rPr>
        <w:t xml:space="preserve"> address managed retreat, and funding and financing of climate adaptation. A date for introduction of the Bill is not yet confirmed.</w:t>
      </w:r>
    </w:p>
  </w:footnote>
  <w:footnote w:id="3">
    <w:p w14:paraId="27BA2B18" w14:textId="77777777" w:rsidR="0038229B" w:rsidRDefault="0038229B" w:rsidP="0038229B">
      <w:pPr>
        <w:pStyle w:val="FootnoteText"/>
      </w:pPr>
      <w:r>
        <w:rPr>
          <w:rStyle w:val="FootnoteReference"/>
        </w:rPr>
        <w:footnoteRef/>
      </w:r>
      <w:r>
        <w:t xml:space="preserve"> </w:t>
      </w:r>
      <w:r>
        <w:tab/>
        <w:t>Section 217A of the RMA and section 385 of the NBA.</w:t>
      </w:r>
    </w:p>
  </w:footnote>
  <w:footnote w:id="4">
    <w:p w14:paraId="2C1408DE" w14:textId="77777777" w:rsidR="0038229B" w:rsidRDefault="0038229B" w:rsidP="0038229B">
      <w:pPr>
        <w:pStyle w:val="FootnoteText"/>
      </w:pPr>
      <w:r>
        <w:rPr>
          <w:rStyle w:val="FootnoteReference"/>
        </w:rPr>
        <w:footnoteRef/>
      </w:r>
      <w:r>
        <w:t xml:space="preserve"> </w:t>
      </w:r>
      <w:r>
        <w:tab/>
        <w:t>Section 217C of the RMA.</w:t>
      </w:r>
    </w:p>
  </w:footnote>
  <w:footnote w:id="5">
    <w:p w14:paraId="0C29C8C5" w14:textId="2B5B993E" w:rsidR="009E0BEC" w:rsidRDefault="009E0BEC">
      <w:pPr>
        <w:pStyle w:val="FootnoteText"/>
      </w:pPr>
      <w:r>
        <w:rPr>
          <w:rStyle w:val="FootnoteReference"/>
        </w:rPr>
        <w:footnoteRef/>
      </w:r>
      <w:r>
        <w:t xml:space="preserve"> </w:t>
      </w:r>
      <w:r>
        <w:tab/>
        <w:t>Part 9A, sections 217A–217M of the RMA.</w:t>
      </w:r>
    </w:p>
  </w:footnote>
  <w:footnote w:id="6">
    <w:p w14:paraId="63427017" w14:textId="5B3F3CB9" w:rsidR="00237B3B" w:rsidRDefault="00237B3B">
      <w:pPr>
        <w:pStyle w:val="FootnoteText"/>
      </w:pPr>
      <w:r>
        <w:rPr>
          <w:rStyle w:val="FootnoteReference"/>
        </w:rPr>
        <w:footnoteRef/>
      </w:r>
      <w:r>
        <w:t xml:space="preserve"> </w:t>
      </w:r>
      <w:r>
        <w:tab/>
        <w:t>Part 7, subpart 2, sections 385–398 of the NBA.</w:t>
      </w:r>
    </w:p>
  </w:footnote>
  <w:footnote w:id="7">
    <w:p w14:paraId="37875647" w14:textId="7DBD16FF" w:rsidR="007E4579" w:rsidRPr="007E4579" w:rsidRDefault="007E4579">
      <w:pPr>
        <w:pStyle w:val="FootnoteText"/>
        <w:rPr>
          <w:b/>
          <w:bCs/>
        </w:rPr>
      </w:pPr>
      <w:r>
        <w:rPr>
          <w:rStyle w:val="FootnoteReference"/>
        </w:rPr>
        <w:footnoteRef/>
      </w:r>
      <w:r>
        <w:t xml:space="preserve"> </w:t>
      </w:r>
      <w:r>
        <w:tab/>
      </w:r>
      <w:bookmarkStart w:id="1" w:name="_Hlk144374919"/>
      <w:r>
        <w:t>Schedule 1, clause 58 of the NBA</w:t>
      </w:r>
      <w:bookmarkEnd w:id="1"/>
      <w:r>
        <w:t>.</w:t>
      </w:r>
    </w:p>
  </w:footnote>
  <w:footnote w:id="8">
    <w:p w14:paraId="2E98D921" w14:textId="6C697875" w:rsidR="00F20E7A" w:rsidRDefault="00F20E7A">
      <w:pPr>
        <w:pStyle w:val="FootnoteText"/>
      </w:pPr>
      <w:r>
        <w:rPr>
          <w:rStyle w:val="FootnoteReference"/>
        </w:rPr>
        <w:footnoteRef/>
      </w:r>
      <w:r>
        <w:t xml:space="preserve"> </w:t>
      </w:r>
      <w:r>
        <w:tab/>
        <w:t>Schedule 1, clause 59 of the NBA.</w:t>
      </w:r>
    </w:p>
  </w:footnote>
  <w:footnote w:id="9">
    <w:p w14:paraId="6B32152E" w14:textId="41F4001A" w:rsidR="00425F76" w:rsidRDefault="00425F76">
      <w:pPr>
        <w:pStyle w:val="FootnoteText"/>
      </w:pPr>
      <w:r>
        <w:rPr>
          <w:rStyle w:val="FootnoteReference"/>
        </w:rPr>
        <w:footnoteRef/>
      </w:r>
      <w:r>
        <w:t xml:space="preserve"> </w:t>
      </w:r>
      <w:r>
        <w:tab/>
        <w:t>Schedule 1, clause 60 of the NBA.</w:t>
      </w:r>
    </w:p>
  </w:footnote>
  <w:footnote w:id="10">
    <w:p w14:paraId="548051D4" w14:textId="10DF7D13" w:rsidR="0038229B" w:rsidRDefault="0038229B">
      <w:pPr>
        <w:pStyle w:val="FootnoteText"/>
      </w:pPr>
      <w:r>
        <w:rPr>
          <w:rStyle w:val="FootnoteReference"/>
        </w:rPr>
        <w:footnoteRef/>
      </w:r>
      <w:r>
        <w:t xml:space="preserve"> </w:t>
      </w:r>
      <w:r>
        <w:tab/>
        <w:t>An Order in Council may be made at the recommendation of the Minister subject to criteria; s</w:t>
      </w:r>
      <w:r w:rsidRPr="00F47604">
        <w:t xml:space="preserve">ection </w:t>
      </w:r>
      <w:r>
        <w:t>387 of the NBA.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3002F1"/>
    <w:multiLevelType w:val="hybridMultilevel"/>
    <w:tmpl w:val="E8E2B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C70A75"/>
    <w:multiLevelType w:val="hybridMultilevel"/>
    <w:tmpl w:val="AB9CFF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70EC9"/>
    <w:multiLevelType w:val="hybridMultilevel"/>
    <w:tmpl w:val="C53AF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47790156">
    <w:abstractNumId w:val="15"/>
  </w:num>
  <w:num w:numId="2" w16cid:durableId="1270701948">
    <w:abstractNumId w:val="25"/>
  </w:num>
  <w:num w:numId="3" w16cid:durableId="1676030043">
    <w:abstractNumId w:val="38"/>
  </w:num>
  <w:num w:numId="4" w16cid:durableId="946737636">
    <w:abstractNumId w:val="20"/>
  </w:num>
  <w:num w:numId="5" w16cid:durableId="181937884">
    <w:abstractNumId w:val="13"/>
  </w:num>
  <w:num w:numId="6" w16cid:durableId="1789470371">
    <w:abstractNumId w:val="8"/>
  </w:num>
  <w:num w:numId="7" w16cid:durableId="1751468041">
    <w:abstractNumId w:val="23"/>
  </w:num>
  <w:num w:numId="8" w16cid:durableId="319700520">
    <w:abstractNumId w:val="22"/>
  </w:num>
  <w:num w:numId="9" w16cid:durableId="61634995">
    <w:abstractNumId w:val="36"/>
  </w:num>
  <w:num w:numId="10" w16cid:durableId="1381782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525479">
    <w:abstractNumId w:val="1"/>
  </w:num>
  <w:num w:numId="12" w16cid:durableId="1681812109">
    <w:abstractNumId w:val="29"/>
  </w:num>
  <w:num w:numId="13" w16cid:durableId="2111318697">
    <w:abstractNumId w:val="12"/>
  </w:num>
  <w:num w:numId="14" w16cid:durableId="527908752">
    <w:abstractNumId w:val="32"/>
  </w:num>
  <w:num w:numId="15" w16cid:durableId="1810710488">
    <w:abstractNumId w:val="21"/>
  </w:num>
  <w:num w:numId="16" w16cid:durableId="1832209572">
    <w:abstractNumId w:val="11"/>
  </w:num>
  <w:num w:numId="17" w16cid:durableId="882985350">
    <w:abstractNumId w:val="30"/>
  </w:num>
  <w:num w:numId="18" w16cid:durableId="1414619994">
    <w:abstractNumId w:val="26"/>
  </w:num>
  <w:num w:numId="19" w16cid:durableId="1876043617">
    <w:abstractNumId w:val="33"/>
  </w:num>
  <w:num w:numId="20" w16cid:durableId="1466776422">
    <w:abstractNumId w:val="14"/>
  </w:num>
  <w:num w:numId="21" w16cid:durableId="2058817310">
    <w:abstractNumId w:val="27"/>
  </w:num>
  <w:num w:numId="22" w16cid:durableId="1700279313">
    <w:abstractNumId w:val="5"/>
  </w:num>
  <w:num w:numId="23" w16cid:durableId="2058817359">
    <w:abstractNumId w:val="24"/>
  </w:num>
  <w:num w:numId="24" w16cid:durableId="1654988709">
    <w:abstractNumId w:val="16"/>
  </w:num>
  <w:num w:numId="25" w16cid:durableId="163515585">
    <w:abstractNumId w:val="35"/>
  </w:num>
  <w:num w:numId="26" w16cid:durableId="1923172751">
    <w:abstractNumId w:val="28"/>
  </w:num>
  <w:num w:numId="27" w16cid:durableId="1169712652">
    <w:abstractNumId w:val="0"/>
  </w:num>
  <w:num w:numId="28" w16cid:durableId="318702976">
    <w:abstractNumId w:val="18"/>
  </w:num>
  <w:num w:numId="29" w16cid:durableId="1493326007">
    <w:abstractNumId w:val="9"/>
  </w:num>
  <w:num w:numId="30" w16cid:durableId="148442728">
    <w:abstractNumId w:val="3"/>
  </w:num>
  <w:num w:numId="31" w16cid:durableId="598565880">
    <w:abstractNumId w:val="2"/>
  </w:num>
  <w:num w:numId="32" w16cid:durableId="1547906841">
    <w:abstractNumId w:val="6"/>
  </w:num>
  <w:num w:numId="33" w16cid:durableId="214006165">
    <w:abstractNumId w:val="10"/>
  </w:num>
  <w:num w:numId="34" w16cid:durableId="460806462">
    <w:abstractNumId w:val="19"/>
  </w:num>
  <w:num w:numId="35" w16cid:durableId="351688295">
    <w:abstractNumId w:val="17"/>
  </w:num>
  <w:num w:numId="36" w16cid:durableId="953633058">
    <w:abstractNumId w:val="7"/>
  </w:num>
  <w:num w:numId="37" w16cid:durableId="57486827">
    <w:abstractNumId w:val="34"/>
  </w:num>
  <w:num w:numId="38" w16cid:durableId="416098131">
    <w:abstractNumId w:val="25"/>
  </w:num>
  <w:num w:numId="39" w16cid:durableId="2073501908">
    <w:abstractNumId w:val="7"/>
  </w:num>
  <w:num w:numId="40" w16cid:durableId="1120416703">
    <w:abstractNumId w:val="37"/>
  </w:num>
  <w:num w:numId="41" w16cid:durableId="1912618082">
    <w:abstractNumId w:val="31"/>
  </w:num>
  <w:num w:numId="42" w16cid:durableId="20274356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4C"/>
    <w:rsid w:val="00000792"/>
    <w:rsid w:val="00000F04"/>
    <w:rsid w:val="00003C4F"/>
    <w:rsid w:val="00004E0A"/>
    <w:rsid w:val="00004FD3"/>
    <w:rsid w:val="00006DF5"/>
    <w:rsid w:val="00006F95"/>
    <w:rsid w:val="00007023"/>
    <w:rsid w:val="0000709F"/>
    <w:rsid w:val="000071D6"/>
    <w:rsid w:val="00007F2D"/>
    <w:rsid w:val="00007FAC"/>
    <w:rsid w:val="00010247"/>
    <w:rsid w:val="00010A9C"/>
    <w:rsid w:val="00010ABA"/>
    <w:rsid w:val="00010E15"/>
    <w:rsid w:val="00010F57"/>
    <w:rsid w:val="0001100C"/>
    <w:rsid w:val="00011188"/>
    <w:rsid w:val="00012555"/>
    <w:rsid w:val="00012777"/>
    <w:rsid w:val="00014236"/>
    <w:rsid w:val="000148F6"/>
    <w:rsid w:val="00015217"/>
    <w:rsid w:val="000159D2"/>
    <w:rsid w:val="00015E19"/>
    <w:rsid w:val="00016264"/>
    <w:rsid w:val="00016993"/>
    <w:rsid w:val="00016CAB"/>
    <w:rsid w:val="00016E5B"/>
    <w:rsid w:val="0001749B"/>
    <w:rsid w:val="00017D75"/>
    <w:rsid w:val="00017FE5"/>
    <w:rsid w:val="00017FE8"/>
    <w:rsid w:val="0002068C"/>
    <w:rsid w:val="00020EE7"/>
    <w:rsid w:val="00021910"/>
    <w:rsid w:val="0002270C"/>
    <w:rsid w:val="00022E8D"/>
    <w:rsid w:val="0002348A"/>
    <w:rsid w:val="00024708"/>
    <w:rsid w:val="00024DA0"/>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330"/>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1EB5"/>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C5B87"/>
    <w:rsid w:val="000D04BA"/>
    <w:rsid w:val="000D0B6E"/>
    <w:rsid w:val="000D0D65"/>
    <w:rsid w:val="000D113B"/>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6708"/>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A4B"/>
    <w:rsid w:val="00107C23"/>
    <w:rsid w:val="00110307"/>
    <w:rsid w:val="00110C7F"/>
    <w:rsid w:val="00110EE2"/>
    <w:rsid w:val="001113DA"/>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1C"/>
    <w:rsid w:val="00131EC2"/>
    <w:rsid w:val="00133E73"/>
    <w:rsid w:val="00133FDB"/>
    <w:rsid w:val="00134C79"/>
    <w:rsid w:val="00134F4A"/>
    <w:rsid w:val="00135E4E"/>
    <w:rsid w:val="00136246"/>
    <w:rsid w:val="001362A1"/>
    <w:rsid w:val="001364D4"/>
    <w:rsid w:val="00136C39"/>
    <w:rsid w:val="001371C8"/>
    <w:rsid w:val="001372ED"/>
    <w:rsid w:val="0014168C"/>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5BF4"/>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0B2"/>
    <w:rsid w:val="001713A7"/>
    <w:rsid w:val="00171449"/>
    <w:rsid w:val="0017199C"/>
    <w:rsid w:val="00171C7E"/>
    <w:rsid w:val="00171F35"/>
    <w:rsid w:val="00172552"/>
    <w:rsid w:val="00172873"/>
    <w:rsid w:val="00172CF7"/>
    <w:rsid w:val="0017319E"/>
    <w:rsid w:val="001734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5C24"/>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600"/>
    <w:rsid w:val="001B6610"/>
    <w:rsid w:val="001B6B9B"/>
    <w:rsid w:val="001B6C27"/>
    <w:rsid w:val="001B7144"/>
    <w:rsid w:val="001B7B8A"/>
    <w:rsid w:val="001B7E91"/>
    <w:rsid w:val="001C0748"/>
    <w:rsid w:val="001C147E"/>
    <w:rsid w:val="001C151B"/>
    <w:rsid w:val="001C19E5"/>
    <w:rsid w:val="001C3800"/>
    <w:rsid w:val="001C3C7B"/>
    <w:rsid w:val="001C4D70"/>
    <w:rsid w:val="001C6122"/>
    <w:rsid w:val="001C6587"/>
    <w:rsid w:val="001C69BE"/>
    <w:rsid w:val="001C6DB5"/>
    <w:rsid w:val="001C71AC"/>
    <w:rsid w:val="001C7316"/>
    <w:rsid w:val="001C7CF7"/>
    <w:rsid w:val="001C7E5C"/>
    <w:rsid w:val="001D00CC"/>
    <w:rsid w:val="001D0494"/>
    <w:rsid w:val="001D07B7"/>
    <w:rsid w:val="001D0D8E"/>
    <w:rsid w:val="001D1077"/>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0D8E"/>
    <w:rsid w:val="002312BC"/>
    <w:rsid w:val="002337E5"/>
    <w:rsid w:val="00233C06"/>
    <w:rsid w:val="00233F24"/>
    <w:rsid w:val="00234BBB"/>
    <w:rsid w:val="002356F4"/>
    <w:rsid w:val="00235F02"/>
    <w:rsid w:val="00236D28"/>
    <w:rsid w:val="00237B3B"/>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BE0"/>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20C"/>
    <w:rsid w:val="002972EE"/>
    <w:rsid w:val="00297F01"/>
    <w:rsid w:val="002A025D"/>
    <w:rsid w:val="002A052D"/>
    <w:rsid w:val="002A0DF8"/>
    <w:rsid w:val="002A1928"/>
    <w:rsid w:val="002A1F0D"/>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21E"/>
    <w:rsid w:val="002B75B2"/>
    <w:rsid w:val="002B79B7"/>
    <w:rsid w:val="002C141D"/>
    <w:rsid w:val="002C19C0"/>
    <w:rsid w:val="002C19D1"/>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3A3"/>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709"/>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724"/>
    <w:rsid w:val="0035586A"/>
    <w:rsid w:val="0035611A"/>
    <w:rsid w:val="00356C3D"/>
    <w:rsid w:val="00360476"/>
    <w:rsid w:val="00360B75"/>
    <w:rsid w:val="0036151C"/>
    <w:rsid w:val="00361A9B"/>
    <w:rsid w:val="00361CDD"/>
    <w:rsid w:val="00362CCF"/>
    <w:rsid w:val="003631DB"/>
    <w:rsid w:val="00363B9A"/>
    <w:rsid w:val="00364524"/>
    <w:rsid w:val="00364F79"/>
    <w:rsid w:val="0036513A"/>
    <w:rsid w:val="00365237"/>
    <w:rsid w:val="0036536A"/>
    <w:rsid w:val="0036559C"/>
    <w:rsid w:val="0036587E"/>
    <w:rsid w:val="003660CD"/>
    <w:rsid w:val="00366B08"/>
    <w:rsid w:val="00367496"/>
    <w:rsid w:val="003678BE"/>
    <w:rsid w:val="003700F8"/>
    <w:rsid w:val="00370949"/>
    <w:rsid w:val="00371DA6"/>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29B"/>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85C"/>
    <w:rsid w:val="00392B41"/>
    <w:rsid w:val="0039456F"/>
    <w:rsid w:val="003945C8"/>
    <w:rsid w:val="0039480D"/>
    <w:rsid w:val="00395446"/>
    <w:rsid w:val="00396725"/>
    <w:rsid w:val="00397A28"/>
    <w:rsid w:val="00397E94"/>
    <w:rsid w:val="00397F05"/>
    <w:rsid w:val="003A0442"/>
    <w:rsid w:val="003A0615"/>
    <w:rsid w:val="003A0899"/>
    <w:rsid w:val="003A1512"/>
    <w:rsid w:val="003A1EB7"/>
    <w:rsid w:val="003A23F3"/>
    <w:rsid w:val="003A2D82"/>
    <w:rsid w:val="003A337C"/>
    <w:rsid w:val="003A36DA"/>
    <w:rsid w:val="003A38F1"/>
    <w:rsid w:val="003A3D1B"/>
    <w:rsid w:val="003A3F39"/>
    <w:rsid w:val="003A4170"/>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2986"/>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0B4"/>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5F76"/>
    <w:rsid w:val="00426766"/>
    <w:rsid w:val="004267D0"/>
    <w:rsid w:val="004279CA"/>
    <w:rsid w:val="00427A82"/>
    <w:rsid w:val="00427EA2"/>
    <w:rsid w:val="00430115"/>
    <w:rsid w:val="004303CA"/>
    <w:rsid w:val="00430A4B"/>
    <w:rsid w:val="00431C46"/>
    <w:rsid w:val="004327E6"/>
    <w:rsid w:val="004329DC"/>
    <w:rsid w:val="00432AC6"/>
    <w:rsid w:val="00434C5E"/>
    <w:rsid w:val="00434E0B"/>
    <w:rsid w:val="00435765"/>
    <w:rsid w:val="004360B6"/>
    <w:rsid w:val="004362E5"/>
    <w:rsid w:val="00436356"/>
    <w:rsid w:val="0044041E"/>
    <w:rsid w:val="00440722"/>
    <w:rsid w:val="00440DF5"/>
    <w:rsid w:val="004425D9"/>
    <w:rsid w:val="00443244"/>
    <w:rsid w:val="00444AF6"/>
    <w:rsid w:val="0044519D"/>
    <w:rsid w:val="00445544"/>
    <w:rsid w:val="00445C0B"/>
    <w:rsid w:val="00446068"/>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4BAC"/>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77BBA"/>
    <w:rsid w:val="00480FA1"/>
    <w:rsid w:val="00481FD7"/>
    <w:rsid w:val="00482DE5"/>
    <w:rsid w:val="00483266"/>
    <w:rsid w:val="0048352E"/>
    <w:rsid w:val="004836A9"/>
    <w:rsid w:val="00483B23"/>
    <w:rsid w:val="004840D7"/>
    <w:rsid w:val="004846F4"/>
    <w:rsid w:val="004847FD"/>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7AE"/>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89F"/>
    <w:rsid w:val="004C198D"/>
    <w:rsid w:val="004C1AD6"/>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442"/>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011"/>
    <w:rsid w:val="005010D6"/>
    <w:rsid w:val="00501144"/>
    <w:rsid w:val="005013EF"/>
    <w:rsid w:val="005019E0"/>
    <w:rsid w:val="005019F1"/>
    <w:rsid w:val="00501CEB"/>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309B"/>
    <w:rsid w:val="0054335C"/>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AA0"/>
    <w:rsid w:val="00564C23"/>
    <w:rsid w:val="0056530C"/>
    <w:rsid w:val="00565406"/>
    <w:rsid w:val="00565570"/>
    <w:rsid w:val="005657DD"/>
    <w:rsid w:val="00565B29"/>
    <w:rsid w:val="005664CC"/>
    <w:rsid w:val="0056664B"/>
    <w:rsid w:val="00567588"/>
    <w:rsid w:val="00567992"/>
    <w:rsid w:val="00567C3C"/>
    <w:rsid w:val="005702F8"/>
    <w:rsid w:val="00570FC0"/>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34DD"/>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20B"/>
    <w:rsid w:val="005C132F"/>
    <w:rsid w:val="005C1615"/>
    <w:rsid w:val="005C1D98"/>
    <w:rsid w:val="005C1DA5"/>
    <w:rsid w:val="005C2559"/>
    <w:rsid w:val="005C2873"/>
    <w:rsid w:val="005C28AB"/>
    <w:rsid w:val="005C34FC"/>
    <w:rsid w:val="005C3B5C"/>
    <w:rsid w:val="005C3C7F"/>
    <w:rsid w:val="005C5143"/>
    <w:rsid w:val="005C5639"/>
    <w:rsid w:val="005C5742"/>
    <w:rsid w:val="005C6005"/>
    <w:rsid w:val="005C760E"/>
    <w:rsid w:val="005C7862"/>
    <w:rsid w:val="005C7E9E"/>
    <w:rsid w:val="005D18C9"/>
    <w:rsid w:val="005D1B72"/>
    <w:rsid w:val="005D23BD"/>
    <w:rsid w:val="005D2471"/>
    <w:rsid w:val="005D25A3"/>
    <w:rsid w:val="005D2779"/>
    <w:rsid w:val="005D3242"/>
    <w:rsid w:val="005D610C"/>
    <w:rsid w:val="005D74E7"/>
    <w:rsid w:val="005D7F7B"/>
    <w:rsid w:val="005E24DE"/>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DE6"/>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505"/>
    <w:rsid w:val="006060C4"/>
    <w:rsid w:val="00607C35"/>
    <w:rsid w:val="00611777"/>
    <w:rsid w:val="0061189F"/>
    <w:rsid w:val="0061219B"/>
    <w:rsid w:val="00612D05"/>
    <w:rsid w:val="00613FB6"/>
    <w:rsid w:val="006140C6"/>
    <w:rsid w:val="00614134"/>
    <w:rsid w:val="00614241"/>
    <w:rsid w:val="0061428D"/>
    <w:rsid w:val="00615046"/>
    <w:rsid w:val="00615411"/>
    <w:rsid w:val="00615776"/>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6F"/>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AA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4DD"/>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4C4B"/>
    <w:rsid w:val="006D4D7C"/>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E7652"/>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19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1893"/>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6CF1"/>
    <w:rsid w:val="00727077"/>
    <w:rsid w:val="00730D43"/>
    <w:rsid w:val="00730EA6"/>
    <w:rsid w:val="00731C15"/>
    <w:rsid w:val="00732045"/>
    <w:rsid w:val="007322A0"/>
    <w:rsid w:val="00732C1A"/>
    <w:rsid w:val="00733CDC"/>
    <w:rsid w:val="00734B9A"/>
    <w:rsid w:val="00735695"/>
    <w:rsid w:val="00735863"/>
    <w:rsid w:val="007360CB"/>
    <w:rsid w:val="0073653E"/>
    <w:rsid w:val="00737566"/>
    <w:rsid w:val="00740DDA"/>
    <w:rsid w:val="00741BA2"/>
    <w:rsid w:val="00741CF4"/>
    <w:rsid w:val="00741DCC"/>
    <w:rsid w:val="00741DE2"/>
    <w:rsid w:val="007421A1"/>
    <w:rsid w:val="007427FE"/>
    <w:rsid w:val="00742A47"/>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C54"/>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A9D"/>
    <w:rsid w:val="007A2CDC"/>
    <w:rsid w:val="007A371B"/>
    <w:rsid w:val="007A3832"/>
    <w:rsid w:val="007A383E"/>
    <w:rsid w:val="007A3A0F"/>
    <w:rsid w:val="007A3E60"/>
    <w:rsid w:val="007A407D"/>
    <w:rsid w:val="007A464F"/>
    <w:rsid w:val="007A5E15"/>
    <w:rsid w:val="007A6196"/>
    <w:rsid w:val="007A63D5"/>
    <w:rsid w:val="007A689A"/>
    <w:rsid w:val="007A68EA"/>
    <w:rsid w:val="007A6B7D"/>
    <w:rsid w:val="007A7629"/>
    <w:rsid w:val="007B1027"/>
    <w:rsid w:val="007B1691"/>
    <w:rsid w:val="007B174F"/>
    <w:rsid w:val="007B1863"/>
    <w:rsid w:val="007B18C5"/>
    <w:rsid w:val="007B2101"/>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4579"/>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063"/>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17E"/>
    <w:rsid w:val="008174B2"/>
    <w:rsid w:val="00817CFF"/>
    <w:rsid w:val="0082000D"/>
    <w:rsid w:val="0082037E"/>
    <w:rsid w:val="00820C9C"/>
    <w:rsid w:val="00820F55"/>
    <w:rsid w:val="00821572"/>
    <w:rsid w:val="00821D9C"/>
    <w:rsid w:val="0082207D"/>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4DC7"/>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78D"/>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7D9"/>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312C"/>
    <w:rsid w:val="008D427A"/>
    <w:rsid w:val="008D496B"/>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6D10"/>
    <w:rsid w:val="00907656"/>
    <w:rsid w:val="00907785"/>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2F9B"/>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2828"/>
    <w:rsid w:val="009333D3"/>
    <w:rsid w:val="009339B6"/>
    <w:rsid w:val="00933B4C"/>
    <w:rsid w:val="00933DC4"/>
    <w:rsid w:val="0093431B"/>
    <w:rsid w:val="009346D6"/>
    <w:rsid w:val="00934743"/>
    <w:rsid w:val="0093487E"/>
    <w:rsid w:val="00934FFE"/>
    <w:rsid w:val="009358EA"/>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CB"/>
    <w:rsid w:val="009548FB"/>
    <w:rsid w:val="0095538B"/>
    <w:rsid w:val="0095695D"/>
    <w:rsid w:val="00957A9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180"/>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CE4"/>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0BEC"/>
    <w:rsid w:val="009E1316"/>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3C1"/>
    <w:rsid w:val="00A10586"/>
    <w:rsid w:val="00A10A48"/>
    <w:rsid w:val="00A110DA"/>
    <w:rsid w:val="00A1132B"/>
    <w:rsid w:val="00A11930"/>
    <w:rsid w:val="00A11B54"/>
    <w:rsid w:val="00A11CDC"/>
    <w:rsid w:val="00A1207B"/>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4749"/>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20BD"/>
    <w:rsid w:val="00A637A0"/>
    <w:rsid w:val="00A63ECD"/>
    <w:rsid w:val="00A64093"/>
    <w:rsid w:val="00A640EB"/>
    <w:rsid w:val="00A6412F"/>
    <w:rsid w:val="00A64815"/>
    <w:rsid w:val="00A65043"/>
    <w:rsid w:val="00A66DF9"/>
    <w:rsid w:val="00A704E4"/>
    <w:rsid w:val="00A706FC"/>
    <w:rsid w:val="00A70BD2"/>
    <w:rsid w:val="00A7136A"/>
    <w:rsid w:val="00A71C44"/>
    <w:rsid w:val="00A7204C"/>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1FC"/>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08B"/>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A01"/>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4E92"/>
    <w:rsid w:val="00AC520B"/>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2AE"/>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46"/>
    <w:rsid w:val="00B07CE9"/>
    <w:rsid w:val="00B101D5"/>
    <w:rsid w:val="00B10633"/>
    <w:rsid w:val="00B10B08"/>
    <w:rsid w:val="00B10D50"/>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9A7"/>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0E6"/>
    <w:rsid w:val="00B8756E"/>
    <w:rsid w:val="00B87A7D"/>
    <w:rsid w:val="00B87DF9"/>
    <w:rsid w:val="00B91951"/>
    <w:rsid w:val="00B91A58"/>
    <w:rsid w:val="00B91EAD"/>
    <w:rsid w:val="00B920B9"/>
    <w:rsid w:val="00B930D2"/>
    <w:rsid w:val="00B937CD"/>
    <w:rsid w:val="00B938BC"/>
    <w:rsid w:val="00B93997"/>
    <w:rsid w:val="00B93C98"/>
    <w:rsid w:val="00B93DF6"/>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2FEB"/>
    <w:rsid w:val="00BD3924"/>
    <w:rsid w:val="00BD3C33"/>
    <w:rsid w:val="00BD450F"/>
    <w:rsid w:val="00BD4512"/>
    <w:rsid w:val="00BD52AA"/>
    <w:rsid w:val="00BD5E4A"/>
    <w:rsid w:val="00BD6D3E"/>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24D"/>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A03"/>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A11"/>
    <w:rsid w:val="00C96CFA"/>
    <w:rsid w:val="00C96E5A"/>
    <w:rsid w:val="00C96EB5"/>
    <w:rsid w:val="00CA0257"/>
    <w:rsid w:val="00CA0917"/>
    <w:rsid w:val="00CA102B"/>
    <w:rsid w:val="00CA283D"/>
    <w:rsid w:val="00CA2918"/>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1A5"/>
    <w:rsid w:val="00CE54E1"/>
    <w:rsid w:val="00CE55B6"/>
    <w:rsid w:val="00CE5856"/>
    <w:rsid w:val="00CE5BDE"/>
    <w:rsid w:val="00CE6A6D"/>
    <w:rsid w:val="00CE774C"/>
    <w:rsid w:val="00CF012E"/>
    <w:rsid w:val="00CF04D4"/>
    <w:rsid w:val="00CF0B4C"/>
    <w:rsid w:val="00CF1680"/>
    <w:rsid w:val="00CF1780"/>
    <w:rsid w:val="00CF1BD7"/>
    <w:rsid w:val="00CF1E21"/>
    <w:rsid w:val="00CF21A5"/>
    <w:rsid w:val="00CF2518"/>
    <w:rsid w:val="00CF2DDE"/>
    <w:rsid w:val="00CF344A"/>
    <w:rsid w:val="00CF39A0"/>
    <w:rsid w:val="00CF3D1C"/>
    <w:rsid w:val="00CF4713"/>
    <w:rsid w:val="00CF477B"/>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1037A"/>
    <w:rsid w:val="00D10499"/>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171B"/>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00C"/>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B7E60"/>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1B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145"/>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537"/>
    <w:rsid w:val="00E31B6D"/>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357"/>
    <w:rsid w:val="00E85E56"/>
    <w:rsid w:val="00E860DD"/>
    <w:rsid w:val="00E8713D"/>
    <w:rsid w:val="00E87DAB"/>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B89"/>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680D"/>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768"/>
    <w:rsid w:val="00EF79CE"/>
    <w:rsid w:val="00F00152"/>
    <w:rsid w:val="00F00352"/>
    <w:rsid w:val="00F00997"/>
    <w:rsid w:val="00F00B1B"/>
    <w:rsid w:val="00F00E37"/>
    <w:rsid w:val="00F010EE"/>
    <w:rsid w:val="00F01383"/>
    <w:rsid w:val="00F0167D"/>
    <w:rsid w:val="00F0177A"/>
    <w:rsid w:val="00F019D5"/>
    <w:rsid w:val="00F01E9B"/>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E7A"/>
    <w:rsid w:val="00F20F65"/>
    <w:rsid w:val="00F2106D"/>
    <w:rsid w:val="00F22337"/>
    <w:rsid w:val="00F22D65"/>
    <w:rsid w:val="00F23175"/>
    <w:rsid w:val="00F23FB0"/>
    <w:rsid w:val="00F2480A"/>
    <w:rsid w:val="00F24891"/>
    <w:rsid w:val="00F24B9F"/>
    <w:rsid w:val="00F24CA6"/>
    <w:rsid w:val="00F25079"/>
    <w:rsid w:val="00F256AE"/>
    <w:rsid w:val="00F25773"/>
    <w:rsid w:val="00F257FA"/>
    <w:rsid w:val="00F26004"/>
    <w:rsid w:val="00F270E8"/>
    <w:rsid w:val="00F27EF5"/>
    <w:rsid w:val="00F27FDB"/>
    <w:rsid w:val="00F30251"/>
    <w:rsid w:val="00F305CC"/>
    <w:rsid w:val="00F3179A"/>
    <w:rsid w:val="00F31D54"/>
    <w:rsid w:val="00F31D8B"/>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1D65"/>
    <w:rsid w:val="00F521DC"/>
    <w:rsid w:val="00F525D9"/>
    <w:rsid w:val="00F53199"/>
    <w:rsid w:val="00F541A1"/>
    <w:rsid w:val="00F54B09"/>
    <w:rsid w:val="00F54BEA"/>
    <w:rsid w:val="00F54E8A"/>
    <w:rsid w:val="00F55386"/>
    <w:rsid w:val="00F559A8"/>
    <w:rsid w:val="00F55C21"/>
    <w:rsid w:val="00F55E2E"/>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87D02"/>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D56"/>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1DB1FEBA"/>
    <w:rsid w:val="5A3AEFB8"/>
    <w:rsid w:val="5D42987F"/>
    <w:rsid w:val="79ED144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0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C6005"/>
    <w:pPr>
      <w:keepNext/>
      <w:tabs>
        <w:tab w:val="left" w:pos="851"/>
      </w:tabs>
      <w:spacing w:before="240" w:after="360" w:line="600" w:lineRule="atLeast"/>
      <w:jc w:val="left"/>
      <w:outlineLvl w:val="0"/>
    </w:pPr>
    <w:rPr>
      <w:rFonts w:ascii="Georgia" w:eastAsiaTheme="majorEastAsia" w:hAnsi="Georgia" w:cstheme="majorBidi"/>
      <w:b/>
      <w:bCs/>
      <w:color w:val="1B556B"/>
      <w:sz w:val="40"/>
      <w:szCs w:val="28"/>
    </w:rPr>
  </w:style>
  <w:style w:type="paragraph" w:styleId="Heading2">
    <w:name w:val="heading 2"/>
    <w:basedOn w:val="Normal"/>
    <w:next w:val="BodyText"/>
    <w:link w:val="Heading2Char"/>
    <w:qFormat/>
    <w:rsid w:val="00640AA1"/>
    <w:pPr>
      <w:keepNext/>
      <w:tabs>
        <w:tab w:val="left" w:pos="851"/>
      </w:tabs>
      <w:spacing w:before="360" w:after="0" w:line="440" w:lineRule="atLeast"/>
      <w:jc w:val="left"/>
      <w:outlineLvl w:val="1"/>
    </w:pPr>
    <w:rPr>
      <w:rFonts w:ascii="Georgia" w:eastAsiaTheme="majorEastAsia" w:hAnsi="Georgia" w:cstheme="majorBidi"/>
      <w:b/>
      <w:bCs/>
      <w:color w:val="1B556B"/>
      <w:sz w:val="32"/>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005"/>
    <w:rPr>
      <w:rFonts w:ascii="Georgia" w:eastAsiaTheme="majorEastAsia" w:hAnsi="Georgia" w:cstheme="majorBidi"/>
      <w:b/>
      <w:bCs/>
      <w:color w:val="1B556B"/>
      <w:sz w:val="40"/>
      <w:szCs w:val="28"/>
    </w:rPr>
  </w:style>
  <w:style w:type="character" w:customStyle="1" w:styleId="Heading2Char">
    <w:name w:val="Heading 2 Char"/>
    <w:basedOn w:val="DefaultParagraphFont"/>
    <w:link w:val="Heading2"/>
    <w:rsid w:val="00640AA1"/>
    <w:rPr>
      <w:rFonts w:ascii="Georgia" w:eastAsiaTheme="majorEastAsia" w:hAnsi="Georgia" w:cstheme="majorBidi"/>
      <w:b/>
      <w:bCs/>
      <w:color w:val="1B556B"/>
      <w:sz w:val="32"/>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3B2986"/>
    <w:pPr>
      <w:jc w:val="left"/>
    </w:pPr>
    <w:rPr>
      <w:rFonts w:ascii="Georgia" w:hAnsi="Georgia"/>
      <w:b/>
      <w:bCs/>
      <w:color w:val="1B556B" w:themeColor="text2"/>
      <w:sz w:val="56"/>
      <w:szCs w:val="56"/>
    </w:rPr>
  </w:style>
  <w:style w:type="character" w:customStyle="1" w:styleId="TitleChar">
    <w:name w:val="Title Char"/>
    <w:link w:val="Title"/>
    <w:uiPriority w:val="2"/>
    <w:rsid w:val="003B2986"/>
    <w:rPr>
      <w:rFonts w:ascii="Georgia" w:eastAsia="Times New Roman" w:hAnsi="Georgia"/>
      <w:b/>
      <w:bCs/>
      <w:color w:val="1B556B" w:themeColor="text2"/>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6E2E45"/>
    <w:pPr>
      <w:tabs>
        <w:tab w:val="right" w:pos="8505"/>
        <w:tab w:val="right" w:pos="9072"/>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Segoe UI" w:eastAsia="Times New Roman" w:hAnsi="Segoe UI"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Segoe UI" w:eastAsia="Times New Roman" w:hAnsi="Segoe UI"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Segoe UI" w:eastAsia="Times New Roman" w:hAnsi="Segoe UI"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zh-CN"/>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9548CB"/>
  </w:style>
  <w:style w:type="character" w:customStyle="1" w:styleId="eop">
    <w:name w:val="eop"/>
    <w:basedOn w:val="DefaultParagraphFont"/>
    <w:rsid w:val="009548CB"/>
  </w:style>
  <w:style w:type="paragraph" w:customStyle="1" w:styleId="paragraph">
    <w:name w:val="paragraph"/>
    <w:basedOn w:val="Normal"/>
    <w:rsid w:val="00CF1780"/>
    <w:pPr>
      <w:spacing w:before="100" w:beforeAutospacing="1" w:after="100" w:afterAutospacing="1" w:line="240" w:lineRule="auto"/>
      <w:jc w:val="left"/>
    </w:pPr>
    <w:rPr>
      <w:rFonts w:ascii="Times New Roman" w:hAnsi="Times New Roman"/>
      <w:sz w:val="24"/>
      <w:szCs w:val="24"/>
    </w:rPr>
  </w:style>
  <w:style w:type="paragraph" w:customStyle="1" w:styleId="Headerinfo">
    <w:name w:val="Header info"/>
    <w:basedOn w:val="Title"/>
    <w:qFormat/>
    <w:rsid w:val="00DA500C"/>
    <w:pPr>
      <w:ind w:right="-710"/>
    </w:pPr>
    <w:rPr>
      <w:rFonts w:asciiTheme="minorHAnsi" w:hAnsiTheme="minorHAnsi" w:cstheme="minorHAnsi"/>
      <w:b w:val="0"/>
      <w:color w:val="FFFFFF" w:themeColor="background1"/>
      <w:sz w:val="22"/>
      <w:szCs w:val="22"/>
    </w:rPr>
  </w:style>
  <w:style w:type="paragraph" w:styleId="NormalWeb">
    <w:name w:val="Normal (Web)"/>
    <w:basedOn w:val="Normal"/>
    <w:uiPriority w:val="99"/>
    <w:semiHidden/>
    <w:unhideWhenUsed/>
    <w:rsid w:val="00932828"/>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81861943">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996418032">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88448218">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24835314">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92067194">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596476283">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05446908">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nvironment.govt.nz/acts-and-regulations/freshwater-implementation-guidance/freshwater-farm-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_x0020_Table xmlns="4a94300e-a927-4b92-9d3a-682523035cb6" xsi:nil="true"/>
    <Sender_x0020_Date xmlns="4a94300e-a927-4b92-9d3a-682523035cb6" xsi:nil="true"/>
    <Carbon_x0020_Copy xmlns="4a94300e-a927-4b92-9d3a-682523035cb6" xsi:nil="true"/>
    <Class xmlns="4a94300e-a927-4b92-9d3a-682523035cb6" xsi:nil="true"/>
    <From xmlns="4a94300e-a927-4b92-9d3a-682523035cb6" xsi:nil="true"/>
    <_dlc_DocId xmlns="58a6f171-52cb-4404-b47d-af1c8daf8fd1">ECM-1122293896-103511</_dlc_DocId>
    <Other_x0020_Details_2 xmlns="4a94300e-a927-4b92-9d3a-682523035cb6" xsi:nil="true"/>
    <Receiver xmlns="4a94300e-a927-4b92-9d3a-682523035cb6" xsi:nil="true"/>
    <Legacy_x0020_Version xmlns="4a94300e-a927-4b92-9d3a-682523035cb6" xsi:nil="true"/>
    <Author0 xmlns="4a94300e-a927-4b92-9d3a-682523035cb6" xsi:nil="true"/>
    <IconOverlay xmlns="http://schemas.microsoft.com/sharepoint/v4" xsi:nil="true"/>
    <Sent_x002f_Received xmlns="4a94300e-a927-4b92-9d3a-682523035cb6" xsi:nil="true"/>
    <Other_x0020_Details_3 xmlns="4a94300e-a927-4b92-9d3a-682523035cb6" xsi:nil="true"/>
    <_ip_UnifiedCompliancePolicyUIAction xmlns="http://schemas.microsoft.com/sharepoint/v3" xsi:nil="true"/>
    <Document_x0020_Type xmlns="4a94300e-a927-4b92-9d3a-682523035cb6" xsi:nil="true"/>
    <Legacy_x0020_DocID xmlns="4a94300e-a927-4b92-9d3a-682523035cb6" xsi:nil="true"/>
    <_ip_UnifiedCompliancePolicyProperties xmlns="http://schemas.microsoft.com/sharepoint/v3" xsi:nil="true"/>
    <Receiver_x0020_Date xmlns="4a94300e-a927-4b92-9d3a-682523035cb6" xsi:nil="true"/>
    <Year xmlns="4a94300e-a927-4b92-9d3a-682523035cb6" xsi:nil="true"/>
    <MTS_x0020_Type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Status xmlns="4a94300e-a927-4b92-9d3a-682523035cb6" xsi:nil="true"/>
    <Sender xmlns="4a94300e-a927-4b92-9d3a-682523035cb6" xsi:nil="true"/>
    <MTS_x0020_ID xmlns="4a94300e-a927-4b92-9d3a-682523035cb6" xsi:nil="true"/>
    <To xmlns="4a94300e-a927-4b92-9d3a-682523035cb6" xsi:nil="true"/>
    <Library xmlns="4a94300e-a927-4b92-9d3a-682523035cb6" xsi:nil="true"/>
    <Other_x0020_Details xmlns="4a94300e-a927-4b92-9d3a-682523035cb6" xsi:nil="true"/>
    <_dlc_DocIdUrl xmlns="58a6f171-52cb-4404-b47d-af1c8daf8fd1">
      <Url>https://ministryforenvironment.sharepoint.com/sites/ECM-ER-Comms/_layouts/15/DocIdRedir.aspx?ID=ECM-1122293896-103511</Url>
      <Description>ECM-1122293896-103511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CB3F8-1E28-43C1-9EFF-035F63FAA4C9}">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D7CE28B-2E51-4EFB-B6FE-B853E1B56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4D451-6E60-40EB-B110-059511513C7E}">
  <ds:schemaRefs>
    <ds:schemaRef ds:uri="http://schemas.microsoft.com/sharepoint/events"/>
  </ds:schemaRefs>
</ds:datastoreItem>
</file>

<file path=customXml/itemProps4.xml><?xml version="1.0" encoding="utf-8"?>
<ds:datastoreItem xmlns:ds="http://schemas.openxmlformats.org/officeDocument/2006/customXml" ds:itemID="{FA1F0814-9C3C-415B-9A83-733EDADE1A20}">
  <ds:schemaRefs>
    <ds:schemaRef ds:uri="http://schemas.microsoft.com/sharepoint/v3/contenttype/forms"/>
  </ds:schemaRefs>
</ds:datastoreItem>
</file>

<file path=customXml/itemProps5.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2023-10-01T22:59:00Z</dcterms:created>
  <dcterms:modified xsi:type="dcterms:W3CDTF">2023-10-01T23:15:00Z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2023-10-01T22:59:47Z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30796a18-9959-42e0-8507-e7475ff34241</vt:lpwstr>
  </property>
  <property fmtid="{D5CDD505-2E9C-101B-9397-08002B2CF9AE}" pid="8" name="MSIP_Label_52dda6cc-d61d-4fd2-bf18-9b3017d931cc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0x010100EA5FB0BEBF7DE54D9F252D8A06C053F7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_dlc_DocIdItemGuid">
    <vt:lpwstr>2bc94668-be42-4563-8fe2-b31d1ab1b6e1</vt:lpwstr>
  </property>
  <property fmtid="{D5CDD505-2E9C-101B-9397-08002B2CF9AE}" pid="17" name="TriggerFlowInfo">
    <vt:lpwstr/>
  </property>
  <property fmtid="{D5CDD505-2E9C-101B-9397-08002B2CF9AE}" pid="18" name="Order">
    <vt:r8>9970200</vt:r8>
  </property>
</Properties>
</file>