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2E511" w14:textId="6E0F9A13" w:rsidR="001C4D70" w:rsidRPr="00640AA1" w:rsidRDefault="00DA500C" w:rsidP="00640AA1">
      <w:pPr>
        <w:pStyle w:val="BodyText"/>
        <w:spacing w:after="3600"/>
        <w:rPr>
          <w:rStyle w:val="normaltextrun"/>
        </w:rPr>
      </w:pPr>
      <w:r>
        <w:rPr>
          <w:noProof/>
        </w:rPr>
        <mc:AlternateContent>
          <mc:Choice Requires="wps">
            <w:drawing>
              <wp:anchor distT="0" distB="0" distL="114300" distR="114300" simplePos="0" relativeHeight="251658240" behindDoc="0" locked="0" layoutInCell="1" allowOverlap="1" wp14:anchorId="1F9B9299" wp14:editId="07E5ADAE">
                <wp:simplePos x="0" y="0"/>
                <wp:positionH relativeFrom="column">
                  <wp:posOffset>-52070</wp:posOffset>
                </wp:positionH>
                <wp:positionV relativeFrom="paragraph">
                  <wp:posOffset>1123315</wp:posOffset>
                </wp:positionV>
                <wp:extent cx="5808150" cy="3543160"/>
                <wp:effectExtent l="0" t="0" r="2540" b="0"/>
                <wp:wrapTopAndBottom/>
                <wp:docPr id="6" name="Text Box 6"/>
                <wp:cNvGraphicFramePr/>
                <a:graphic xmlns:a="http://schemas.openxmlformats.org/drawingml/2006/main">
                  <a:graphicData uri="http://schemas.microsoft.com/office/word/2010/wordprocessingShape">
                    <wps:wsp>
                      <wps:cNvSpPr txBox="1"/>
                      <wps:spPr>
                        <a:xfrm>
                          <a:off x="0" y="0"/>
                          <a:ext cx="5808150" cy="3543160"/>
                        </a:xfrm>
                        <a:prstGeom prst="rect">
                          <a:avLst/>
                        </a:prstGeom>
                        <a:noFill/>
                        <a:ln w="6350">
                          <a:noFill/>
                        </a:ln>
                      </wps:spPr>
                      <wps:txbx>
                        <w:txbxContent>
                          <w:p w14:paraId="0BF104BE" w14:textId="384F97A9" w:rsidR="00291E09" w:rsidRDefault="00291E09" w:rsidP="00296A94">
                            <w:pPr>
                              <w:pStyle w:val="Subtitle"/>
                              <w:rPr>
                                <w:color w:val="2C9986" w:themeColor="accent4"/>
                                <w:sz w:val="48"/>
                                <w:szCs w:val="48"/>
                              </w:rPr>
                            </w:pPr>
                            <w:r w:rsidRPr="00291E09">
                              <w:rPr>
                                <w:color w:val="2C9986" w:themeColor="accent4"/>
                                <w:sz w:val="48"/>
                                <w:szCs w:val="48"/>
                              </w:rPr>
                              <w:t xml:space="preserve">Ngā mana tāpui whenua, ngā pānui whakaritenga me ngā whakamanatanga: </w:t>
                            </w:r>
                            <w:r>
                              <w:rPr>
                                <w:color w:val="2C9986" w:themeColor="accent4"/>
                                <w:sz w:val="48"/>
                                <w:szCs w:val="48"/>
                              </w:rPr>
                              <w:br/>
                            </w:r>
                            <w:r w:rsidRPr="00291E09">
                              <w:rPr>
                                <w:color w:val="2C9986" w:themeColor="accent4"/>
                                <w:sz w:val="48"/>
                                <w:szCs w:val="48"/>
                              </w:rPr>
                              <w:t>Te neke ki te pūnaha hou</w:t>
                            </w:r>
                          </w:p>
                          <w:p w14:paraId="0FFE03BE" w14:textId="0D1223B8" w:rsidR="00B349E3" w:rsidRPr="00EC0B89" w:rsidRDefault="00531585" w:rsidP="00296A94">
                            <w:pPr>
                              <w:pStyle w:val="Subtitle"/>
                              <w:rPr>
                                <w:color w:val="1B556B" w:themeColor="text2"/>
                                <w:sz w:val="48"/>
                                <w:szCs w:val="48"/>
                              </w:rPr>
                            </w:pPr>
                            <w:r w:rsidRPr="00531585">
                              <w:rPr>
                                <w:color w:val="1B556B" w:themeColor="text2"/>
                                <w:sz w:val="48"/>
                                <w:szCs w:val="48"/>
                              </w:rPr>
                              <w:t>Requiring authorities, notices of requirement and designations: Moving to the new system</w:t>
                            </w:r>
                          </w:p>
                        </w:txbxContent>
                      </wps:txbx>
                      <wps:bodyPr rot="0" spcFirstLastPara="0" vertOverflow="overflow" horzOverflow="overflow" vert="horz" wrap="square" lIns="36000" tIns="72000" rIns="0" bIns="54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B9299" id="_x0000_t202" coordsize="21600,21600" o:spt="202" path="m,l,21600r21600,l21600,xe">
                <v:stroke joinstyle="miter"/>
                <v:path gradientshapeok="t" o:connecttype="rect"/>
              </v:shapetype>
              <v:shape id="Text Box 6" o:spid="_x0000_s1026" type="#_x0000_t202" style="position:absolute;margin-left:-4.1pt;margin-top:88.45pt;width:457.35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" filled="f" stroked="f" strokeweight=".5pt">
                <v:textbox inset="1mm,2mm,0,15mm">
                  <w:txbxContent>
                    <w:p w14:paraId="0BF104BE" w14:textId="384F97A9" w:rsidR="00291E09" w:rsidRDefault="00291E09" w:rsidP="00296A94">
                      <w:pPr>
                        <w:pStyle w:val="Subtitle"/>
                        <w:rPr>
                          <w:color w:val="2C9986" w:themeColor="accent4"/>
                          <w:sz w:val="48"/>
                          <w:szCs w:val="48"/>
                        </w:rPr>
                      </w:pPr>
                      <w:r w:rsidRPr="00291E09">
                        <w:rPr>
                          <w:color w:val="2C9986" w:themeColor="accent4"/>
                          <w:sz w:val="48"/>
                          <w:szCs w:val="48"/>
                        </w:rPr>
                        <w:t xml:space="preserve">Ngā mana </w:t>
                      </w:r>
                      <w:proofErr w:type="spellStart"/>
                      <w:r w:rsidRPr="00291E09">
                        <w:rPr>
                          <w:color w:val="2C9986" w:themeColor="accent4"/>
                          <w:sz w:val="48"/>
                          <w:szCs w:val="48"/>
                        </w:rPr>
                        <w:t>tāpui</w:t>
                      </w:r>
                      <w:proofErr w:type="spellEnd"/>
                      <w:r w:rsidRPr="00291E09">
                        <w:rPr>
                          <w:color w:val="2C9986" w:themeColor="accent4"/>
                          <w:sz w:val="48"/>
                          <w:szCs w:val="48"/>
                        </w:rPr>
                        <w:t xml:space="preserve"> whenua, </w:t>
                      </w:r>
                      <w:proofErr w:type="spellStart"/>
                      <w:r w:rsidRPr="00291E09">
                        <w:rPr>
                          <w:color w:val="2C9986" w:themeColor="accent4"/>
                          <w:sz w:val="48"/>
                          <w:szCs w:val="48"/>
                        </w:rPr>
                        <w:t>ngā</w:t>
                      </w:r>
                      <w:proofErr w:type="spellEnd"/>
                      <w:r w:rsidRPr="00291E09">
                        <w:rPr>
                          <w:color w:val="2C9986" w:themeColor="accent4"/>
                          <w:sz w:val="48"/>
                          <w:szCs w:val="48"/>
                        </w:rPr>
                        <w:t xml:space="preserve"> </w:t>
                      </w:r>
                      <w:proofErr w:type="spellStart"/>
                      <w:r w:rsidRPr="00291E09">
                        <w:rPr>
                          <w:color w:val="2C9986" w:themeColor="accent4"/>
                          <w:sz w:val="48"/>
                          <w:szCs w:val="48"/>
                        </w:rPr>
                        <w:t>pānui</w:t>
                      </w:r>
                      <w:proofErr w:type="spellEnd"/>
                      <w:r w:rsidRPr="00291E09">
                        <w:rPr>
                          <w:color w:val="2C9986" w:themeColor="accent4"/>
                          <w:sz w:val="48"/>
                          <w:szCs w:val="48"/>
                        </w:rPr>
                        <w:t xml:space="preserve"> </w:t>
                      </w:r>
                      <w:proofErr w:type="spellStart"/>
                      <w:r w:rsidRPr="00291E09">
                        <w:rPr>
                          <w:color w:val="2C9986" w:themeColor="accent4"/>
                          <w:sz w:val="48"/>
                          <w:szCs w:val="48"/>
                        </w:rPr>
                        <w:t>whakaritenga</w:t>
                      </w:r>
                      <w:proofErr w:type="spellEnd"/>
                      <w:r w:rsidRPr="00291E09">
                        <w:rPr>
                          <w:color w:val="2C9986" w:themeColor="accent4"/>
                          <w:sz w:val="48"/>
                          <w:szCs w:val="48"/>
                        </w:rPr>
                        <w:t xml:space="preserve"> me </w:t>
                      </w:r>
                      <w:proofErr w:type="spellStart"/>
                      <w:r w:rsidRPr="00291E09">
                        <w:rPr>
                          <w:color w:val="2C9986" w:themeColor="accent4"/>
                          <w:sz w:val="48"/>
                          <w:szCs w:val="48"/>
                        </w:rPr>
                        <w:t>ngā</w:t>
                      </w:r>
                      <w:proofErr w:type="spellEnd"/>
                      <w:r w:rsidRPr="00291E09">
                        <w:rPr>
                          <w:color w:val="2C9986" w:themeColor="accent4"/>
                          <w:sz w:val="48"/>
                          <w:szCs w:val="48"/>
                        </w:rPr>
                        <w:t xml:space="preserve"> </w:t>
                      </w:r>
                      <w:proofErr w:type="spellStart"/>
                      <w:r w:rsidRPr="00291E09">
                        <w:rPr>
                          <w:color w:val="2C9986" w:themeColor="accent4"/>
                          <w:sz w:val="48"/>
                          <w:szCs w:val="48"/>
                        </w:rPr>
                        <w:t>whakamanatanga</w:t>
                      </w:r>
                      <w:proofErr w:type="spellEnd"/>
                      <w:r w:rsidRPr="00291E09">
                        <w:rPr>
                          <w:color w:val="2C9986" w:themeColor="accent4"/>
                          <w:sz w:val="48"/>
                          <w:szCs w:val="48"/>
                        </w:rPr>
                        <w:t xml:space="preserve">: </w:t>
                      </w:r>
                      <w:r>
                        <w:rPr>
                          <w:color w:val="2C9986" w:themeColor="accent4"/>
                          <w:sz w:val="48"/>
                          <w:szCs w:val="48"/>
                        </w:rPr>
                        <w:br/>
                      </w:r>
                      <w:r w:rsidRPr="00291E09">
                        <w:rPr>
                          <w:color w:val="2C9986" w:themeColor="accent4"/>
                          <w:sz w:val="48"/>
                          <w:szCs w:val="48"/>
                        </w:rPr>
                        <w:t xml:space="preserve">Te </w:t>
                      </w:r>
                      <w:proofErr w:type="spellStart"/>
                      <w:r w:rsidRPr="00291E09">
                        <w:rPr>
                          <w:color w:val="2C9986" w:themeColor="accent4"/>
                          <w:sz w:val="48"/>
                          <w:szCs w:val="48"/>
                        </w:rPr>
                        <w:t>neke</w:t>
                      </w:r>
                      <w:proofErr w:type="spellEnd"/>
                      <w:r w:rsidRPr="00291E09">
                        <w:rPr>
                          <w:color w:val="2C9986" w:themeColor="accent4"/>
                          <w:sz w:val="48"/>
                          <w:szCs w:val="48"/>
                        </w:rPr>
                        <w:t xml:space="preserve"> ki te </w:t>
                      </w:r>
                      <w:proofErr w:type="spellStart"/>
                      <w:r w:rsidRPr="00291E09">
                        <w:rPr>
                          <w:color w:val="2C9986" w:themeColor="accent4"/>
                          <w:sz w:val="48"/>
                          <w:szCs w:val="48"/>
                        </w:rPr>
                        <w:t>pūnaha</w:t>
                      </w:r>
                      <w:proofErr w:type="spellEnd"/>
                      <w:r w:rsidRPr="00291E09">
                        <w:rPr>
                          <w:color w:val="2C9986" w:themeColor="accent4"/>
                          <w:sz w:val="48"/>
                          <w:szCs w:val="48"/>
                        </w:rPr>
                        <w:t xml:space="preserve"> </w:t>
                      </w:r>
                      <w:proofErr w:type="spellStart"/>
                      <w:r w:rsidRPr="00291E09">
                        <w:rPr>
                          <w:color w:val="2C9986" w:themeColor="accent4"/>
                          <w:sz w:val="48"/>
                          <w:szCs w:val="48"/>
                        </w:rPr>
                        <w:t>hou</w:t>
                      </w:r>
                      <w:proofErr w:type="spellEnd"/>
                    </w:p>
                    <w:p w14:paraId="0FFE03BE" w14:textId="0D1223B8" w:rsidR="00B349E3" w:rsidRPr="00EC0B89" w:rsidRDefault="00531585" w:rsidP="00296A94">
                      <w:pPr>
                        <w:pStyle w:val="Subtitle"/>
                        <w:rPr>
                          <w:color w:val="1B556B" w:themeColor="text2"/>
                          <w:sz w:val="48"/>
                          <w:szCs w:val="48"/>
                        </w:rPr>
                      </w:pPr>
                      <w:r w:rsidRPr="00531585">
                        <w:rPr>
                          <w:color w:val="1B556B" w:themeColor="text2"/>
                          <w:sz w:val="48"/>
                          <w:szCs w:val="48"/>
                        </w:rPr>
                        <w:t>Requiring authorities, notices of requirement and designations: Moving to the new system</w:t>
                      </w:r>
                    </w:p>
                  </w:txbxContent>
                </v:textbox>
                <w10:wrap type="topAndBottom"/>
              </v:shape>
            </w:pict>
          </mc:Fallback>
        </mc:AlternateContent>
      </w:r>
      <w:r w:rsidR="00721893">
        <w:rPr>
          <w:noProof/>
        </w:rPr>
        <mc:AlternateContent>
          <mc:Choice Requires="wps">
            <w:drawing>
              <wp:anchor distT="45720" distB="45720" distL="114300" distR="114300" simplePos="0" relativeHeight="251658243" behindDoc="0" locked="0" layoutInCell="1" allowOverlap="1" wp14:anchorId="4DEC8DBD" wp14:editId="0F6E427D">
                <wp:simplePos x="0" y="0"/>
                <wp:positionH relativeFrom="column">
                  <wp:posOffset>3693779</wp:posOffset>
                </wp:positionH>
                <wp:positionV relativeFrom="page">
                  <wp:posOffset>349250</wp:posOffset>
                </wp:positionV>
                <wp:extent cx="2408555" cy="71247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8555" cy="712470"/>
                        </a:xfrm>
                        <a:prstGeom prst="rect">
                          <a:avLst/>
                        </a:prstGeom>
                        <a:noFill/>
                        <a:ln w="9525">
                          <a:noFill/>
                          <a:miter lim="800000"/>
                          <a:headEnd/>
                          <a:tailEnd/>
                        </a:ln>
                      </wps:spPr>
                      <wps:txbx>
                        <w:txbxContent>
                          <w:p w14:paraId="3D10EA6F" w14:textId="20C7C496" w:rsidR="007A383E" w:rsidRPr="00721893" w:rsidRDefault="007A383E" w:rsidP="00DA500C">
                            <w:pPr>
                              <w:pStyle w:val="Headerinfo"/>
                              <w:rPr>
                                <w:b/>
                              </w:rPr>
                            </w:pPr>
                            <w:r w:rsidRPr="00721893">
                              <w:t>The new resource management system:</w:t>
                            </w:r>
                            <w:r w:rsidRPr="00721893">
                              <w:br/>
                              <w:t>Natural and Built Environment Act</w:t>
                            </w:r>
                            <w:r w:rsidR="00570FC0">
                              <w:t xml:space="preserve"> 2023</w:t>
                            </w:r>
                            <w:r w:rsidRPr="00721893">
                              <w:br/>
                              <w:t>and Spatial Planning Act 2023</w:t>
                            </w:r>
                          </w:p>
                          <w:p w14:paraId="4CFE7685" w14:textId="77777777" w:rsidR="007A383E" w:rsidRDefault="007A383E" w:rsidP="007A38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C8DBD" id="Text Box 217" o:spid="_x0000_s1027" type="#_x0000_t202" style="position:absolute;margin-left:290.85pt;margin-top:27.5pt;width:189.65pt;height:56.1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" filled="f" stroked="f">
                <v:textbox>
                  <w:txbxContent>
                    <w:p w14:paraId="3D10EA6F" w14:textId="20C7C496" w:rsidR="007A383E" w:rsidRPr="00721893" w:rsidRDefault="007A383E" w:rsidP="00DA500C">
                      <w:pPr>
                        <w:pStyle w:val="Headerinfo"/>
                        <w:rPr>
                          <w:b/>
                        </w:rPr>
                      </w:pPr>
                      <w:r w:rsidRPr="00721893">
                        <w:t>The new resource management system:</w:t>
                      </w:r>
                      <w:r w:rsidRPr="00721893">
                        <w:br/>
                        <w:t>Natural and Built Environment Act</w:t>
                      </w:r>
                      <w:r w:rsidR="00570FC0">
                        <w:t xml:space="preserve"> 2023</w:t>
                      </w:r>
                      <w:r w:rsidRPr="00721893">
                        <w:br/>
                        <w:t>and Spatial Planning Act 2023</w:t>
                      </w:r>
                    </w:p>
                    <w:p w14:paraId="4CFE7685" w14:textId="77777777" w:rsidR="007A383E" w:rsidRDefault="007A383E" w:rsidP="007A383E"/>
                  </w:txbxContent>
                </v:textbox>
                <w10:wrap type="square" anchory="page"/>
              </v:shape>
            </w:pict>
          </mc:Fallback>
        </mc:AlternateContent>
      </w:r>
      <w:r w:rsidR="005C7862">
        <w:rPr>
          <w:rFonts w:asciiTheme="minorHAnsi" w:hAnsiTheme="minorHAnsi" w:cstheme="minorHAnsi"/>
          <w:noProof/>
          <w:color w:val="FFFFFF" w:themeColor="background1"/>
        </w:rPr>
        <w:drawing>
          <wp:anchor distT="0" distB="0" distL="114300" distR="114300" simplePos="0" relativeHeight="251658242" behindDoc="1" locked="0" layoutInCell="1" allowOverlap="1" wp14:anchorId="4EB9157D" wp14:editId="0B08B977">
            <wp:simplePos x="0" y="0"/>
            <wp:positionH relativeFrom="page">
              <wp:posOffset>8115</wp:posOffset>
            </wp:positionH>
            <wp:positionV relativeFrom="paragraph">
              <wp:posOffset>-737080</wp:posOffset>
            </wp:positionV>
            <wp:extent cx="7543165" cy="1352550"/>
            <wp:effectExtent l="0" t="0" r="635" b="0"/>
            <wp:wrapNone/>
            <wp:docPr id="7" name="Picture 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7543165" cy="1352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A16475" w14:textId="42B72538" w:rsidR="00F54D91" w:rsidRDefault="00F54D91" w:rsidP="00F54D91">
      <w:pPr>
        <w:pStyle w:val="BodyText"/>
      </w:pPr>
      <w:r>
        <w:t>New laws are being phased in that aim to help Aotearoa New Zealand protect and manage the environment and its resources. The Spatial Planning Act 2023 (SPA) and the Natural and Built Environment Act 2023 (NBA) were enacted on 23 August 2023.</w:t>
      </w:r>
      <w:r w:rsidR="000D2BE3">
        <w:rPr>
          <w:rStyle w:val="FootnoteReference"/>
        </w:rPr>
        <w:footnoteReference w:id="2"/>
      </w:r>
    </w:p>
    <w:p w14:paraId="1F97C57B" w14:textId="77777777" w:rsidR="00F54D91" w:rsidRDefault="00F54D91" w:rsidP="006059FA">
      <w:pPr>
        <w:pStyle w:val="Heading2"/>
      </w:pPr>
      <w:r>
        <w:t>This fact sheet covers:</w:t>
      </w:r>
    </w:p>
    <w:p w14:paraId="1C7FC585" w14:textId="047F881A" w:rsidR="00F54D91" w:rsidRDefault="00F54D91" w:rsidP="006059FA">
      <w:pPr>
        <w:pStyle w:val="Bullet"/>
        <w:spacing w:before="120"/>
      </w:pPr>
      <w:r>
        <w:t>when requiring authority and designation provisions commence, are saved or transitioned</w:t>
      </w:r>
    </w:p>
    <w:p w14:paraId="6CC93DE1" w14:textId="109B9507" w:rsidR="00F54D91" w:rsidRDefault="00F54D91" w:rsidP="006059FA">
      <w:pPr>
        <w:pStyle w:val="Bullet"/>
      </w:pPr>
      <w:r>
        <w:t xml:space="preserve">requiring authority status </w:t>
      </w:r>
    </w:p>
    <w:p w14:paraId="28F1690C" w14:textId="0C228994" w:rsidR="007A5E15" w:rsidRDefault="00F54D91" w:rsidP="006059FA">
      <w:pPr>
        <w:pStyle w:val="Bullet"/>
      </w:pPr>
      <w:r>
        <w:t>notices of requirement and designations.</w:t>
      </w:r>
    </w:p>
    <w:p w14:paraId="347AA457" w14:textId="77777777" w:rsidR="00501011" w:rsidRDefault="00501011" w:rsidP="00F5746A">
      <w:pPr>
        <w:pStyle w:val="BodyText"/>
      </w:pPr>
    </w:p>
    <w:p w14:paraId="0EBF6193" w14:textId="5FFF6B01" w:rsidR="00501011" w:rsidRDefault="00501011" w:rsidP="00F5746A">
      <w:pPr>
        <w:pStyle w:val="BodyText"/>
        <w:sectPr w:rsidR="00501011" w:rsidSect="00C94796">
          <w:footerReference w:type="even" r:id="rId13"/>
          <w:footerReference w:type="default" r:id="rId14"/>
          <w:footerReference w:type="first" r:id="rId15"/>
          <w:pgSz w:w="11907" w:h="16840" w:code="9"/>
          <w:pgMar w:top="1134" w:right="1418" w:bottom="2835" w:left="1418" w:header="573" w:footer="726" w:gutter="0"/>
          <w:cols w:space="720"/>
          <w:titlePg/>
          <w:docGrid w:linePitch="299"/>
        </w:sectPr>
      </w:pPr>
    </w:p>
    <w:p w14:paraId="590FD460" w14:textId="77777777" w:rsidR="006059FA" w:rsidRDefault="006059FA" w:rsidP="006059FA">
      <w:pPr>
        <w:pStyle w:val="Heading2"/>
      </w:pPr>
      <w:r>
        <w:lastRenderedPageBreak/>
        <w:t>When requiring authority and designation provisions commence, are saved or transitioned</w:t>
      </w:r>
    </w:p>
    <w:p w14:paraId="4F5352EC" w14:textId="77777777" w:rsidR="006059FA" w:rsidRDefault="006059FA" w:rsidP="006059FA">
      <w:pPr>
        <w:pStyle w:val="BodyText"/>
      </w:pPr>
      <w:r>
        <w:t xml:space="preserve">Schedule 1 subpart 8 sets out how the designation provisions apply as the system moves from the Resource Management Act 1991 (RMA) to the NBA. </w:t>
      </w:r>
    </w:p>
    <w:p w14:paraId="4AA0FEBA" w14:textId="77777777" w:rsidR="006059FA" w:rsidRDefault="006059FA" w:rsidP="006059FA">
      <w:pPr>
        <w:pStyle w:val="BodyText"/>
      </w:pPr>
      <w:r>
        <w:t xml:space="preserve">In summary, unless there is an exception in the table below, RMA designation provisions apply until a region’s NBEA date. This is the date 10 working days after a regional planning committee has notified the decisions version of its first natural and built environment plan (NBE plan). From that date, the NBA designation provisions apply. </w:t>
      </w:r>
    </w:p>
    <w:tbl>
      <w:tblPr>
        <w:tblStyle w:val="LightGrid-Accent11"/>
        <w:tblW w:w="9072" w:type="dxa"/>
        <w:tblLook w:val="04A0" w:firstRow="1" w:lastRow="0" w:firstColumn="1" w:lastColumn="0" w:noHBand="0" w:noVBand="1"/>
      </w:tblPr>
      <w:tblGrid>
        <w:gridCol w:w="1638"/>
        <w:gridCol w:w="7434"/>
      </w:tblGrid>
      <w:tr w:rsidR="006059FA" w:rsidRPr="006059FA" w14:paraId="3EBD7A99" w14:textId="77777777" w:rsidTr="6A2250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016CACA7" w14:textId="2EFF55FF" w:rsidR="006059FA" w:rsidRPr="006059FA" w:rsidRDefault="006059FA" w:rsidP="006059FA">
            <w:pPr>
              <w:pStyle w:val="TableTextbold"/>
              <w:rPr>
                <w:b/>
                <w:bCs w:val="0"/>
              </w:rPr>
            </w:pPr>
            <w:r w:rsidRPr="006059FA">
              <w:rPr>
                <w:b/>
                <w:bCs w:val="0"/>
              </w:rPr>
              <w:t>Date</w:t>
            </w:r>
          </w:p>
        </w:tc>
        <w:tc>
          <w:tcPr>
            <w:tcW w:w="7434" w:type="dxa"/>
          </w:tcPr>
          <w:p w14:paraId="41283672" w14:textId="1492E9E9" w:rsidR="006059FA" w:rsidRPr="006059FA" w:rsidRDefault="006059FA" w:rsidP="006059FA">
            <w:pPr>
              <w:pStyle w:val="TableTextbold"/>
              <w:cnfStyle w:val="100000000000" w:firstRow="1" w:lastRow="0" w:firstColumn="0" w:lastColumn="0" w:oddVBand="0" w:evenVBand="0" w:oddHBand="0" w:evenHBand="0" w:firstRowFirstColumn="0" w:firstRowLastColumn="0" w:lastRowFirstColumn="0" w:lastRowLastColumn="0"/>
              <w:rPr>
                <w:b/>
                <w:bCs w:val="0"/>
              </w:rPr>
            </w:pPr>
            <w:r w:rsidRPr="006059FA">
              <w:rPr>
                <w:b/>
                <w:bCs w:val="0"/>
              </w:rPr>
              <w:t>Provisions</w:t>
            </w:r>
          </w:p>
        </w:tc>
      </w:tr>
      <w:tr w:rsidR="006059FA" w:rsidRPr="006B77BB" w14:paraId="51AA0CA7" w14:textId="77777777" w:rsidTr="6A225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061513F5" w14:textId="5F96CCB6" w:rsidR="006059FA" w:rsidRPr="007B7569" w:rsidRDefault="006059FA" w:rsidP="00180992">
            <w:pPr>
              <w:pStyle w:val="TableText"/>
              <w:rPr>
                <w:b/>
                <w:bCs w:val="0"/>
              </w:rPr>
            </w:pPr>
            <w:r w:rsidRPr="007B7569">
              <w:rPr>
                <w:b/>
                <w:bCs w:val="0"/>
              </w:rPr>
              <w:t>on enactment (Royal assent)</w:t>
            </w:r>
          </w:p>
        </w:tc>
        <w:tc>
          <w:tcPr>
            <w:tcW w:w="7434" w:type="dxa"/>
          </w:tcPr>
          <w:p w14:paraId="5FA50083" w14:textId="77777777" w:rsidR="006059FA" w:rsidRDefault="006059FA" w:rsidP="003262BC">
            <w:pPr>
              <w:pStyle w:val="TableBullet"/>
              <w:spacing w:before="60"/>
              <w:cnfStyle w:val="000000100000" w:firstRow="0" w:lastRow="0" w:firstColumn="0" w:lastColumn="0" w:oddVBand="0" w:evenVBand="0" w:oddHBand="1" w:evenHBand="0" w:firstRowFirstColumn="0" w:firstRowLastColumn="0" w:lastRowFirstColumn="0" w:lastRowLastColumn="0"/>
            </w:pPr>
            <w:r>
              <w:t xml:space="preserve">RMA requiring authorities, including approved network utility operators, continue to be requiring authorities </w:t>
            </w:r>
          </w:p>
          <w:p w14:paraId="58118A57" w14:textId="4215FEB5" w:rsidR="006059FA" w:rsidRDefault="006059FA" w:rsidP="003262BC">
            <w:pPr>
              <w:pStyle w:val="TableBullet"/>
              <w:cnfStyle w:val="000000100000" w:firstRow="0" w:lastRow="0" w:firstColumn="0" w:lastColumn="0" w:oddVBand="0" w:evenVBand="0" w:oddHBand="1" w:evenHBand="0" w:firstRowFirstColumn="0" w:firstRowLastColumn="0" w:lastRowFirstColumn="0" w:lastRowLastColumn="0"/>
            </w:pPr>
            <w:r>
              <w:t>notices of requirement under consideration continue to be processed under the RMA</w:t>
            </w:r>
          </w:p>
          <w:p w14:paraId="33F502E6" w14:textId="0918FF84" w:rsidR="006059FA" w:rsidRDefault="006059FA" w:rsidP="003262BC">
            <w:pPr>
              <w:pStyle w:val="TableBullet"/>
              <w:cnfStyle w:val="000000100000" w:firstRow="0" w:lastRow="0" w:firstColumn="0" w:lastColumn="0" w:oddVBand="0" w:evenVBand="0" w:oddHBand="1" w:evenHBand="0" w:firstRowFirstColumn="0" w:firstRowLastColumn="0" w:lastRowFirstColumn="0" w:lastRowLastColumn="0"/>
            </w:pPr>
            <w:r>
              <w:t>the RMA applies to all new notice of requirement applications</w:t>
            </w:r>
          </w:p>
          <w:p w14:paraId="597CFC7B" w14:textId="220973E5" w:rsidR="006059FA" w:rsidRDefault="006059FA" w:rsidP="003262BC">
            <w:pPr>
              <w:pStyle w:val="TableBullet"/>
              <w:cnfStyle w:val="000000100000" w:firstRow="0" w:lastRow="0" w:firstColumn="0" w:lastColumn="0" w:oddVBand="0" w:evenVBand="0" w:oddHBand="1" w:evenHBand="0" w:firstRowFirstColumn="0" w:firstRowLastColumn="0" w:lastRowFirstColumn="0" w:lastRowLastColumn="0"/>
            </w:pPr>
            <w:r>
              <w:t>outline plans are lodged under the RMA</w:t>
            </w:r>
          </w:p>
          <w:p w14:paraId="71AB3F58" w14:textId="77502357" w:rsidR="006059FA" w:rsidRPr="006B77BB" w:rsidRDefault="006059FA" w:rsidP="003262BC">
            <w:pPr>
              <w:pStyle w:val="TableBullet"/>
              <w:cnfStyle w:val="000000100000" w:firstRow="0" w:lastRow="0" w:firstColumn="0" w:lastColumn="0" w:oddVBand="0" w:evenVBand="0" w:oddHBand="1" w:evenHBand="0" w:firstRowFirstColumn="0" w:firstRowLastColumn="0" w:lastRowFirstColumn="0" w:lastRowLastColumn="0"/>
            </w:pPr>
            <w:r>
              <w:t>designations in RMA plans and their associated conditions remain in place</w:t>
            </w:r>
          </w:p>
        </w:tc>
      </w:tr>
      <w:tr w:rsidR="006059FA" w:rsidRPr="006B77BB" w14:paraId="0BCEB9D3" w14:textId="77777777" w:rsidTr="6A2250F2">
        <w:tc>
          <w:tcPr>
            <w:cnfStyle w:val="001000000000" w:firstRow="0" w:lastRow="0" w:firstColumn="1" w:lastColumn="0" w:oddVBand="0" w:evenVBand="0" w:oddHBand="0" w:evenHBand="0" w:firstRowFirstColumn="0" w:firstRowLastColumn="0" w:lastRowFirstColumn="0" w:lastRowLastColumn="0"/>
            <w:tcW w:w="1638" w:type="dxa"/>
          </w:tcPr>
          <w:p w14:paraId="03B43BE9" w14:textId="49BCB754" w:rsidR="006059FA" w:rsidRPr="007B7569" w:rsidRDefault="006059FA" w:rsidP="00180992">
            <w:pPr>
              <w:pStyle w:val="TableText"/>
              <w:rPr>
                <w:b/>
                <w:bCs w:val="0"/>
              </w:rPr>
            </w:pPr>
            <w:r w:rsidRPr="007B7569">
              <w:rPr>
                <w:b/>
                <w:bCs w:val="0"/>
              </w:rPr>
              <w:t>three months after enactment</w:t>
            </w:r>
          </w:p>
        </w:tc>
        <w:tc>
          <w:tcPr>
            <w:tcW w:w="7434" w:type="dxa"/>
          </w:tcPr>
          <w:p w14:paraId="30D5AAAB" w14:textId="3A0B9D7B" w:rsidR="003262BC" w:rsidRDefault="003262BC" w:rsidP="00321441">
            <w:pPr>
              <w:pStyle w:val="TableBullet"/>
              <w:spacing w:before="60"/>
              <w:cnfStyle w:val="000000000000" w:firstRow="0" w:lastRow="0" w:firstColumn="0" w:lastColumn="0" w:oddVBand="0" w:evenVBand="0" w:oddHBand="0" w:evenHBand="0" w:firstRowFirstColumn="0" w:firstRowLastColumn="0" w:lastRowFirstColumn="0" w:lastRowLastColumn="0"/>
            </w:pPr>
            <w:r>
              <w:t>council-controlled organisations automatically become requiring authorities</w:t>
            </w:r>
            <w:r w:rsidR="007B7569">
              <w:rPr>
                <w:rStyle w:val="FootnoteReference"/>
              </w:rPr>
              <w:footnoteReference w:id="3"/>
            </w:r>
          </w:p>
          <w:p w14:paraId="1001263C" w14:textId="5B3990BB" w:rsidR="003262BC" w:rsidRDefault="003262BC" w:rsidP="003262BC">
            <w:pPr>
              <w:pStyle w:val="TableBullet"/>
              <w:cnfStyle w:val="000000000000" w:firstRow="0" w:lastRow="0" w:firstColumn="0" w:lastColumn="0" w:oddVBand="0" w:evenVBand="0" w:oddHBand="0" w:evenHBand="0" w:firstRowFirstColumn="0" w:firstRowLastColumn="0" w:lastRowFirstColumn="0" w:lastRowLastColumn="0"/>
            </w:pPr>
            <w:r>
              <w:t>newly defined network utility operators (including ports and emergency services) can apply for requiring authority status under the NBA</w:t>
            </w:r>
          </w:p>
          <w:p w14:paraId="1724838C" w14:textId="1A0FC290" w:rsidR="003262BC" w:rsidRDefault="003262BC" w:rsidP="003262BC">
            <w:pPr>
              <w:pStyle w:val="TableBullet"/>
              <w:cnfStyle w:val="000000000000" w:firstRow="0" w:lastRow="0" w:firstColumn="0" w:lastColumn="0" w:oddVBand="0" w:evenVBand="0" w:oddHBand="0" w:evenHBand="0" w:firstRowFirstColumn="0" w:firstRowLastColumn="0" w:lastRowFirstColumn="0" w:lastRowLastColumn="0"/>
            </w:pPr>
            <w:r>
              <w:t xml:space="preserve">“other applicants” that meet the NBA criteria can apply for requiring authority status </w:t>
            </w:r>
          </w:p>
          <w:p w14:paraId="346B19EF" w14:textId="66FE0ECF" w:rsidR="006059FA" w:rsidRPr="006B77BB" w:rsidRDefault="003262BC" w:rsidP="003262BC">
            <w:pPr>
              <w:pStyle w:val="TableBullet"/>
              <w:cnfStyle w:val="000000000000" w:firstRow="0" w:lastRow="0" w:firstColumn="0" w:lastColumn="0" w:oddVBand="0" w:evenVBand="0" w:oddHBand="0" w:evenHBand="0" w:firstRowFirstColumn="0" w:firstRowLastColumn="0" w:lastRowFirstColumn="0" w:lastRowLastColumn="0"/>
            </w:pPr>
            <w:r>
              <w:t>requiring authorities approved under the NBA can apply for a notice of requirement using the RMA provisions</w:t>
            </w:r>
          </w:p>
        </w:tc>
      </w:tr>
      <w:tr w:rsidR="003262BC" w:rsidRPr="006B77BB" w14:paraId="06D15A1C" w14:textId="77777777" w:rsidTr="6A225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14BB7885" w14:textId="773EB7A5" w:rsidR="003262BC" w:rsidRPr="007B7569" w:rsidRDefault="003262BC" w:rsidP="003262BC">
            <w:pPr>
              <w:pStyle w:val="TableText"/>
              <w:rPr>
                <w:b/>
                <w:bCs w:val="0"/>
              </w:rPr>
            </w:pPr>
            <w:r w:rsidRPr="007B7569">
              <w:rPr>
                <w:b/>
                <w:bCs w:val="0"/>
              </w:rPr>
              <w:t>on adoption of a regional spatial strategy (RSS)</w:t>
            </w:r>
          </w:p>
        </w:tc>
        <w:tc>
          <w:tcPr>
            <w:tcW w:w="7434" w:type="dxa"/>
          </w:tcPr>
          <w:p w14:paraId="770B47E0" w14:textId="3C182389" w:rsidR="003262BC" w:rsidRPr="006B77BB" w:rsidRDefault="003262BC" w:rsidP="003262BC">
            <w:pPr>
              <w:pStyle w:val="TableText"/>
              <w:cnfStyle w:val="000000100000" w:firstRow="0" w:lastRow="0" w:firstColumn="0" w:lastColumn="0" w:oddVBand="0" w:evenVBand="0" w:oddHBand="1" w:evenHBand="0" w:firstRowFirstColumn="0" w:firstRowLastColumn="0" w:lastRowFirstColumn="0" w:lastRowLastColumn="0"/>
            </w:pPr>
            <w:r w:rsidRPr="00364CD1">
              <w:t>a regional spatial strategy becomes a consideration in decision-making on RMA notices of requirement</w:t>
            </w:r>
          </w:p>
        </w:tc>
      </w:tr>
      <w:tr w:rsidR="003262BC" w:rsidRPr="006B77BB" w14:paraId="55DD4CC1" w14:textId="77777777" w:rsidTr="6A2250F2">
        <w:tc>
          <w:tcPr>
            <w:cnfStyle w:val="001000000000" w:firstRow="0" w:lastRow="0" w:firstColumn="1" w:lastColumn="0" w:oddVBand="0" w:evenVBand="0" w:oddHBand="0" w:evenHBand="0" w:firstRowFirstColumn="0" w:firstRowLastColumn="0" w:lastRowFirstColumn="0" w:lastRowLastColumn="0"/>
            <w:tcW w:w="1638" w:type="dxa"/>
          </w:tcPr>
          <w:p w14:paraId="00ED9A6E" w14:textId="72AEFC6F" w:rsidR="003262BC" w:rsidRPr="007B7569" w:rsidRDefault="003262BC" w:rsidP="003262BC">
            <w:pPr>
              <w:pStyle w:val="TableText"/>
              <w:rPr>
                <w:b/>
                <w:bCs w:val="0"/>
              </w:rPr>
            </w:pPr>
            <w:r w:rsidRPr="007B7569">
              <w:rPr>
                <w:b/>
                <w:bCs w:val="0"/>
              </w:rPr>
              <w:t>40 days before NBE plan notification</w:t>
            </w:r>
          </w:p>
        </w:tc>
        <w:tc>
          <w:tcPr>
            <w:tcW w:w="7434" w:type="dxa"/>
          </w:tcPr>
          <w:p w14:paraId="75224146" w14:textId="77777777" w:rsidR="003262BC" w:rsidRDefault="003262BC" w:rsidP="003262BC">
            <w:pPr>
              <w:pStyle w:val="TableBullet"/>
              <w:spacing w:before="60"/>
              <w:cnfStyle w:val="000000000000" w:firstRow="0" w:lastRow="0" w:firstColumn="0" w:lastColumn="0" w:oddVBand="0" w:evenVBand="0" w:oddHBand="0" w:evenHBand="0" w:firstRowFirstColumn="0" w:firstRowLastColumn="0" w:lastRowFirstColumn="0" w:lastRowLastColumn="0"/>
            </w:pPr>
            <w:r w:rsidRPr="003E1A9F">
              <w:t xml:space="preserve">existing RMA designations are included in a proposed NBE plan </w:t>
            </w:r>
          </w:p>
          <w:p w14:paraId="364A2795" w14:textId="3D20EB61" w:rsidR="003262BC" w:rsidRPr="006B77BB" w:rsidRDefault="003262BC" w:rsidP="003262BC">
            <w:pPr>
              <w:pStyle w:val="TableBullet"/>
              <w:cnfStyle w:val="000000000000" w:firstRow="0" w:lastRow="0" w:firstColumn="0" w:lastColumn="0" w:oddVBand="0" w:evenVBand="0" w:oddHBand="0" w:evenHBand="0" w:firstRowFirstColumn="0" w:firstRowLastColumn="0" w:lastRowFirstColumn="0" w:lastRowLastColumn="0"/>
            </w:pPr>
            <w:r w:rsidRPr="003262BC">
              <w:t>an application for a new notice of requirement to a territorial authority can be included in the NBE plan if the requiring authority and regional planning committee agree</w:t>
            </w:r>
          </w:p>
        </w:tc>
      </w:tr>
      <w:tr w:rsidR="003262BC" w:rsidRPr="006B77BB" w14:paraId="195ADCFC" w14:textId="77777777" w:rsidTr="6A225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03BC42E4" w14:textId="2805E490" w:rsidR="003262BC" w:rsidRPr="007B7569" w:rsidRDefault="003262BC" w:rsidP="003262BC">
            <w:pPr>
              <w:pStyle w:val="TableText"/>
              <w:rPr>
                <w:b/>
                <w:bCs w:val="0"/>
              </w:rPr>
            </w:pPr>
            <w:r w:rsidRPr="007B7569">
              <w:rPr>
                <w:b/>
                <w:bCs w:val="0"/>
              </w:rPr>
              <w:t>on a region’s NBEA date</w:t>
            </w:r>
          </w:p>
        </w:tc>
        <w:tc>
          <w:tcPr>
            <w:tcW w:w="7434" w:type="dxa"/>
          </w:tcPr>
          <w:p w14:paraId="38829331" w14:textId="77777777" w:rsidR="003262BC" w:rsidRDefault="003262BC" w:rsidP="003262BC">
            <w:pPr>
              <w:pStyle w:val="TableBullet"/>
              <w:spacing w:before="60"/>
              <w:cnfStyle w:val="000000100000" w:firstRow="0" w:lastRow="0" w:firstColumn="0" w:lastColumn="0" w:oddVBand="0" w:evenVBand="0" w:oddHBand="1" w:evenHBand="0" w:firstRowFirstColumn="0" w:firstRowLastColumn="0" w:lastRowFirstColumn="0" w:lastRowLastColumn="0"/>
            </w:pPr>
            <w:r w:rsidRPr="0026614D">
              <w:t>existing RMA designations become NBA designations</w:t>
            </w:r>
          </w:p>
          <w:p w14:paraId="3A99A370" w14:textId="77777777" w:rsidR="003262BC" w:rsidRDefault="003262BC" w:rsidP="003262BC">
            <w:pPr>
              <w:pStyle w:val="TableBullet"/>
              <w:cnfStyle w:val="000000100000" w:firstRow="0" w:lastRow="0" w:firstColumn="0" w:lastColumn="0" w:oddVBand="0" w:evenVBand="0" w:oddHBand="1" w:evenHBand="0" w:firstRowFirstColumn="0" w:firstRowLastColumn="0" w:lastRowFirstColumn="0" w:lastRowLastColumn="0"/>
            </w:pPr>
            <w:r>
              <w:t>new NBA notice of requirement processes apply – a combined process, a design and build process and a spatial footprint process</w:t>
            </w:r>
          </w:p>
          <w:p w14:paraId="685ED694" w14:textId="4AC6598D" w:rsidR="003262BC" w:rsidRPr="003E1A9F" w:rsidRDefault="11F7F06C" w:rsidP="003262BC">
            <w:pPr>
              <w:pStyle w:val="TableBullet"/>
              <w:cnfStyle w:val="000000100000" w:firstRow="0" w:lastRow="0" w:firstColumn="0" w:lastColumn="0" w:oddVBand="0" w:evenVBand="0" w:oddHBand="1" w:evenHBand="0" w:firstRowFirstColumn="0" w:firstRowLastColumn="0" w:lastRowFirstColumn="0" w:lastRowLastColumn="0"/>
            </w:pPr>
            <w:r>
              <w:t>applications for new notices of requirement</w:t>
            </w:r>
            <w:r w:rsidR="02815506">
              <w:t xml:space="preserve"> and</w:t>
            </w:r>
            <w:r>
              <w:t xml:space="preserve"> primary and secondary construction and implementation plans are made under the NBA.</w:t>
            </w:r>
          </w:p>
        </w:tc>
      </w:tr>
    </w:tbl>
    <w:p w14:paraId="4F32662E" w14:textId="2DE7DB58" w:rsidR="006059FA" w:rsidRDefault="006059FA" w:rsidP="00C94796">
      <w:pPr>
        <w:pStyle w:val="Heading2"/>
        <w:keepLines/>
      </w:pPr>
      <w:r>
        <w:lastRenderedPageBreak/>
        <w:t>Requiring authority status</w:t>
      </w:r>
    </w:p>
    <w:p w14:paraId="5B86DA7C" w14:textId="27F517FF" w:rsidR="006059FA" w:rsidRDefault="006059FA" w:rsidP="00C94796">
      <w:pPr>
        <w:pStyle w:val="BodyText"/>
        <w:keepNext/>
        <w:keepLines/>
      </w:pPr>
      <w:r w:rsidRPr="003262BC">
        <w:rPr>
          <w:b/>
          <w:bCs/>
        </w:rPr>
        <w:t>Existing RMA requiring authorities</w:t>
      </w:r>
      <w:r>
        <w:t xml:space="preserve"> (including approved network utility operators) retain their status under the NBA.</w:t>
      </w:r>
      <w:r w:rsidR="00940362">
        <w:rPr>
          <w:rStyle w:val="FootnoteReference"/>
        </w:rPr>
        <w:footnoteReference w:id="4"/>
      </w:r>
    </w:p>
    <w:p w14:paraId="5F78B6D7" w14:textId="343C3966" w:rsidR="006059FA" w:rsidRDefault="006059FA" w:rsidP="00C94796">
      <w:pPr>
        <w:pStyle w:val="BodyText"/>
        <w:keepNext/>
        <w:keepLines/>
      </w:pPr>
      <w:r w:rsidRPr="00931AE9">
        <w:t xml:space="preserve">Applicants continue to apply for requiring authority status under the RMA </w:t>
      </w:r>
      <w:r>
        <w:t>until three months after Royal assent. If the requiring authority application has not been determined by the time of Royal assent, it will continue to be processed under section 167 of the RMA.</w:t>
      </w:r>
      <w:r w:rsidR="006914C1">
        <w:rPr>
          <w:rStyle w:val="FootnoteReference"/>
        </w:rPr>
        <w:footnoteReference w:id="5"/>
      </w:r>
    </w:p>
    <w:p w14:paraId="350B303F" w14:textId="24F67DC3" w:rsidR="006059FA" w:rsidRDefault="20E8E795" w:rsidP="006059FA">
      <w:pPr>
        <w:pStyle w:val="BodyText"/>
      </w:pPr>
      <w:r w:rsidRPr="00931AE9">
        <w:rPr>
          <w:b/>
          <w:bCs/>
        </w:rPr>
        <w:t>Applications for requiring authority status commence under the NBA</w:t>
      </w:r>
      <w:r>
        <w:t xml:space="preserve"> three months after Royal assent. All new applications to become a requiring authority are processed under the NBA.</w:t>
      </w:r>
      <w:r w:rsidR="00031725">
        <w:rPr>
          <w:rStyle w:val="FootnoteReference"/>
        </w:rPr>
        <w:footnoteReference w:id="6"/>
      </w:r>
      <w:r>
        <w:t xml:space="preserve"> Th</w:t>
      </w:r>
      <w:r w:rsidR="1559963B">
        <w:t>e list of th</w:t>
      </w:r>
      <w:r>
        <w:t>ose who may apply to become a requiring authority is expanded under the NBA</w:t>
      </w:r>
      <w:r w:rsidR="726E7B8F">
        <w:t>. It</w:t>
      </w:r>
      <w:r w:rsidR="0830486F">
        <w:t xml:space="preserve"> </w:t>
      </w:r>
      <w:r>
        <w:t>includes port and inland port operations and emergency services as “network utility operators”,</w:t>
      </w:r>
      <w:r w:rsidR="00066665">
        <w:rPr>
          <w:rStyle w:val="FootnoteReference"/>
        </w:rPr>
        <w:footnoteReference w:id="7"/>
      </w:r>
      <w:r>
        <w:t xml:space="preserve"> as well as a new category of “other applicants”.</w:t>
      </w:r>
      <w:r w:rsidR="004B5F5B">
        <w:rPr>
          <w:rStyle w:val="FootnoteReference"/>
        </w:rPr>
        <w:footnoteReference w:id="8"/>
      </w:r>
    </w:p>
    <w:p w14:paraId="0946A812" w14:textId="17A21A4E" w:rsidR="006059FA" w:rsidRDefault="006059FA" w:rsidP="006059FA">
      <w:pPr>
        <w:pStyle w:val="BodyText"/>
      </w:pPr>
      <w:r>
        <w:t>A requiring authority approved under the NBA can lodge notices of requirement under the RMA as soon as it’s approved by the Minister for the Environment.</w:t>
      </w:r>
      <w:r w:rsidR="001B7DF5">
        <w:rPr>
          <w:rStyle w:val="FootnoteReference"/>
        </w:rPr>
        <w:footnoteReference w:id="9"/>
      </w:r>
    </w:p>
    <w:p w14:paraId="76AA8371" w14:textId="0E808DAB" w:rsidR="006059FA" w:rsidRDefault="006059FA" w:rsidP="006059FA">
      <w:pPr>
        <w:pStyle w:val="BodyText"/>
      </w:pPr>
      <w:r>
        <w:t xml:space="preserve">Until the region’s NBEA date, the provisions of the RMA for </w:t>
      </w:r>
      <w:r w:rsidRPr="00931AE9">
        <w:rPr>
          <w:b/>
          <w:bCs/>
        </w:rPr>
        <w:t>revocation and transfer of requiring authority status</w:t>
      </w:r>
      <w:r>
        <w:t xml:space="preserve"> continue to apply.</w:t>
      </w:r>
      <w:r w:rsidR="00562FC9">
        <w:rPr>
          <w:rStyle w:val="FootnoteReference"/>
        </w:rPr>
        <w:footnoteReference w:id="10"/>
      </w:r>
    </w:p>
    <w:p w14:paraId="30842EBF" w14:textId="77777777" w:rsidR="006059FA" w:rsidRDefault="006059FA" w:rsidP="00931AE9">
      <w:pPr>
        <w:pStyle w:val="Heading2"/>
      </w:pPr>
      <w:r>
        <w:t>Notices of requirement and designations</w:t>
      </w:r>
    </w:p>
    <w:p w14:paraId="5A021BAB" w14:textId="77777777" w:rsidR="006059FA" w:rsidRDefault="006059FA" w:rsidP="006059FA">
      <w:pPr>
        <w:pStyle w:val="BodyText"/>
      </w:pPr>
      <w:r>
        <w:t xml:space="preserve">At enactment </w:t>
      </w:r>
      <w:r w:rsidRPr="00931AE9">
        <w:rPr>
          <w:b/>
          <w:bCs/>
        </w:rPr>
        <w:t>existing designations</w:t>
      </w:r>
      <w:r>
        <w:t xml:space="preserve"> confirmed under the RMA and their associated conditions remain in place. Until the region’s NBEA date, notices of requirement will continue to be processed under the RMA and included in district plans.</w:t>
      </w:r>
    </w:p>
    <w:p w14:paraId="1DEC5780" w14:textId="1AAA4DBD" w:rsidR="006059FA" w:rsidRDefault="006059FA" w:rsidP="006059FA">
      <w:pPr>
        <w:pStyle w:val="BodyText"/>
      </w:pPr>
      <w:r>
        <w:t xml:space="preserve">A requiring authority may </w:t>
      </w:r>
      <w:r w:rsidRPr="00931AE9">
        <w:rPr>
          <w:b/>
          <w:bCs/>
        </w:rPr>
        <w:t>continue submitting outline plans</w:t>
      </w:r>
      <w:r>
        <w:t xml:space="preserve"> for an RMA designation until the region’s NBEA date.</w:t>
      </w:r>
      <w:r w:rsidR="00F770E3">
        <w:rPr>
          <w:rStyle w:val="FootnoteReference"/>
        </w:rPr>
        <w:footnoteReference w:id="11"/>
      </w:r>
    </w:p>
    <w:p w14:paraId="0EE57DF4" w14:textId="77777777" w:rsidR="006059FA" w:rsidRDefault="006059FA" w:rsidP="006059FA">
      <w:pPr>
        <w:pStyle w:val="BodyText"/>
      </w:pPr>
      <w:r w:rsidRPr="00931AE9">
        <w:rPr>
          <w:b/>
          <w:bCs/>
        </w:rPr>
        <w:t>Territorial authorities continue to process notices of requirement</w:t>
      </w:r>
      <w:r>
        <w:t xml:space="preserve"> (outside of the plan development process). Regional planning committees will be responsible for including existing designations in an NBE plan.</w:t>
      </w:r>
    </w:p>
    <w:p w14:paraId="151DB2D0" w14:textId="46B49645" w:rsidR="006059FA" w:rsidRDefault="006059FA" w:rsidP="006059FA">
      <w:pPr>
        <w:pStyle w:val="BodyText"/>
      </w:pPr>
      <w:r>
        <w:t xml:space="preserve">Once a </w:t>
      </w:r>
      <w:r w:rsidRPr="00931AE9">
        <w:rPr>
          <w:b/>
          <w:bCs/>
        </w:rPr>
        <w:t>regional spatial strategy is adopted</w:t>
      </w:r>
      <w:r>
        <w:t xml:space="preserve"> in a region, the territorial authority must consider any of its relevant provisions</w:t>
      </w:r>
      <w:r w:rsidR="0032783B">
        <w:rPr>
          <w:rStyle w:val="FootnoteReference"/>
        </w:rPr>
        <w:footnoteReference w:id="12"/>
      </w:r>
      <w:r>
        <w:t xml:space="preserve"> when making recommendations on a notice of requirement.</w:t>
      </w:r>
    </w:p>
    <w:p w14:paraId="2F619FBE" w14:textId="3783962B" w:rsidR="006059FA" w:rsidRDefault="006059FA" w:rsidP="006059FA">
      <w:pPr>
        <w:pStyle w:val="BodyText"/>
      </w:pPr>
      <w:r>
        <w:lastRenderedPageBreak/>
        <w:t xml:space="preserve">The </w:t>
      </w:r>
      <w:r w:rsidRPr="00931AE9">
        <w:rPr>
          <w:b/>
          <w:bCs/>
        </w:rPr>
        <w:t>RMA provisions relating to notices of requirement no longer apply</w:t>
      </w:r>
      <w:r>
        <w:t xml:space="preserve"> from a region’s NBEA date.</w:t>
      </w:r>
      <w:r w:rsidR="00AE0C57">
        <w:rPr>
          <w:rStyle w:val="FootnoteReference"/>
        </w:rPr>
        <w:footnoteReference w:id="13"/>
      </w:r>
      <w:r>
        <w:t xml:space="preserve"> Applications for notices of requirement lodged under the RMA but not confirmed before a region’s NBEA date continue to be processed under the RMA, but are included in an NBE plan.</w:t>
      </w:r>
      <w:r w:rsidR="007D0378">
        <w:rPr>
          <w:rStyle w:val="FootnoteReference"/>
        </w:rPr>
        <w:footnoteReference w:id="14"/>
      </w:r>
    </w:p>
    <w:p w14:paraId="4F3A0F1E" w14:textId="67C18728" w:rsidR="006059FA" w:rsidRDefault="006059FA" w:rsidP="006059FA">
      <w:pPr>
        <w:pStyle w:val="BodyText"/>
      </w:pPr>
      <w:r>
        <w:t xml:space="preserve">From a region’s NBEA date, </w:t>
      </w:r>
      <w:r w:rsidRPr="00931AE9">
        <w:rPr>
          <w:b/>
          <w:bCs/>
        </w:rPr>
        <w:t>secondary construction and implementation plans</w:t>
      </w:r>
      <w:r>
        <w:t xml:space="preserve"> under the NBA must be applied for.</w:t>
      </w:r>
      <w:r w:rsidR="000C448A">
        <w:rPr>
          <w:rStyle w:val="FootnoteReference"/>
        </w:rPr>
        <w:footnoteReference w:id="15"/>
      </w:r>
    </w:p>
    <w:p w14:paraId="0162DC9A" w14:textId="7398FE40" w:rsidR="006059FA" w:rsidRDefault="006059FA" w:rsidP="006059FA">
      <w:pPr>
        <w:pStyle w:val="BodyText"/>
      </w:pPr>
      <w:r>
        <w:t xml:space="preserve">The </w:t>
      </w:r>
      <w:r w:rsidRPr="00931AE9">
        <w:rPr>
          <w:b/>
          <w:bCs/>
        </w:rPr>
        <w:t>RMA lapse period of five years</w:t>
      </w:r>
      <w:r>
        <w:t xml:space="preserve"> for a designation not given effect to, will continue to apply to designations in place before the region’s NBEA date. The </w:t>
      </w:r>
      <w:r w:rsidRPr="00463F0F">
        <w:rPr>
          <w:b/>
          <w:bCs/>
        </w:rPr>
        <w:t>NBA lapse period</w:t>
      </w:r>
      <w:r>
        <w:t xml:space="preserve"> of 10 years will apply to designations confirmed after the region’s NBEA date.</w:t>
      </w:r>
      <w:r w:rsidR="00A825E3">
        <w:rPr>
          <w:rStyle w:val="FootnoteReference"/>
        </w:rPr>
        <w:footnoteReference w:id="16"/>
      </w:r>
    </w:p>
    <w:p w14:paraId="48B5A63C" w14:textId="286331F0" w:rsidR="006059FA" w:rsidRDefault="006059FA" w:rsidP="006059FA">
      <w:pPr>
        <w:pStyle w:val="BodyText"/>
      </w:pPr>
      <w:r>
        <w:t xml:space="preserve">A regional planning committee </w:t>
      </w:r>
      <w:r w:rsidRPr="00463F0F">
        <w:rPr>
          <w:b/>
          <w:bCs/>
        </w:rPr>
        <w:t>must include designations in an NBE plans</w:t>
      </w:r>
      <w:r>
        <w:t xml:space="preserve"> before notification, similar to the process under the RMA.</w:t>
      </w:r>
      <w:r w:rsidR="00C94796">
        <w:rPr>
          <w:rStyle w:val="FootnoteReference"/>
        </w:rPr>
        <w:footnoteReference w:id="17"/>
      </w:r>
    </w:p>
    <w:p w14:paraId="505E43A0" w14:textId="77777777" w:rsidR="006059FA" w:rsidRDefault="006059FA" w:rsidP="00F5746A">
      <w:pPr>
        <w:pStyle w:val="BodyText"/>
      </w:pPr>
    </w:p>
    <w:p w14:paraId="1E35ADB5" w14:textId="77777777" w:rsidR="006059FA" w:rsidRDefault="006059FA">
      <w:pPr>
        <w:spacing w:before="0" w:after="0" w:line="240" w:lineRule="auto"/>
        <w:jc w:val="left"/>
      </w:pPr>
      <w:r>
        <w:br w:type="page"/>
      </w:r>
    </w:p>
    <w:p w14:paraId="6FC6E505" w14:textId="77777777" w:rsidR="00FA0C86" w:rsidRDefault="006239DF" w:rsidP="00D1660E">
      <w:pPr>
        <w:pStyle w:val="BodyText"/>
      </w:pPr>
      <w:r>
        <w:rPr>
          <w:noProof/>
        </w:rPr>
        <w:lastRenderedPageBreak/>
        <mc:AlternateContent>
          <mc:Choice Requires="wps">
            <w:drawing>
              <wp:anchor distT="0" distB="0" distL="114300" distR="114300" simplePos="0" relativeHeight="251658241" behindDoc="0" locked="1" layoutInCell="1" allowOverlap="1" wp14:anchorId="321757F2" wp14:editId="29CDCAD8">
                <wp:simplePos x="0" y="0"/>
                <wp:positionH relativeFrom="column">
                  <wp:posOffset>-16510</wp:posOffset>
                </wp:positionH>
                <wp:positionV relativeFrom="page">
                  <wp:posOffset>6496050</wp:posOffset>
                </wp:positionV>
                <wp:extent cx="5835650" cy="3994150"/>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5835650" cy="3994150"/>
                        </a:xfrm>
                        <a:prstGeom prst="rect">
                          <a:avLst/>
                        </a:prstGeom>
                        <a:solidFill>
                          <a:schemeClr val="lt1"/>
                        </a:solidFill>
                        <a:ln w="6350">
                          <a:solidFill>
                            <a:schemeClr val="bg1"/>
                          </a:solidFill>
                        </a:ln>
                      </wps:spPr>
                      <wps:txbx>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6"/>
                              <w:gridCol w:w="3579"/>
                            </w:tblGrid>
                            <w:tr w:rsidR="006E7652" w14:paraId="6823FB2C" w14:textId="77777777" w:rsidTr="00C83A03">
                              <w:trPr>
                                <w:cnfStyle w:val="100000000000" w:firstRow="1" w:lastRow="0" w:firstColumn="0" w:lastColumn="0" w:oddVBand="0" w:evenVBand="0" w:oddHBand="0" w:evenHBand="0" w:firstRowFirstColumn="0" w:firstRowLastColumn="0" w:lastRowFirstColumn="0" w:lastRowLastColumn="0"/>
                              </w:trPr>
                              <w:tc>
                                <w:tcPr>
                                  <w:tcW w:w="9185" w:type="dxa"/>
                                  <w:gridSpan w:val="2"/>
                                  <w:tcBorders>
                                    <w:bottom w:val="none" w:sz="0" w:space="0" w:color="auto"/>
                                  </w:tcBorders>
                                  <w:shd w:val="clear" w:color="auto" w:fill="FFFFFF" w:themeFill="background1"/>
                                </w:tcPr>
                                <w:p w14:paraId="0B9F1479" w14:textId="77777777" w:rsidR="006E7652" w:rsidRPr="0002270C" w:rsidRDefault="006E7652" w:rsidP="006E7652">
                                  <w:pPr>
                                    <w:pStyle w:val="TableText"/>
                                    <w:rPr>
                                      <w:b/>
                                      <w:bCs/>
                                    </w:rPr>
                                  </w:pPr>
                                  <w:r w:rsidRPr="0002270C">
                                    <w:rPr>
                                      <w:b/>
                                      <w:bCs/>
                                    </w:rPr>
                                    <w:t>Disclaimer</w:t>
                                  </w:r>
                                </w:p>
                                <w:p w14:paraId="70E1263E" w14:textId="77777777" w:rsidR="006E7652" w:rsidRDefault="006E7652" w:rsidP="006E7652">
                                  <w:pPr>
                                    <w:pStyle w:val="TableText"/>
                                  </w:pPr>
                                  <w:r>
                                    <w:t>The information in this publication is, according to the Ministry for the Environment’s best efforts, accurate at the time of publication. The Ministry will make every reasonable effort to keep it current and accurate. However, users of this publication are advised that:</w:t>
                                  </w:r>
                                </w:p>
                                <w:p w14:paraId="088512E3" w14:textId="77777777" w:rsidR="006E7652" w:rsidRDefault="006E7652" w:rsidP="006E7652">
                                  <w:pPr>
                                    <w:pStyle w:val="TableText"/>
                                  </w:pPr>
                                  <w:r>
                                    <w:t>• The information provided has no official status and so does not alter the laws of New Zealand, other official guidelines or requirements.</w:t>
                                  </w:r>
                                </w:p>
                                <w:p w14:paraId="74323367" w14:textId="77777777" w:rsidR="006E7652" w:rsidRDefault="006E7652" w:rsidP="006E7652">
                                  <w:pPr>
                                    <w:pStyle w:val="TableText"/>
                                  </w:pPr>
                                  <w:r>
                                    <w:t>• It does not constitute legal advice, and users should take specific advice from qualified professionals before taking any action as a result of information obtained from this publication.</w:t>
                                  </w:r>
                                </w:p>
                                <w:p w14:paraId="44EAE550" w14:textId="77777777" w:rsidR="006E7652" w:rsidRDefault="006E7652" w:rsidP="006E7652">
                                  <w:pPr>
                                    <w:pStyle w:val="TableText"/>
                                  </w:pPr>
                                  <w:r>
                                    <w:t>• The Ministry for the Environment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provided in this publication.</w:t>
                                  </w:r>
                                </w:p>
                                <w:p w14:paraId="026C0150" w14:textId="77777777" w:rsidR="006E7652" w:rsidRDefault="006E7652" w:rsidP="006E7652">
                                  <w:pPr>
                                    <w:pStyle w:val="TableText"/>
                                  </w:pPr>
                                  <w:r>
                                    <w:t>• All references to websites, organisations or people not within the Ministry for the Environment are provided for convenience only and should not be taken as endorsement of those websites or information contained in those websites nor of organisations or people referred to.</w:t>
                                  </w:r>
                                </w:p>
                                <w:p w14:paraId="1F0A45C9" w14:textId="77777777" w:rsidR="006E7652" w:rsidRDefault="006E7652" w:rsidP="001B6610">
                                  <w:pPr>
                                    <w:pStyle w:val="Footer"/>
                                    <w:rPr>
                                      <w:noProof/>
                                    </w:rPr>
                                  </w:pPr>
                                </w:p>
                              </w:tc>
                            </w:tr>
                            <w:tr w:rsidR="006239DF" w14:paraId="23D3A417" w14:textId="77777777" w:rsidTr="00E85357">
                              <w:tc>
                                <w:tcPr>
                                  <w:tcW w:w="5606" w:type="dxa"/>
                                  <w:tcBorders>
                                    <w:bottom w:val="single" w:sz="6" w:space="0" w:color="auto"/>
                                  </w:tcBorders>
                                  <w:shd w:val="clear" w:color="auto" w:fill="FFFFFF" w:themeFill="background1"/>
                                </w:tcPr>
                                <w:p w14:paraId="3639332A" w14:textId="3F7D3716" w:rsidR="006239DF" w:rsidRDefault="006239DF" w:rsidP="003A6769">
                                  <w:pPr>
                                    <w:pStyle w:val="TableText"/>
                                  </w:pPr>
                                  <w:r w:rsidRPr="006C18C8">
                                    <w:t xml:space="preserve">Published in </w:t>
                                  </w:r>
                                  <w:r w:rsidR="00781466">
                                    <w:t>October</w:t>
                                  </w:r>
                                  <w:r w:rsidR="00F4332A">
                                    <w:t xml:space="preserve"> 2023</w:t>
                                  </w:r>
                                  <w:r w:rsidRPr="006C18C8">
                                    <w:t xml:space="preserve"> by the </w:t>
                                  </w:r>
                                  <w:r w:rsidRPr="006C18C8">
                                    <w:br/>
                                    <w:t>Ministry for the Environment – Manatū Mō Te Taiao</w:t>
                                  </w:r>
                                  <w:r w:rsidRPr="006C18C8">
                                    <w:br/>
                                    <w:t xml:space="preserve">Publication number: INFO </w:t>
                                  </w:r>
                                  <w:r w:rsidR="00B0317A">
                                    <w:t>1188</w:t>
                                  </w:r>
                                </w:p>
                              </w:tc>
                              <w:tc>
                                <w:tcPr>
                                  <w:tcW w:w="3579" w:type="dxa"/>
                                  <w:tcBorders>
                                    <w:bottom w:val="single" w:sz="6" w:space="0" w:color="auto"/>
                                  </w:tcBorders>
                                  <w:shd w:val="clear" w:color="auto" w:fill="FFFFFF" w:themeFill="background1"/>
                                  <w:tcMar>
                                    <w:left w:w="0" w:type="dxa"/>
                                    <w:right w:w="0" w:type="dxa"/>
                                  </w:tcMar>
                                  <w:vAlign w:val="bottom"/>
                                </w:tcPr>
                                <w:p w14:paraId="4B6CB11E" w14:textId="77777777" w:rsidR="006239DF" w:rsidRDefault="006239DF" w:rsidP="00E57601">
                                  <w:pPr>
                                    <w:pStyle w:val="Footer"/>
                                    <w:jc w:val="right"/>
                                  </w:pPr>
                                  <w:r>
                                    <w:rPr>
                                      <w:noProof/>
                                    </w:rPr>
                                    <w:drawing>
                                      <wp:inline distT="0" distB="0" distL="0" distR="0" wp14:anchorId="441B26E1" wp14:editId="60AF7109">
                                        <wp:extent cx="2194459" cy="538456"/>
                                        <wp:effectExtent l="0" t="0" r="0" b="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6">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94AD82E" w14:textId="77777777" w:rsidR="006239DF" w:rsidRPr="00C82C4B" w:rsidRDefault="006239DF" w:rsidP="006239DF">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757F2" id="_x0000_t202" coordsize="21600,21600" o:spt="202" path="m,l,21600r21600,l21600,xe">
                <v:stroke joinstyle="miter"/>
                <v:path gradientshapeok="t" o:connecttype="rect"/>
              </v:shapetype>
              <v:shape id="Text Box 1" o:spid="_x0000_s1028" type="#_x0000_t202" style="position:absolute;margin-left:-1.3pt;margin-top:511.5pt;width:459.5pt;height:31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" fillcolor="white [3201]" strokecolor="white [3212]" strokeweight=".5pt">
                <v:textbox inset="0,0,0,0">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6"/>
                        <w:gridCol w:w="3579"/>
                      </w:tblGrid>
                      <w:tr w:rsidR="006E7652" w14:paraId="6823FB2C" w14:textId="77777777" w:rsidTr="00C83A03">
                        <w:trPr>
                          <w:cnfStyle w:val="100000000000" w:firstRow="1" w:lastRow="0" w:firstColumn="0" w:lastColumn="0" w:oddVBand="0" w:evenVBand="0" w:oddHBand="0" w:evenHBand="0" w:firstRowFirstColumn="0" w:firstRowLastColumn="0" w:lastRowFirstColumn="0" w:lastRowLastColumn="0"/>
                        </w:trPr>
                        <w:tc>
                          <w:tcPr>
                            <w:tcW w:w="9185" w:type="dxa"/>
                            <w:gridSpan w:val="2"/>
                            <w:tcBorders>
                              <w:bottom w:val="none" w:sz="0" w:space="0" w:color="auto"/>
                            </w:tcBorders>
                            <w:shd w:val="clear" w:color="auto" w:fill="FFFFFF" w:themeFill="background1"/>
                          </w:tcPr>
                          <w:p w14:paraId="0B9F1479" w14:textId="77777777" w:rsidR="006E7652" w:rsidRPr="0002270C" w:rsidRDefault="006E7652" w:rsidP="006E7652">
                            <w:pPr>
                              <w:pStyle w:val="TableText"/>
                              <w:rPr>
                                <w:b/>
                                <w:bCs/>
                              </w:rPr>
                            </w:pPr>
                            <w:r w:rsidRPr="0002270C">
                              <w:rPr>
                                <w:b/>
                                <w:bCs/>
                              </w:rPr>
                              <w:t>Disclaimer</w:t>
                            </w:r>
                          </w:p>
                          <w:p w14:paraId="70E1263E" w14:textId="77777777" w:rsidR="006E7652" w:rsidRDefault="006E7652" w:rsidP="006E7652">
                            <w:pPr>
                              <w:pStyle w:val="TableText"/>
                            </w:pPr>
                            <w:r>
                              <w:t>The information in this publication is, according to the Ministry for the Environment’s best efforts, accurate at the time of publication. The Ministry will make every reasonable effort to keep it current and accurate. However, users of this publication are advised that:</w:t>
                            </w:r>
                          </w:p>
                          <w:p w14:paraId="088512E3" w14:textId="77777777" w:rsidR="006E7652" w:rsidRDefault="006E7652" w:rsidP="006E7652">
                            <w:pPr>
                              <w:pStyle w:val="TableText"/>
                            </w:pPr>
                            <w:r>
                              <w:t>• The information provided has no official status and so does not alter the laws of New Zealand, other official guidelines or requirements.</w:t>
                            </w:r>
                          </w:p>
                          <w:p w14:paraId="74323367" w14:textId="77777777" w:rsidR="006E7652" w:rsidRDefault="006E7652" w:rsidP="006E7652">
                            <w:pPr>
                              <w:pStyle w:val="TableText"/>
                            </w:pPr>
                            <w:r>
                              <w:t>• It does not constitute legal advice, and users should take specific advice from qualified professionals before taking any action as a result of information obtained from this publication.</w:t>
                            </w:r>
                          </w:p>
                          <w:p w14:paraId="44EAE550" w14:textId="77777777" w:rsidR="006E7652" w:rsidRDefault="006E7652" w:rsidP="006E7652">
                            <w:pPr>
                              <w:pStyle w:val="TableText"/>
                            </w:pPr>
                            <w:r>
                              <w:t>• The Ministry for the Environment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provided in this publication.</w:t>
                            </w:r>
                          </w:p>
                          <w:p w14:paraId="026C0150" w14:textId="77777777" w:rsidR="006E7652" w:rsidRDefault="006E7652" w:rsidP="006E7652">
                            <w:pPr>
                              <w:pStyle w:val="TableText"/>
                            </w:pPr>
                            <w:r>
                              <w:t>• All references to websites, organisations or people not within the Ministry for the Environment are provided for convenience only and should not be taken as endorsement of those websites or information contained in those websites nor of organisations or people referred to.</w:t>
                            </w:r>
                          </w:p>
                          <w:p w14:paraId="1F0A45C9" w14:textId="77777777" w:rsidR="006E7652" w:rsidRDefault="006E7652" w:rsidP="001B6610">
                            <w:pPr>
                              <w:pStyle w:val="Footer"/>
                              <w:rPr>
                                <w:noProof/>
                              </w:rPr>
                            </w:pPr>
                          </w:p>
                        </w:tc>
                      </w:tr>
                      <w:tr w:rsidR="006239DF" w14:paraId="23D3A417" w14:textId="77777777" w:rsidTr="00E85357">
                        <w:tc>
                          <w:tcPr>
                            <w:tcW w:w="5606" w:type="dxa"/>
                            <w:tcBorders>
                              <w:bottom w:val="single" w:sz="6" w:space="0" w:color="auto"/>
                            </w:tcBorders>
                            <w:shd w:val="clear" w:color="auto" w:fill="FFFFFF" w:themeFill="background1"/>
                          </w:tcPr>
                          <w:p w14:paraId="3639332A" w14:textId="3F7D3716" w:rsidR="006239DF" w:rsidRDefault="006239DF" w:rsidP="003A6769">
                            <w:pPr>
                              <w:pStyle w:val="TableText"/>
                            </w:pPr>
                            <w:r w:rsidRPr="006C18C8">
                              <w:t xml:space="preserve">Published in </w:t>
                            </w:r>
                            <w:r w:rsidR="00781466">
                              <w:t>October</w:t>
                            </w:r>
                            <w:r w:rsidR="00F4332A">
                              <w:t xml:space="preserve"> 2023</w:t>
                            </w:r>
                            <w:r w:rsidRPr="006C18C8">
                              <w:t xml:space="preserve"> by the </w:t>
                            </w:r>
                            <w:r w:rsidRPr="006C18C8">
                              <w:br/>
                              <w:t>Ministry for the Environment – Manatū Mō Te Taiao</w:t>
                            </w:r>
                            <w:r w:rsidRPr="006C18C8">
                              <w:br/>
                              <w:t xml:space="preserve">Publication number: INFO </w:t>
                            </w:r>
                            <w:r w:rsidR="00B0317A">
                              <w:t>1188</w:t>
                            </w:r>
                          </w:p>
                        </w:tc>
                        <w:tc>
                          <w:tcPr>
                            <w:tcW w:w="3579" w:type="dxa"/>
                            <w:tcBorders>
                              <w:bottom w:val="single" w:sz="6" w:space="0" w:color="auto"/>
                            </w:tcBorders>
                            <w:shd w:val="clear" w:color="auto" w:fill="FFFFFF" w:themeFill="background1"/>
                            <w:tcMar>
                              <w:left w:w="0" w:type="dxa"/>
                              <w:right w:w="0" w:type="dxa"/>
                            </w:tcMar>
                            <w:vAlign w:val="bottom"/>
                          </w:tcPr>
                          <w:p w14:paraId="4B6CB11E" w14:textId="77777777" w:rsidR="006239DF" w:rsidRDefault="006239DF" w:rsidP="00E57601">
                            <w:pPr>
                              <w:pStyle w:val="Footer"/>
                              <w:jc w:val="right"/>
                            </w:pPr>
                            <w:r>
                              <w:rPr>
                                <w:noProof/>
                              </w:rPr>
                              <w:drawing>
                                <wp:inline distT="0" distB="0" distL="0" distR="0" wp14:anchorId="441B26E1" wp14:editId="60AF7109">
                                  <wp:extent cx="2194459" cy="538456"/>
                                  <wp:effectExtent l="0" t="0" r="0" b="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6">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94AD82E" w14:textId="77777777" w:rsidR="006239DF" w:rsidRPr="00C82C4B" w:rsidRDefault="006239DF" w:rsidP="006239DF">
                      <w:pPr>
                        <w:pStyle w:val="BodyText"/>
                        <w:spacing w:before="0" w:after="0" w:line="240" w:lineRule="auto"/>
                        <w:rPr>
                          <w:sz w:val="16"/>
                          <w:szCs w:val="16"/>
                        </w:rPr>
                      </w:pPr>
                    </w:p>
                  </w:txbxContent>
                </v:textbox>
                <w10:wrap anchory="page"/>
                <w10:anchorlock/>
              </v:shape>
            </w:pict>
          </mc:Fallback>
        </mc:AlternateContent>
      </w:r>
    </w:p>
    <w:sectPr w:rsidR="00FA0C86" w:rsidSect="00F55E2E">
      <w:footerReference w:type="first" r:id="rId17"/>
      <w:pgSz w:w="11907" w:h="16840" w:code="9"/>
      <w:pgMar w:top="1134" w:right="1418" w:bottom="1134" w:left="1418" w:header="567" w:footer="73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DADE5" w14:textId="77777777" w:rsidR="00F35EC6" w:rsidRDefault="00F35EC6" w:rsidP="0080531E">
      <w:pPr>
        <w:spacing w:before="0" w:after="0" w:line="240" w:lineRule="auto"/>
      </w:pPr>
      <w:r>
        <w:separator/>
      </w:r>
    </w:p>
    <w:p w14:paraId="5DA4E0D0" w14:textId="77777777" w:rsidR="00F35EC6" w:rsidRDefault="00F35EC6"/>
  </w:endnote>
  <w:endnote w:type="continuationSeparator" w:id="0">
    <w:p w14:paraId="6510368B" w14:textId="77777777" w:rsidR="00F35EC6" w:rsidRDefault="00F35EC6" w:rsidP="0080531E">
      <w:pPr>
        <w:spacing w:before="0" w:after="0" w:line="240" w:lineRule="auto"/>
      </w:pPr>
      <w:r>
        <w:continuationSeparator/>
      </w:r>
    </w:p>
    <w:p w14:paraId="3A095075" w14:textId="77777777" w:rsidR="00F35EC6" w:rsidRDefault="00F35EC6"/>
  </w:endnote>
  <w:endnote w:type="continuationNotice" w:id="1">
    <w:p w14:paraId="17C7BA63" w14:textId="77777777" w:rsidR="00F35EC6" w:rsidRDefault="00F35EC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E718" w14:textId="0BA88FDC" w:rsidR="00872828" w:rsidRPr="00BE4098" w:rsidRDefault="00872828" w:rsidP="0068522E">
    <w:pPr>
      <w:pStyle w:val="Footereven"/>
    </w:pPr>
    <w:r>
      <w:fldChar w:fldCharType="begin"/>
    </w:r>
    <w:r>
      <w:instrText xml:space="preserve"> PAGE   \* MERGEFORMAT </w:instrText>
    </w:r>
    <w:r>
      <w:fldChar w:fldCharType="separate"/>
    </w:r>
    <w:r>
      <w:rPr>
        <w:noProof/>
      </w:rPr>
      <w:t>1</w:t>
    </w:r>
    <w:r>
      <w:rPr>
        <w:noProof/>
      </w:rPr>
      <w:fldChar w:fldCharType="end"/>
    </w:r>
    <w:r>
      <w:rPr>
        <w:noProof/>
      </w:rPr>
      <w:tab/>
    </w:r>
    <w:r w:rsidR="006059FA" w:rsidRPr="006059FA">
      <w:t>Requiring authorities, notices of requirement and designations: Moving to the new system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1E4A" w14:textId="1FE1967A" w:rsidR="006C18C8" w:rsidRPr="005E24DE" w:rsidRDefault="005E24DE" w:rsidP="006059FA">
    <w:pPr>
      <w:tabs>
        <w:tab w:val="right" w:pos="8505"/>
        <w:tab w:val="right" w:pos="9043"/>
      </w:tabs>
      <w:jc w:val="left"/>
      <w:rPr>
        <w:sz w:val="16"/>
      </w:rPr>
    </w:pPr>
    <w:r w:rsidRPr="005E24DE">
      <w:rPr>
        <w:sz w:val="16"/>
      </w:rPr>
      <w:tab/>
    </w:r>
    <w:r w:rsidR="006059FA" w:rsidRPr="006059FA">
      <w:rPr>
        <w:sz w:val="16"/>
      </w:rPr>
      <w:t>Requiring authorities, notices of requirement and designations: Moving to the new system</w:t>
    </w:r>
    <w:r w:rsidRPr="005E24DE">
      <w:rPr>
        <w:sz w:val="16"/>
      </w:rPr>
      <w:tab/>
    </w:r>
    <w:r w:rsidRPr="005E24DE">
      <w:rPr>
        <w:sz w:val="16"/>
      </w:rPr>
      <w:fldChar w:fldCharType="begin"/>
    </w:r>
    <w:r w:rsidRPr="005E24DE">
      <w:rPr>
        <w:sz w:val="16"/>
      </w:rPr>
      <w:instrText xml:space="preserve"> PAGE   \* MERGEFORMAT </w:instrText>
    </w:r>
    <w:r w:rsidRPr="005E24DE">
      <w:rPr>
        <w:sz w:val="16"/>
      </w:rPr>
      <w:fldChar w:fldCharType="separate"/>
    </w:r>
    <w:r w:rsidRPr="005E24DE">
      <w:rPr>
        <w:sz w:val="16"/>
      </w:rPr>
      <w:t>3</w:t>
    </w:r>
    <w:r w:rsidRPr="005E24DE">
      <w:rPr>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A31F" w14:textId="4A18B932" w:rsidR="0085118C" w:rsidRDefault="00501011" w:rsidP="0085118C">
    <w:pPr>
      <w:pStyle w:val="Footerodd"/>
    </w:pPr>
    <w:r w:rsidRPr="00487ED4">
      <w:rPr>
        <w:noProof/>
        <w:sz w:val="20"/>
        <w:szCs w:val="20"/>
      </w:rPr>
      <w:drawing>
        <wp:anchor distT="0" distB="0" distL="114300" distR="114300" simplePos="0" relativeHeight="251658240" behindDoc="1" locked="0" layoutInCell="1" allowOverlap="1" wp14:anchorId="318599F8" wp14:editId="4106170B">
          <wp:simplePos x="0" y="0"/>
          <wp:positionH relativeFrom="column">
            <wp:posOffset>-895350</wp:posOffset>
          </wp:positionH>
          <wp:positionV relativeFrom="paragraph">
            <wp:posOffset>-882015</wp:posOffset>
          </wp:positionV>
          <wp:extent cx="7543800" cy="1646555"/>
          <wp:effectExtent l="0" t="0" r="0" b="0"/>
          <wp:wrapNone/>
          <wp:docPr id="473615810" name="Picture 473615810"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close-up of a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43800" cy="1646555"/>
                  </a:xfrm>
                  <a:prstGeom prst="rect">
                    <a:avLst/>
                  </a:prstGeom>
                </pic:spPr>
              </pic:pic>
            </a:graphicData>
          </a:graphic>
          <wp14:sizeRelH relativeFrom="page">
            <wp14:pctWidth>0</wp14:pctWidth>
          </wp14:sizeRelH>
          <wp14:sizeRelV relativeFrom="page">
            <wp14:pctHeight>0</wp14:pctHeight>
          </wp14:sizeRelV>
        </wp:anchor>
      </w:drawing>
    </w:r>
    <w:r w:rsidR="0085118C">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9FD3" w14:textId="55B6CB41" w:rsidR="00501011" w:rsidRPr="00501011" w:rsidRDefault="00501011" w:rsidP="00501011">
    <w:pPr>
      <w:tabs>
        <w:tab w:val="left" w:pos="567"/>
      </w:tabs>
      <w:rPr>
        <w:sz w:val="16"/>
      </w:rPr>
    </w:pPr>
    <w:r w:rsidRPr="00501011">
      <w:rPr>
        <w:b/>
        <w:sz w:val="16"/>
      </w:rPr>
      <w:fldChar w:fldCharType="begin"/>
    </w:r>
    <w:r w:rsidRPr="00501011">
      <w:rPr>
        <w:sz w:val="16"/>
      </w:rPr>
      <w:instrText xml:space="preserve"> PAGE </w:instrText>
    </w:r>
    <w:r w:rsidRPr="00501011">
      <w:rPr>
        <w:b/>
        <w:sz w:val="16"/>
      </w:rPr>
      <w:fldChar w:fldCharType="separate"/>
    </w:r>
    <w:r w:rsidRPr="00501011">
      <w:rPr>
        <w:b/>
        <w:sz w:val="16"/>
      </w:rPr>
      <w:t>4</w:t>
    </w:r>
    <w:r w:rsidRPr="00501011">
      <w:rPr>
        <w:b/>
        <w:sz w:val="16"/>
      </w:rPr>
      <w:fldChar w:fldCharType="end"/>
    </w:r>
    <w:r w:rsidRPr="00501011">
      <w:rPr>
        <w:sz w:val="16"/>
      </w:rPr>
      <w:tab/>
    </w:r>
    <w:r w:rsidR="006059FA" w:rsidRPr="006059FA">
      <w:rPr>
        <w:sz w:val="16"/>
      </w:rPr>
      <w:t>Requiring authorities, notices of requirement and designations: Moving to the new system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139A0" w14:textId="77777777" w:rsidR="00F35EC6" w:rsidRDefault="00F35EC6" w:rsidP="00CB5C5F">
      <w:pPr>
        <w:spacing w:before="0" w:after="80" w:line="240" w:lineRule="auto"/>
      </w:pPr>
      <w:bookmarkStart w:id="0" w:name="_Hlk86912439"/>
      <w:bookmarkEnd w:id="0"/>
      <w:r>
        <w:separator/>
      </w:r>
    </w:p>
  </w:footnote>
  <w:footnote w:type="continuationSeparator" w:id="0">
    <w:p w14:paraId="0A98C0F8" w14:textId="77777777" w:rsidR="00F35EC6" w:rsidRDefault="00F35EC6" w:rsidP="0080531E">
      <w:pPr>
        <w:spacing w:before="0" w:after="0" w:line="240" w:lineRule="auto"/>
      </w:pPr>
      <w:r>
        <w:continuationSeparator/>
      </w:r>
    </w:p>
    <w:p w14:paraId="212FB1E1" w14:textId="77777777" w:rsidR="00F35EC6" w:rsidRDefault="00F35EC6"/>
  </w:footnote>
  <w:footnote w:type="continuationNotice" w:id="1">
    <w:p w14:paraId="320426E1" w14:textId="77777777" w:rsidR="00F35EC6" w:rsidRDefault="00F35EC6">
      <w:pPr>
        <w:spacing w:before="0" w:after="0" w:line="240" w:lineRule="auto"/>
      </w:pPr>
    </w:p>
  </w:footnote>
  <w:footnote w:id="2">
    <w:p w14:paraId="071BB5B5" w14:textId="37736E3F" w:rsidR="000D2BE3" w:rsidRDefault="000D2BE3">
      <w:pPr>
        <w:pStyle w:val="FootnoteText"/>
      </w:pPr>
      <w:r>
        <w:rPr>
          <w:rStyle w:val="FootnoteReference"/>
        </w:rPr>
        <w:footnoteRef/>
      </w:r>
      <w:r>
        <w:t xml:space="preserve"> </w:t>
      </w:r>
      <w:r>
        <w:tab/>
      </w:r>
      <w:r w:rsidRPr="00691A46">
        <w:rPr>
          <w:sz w:val="20"/>
          <w:szCs w:val="20"/>
        </w:rPr>
        <w:t>The Climate Adaptation Act is also planned</w:t>
      </w:r>
      <w:r>
        <w:rPr>
          <w:sz w:val="20"/>
          <w:szCs w:val="20"/>
        </w:rPr>
        <w:t>, which will</w:t>
      </w:r>
      <w:r w:rsidRPr="00691A46">
        <w:rPr>
          <w:sz w:val="20"/>
          <w:szCs w:val="20"/>
        </w:rPr>
        <w:t xml:space="preserve"> address managed retreat, and funding and financing of climate adaptation. A date for introduction of the Bill is not yet confirmed.</w:t>
      </w:r>
    </w:p>
  </w:footnote>
  <w:footnote w:id="3">
    <w:p w14:paraId="6AA54575" w14:textId="0DB154B1" w:rsidR="007B7569" w:rsidRDefault="007B7569">
      <w:pPr>
        <w:pStyle w:val="FootnoteText"/>
      </w:pPr>
      <w:r>
        <w:rPr>
          <w:rStyle w:val="FootnoteReference"/>
        </w:rPr>
        <w:footnoteRef/>
      </w:r>
      <w:r>
        <w:t xml:space="preserve"> </w:t>
      </w:r>
      <w:r>
        <w:tab/>
        <w:t>Schedule 1, c</w:t>
      </w:r>
      <w:r w:rsidRPr="000F36AD">
        <w:t>l</w:t>
      </w:r>
      <w:r>
        <w:t>ause</w:t>
      </w:r>
      <w:r w:rsidRPr="000F36AD">
        <w:t xml:space="preserve"> </w:t>
      </w:r>
      <w:r>
        <w:t>38 of the NBA.</w:t>
      </w:r>
    </w:p>
  </w:footnote>
  <w:footnote w:id="4">
    <w:p w14:paraId="00A66376" w14:textId="762F5AF6" w:rsidR="00940362" w:rsidRDefault="00940362">
      <w:pPr>
        <w:pStyle w:val="FootnoteText"/>
      </w:pPr>
      <w:r>
        <w:rPr>
          <w:rStyle w:val="FootnoteReference"/>
        </w:rPr>
        <w:footnoteRef/>
      </w:r>
      <w:r>
        <w:t xml:space="preserve"> </w:t>
      </w:r>
      <w:r>
        <w:tab/>
        <w:t>Schedule 1, c</w:t>
      </w:r>
      <w:r w:rsidRPr="000F36AD">
        <w:t>l</w:t>
      </w:r>
      <w:r>
        <w:t>ause</w:t>
      </w:r>
      <w:r w:rsidRPr="000F36AD">
        <w:t xml:space="preserve"> </w:t>
      </w:r>
      <w:r>
        <w:t>39</w:t>
      </w:r>
      <w:r w:rsidRPr="000F36AD">
        <w:t>(1)</w:t>
      </w:r>
      <w:r>
        <w:t xml:space="preserve"> of the NBA.</w:t>
      </w:r>
    </w:p>
  </w:footnote>
  <w:footnote w:id="5">
    <w:p w14:paraId="0572BAC0" w14:textId="1CAC711E" w:rsidR="006914C1" w:rsidRDefault="006914C1">
      <w:pPr>
        <w:pStyle w:val="FootnoteText"/>
      </w:pPr>
      <w:r>
        <w:rPr>
          <w:rStyle w:val="FootnoteReference"/>
        </w:rPr>
        <w:footnoteRef/>
      </w:r>
      <w:r>
        <w:t xml:space="preserve"> </w:t>
      </w:r>
      <w:r>
        <w:tab/>
        <w:t>Schedule 1, c</w:t>
      </w:r>
      <w:r w:rsidRPr="000F36AD">
        <w:t>l</w:t>
      </w:r>
      <w:r>
        <w:t>ause</w:t>
      </w:r>
      <w:r w:rsidRPr="000F36AD">
        <w:t xml:space="preserve"> </w:t>
      </w:r>
      <w:r>
        <w:t>39(3</w:t>
      </w:r>
      <w:r w:rsidRPr="000F36AD">
        <w:t>)</w:t>
      </w:r>
      <w:r>
        <w:t xml:space="preserve"> of the NBA.</w:t>
      </w:r>
    </w:p>
  </w:footnote>
  <w:footnote w:id="6">
    <w:p w14:paraId="5B0D2427" w14:textId="4305FEBF" w:rsidR="00031725" w:rsidRDefault="00031725">
      <w:pPr>
        <w:pStyle w:val="FootnoteText"/>
      </w:pPr>
      <w:r>
        <w:rPr>
          <w:rStyle w:val="FootnoteReference"/>
        </w:rPr>
        <w:footnoteRef/>
      </w:r>
      <w:r>
        <w:t xml:space="preserve"> </w:t>
      </w:r>
      <w:r>
        <w:tab/>
        <w:t>Sections 513–515 of the NBA apply.</w:t>
      </w:r>
    </w:p>
  </w:footnote>
  <w:footnote w:id="7">
    <w:p w14:paraId="24A8681B" w14:textId="1264C4F8" w:rsidR="00066665" w:rsidRDefault="00066665">
      <w:pPr>
        <w:pStyle w:val="FootnoteText"/>
      </w:pPr>
      <w:r>
        <w:rPr>
          <w:rStyle w:val="FootnoteReference"/>
        </w:rPr>
        <w:footnoteRef/>
      </w:r>
      <w:r>
        <w:t xml:space="preserve"> </w:t>
      </w:r>
      <w:r>
        <w:tab/>
      </w:r>
      <w:r>
        <w:rPr>
          <w:lang w:val="en-US"/>
        </w:rPr>
        <w:t>Section 11, definition of “network utility operator”.</w:t>
      </w:r>
    </w:p>
  </w:footnote>
  <w:footnote w:id="8">
    <w:p w14:paraId="5E11F47D" w14:textId="2E0B29E3" w:rsidR="004B5F5B" w:rsidRDefault="004B5F5B">
      <w:pPr>
        <w:pStyle w:val="FootnoteText"/>
      </w:pPr>
      <w:r>
        <w:rPr>
          <w:rStyle w:val="FootnoteReference"/>
        </w:rPr>
        <w:footnoteRef/>
      </w:r>
      <w:r>
        <w:t xml:space="preserve"> </w:t>
      </w:r>
      <w:r>
        <w:tab/>
      </w:r>
      <w:r>
        <w:rPr>
          <w:lang w:val="en-US"/>
        </w:rPr>
        <w:t>Section 514 (4)–(8) of the NBA.</w:t>
      </w:r>
    </w:p>
  </w:footnote>
  <w:footnote w:id="9">
    <w:p w14:paraId="40D7E998" w14:textId="5F6EA6EC" w:rsidR="001B7DF5" w:rsidRDefault="001B7DF5">
      <w:pPr>
        <w:pStyle w:val="FootnoteText"/>
      </w:pPr>
      <w:r>
        <w:rPr>
          <w:rStyle w:val="FootnoteReference"/>
        </w:rPr>
        <w:footnoteRef/>
      </w:r>
      <w:r>
        <w:t xml:space="preserve"> </w:t>
      </w:r>
      <w:r>
        <w:tab/>
        <w:t>Schedule 1, c</w:t>
      </w:r>
      <w:r w:rsidRPr="000F36AD">
        <w:t>l</w:t>
      </w:r>
      <w:r>
        <w:t>ause</w:t>
      </w:r>
      <w:r w:rsidRPr="000F36AD">
        <w:t xml:space="preserve"> </w:t>
      </w:r>
      <w:r>
        <w:t>27 of the NBA.</w:t>
      </w:r>
    </w:p>
  </w:footnote>
  <w:footnote w:id="10">
    <w:p w14:paraId="74C793C9" w14:textId="514D3DD0" w:rsidR="00562FC9" w:rsidRDefault="00562FC9">
      <w:pPr>
        <w:pStyle w:val="FootnoteText"/>
      </w:pPr>
      <w:r>
        <w:rPr>
          <w:rStyle w:val="FootnoteReference"/>
        </w:rPr>
        <w:footnoteRef/>
      </w:r>
      <w:r>
        <w:t xml:space="preserve"> </w:t>
      </w:r>
      <w:r>
        <w:tab/>
        <w:t>Section 180 of the RMA.</w:t>
      </w:r>
    </w:p>
  </w:footnote>
  <w:footnote w:id="11">
    <w:p w14:paraId="1275007D" w14:textId="79AED410" w:rsidR="00F770E3" w:rsidRDefault="00F770E3">
      <w:pPr>
        <w:pStyle w:val="FootnoteText"/>
      </w:pPr>
      <w:r>
        <w:rPr>
          <w:rStyle w:val="FootnoteReference"/>
        </w:rPr>
        <w:footnoteRef/>
      </w:r>
      <w:r>
        <w:t xml:space="preserve"> </w:t>
      </w:r>
      <w:r>
        <w:tab/>
        <w:t>Schedule 1, c</w:t>
      </w:r>
      <w:r w:rsidRPr="000F36AD">
        <w:t>l</w:t>
      </w:r>
      <w:r>
        <w:t>ause</w:t>
      </w:r>
      <w:r w:rsidRPr="000F36AD">
        <w:t xml:space="preserve"> </w:t>
      </w:r>
      <w:r>
        <w:t>43</w:t>
      </w:r>
      <w:r w:rsidRPr="000F36AD">
        <w:t>(</w:t>
      </w:r>
      <w:r>
        <w:t>4</w:t>
      </w:r>
      <w:r w:rsidRPr="000F36AD">
        <w:t>)</w:t>
      </w:r>
      <w:r>
        <w:t xml:space="preserve"> of the NBA.</w:t>
      </w:r>
    </w:p>
  </w:footnote>
  <w:footnote w:id="12">
    <w:p w14:paraId="18F5B847" w14:textId="210CC229" w:rsidR="0032783B" w:rsidRDefault="0032783B">
      <w:pPr>
        <w:pStyle w:val="FootnoteText"/>
      </w:pPr>
      <w:r>
        <w:rPr>
          <w:rStyle w:val="FootnoteReference"/>
        </w:rPr>
        <w:footnoteRef/>
      </w:r>
      <w:r>
        <w:t xml:space="preserve"> </w:t>
      </w:r>
      <w:r>
        <w:tab/>
      </w:r>
      <w:r w:rsidRPr="00B0317A">
        <w:t>This requirement is in addition to the provisions in sections 168A and 171 RMA that apply to a territorial authority when considering a notice of requirement and any submissions received.</w:t>
      </w:r>
    </w:p>
  </w:footnote>
  <w:footnote w:id="13">
    <w:p w14:paraId="51FAD9CD" w14:textId="048EDC89" w:rsidR="00AE0C57" w:rsidRDefault="00AE0C57">
      <w:pPr>
        <w:pStyle w:val="FootnoteText"/>
      </w:pPr>
      <w:r>
        <w:rPr>
          <w:rStyle w:val="FootnoteReference"/>
        </w:rPr>
        <w:footnoteRef/>
      </w:r>
      <w:r>
        <w:t xml:space="preserve"> </w:t>
      </w:r>
      <w:r>
        <w:tab/>
        <w:t>Schedule 1, c</w:t>
      </w:r>
      <w:r w:rsidRPr="000F36AD">
        <w:t>l</w:t>
      </w:r>
      <w:r>
        <w:t>ause</w:t>
      </w:r>
      <w:r w:rsidRPr="000F36AD">
        <w:t xml:space="preserve"> </w:t>
      </w:r>
      <w:r>
        <w:t>43</w:t>
      </w:r>
      <w:r w:rsidRPr="000F36AD">
        <w:t>(</w:t>
      </w:r>
      <w:r>
        <w:t>6</w:t>
      </w:r>
      <w:r w:rsidRPr="000F36AD">
        <w:t>)</w:t>
      </w:r>
      <w:r>
        <w:t>(a) and (b) of the NBA.</w:t>
      </w:r>
    </w:p>
  </w:footnote>
  <w:footnote w:id="14">
    <w:p w14:paraId="4E24BA19" w14:textId="645ECB63" w:rsidR="007D0378" w:rsidRDefault="007D0378">
      <w:pPr>
        <w:pStyle w:val="FootnoteText"/>
      </w:pPr>
      <w:r>
        <w:rPr>
          <w:rStyle w:val="FootnoteReference"/>
        </w:rPr>
        <w:footnoteRef/>
      </w:r>
      <w:r>
        <w:t xml:space="preserve"> </w:t>
      </w:r>
      <w:r>
        <w:tab/>
      </w:r>
      <w:r w:rsidRPr="00B0317A">
        <w:rPr>
          <w:rFonts w:eastAsiaTheme="minorHAnsi"/>
        </w:rPr>
        <w:t>Schedule 1, clause 42(1) and 43(3) of the NBA.</w:t>
      </w:r>
    </w:p>
  </w:footnote>
  <w:footnote w:id="15">
    <w:p w14:paraId="066AFB80" w14:textId="38C20D39" w:rsidR="000C448A" w:rsidRDefault="000C448A">
      <w:pPr>
        <w:pStyle w:val="FootnoteText"/>
      </w:pPr>
      <w:r>
        <w:rPr>
          <w:rStyle w:val="FootnoteReference"/>
        </w:rPr>
        <w:footnoteRef/>
      </w:r>
      <w:r>
        <w:t xml:space="preserve"> </w:t>
      </w:r>
      <w:r>
        <w:tab/>
        <w:t>Construction and implementation plans (CIPs), Schedule 1, c</w:t>
      </w:r>
      <w:r w:rsidRPr="000F36AD">
        <w:t>l</w:t>
      </w:r>
      <w:r>
        <w:t>ause</w:t>
      </w:r>
      <w:r w:rsidRPr="000F36AD">
        <w:t xml:space="preserve"> </w:t>
      </w:r>
      <w:r>
        <w:t>43</w:t>
      </w:r>
      <w:r w:rsidRPr="000F36AD">
        <w:t>(</w:t>
      </w:r>
      <w:r>
        <w:t>6</w:t>
      </w:r>
      <w:r w:rsidRPr="000F36AD">
        <w:t>)</w:t>
      </w:r>
      <w:r>
        <w:t>(d) of the NBA.</w:t>
      </w:r>
    </w:p>
  </w:footnote>
  <w:footnote w:id="16">
    <w:p w14:paraId="4F5EC28D" w14:textId="14D2CC70" w:rsidR="00A825E3" w:rsidRDefault="00A825E3">
      <w:pPr>
        <w:pStyle w:val="FootnoteText"/>
      </w:pPr>
      <w:r>
        <w:rPr>
          <w:rStyle w:val="FootnoteReference"/>
        </w:rPr>
        <w:footnoteRef/>
      </w:r>
      <w:r>
        <w:t xml:space="preserve"> </w:t>
      </w:r>
      <w:r>
        <w:tab/>
        <w:t>Schedule 1, c</w:t>
      </w:r>
      <w:r w:rsidRPr="000F36AD">
        <w:t>l</w:t>
      </w:r>
      <w:r>
        <w:t>ause</w:t>
      </w:r>
      <w:r w:rsidRPr="000F36AD">
        <w:t xml:space="preserve"> </w:t>
      </w:r>
      <w:r>
        <w:t>43</w:t>
      </w:r>
      <w:r w:rsidRPr="000F36AD">
        <w:t>(</w:t>
      </w:r>
      <w:r>
        <w:t>5) of the NBA.</w:t>
      </w:r>
    </w:p>
  </w:footnote>
  <w:footnote w:id="17">
    <w:p w14:paraId="007F94F7" w14:textId="2D2B23FB" w:rsidR="00C94796" w:rsidRDefault="00C94796">
      <w:pPr>
        <w:pStyle w:val="FootnoteText"/>
      </w:pPr>
      <w:r>
        <w:rPr>
          <w:rStyle w:val="FootnoteReference"/>
        </w:rPr>
        <w:footnoteRef/>
      </w:r>
      <w:r>
        <w:t xml:space="preserve"> </w:t>
      </w:r>
      <w:r>
        <w:tab/>
        <w:t>Schedule 6, c</w:t>
      </w:r>
      <w:r w:rsidRPr="000F36AD">
        <w:t>l</w:t>
      </w:r>
      <w:r>
        <w:t>ause</w:t>
      </w:r>
      <w:r w:rsidRPr="000F36AD">
        <w:t xml:space="preserve"> </w:t>
      </w:r>
      <w:r>
        <w:t>30 of the NBA.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93002F1"/>
    <w:multiLevelType w:val="hybridMultilevel"/>
    <w:tmpl w:val="E8E2BA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6"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7"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9"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4" w15:restartNumberingAfterBreak="0">
    <w:nsid w:val="2E6F201E"/>
    <w:multiLevelType w:val="multilevel"/>
    <w:tmpl w:val="C7440BB4"/>
    <w:numStyleLink w:val="Style2"/>
  </w:abstractNum>
  <w:abstractNum w:abstractNumId="15"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6"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4"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6"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0"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C70A75"/>
    <w:multiLevelType w:val="hybridMultilevel"/>
    <w:tmpl w:val="AB9CFF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6C042717"/>
    <w:multiLevelType w:val="multilevel"/>
    <w:tmpl w:val="DCDEB9D0"/>
    <w:numStyleLink w:val="Style1"/>
  </w:abstractNum>
  <w:abstractNum w:abstractNumId="33"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5"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770EC9"/>
    <w:multiLevelType w:val="hybridMultilevel"/>
    <w:tmpl w:val="C53AF1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47790156">
    <w:abstractNumId w:val="15"/>
  </w:num>
  <w:num w:numId="2" w16cid:durableId="1270701948">
    <w:abstractNumId w:val="25"/>
  </w:num>
  <w:num w:numId="3" w16cid:durableId="1676030043">
    <w:abstractNumId w:val="38"/>
  </w:num>
  <w:num w:numId="4" w16cid:durableId="946737636">
    <w:abstractNumId w:val="20"/>
  </w:num>
  <w:num w:numId="5" w16cid:durableId="181937884">
    <w:abstractNumId w:val="13"/>
  </w:num>
  <w:num w:numId="6" w16cid:durableId="1789470371">
    <w:abstractNumId w:val="8"/>
  </w:num>
  <w:num w:numId="7" w16cid:durableId="1751468041">
    <w:abstractNumId w:val="23"/>
  </w:num>
  <w:num w:numId="8" w16cid:durableId="319700520">
    <w:abstractNumId w:val="22"/>
  </w:num>
  <w:num w:numId="9" w16cid:durableId="61634995">
    <w:abstractNumId w:val="36"/>
  </w:num>
  <w:num w:numId="10" w16cid:durableId="1381782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525479">
    <w:abstractNumId w:val="1"/>
  </w:num>
  <w:num w:numId="12" w16cid:durableId="1681812109">
    <w:abstractNumId w:val="29"/>
  </w:num>
  <w:num w:numId="13" w16cid:durableId="2111318697">
    <w:abstractNumId w:val="12"/>
  </w:num>
  <w:num w:numId="14" w16cid:durableId="527908752">
    <w:abstractNumId w:val="32"/>
  </w:num>
  <w:num w:numId="15" w16cid:durableId="1810710488">
    <w:abstractNumId w:val="21"/>
  </w:num>
  <w:num w:numId="16" w16cid:durableId="1832209572">
    <w:abstractNumId w:val="11"/>
  </w:num>
  <w:num w:numId="17" w16cid:durableId="882985350">
    <w:abstractNumId w:val="30"/>
  </w:num>
  <w:num w:numId="18" w16cid:durableId="1414619994">
    <w:abstractNumId w:val="26"/>
  </w:num>
  <w:num w:numId="19" w16cid:durableId="1876043617">
    <w:abstractNumId w:val="33"/>
  </w:num>
  <w:num w:numId="20" w16cid:durableId="1466776422">
    <w:abstractNumId w:val="14"/>
  </w:num>
  <w:num w:numId="21" w16cid:durableId="2058817310">
    <w:abstractNumId w:val="27"/>
  </w:num>
  <w:num w:numId="22" w16cid:durableId="1700279313">
    <w:abstractNumId w:val="5"/>
  </w:num>
  <w:num w:numId="23" w16cid:durableId="2058817359">
    <w:abstractNumId w:val="24"/>
  </w:num>
  <w:num w:numId="24" w16cid:durableId="1654988709">
    <w:abstractNumId w:val="16"/>
  </w:num>
  <w:num w:numId="25" w16cid:durableId="163515585">
    <w:abstractNumId w:val="35"/>
  </w:num>
  <w:num w:numId="26" w16cid:durableId="1923172751">
    <w:abstractNumId w:val="28"/>
  </w:num>
  <w:num w:numId="27" w16cid:durableId="1169712652">
    <w:abstractNumId w:val="0"/>
  </w:num>
  <w:num w:numId="28" w16cid:durableId="318702976">
    <w:abstractNumId w:val="18"/>
  </w:num>
  <w:num w:numId="29" w16cid:durableId="1493326007">
    <w:abstractNumId w:val="9"/>
  </w:num>
  <w:num w:numId="30" w16cid:durableId="148442728">
    <w:abstractNumId w:val="3"/>
  </w:num>
  <w:num w:numId="31" w16cid:durableId="598565880">
    <w:abstractNumId w:val="2"/>
  </w:num>
  <w:num w:numId="32" w16cid:durableId="1547906841">
    <w:abstractNumId w:val="6"/>
  </w:num>
  <w:num w:numId="33" w16cid:durableId="214006165">
    <w:abstractNumId w:val="10"/>
  </w:num>
  <w:num w:numId="34" w16cid:durableId="460806462">
    <w:abstractNumId w:val="19"/>
  </w:num>
  <w:num w:numId="35" w16cid:durableId="351688295">
    <w:abstractNumId w:val="17"/>
  </w:num>
  <w:num w:numId="36" w16cid:durableId="953633058">
    <w:abstractNumId w:val="7"/>
  </w:num>
  <w:num w:numId="37" w16cid:durableId="57486827">
    <w:abstractNumId w:val="34"/>
  </w:num>
  <w:num w:numId="38" w16cid:durableId="416098131">
    <w:abstractNumId w:val="25"/>
  </w:num>
  <w:num w:numId="39" w16cid:durableId="2073501908">
    <w:abstractNumId w:val="7"/>
  </w:num>
  <w:num w:numId="40" w16cid:durableId="1120416703">
    <w:abstractNumId w:val="37"/>
  </w:num>
  <w:num w:numId="41" w16cid:durableId="1912618082">
    <w:abstractNumId w:val="31"/>
  </w:num>
  <w:num w:numId="42" w16cid:durableId="202743568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04C"/>
    <w:rsid w:val="00000792"/>
    <w:rsid w:val="00000F04"/>
    <w:rsid w:val="00003C4F"/>
    <w:rsid w:val="00004E0A"/>
    <w:rsid w:val="00004FD3"/>
    <w:rsid w:val="00006DF5"/>
    <w:rsid w:val="00006F95"/>
    <w:rsid w:val="00007023"/>
    <w:rsid w:val="0000709F"/>
    <w:rsid w:val="000071D6"/>
    <w:rsid w:val="00007F2D"/>
    <w:rsid w:val="00007FAC"/>
    <w:rsid w:val="00010247"/>
    <w:rsid w:val="00010A9C"/>
    <w:rsid w:val="00010ABA"/>
    <w:rsid w:val="00010E15"/>
    <w:rsid w:val="00010F57"/>
    <w:rsid w:val="0001100C"/>
    <w:rsid w:val="00011188"/>
    <w:rsid w:val="00012555"/>
    <w:rsid w:val="00012777"/>
    <w:rsid w:val="00014236"/>
    <w:rsid w:val="000148F6"/>
    <w:rsid w:val="00015217"/>
    <w:rsid w:val="000159D2"/>
    <w:rsid w:val="00015E19"/>
    <w:rsid w:val="00016264"/>
    <w:rsid w:val="00016993"/>
    <w:rsid w:val="00016CAB"/>
    <w:rsid w:val="00016E5B"/>
    <w:rsid w:val="0001749B"/>
    <w:rsid w:val="00017D75"/>
    <w:rsid w:val="00017FE5"/>
    <w:rsid w:val="0002068C"/>
    <w:rsid w:val="00020EE7"/>
    <w:rsid w:val="00021910"/>
    <w:rsid w:val="0002270C"/>
    <w:rsid w:val="00022E8D"/>
    <w:rsid w:val="0002348A"/>
    <w:rsid w:val="00024708"/>
    <w:rsid w:val="00024DA0"/>
    <w:rsid w:val="00024EE7"/>
    <w:rsid w:val="00025F96"/>
    <w:rsid w:val="00025FAB"/>
    <w:rsid w:val="00026E89"/>
    <w:rsid w:val="000275A3"/>
    <w:rsid w:val="00030558"/>
    <w:rsid w:val="00030699"/>
    <w:rsid w:val="00030725"/>
    <w:rsid w:val="00030DB8"/>
    <w:rsid w:val="00031725"/>
    <w:rsid w:val="00031A83"/>
    <w:rsid w:val="0003213A"/>
    <w:rsid w:val="00032A81"/>
    <w:rsid w:val="000340D8"/>
    <w:rsid w:val="0003427D"/>
    <w:rsid w:val="00034DFA"/>
    <w:rsid w:val="000357ED"/>
    <w:rsid w:val="00035E15"/>
    <w:rsid w:val="0003640E"/>
    <w:rsid w:val="00036801"/>
    <w:rsid w:val="0003688A"/>
    <w:rsid w:val="000368FC"/>
    <w:rsid w:val="00036DA3"/>
    <w:rsid w:val="000379BF"/>
    <w:rsid w:val="00037BEC"/>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7941"/>
    <w:rsid w:val="00050A22"/>
    <w:rsid w:val="00050E27"/>
    <w:rsid w:val="0005144F"/>
    <w:rsid w:val="00051AF1"/>
    <w:rsid w:val="00051D42"/>
    <w:rsid w:val="000538A1"/>
    <w:rsid w:val="00055375"/>
    <w:rsid w:val="00056319"/>
    <w:rsid w:val="000564E7"/>
    <w:rsid w:val="00056770"/>
    <w:rsid w:val="00057386"/>
    <w:rsid w:val="00057EEF"/>
    <w:rsid w:val="0006130F"/>
    <w:rsid w:val="00061330"/>
    <w:rsid w:val="000619CB"/>
    <w:rsid w:val="00062387"/>
    <w:rsid w:val="0006303B"/>
    <w:rsid w:val="000633A0"/>
    <w:rsid w:val="000640F0"/>
    <w:rsid w:val="0006434D"/>
    <w:rsid w:val="000643A1"/>
    <w:rsid w:val="00064679"/>
    <w:rsid w:val="00064A13"/>
    <w:rsid w:val="00064AF4"/>
    <w:rsid w:val="00064DB1"/>
    <w:rsid w:val="00065BA3"/>
    <w:rsid w:val="00065D3B"/>
    <w:rsid w:val="00066665"/>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35A2"/>
    <w:rsid w:val="0007517E"/>
    <w:rsid w:val="00075FE1"/>
    <w:rsid w:val="00076667"/>
    <w:rsid w:val="00077473"/>
    <w:rsid w:val="00077481"/>
    <w:rsid w:val="000776F9"/>
    <w:rsid w:val="00077EE0"/>
    <w:rsid w:val="000802F9"/>
    <w:rsid w:val="00080E5E"/>
    <w:rsid w:val="0008145A"/>
    <w:rsid w:val="0008162D"/>
    <w:rsid w:val="00081EB5"/>
    <w:rsid w:val="000827D0"/>
    <w:rsid w:val="000831C8"/>
    <w:rsid w:val="000836C9"/>
    <w:rsid w:val="00083F5E"/>
    <w:rsid w:val="00084FDB"/>
    <w:rsid w:val="0008505C"/>
    <w:rsid w:val="00085C46"/>
    <w:rsid w:val="0008686A"/>
    <w:rsid w:val="00087175"/>
    <w:rsid w:val="00087D35"/>
    <w:rsid w:val="00090F6A"/>
    <w:rsid w:val="00091796"/>
    <w:rsid w:val="00091BA2"/>
    <w:rsid w:val="00091CB0"/>
    <w:rsid w:val="00092D7C"/>
    <w:rsid w:val="00094344"/>
    <w:rsid w:val="000953C6"/>
    <w:rsid w:val="000953F4"/>
    <w:rsid w:val="0009590C"/>
    <w:rsid w:val="000959E7"/>
    <w:rsid w:val="00095E7D"/>
    <w:rsid w:val="000964DE"/>
    <w:rsid w:val="000972AB"/>
    <w:rsid w:val="00097771"/>
    <w:rsid w:val="00097B40"/>
    <w:rsid w:val="00097D0E"/>
    <w:rsid w:val="000A130F"/>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0F36"/>
    <w:rsid w:val="000B1942"/>
    <w:rsid w:val="000B1BED"/>
    <w:rsid w:val="000B2240"/>
    <w:rsid w:val="000B2477"/>
    <w:rsid w:val="000B2600"/>
    <w:rsid w:val="000B36F9"/>
    <w:rsid w:val="000B4074"/>
    <w:rsid w:val="000B41DF"/>
    <w:rsid w:val="000B4732"/>
    <w:rsid w:val="000B4BCD"/>
    <w:rsid w:val="000B5849"/>
    <w:rsid w:val="000B66DC"/>
    <w:rsid w:val="000B6D1F"/>
    <w:rsid w:val="000C062F"/>
    <w:rsid w:val="000C0668"/>
    <w:rsid w:val="000C17E7"/>
    <w:rsid w:val="000C3270"/>
    <w:rsid w:val="000C448A"/>
    <w:rsid w:val="000C574D"/>
    <w:rsid w:val="000C577E"/>
    <w:rsid w:val="000C5B87"/>
    <w:rsid w:val="000D04BA"/>
    <w:rsid w:val="000D0B6E"/>
    <w:rsid w:val="000D0D65"/>
    <w:rsid w:val="000D113B"/>
    <w:rsid w:val="000D12E0"/>
    <w:rsid w:val="000D1944"/>
    <w:rsid w:val="000D1BE5"/>
    <w:rsid w:val="000D1DD9"/>
    <w:rsid w:val="000D2172"/>
    <w:rsid w:val="000D293C"/>
    <w:rsid w:val="000D2BC1"/>
    <w:rsid w:val="000D2BE3"/>
    <w:rsid w:val="000D337B"/>
    <w:rsid w:val="000D385A"/>
    <w:rsid w:val="000D38C2"/>
    <w:rsid w:val="000D3CA7"/>
    <w:rsid w:val="000D5B16"/>
    <w:rsid w:val="000D5FD6"/>
    <w:rsid w:val="000D6201"/>
    <w:rsid w:val="000D6321"/>
    <w:rsid w:val="000D6488"/>
    <w:rsid w:val="000D6C7C"/>
    <w:rsid w:val="000D7088"/>
    <w:rsid w:val="000D770B"/>
    <w:rsid w:val="000D788E"/>
    <w:rsid w:val="000D7EBF"/>
    <w:rsid w:val="000E12B0"/>
    <w:rsid w:val="000E1BC8"/>
    <w:rsid w:val="000E1D32"/>
    <w:rsid w:val="000E26D8"/>
    <w:rsid w:val="000E2B94"/>
    <w:rsid w:val="000E3156"/>
    <w:rsid w:val="000E35B6"/>
    <w:rsid w:val="000E3BB8"/>
    <w:rsid w:val="000E3D9B"/>
    <w:rsid w:val="000E3DFD"/>
    <w:rsid w:val="000E4261"/>
    <w:rsid w:val="000E4697"/>
    <w:rsid w:val="000E58C5"/>
    <w:rsid w:val="000E6203"/>
    <w:rsid w:val="000E6397"/>
    <w:rsid w:val="000E64CB"/>
    <w:rsid w:val="000E6708"/>
    <w:rsid w:val="000E722C"/>
    <w:rsid w:val="000E755B"/>
    <w:rsid w:val="000E786F"/>
    <w:rsid w:val="000E7DA7"/>
    <w:rsid w:val="000E7FA0"/>
    <w:rsid w:val="000F00BA"/>
    <w:rsid w:val="000F02F8"/>
    <w:rsid w:val="000F0409"/>
    <w:rsid w:val="000F049F"/>
    <w:rsid w:val="000F0642"/>
    <w:rsid w:val="000F07FA"/>
    <w:rsid w:val="000F0802"/>
    <w:rsid w:val="000F0B5E"/>
    <w:rsid w:val="000F0C49"/>
    <w:rsid w:val="000F1D43"/>
    <w:rsid w:val="000F1FFF"/>
    <w:rsid w:val="000F20AA"/>
    <w:rsid w:val="000F2651"/>
    <w:rsid w:val="000F348D"/>
    <w:rsid w:val="000F369A"/>
    <w:rsid w:val="000F4366"/>
    <w:rsid w:val="000F4463"/>
    <w:rsid w:val="000F5285"/>
    <w:rsid w:val="000F52E0"/>
    <w:rsid w:val="000F53A9"/>
    <w:rsid w:val="000F6464"/>
    <w:rsid w:val="000F6628"/>
    <w:rsid w:val="000F6C25"/>
    <w:rsid w:val="000F76EB"/>
    <w:rsid w:val="000F78AE"/>
    <w:rsid w:val="000F7E25"/>
    <w:rsid w:val="001007EE"/>
    <w:rsid w:val="00100F76"/>
    <w:rsid w:val="0010148E"/>
    <w:rsid w:val="0010194C"/>
    <w:rsid w:val="0010253C"/>
    <w:rsid w:val="00102BD1"/>
    <w:rsid w:val="0010486A"/>
    <w:rsid w:val="0010561C"/>
    <w:rsid w:val="00105C0F"/>
    <w:rsid w:val="00105E39"/>
    <w:rsid w:val="00106561"/>
    <w:rsid w:val="00106D63"/>
    <w:rsid w:val="001075F3"/>
    <w:rsid w:val="00107A01"/>
    <w:rsid w:val="00107A4B"/>
    <w:rsid w:val="00107C23"/>
    <w:rsid w:val="00110307"/>
    <w:rsid w:val="00110C7F"/>
    <w:rsid w:val="00110EE2"/>
    <w:rsid w:val="001113DA"/>
    <w:rsid w:val="00111A88"/>
    <w:rsid w:val="0011221A"/>
    <w:rsid w:val="00113283"/>
    <w:rsid w:val="001137AE"/>
    <w:rsid w:val="00113B20"/>
    <w:rsid w:val="00113EE1"/>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280"/>
    <w:rsid w:val="001222CE"/>
    <w:rsid w:val="00122D42"/>
    <w:rsid w:val="00123345"/>
    <w:rsid w:val="00123C46"/>
    <w:rsid w:val="0012470B"/>
    <w:rsid w:val="00125C75"/>
    <w:rsid w:val="00125C7E"/>
    <w:rsid w:val="0012731C"/>
    <w:rsid w:val="00127945"/>
    <w:rsid w:val="00127D94"/>
    <w:rsid w:val="00127E90"/>
    <w:rsid w:val="001302C1"/>
    <w:rsid w:val="001306D3"/>
    <w:rsid w:val="001308F4"/>
    <w:rsid w:val="001310BF"/>
    <w:rsid w:val="00131E1C"/>
    <w:rsid w:val="00131EC2"/>
    <w:rsid w:val="00133E73"/>
    <w:rsid w:val="00133FDB"/>
    <w:rsid w:val="00134C79"/>
    <w:rsid w:val="00134F4A"/>
    <w:rsid w:val="00135E4E"/>
    <w:rsid w:val="00136246"/>
    <w:rsid w:val="001362A1"/>
    <w:rsid w:val="001364D4"/>
    <w:rsid w:val="00136C39"/>
    <w:rsid w:val="001371C8"/>
    <w:rsid w:val="001372ED"/>
    <w:rsid w:val="0014168C"/>
    <w:rsid w:val="00142B50"/>
    <w:rsid w:val="00143873"/>
    <w:rsid w:val="001439E9"/>
    <w:rsid w:val="00143BF0"/>
    <w:rsid w:val="00143C55"/>
    <w:rsid w:val="00144C6F"/>
    <w:rsid w:val="00145089"/>
    <w:rsid w:val="001451E7"/>
    <w:rsid w:val="001462E3"/>
    <w:rsid w:val="0014720C"/>
    <w:rsid w:val="001472C2"/>
    <w:rsid w:val="00147458"/>
    <w:rsid w:val="00147E21"/>
    <w:rsid w:val="00150BA8"/>
    <w:rsid w:val="00150D19"/>
    <w:rsid w:val="0015181B"/>
    <w:rsid w:val="00151A9F"/>
    <w:rsid w:val="00152A66"/>
    <w:rsid w:val="00152B87"/>
    <w:rsid w:val="00153A96"/>
    <w:rsid w:val="00153D1C"/>
    <w:rsid w:val="001543E2"/>
    <w:rsid w:val="00154C54"/>
    <w:rsid w:val="00155B43"/>
    <w:rsid w:val="00155BF4"/>
    <w:rsid w:val="001565A2"/>
    <w:rsid w:val="001567C3"/>
    <w:rsid w:val="00156A12"/>
    <w:rsid w:val="00157B3F"/>
    <w:rsid w:val="00157F8A"/>
    <w:rsid w:val="00160C3D"/>
    <w:rsid w:val="00161B24"/>
    <w:rsid w:val="00161C41"/>
    <w:rsid w:val="00161DD5"/>
    <w:rsid w:val="001633A4"/>
    <w:rsid w:val="001634D6"/>
    <w:rsid w:val="001648DD"/>
    <w:rsid w:val="00165705"/>
    <w:rsid w:val="00165C38"/>
    <w:rsid w:val="00166389"/>
    <w:rsid w:val="00166E03"/>
    <w:rsid w:val="00167E4C"/>
    <w:rsid w:val="001710B2"/>
    <w:rsid w:val="001713A7"/>
    <w:rsid w:val="00171449"/>
    <w:rsid w:val="0017199C"/>
    <w:rsid w:val="00171C7E"/>
    <w:rsid w:val="00171F35"/>
    <w:rsid w:val="00172552"/>
    <w:rsid w:val="00172873"/>
    <w:rsid w:val="00172CF7"/>
    <w:rsid w:val="0017319E"/>
    <w:rsid w:val="0017349E"/>
    <w:rsid w:val="00173A1F"/>
    <w:rsid w:val="00173BC3"/>
    <w:rsid w:val="00174128"/>
    <w:rsid w:val="00175C34"/>
    <w:rsid w:val="00175F9A"/>
    <w:rsid w:val="00176E98"/>
    <w:rsid w:val="001772EA"/>
    <w:rsid w:val="00177432"/>
    <w:rsid w:val="00177996"/>
    <w:rsid w:val="00180B3F"/>
    <w:rsid w:val="00180C83"/>
    <w:rsid w:val="00180CE5"/>
    <w:rsid w:val="0018175B"/>
    <w:rsid w:val="001820A3"/>
    <w:rsid w:val="0018332A"/>
    <w:rsid w:val="00183D80"/>
    <w:rsid w:val="001842C8"/>
    <w:rsid w:val="00185044"/>
    <w:rsid w:val="001850DB"/>
    <w:rsid w:val="0018599C"/>
    <w:rsid w:val="00185C24"/>
    <w:rsid w:val="001869EE"/>
    <w:rsid w:val="00186D00"/>
    <w:rsid w:val="0018743A"/>
    <w:rsid w:val="00190A57"/>
    <w:rsid w:val="00190B3F"/>
    <w:rsid w:val="0019122C"/>
    <w:rsid w:val="00191908"/>
    <w:rsid w:val="00192DF3"/>
    <w:rsid w:val="0019301F"/>
    <w:rsid w:val="00193286"/>
    <w:rsid w:val="001937B8"/>
    <w:rsid w:val="00194BB7"/>
    <w:rsid w:val="00194CC5"/>
    <w:rsid w:val="001951B2"/>
    <w:rsid w:val="0019565D"/>
    <w:rsid w:val="00197564"/>
    <w:rsid w:val="00197EC2"/>
    <w:rsid w:val="00197ECE"/>
    <w:rsid w:val="001A1CED"/>
    <w:rsid w:val="001A279B"/>
    <w:rsid w:val="001A2DC3"/>
    <w:rsid w:val="001A2E87"/>
    <w:rsid w:val="001A3869"/>
    <w:rsid w:val="001A38C2"/>
    <w:rsid w:val="001A4581"/>
    <w:rsid w:val="001A65C8"/>
    <w:rsid w:val="001A732E"/>
    <w:rsid w:val="001A7F30"/>
    <w:rsid w:val="001B06E2"/>
    <w:rsid w:val="001B103A"/>
    <w:rsid w:val="001B103D"/>
    <w:rsid w:val="001B1513"/>
    <w:rsid w:val="001B1767"/>
    <w:rsid w:val="001B2453"/>
    <w:rsid w:val="001B3D48"/>
    <w:rsid w:val="001B5AF9"/>
    <w:rsid w:val="001B6600"/>
    <w:rsid w:val="001B6610"/>
    <w:rsid w:val="001B6B9B"/>
    <w:rsid w:val="001B6C27"/>
    <w:rsid w:val="001B7144"/>
    <w:rsid w:val="001B7B8A"/>
    <w:rsid w:val="001B7DF5"/>
    <w:rsid w:val="001B7E91"/>
    <w:rsid w:val="001C0748"/>
    <w:rsid w:val="001C147E"/>
    <w:rsid w:val="001C151B"/>
    <w:rsid w:val="001C19E5"/>
    <w:rsid w:val="001C3800"/>
    <w:rsid w:val="001C3C7B"/>
    <w:rsid w:val="001C4D70"/>
    <w:rsid w:val="001C6122"/>
    <w:rsid w:val="001C6587"/>
    <w:rsid w:val="001C69BE"/>
    <w:rsid w:val="001C6DB5"/>
    <w:rsid w:val="001C71AC"/>
    <w:rsid w:val="001C7316"/>
    <w:rsid w:val="001C7CF7"/>
    <w:rsid w:val="001C7E5C"/>
    <w:rsid w:val="001D00CC"/>
    <w:rsid w:val="001D0494"/>
    <w:rsid w:val="001D07B7"/>
    <w:rsid w:val="001D0D8E"/>
    <w:rsid w:val="001D1719"/>
    <w:rsid w:val="001D171B"/>
    <w:rsid w:val="001D1732"/>
    <w:rsid w:val="001D1E2E"/>
    <w:rsid w:val="001D2203"/>
    <w:rsid w:val="001D255C"/>
    <w:rsid w:val="001D2DEF"/>
    <w:rsid w:val="001D30BB"/>
    <w:rsid w:val="001D3C6F"/>
    <w:rsid w:val="001D488C"/>
    <w:rsid w:val="001D4CDF"/>
    <w:rsid w:val="001D4F88"/>
    <w:rsid w:val="001D578D"/>
    <w:rsid w:val="001D5818"/>
    <w:rsid w:val="001D653A"/>
    <w:rsid w:val="001D7DEE"/>
    <w:rsid w:val="001E02CB"/>
    <w:rsid w:val="001E14FD"/>
    <w:rsid w:val="001E180F"/>
    <w:rsid w:val="001E1C64"/>
    <w:rsid w:val="001E1CEC"/>
    <w:rsid w:val="001E2ECB"/>
    <w:rsid w:val="001E4B64"/>
    <w:rsid w:val="001E552A"/>
    <w:rsid w:val="001E57B9"/>
    <w:rsid w:val="001E6E8D"/>
    <w:rsid w:val="001E7EE4"/>
    <w:rsid w:val="001E7F76"/>
    <w:rsid w:val="001F0FAF"/>
    <w:rsid w:val="001F139F"/>
    <w:rsid w:val="001F2805"/>
    <w:rsid w:val="001F2ACA"/>
    <w:rsid w:val="001F2E79"/>
    <w:rsid w:val="001F2F07"/>
    <w:rsid w:val="001F3123"/>
    <w:rsid w:val="001F376D"/>
    <w:rsid w:val="001F418C"/>
    <w:rsid w:val="001F4B2D"/>
    <w:rsid w:val="001F4F40"/>
    <w:rsid w:val="001F50E0"/>
    <w:rsid w:val="001F594C"/>
    <w:rsid w:val="001F69FC"/>
    <w:rsid w:val="001F6D62"/>
    <w:rsid w:val="001F7675"/>
    <w:rsid w:val="00200FAE"/>
    <w:rsid w:val="0020102D"/>
    <w:rsid w:val="002010E2"/>
    <w:rsid w:val="00201B73"/>
    <w:rsid w:val="00202517"/>
    <w:rsid w:val="00202ADB"/>
    <w:rsid w:val="00202BB7"/>
    <w:rsid w:val="0020435B"/>
    <w:rsid w:val="00204533"/>
    <w:rsid w:val="00204F2D"/>
    <w:rsid w:val="00205566"/>
    <w:rsid w:val="002063AA"/>
    <w:rsid w:val="00210549"/>
    <w:rsid w:val="0021069E"/>
    <w:rsid w:val="00210804"/>
    <w:rsid w:val="0021088F"/>
    <w:rsid w:val="002113FE"/>
    <w:rsid w:val="00211737"/>
    <w:rsid w:val="0021181B"/>
    <w:rsid w:val="0021230F"/>
    <w:rsid w:val="002125B0"/>
    <w:rsid w:val="00212A82"/>
    <w:rsid w:val="00214EA2"/>
    <w:rsid w:val="002160FA"/>
    <w:rsid w:val="002166DD"/>
    <w:rsid w:val="002168A2"/>
    <w:rsid w:val="00217867"/>
    <w:rsid w:val="002205E4"/>
    <w:rsid w:val="00220D67"/>
    <w:rsid w:val="002215F8"/>
    <w:rsid w:val="00221F80"/>
    <w:rsid w:val="0022273A"/>
    <w:rsid w:val="00222D28"/>
    <w:rsid w:val="00223CF4"/>
    <w:rsid w:val="00224220"/>
    <w:rsid w:val="00224398"/>
    <w:rsid w:val="00224A81"/>
    <w:rsid w:val="00224E91"/>
    <w:rsid w:val="00225830"/>
    <w:rsid w:val="00225B4C"/>
    <w:rsid w:val="00225E1E"/>
    <w:rsid w:val="00226129"/>
    <w:rsid w:val="0022614D"/>
    <w:rsid w:val="00226380"/>
    <w:rsid w:val="00226AA2"/>
    <w:rsid w:val="00227218"/>
    <w:rsid w:val="0022770A"/>
    <w:rsid w:val="00227BEE"/>
    <w:rsid w:val="00227FB4"/>
    <w:rsid w:val="0023057E"/>
    <w:rsid w:val="00230D8E"/>
    <w:rsid w:val="002312BC"/>
    <w:rsid w:val="002337E5"/>
    <w:rsid w:val="00233C06"/>
    <w:rsid w:val="00233F24"/>
    <w:rsid w:val="00234BBB"/>
    <w:rsid w:val="002356F4"/>
    <w:rsid w:val="00235F02"/>
    <w:rsid w:val="00236D28"/>
    <w:rsid w:val="00237DA1"/>
    <w:rsid w:val="00237FE4"/>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517A8"/>
    <w:rsid w:val="00251EEE"/>
    <w:rsid w:val="00253177"/>
    <w:rsid w:val="002538B8"/>
    <w:rsid w:val="0025396F"/>
    <w:rsid w:val="00254319"/>
    <w:rsid w:val="0025539F"/>
    <w:rsid w:val="002554B8"/>
    <w:rsid w:val="00256388"/>
    <w:rsid w:val="00256E44"/>
    <w:rsid w:val="00260919"/>
    <w:rsid w:val="002612FD"/>
    <w:rsid w:val="002613DC"/>
    <w:rsid w:val="00261755"/>
    <w:rsid w:val="00261AAA"/>
    <w:rsid w:val="00262097"/>
    <w:rsid w:val="002626D7"/>
    <w:rsid w:val="00262D20"/>
    <w:rsid w:val="002634AB"/>
    <w:rsid w:val="002638E0"/>
    <w:rsid w:val="00263C19"/>
    <w:rsid w:val="00263E9F"/>
    <w:rsid w:val="00264F03"/>
    <w:rsid w:val="00264F8F"/>
    <w:rsid w:val="0026509E"/>
    <w:rsid w:val="002655AE"/>
    <w:rsid w:val="0026591F"/>
    <w:rsid w:val="00265A65"/>
    <w:rsid w:val="002660F0"/>
    <w:rsid w:val="002675B6"/>
    <w:rsid w:val="00267A99"/>
    <w:rsid w:val="00270271"/>
    <w:rsid w:val="00272174"/>
    <w:rsid w:val="002721A6"/>
    <w:rsid w:val="002722E0"/>
    <w:rsid w:val="002730EC"/>
    <w:rsid w:val="00273100"/>
    <w:rsid w:val="002735CC"/>
    <w:rsid w:val="00274588"/>
    <w:rsid w:val="00274A67"/>
    <w:rsid w:val="00274AA2"/>
    <w:rsid w:val="002756EF"/>
    <w:rsid w:val="00275708"/>
    <w:rsid w:val="002768CF"/>
    <w:rsid w:val="00276F82"/>
    <w:rsid w:val="00277B54"/>
    <w:rsid w:val="002805DF"/>
    <w:rsid w:val="0028092D"/>
    <w:rsid w:val="002815D9"/>
    <w:rsid w:val="00281ACC"/>
    <w:rsid w:val="00282317"/>
    <w:rsid w:val="00282D25"/>
    <w:rsid w:val="00282DF9"/>
    <w:rsid w:val="00283601"/>
    <w:rsid w:val="00283A44"/>
    <w:rsid w:val="0028529F"/>
    <w:rsid w:val="00285687"/>
    <w:rsid w:val="00286F55"/>
    <w:rsid w:val="00287649"/>
    <w:rsid w:val="00287DAB"/>
    <w:rsid w:val="00287FB6"/>
    <w:rsid w:val="002900C5"/>
    <w:rsid w:val="002901E0"/>
    <w:rsid w:val="0029075B"/>
    <w:rsid w:val="00290BB1"/>
    <w:rsid w:val="00291BC1"/>
    <w:rsid w:val="00291E09"/>
    <w:rsid w:val="002933CA"/>
    <w:rsid w:val="00293A8F"/>
    <w:rsid w:val="00295155"/>
    <w:rsid w:val="00295D51"/>
    <w:rsid w:val="00296203"/>
    <w:rsid w:val="00296428"/>
    <w:rsid w:val="0029643D"/>
    <w:rsid w:val="00296A94"/>
    <w:rsid w:val="00296F24"/>
    <w:rsid w:val="0029706A"/>
    <w:rsid w:val="0029720C"/>
    <w:rsid w:val="002972EE"/>
    <w:rsid w:val="00297F01"/>
    <w:rsid w:val="002A025D"/>
    <w:rsid w:val="002A052D"/>
    <w:rsid w:val="002A0DF8"/>
    <w:rsid w:val="002A1928"/>
    <w:rsid w:val="002A1F0D"/>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75CA"/>
    <w:rsid w:val="002A7889"/>
    <w:rsid w:val="002A799A"/>
    <w:rsid w:val="002B097D"/>
    <w:rsid w:val="002B11B2"/>
    <w:rsid w:val="002B17DD"/>
    <w:rsid w:val="002B18F7"/>
    <w:rsid w:val="002B3ED7"/>
    <w:rsid w:val="002B4778"/>
    <w:rsid w:val="002B4F0F"/>
    <w:rsid w:val="002B75B2"/>
    <w:rsid w:val="002B79B7"/>
    <w:rsid w:val="002C141D"/>
    <w:rsid w:val="002C19C0"/>
    <w:rsid w:val="002C2485"/>
    <w:rsid w:val="002C25E0"/>
    <w:rsid w:val="002C2A2D"/>
    <w:rsid w:val="002C36C0"/>
    <w:rsid w:val="002C3928"/>
    <w:rsid w:val="002C3B33"/>
    <w:rsid w:val="002C435E"/>
    <w:rsid w:val="002C43BB"/>
    <w:rsid w:val="002C44AB"/>
    <w:rsid w:val="002C5770"/>
    <w:rsid w:val="002C5E39"/>
    <w:rsid w:val="002C5FA2"/>
    <w:rsid w:val="002C7A02"/>
    <w:rsid w:val="002C7BD4"/>
    <w:rsid w:val="002D0107"/>
    <w:rsid w:val="002D062E"/>
    <w:rsid w:val="002D0D43"/>
    <w:rsid w:val="002D15C2"/>
    <w:rsid w:val="002D2B10"/>
    <w:rsid w:val="002D386A"/>
    <w:rsid w:val="002D4100"/>
    <w:rsid w:val="002D477F"/>
    <w:rsid w:val="002D4F48"/>
    <w:rsid w:val="002D519B"/>
    <w:rsid w:val="002D621E"/>
    <w:rsid w:val="002D66DA"/>
    <w:rsid w:val="002D7027"/>
    <w:rsid w:val="002D70DC"/>
    <w:rsid w:val="002D73A3"/>
    <w:rsid w:val="002D758B"/>
    <w:rsid w:val="002D79BC"/>
    <w:rsid w:val="002D7E58"/>
    <w:rsid w:val="002E0D31"/>
    <w:rsid w:val="002E0EFA"/>
    <w:rsid w:val="002E1073"/>
    <w:rsid w:val="002E12EC"/>
    <w:rsid w:val="002E146D"/>
    <w:rsid w:val="002E272B"/>
    <w:rsid w:val="002E29F8"/>
    <w:rsid w:val="002E2C52"/>
    <w:rsid w:val="002E342B"/>
    <w:rsid w:val="002E35DD"/>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0A64"/>
    <w:rsid w:val="002F10EC"/>
    <w:rsid w:val="002F1136"/>
    <w:rsid w:val="002F1231"/>
    <w:rsid w:val="002F1521"/>
    <w:rsid w:val="002F15EE"/>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BED"/>
    <w:rsid w:val="00302C50"/>
    <w:rsid w:val="003031C2"/>
    <w:rsid w:val="00303861"/>
    <w:rsid w:val="00304891"/>
    <w:rsid w:val="00304FFF"/>
    <w:rsid w:val="003053E4"/>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0699"/>
    <w:rsid w:val="00321214"/>
    <w:rsid w:val="003213D5"/>
    <w:rsid w:val="00321441"/>
    <w:rsid w:val="003226E4"/>
    <w:rsid w:val="00323737"/>
    <w:rsid w:val="00323AD6"/>
    <w:rsid w:val="00323F27"/>
    <w:rsid w:val="003242EF"/>
    <w:rsid w:val="00325339"/>
    <w:rsid w:val="003255AA"/>
    <w:rsid w:val="003257C8"/>
    <w:rsid w:val="003262BC"/>
    <w:rsid w:val="00326DF3"/>
    <w:rsid w:val="0032783B"/>
    <w:rsid w:val="00327E5D"/>
    <w:rsid w:val="003314B6"/>
    <w:rsid w:val="00331A20"/>
    <w:rsid w:val="00331E65"/>
    <w:rsid w:val="00333107"/>
    <w:rsid w:val="0033343B"/>
    <w:rsid w:val="003336A1"/>
    <w:rsid w:val="0033393C"/>
    <w:rsid w:val="00333D3D"/>
    <w:rsid w:val="003357EE"/>
    <w:rsid w:val="00337368"/>
    <w:rsid w:val="00337B4D"/>
    <w:rsid w:val="003407A9"/>
    <w:rsid w:val="00340BA3"/>
    <w:rsid w:val="00340BAF"/>
    <w:rsid w:val="00340C2B"/>
    <w:rsid w:val="00340F9A"/>
    <w:rsid w:val="00341018"/>
    <w:rsid w:val="00341B09"/>
    <w:rsid w:val="003420D9"/>
    <w:rsid w:val="003423E0"/>
    <w:rsid w:val="003424E2"/>
    <w:rsid w:val="0034301A"/>
    <w:rsid w:val="00343D76"/>
    <w:rsid w:val="00344DFD"/>
    <w:rsid w:val="003451D3"/>
    <w:rsid w:val="00345E4E"/>
    <w:rsid w:val="00346631"/>
    <w:rsid w:val="00346AAD"/>
    <w:rsid w:val="00346D96"/>
    <w:rsid w:val="0034736A"/>
    <w:rsid w:val="0034747C"/>
    <w:rsid w:val="00347B6C"/>
    <w:rsid w:val="003501F8"/>
    <w:rsid w:val="0035151C"/>
    <w:rsid w:val="00352254"/>
    <w:rsid w:val="003522A3"/>
    <w:rsid w:val="00353929"/>
    <w:rsid w:val="00353F9E"/>
    <w:rsid w:val="003540D1"/>
    <w:rsid w:val="003545BF"/>
    <w:rsid w:val="00355724"/>
    <w:rsid w:val="0035586A"/>
    <w:rsid w:val="0035611A"/>
    <w:rsid w:val="00356C3D"/>
    <w:rsid w:val="00360476"/>
    <w:rsid w:val="00360B75"/>
    <w:rsid w:val="0036151C"/>
    <w:rsid w:val="00361A9B"/>
    <w:rsid w:val="00361CDD"/>
    <w:rsid w:val="00362CCF"/>
    <w:rsid w:val="003631DB"/>
    <w:rsid w:val="00363B9A"/>
    <w:rsid w:val="00364524"/>
    <w:rsid w:val="0036513A"/>
    <w:rsid w:val="00365237"/>
    <w:rsid w:val="0036536A"/>
    <w:rsid w:val="0036559C"/>
    <w:rsid w:val="0036587E"/>
    <w:rsid w:val="003660CD"/>
    <w:rsid w:val="00366B08"/>
    <w:rsid w:val="00367496"/>
    <w:rsid w:val="003678BE"/>
    <w:rsid w:val="003700F8"/>
    <w:rsid w:val="00370949"/>
    <w:rsid w:val="0037243B"/>
    <w:rsid w:val="0037251C"/>
    <w:rsid w:val="0037272C"/>
    <w:rsid w:val="00372B9A"/>
    <w:rsid w:val="003731BF"/>
    <w:rsid w:val="00375287"/>
    <w:rsid w:val="00375791"/>
    <w:rsid w:val="00375826"/>
    <w:rsid w:val="00375994"/>
    <w:rsid w:val="00375C59"/>
    <w:rsid w:val="00375E05"/>
    <w:rsid w:val="00376BB7"/>
    <w:rsid w:val="00376E5B"/>
    <w:rsid w:val="00376EEE"/>
    <w:rsid w:val="00377BA1"/>
    <w:rsid w:val="00377FF0"/>
    <w:rsid w:val="00380616"/>
    <w:rsid w:val="00381022"/>
    <w:rsid w:val="003814B8"/>
    <w:rsid w:val="00382909"/>
    <w:rsid w:val="00382EE1"/>
    <w:rsid w:val="003841C3"/>
    <w:rsid w:val="00384258"/>
    <w:rsid w:val="00385131"/>
    <w:rsid w:val="0038620B"/>
    <w:rsid w:val="00387647"/>
    <w:rsid w:val="0038791A"/>
    <w:rsid w:val="00390056"/>
    <w:rsid w:val="0039055C"/>
    <w:rsid w:val="00390718"/>
    <w:rsid w:val="00390767"/>
    <w:rsid w:val="00390883"/>
    <w:rsid w:val="00391403"/>
    <w:rsid w:val="00391470"/>
    <w:rsid w:val="003920C4"/>
    <w:rsid w:val="00392184"/>
    <w:rsid w:val="00392652"/>
    <w:rsid w:val="00392B41"/>
    <w:rsid w:val="0039456F"/>
    <w:rsid w:val="003945C8"/>
    <w:rsid w:val="0039480D"/>
    <w:rsid w:val="00395446"/>
    <w:rsid w:val="00396725"/>
    <w:rsid w:val="00397A28"/>
    <w:rsid w:val="00397E94"/>
    <w:rsid w:val="00397F05"/>
    <w:rsid w:val="003A0442"/>
    <w:rsid w:val="003A0615"/>
    <w:rsid w:val="003A0899"/>
    <w:rsid w:val="003A1512"/>
    <w:rsid w:val="003A1EB7"/>
    <w:rsid w:val="003A23F3"/>
    <w:rsid w:val="003A2D82"/>
    <w:rsid w:val="003A337C"/>
    <w:rsid w:val="003A36DA"/>
    <w:rsid w:val="003A38F1"/>
    <w:rsid w:val="003A3D1B"/>
    <w:rsid w:val="003A3F39"/>
    <w:rsid w:val="003A4170"/>
    <w:rsid w:val="003A4296"/>
    <w:rsid w:val="003A4549"/>
    <w:rsid w:val="003A49B3"/>
    <w:rsid w:val="003A55B4"/>
    <w:rsid w:val="003A61B6"/>
    <w:rsid w:val="003A623F"/>
    <w:rsid w:val="003A6769"/>
    <w:rsid w:val="003A71AD"/>
    <w:rsid w:val="003A7D1D"/>
    <w:rsid w:val="003B0EE7"/>
    <w:rsid w:val="003B1688"/>
    <w:rsid w:val="003B1FA4"/>
    <w:rsid w:val="003B1FE6"/>
    <w:rsid w:val="003B2813"/>
    <w:rsid w:val="003B2986"/>
    <w:rsid w:val="003B3106"/>
    <w:rsid w:val="003B3974"/>
    <w:rsid w:val="003B39E0"/>
    <w:rsid w:val="003B3DAB"/>
    <w:rsid w:val="003B404D"/>
    <w:rsid w:val="003B419E"/>
    <w:rsid w:val="003B4B34"/>
    <w:rsid w:val="003B4CDA"/>
    <w:rsid w:val="003B4F2D"/>
    <w:rsid w:val="003B5BD9"/>
    <w:rsid w:val="003B64A3"/>
    <w:rsid w:val="003B6DB8"/>
    <w:rsid w:val="003B72B9"/>
    <w:rsid w:val="003C0887"/>
    <w:rsid w:val="003C08AF"/>
    <w:rsid w:val="003C2EDD"/>
    <w:rsid w:val="003C3220"/>
    <w:rsid w:val="003C3A47"/>
    <w:rsid w:val="003C3A79"/>
    <w:rsid w:val="003C488A"/>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0B4"/>
    <w:rsid w:val="003D18CC"/>
    <w:rsid w:val="003D2543"/>
    <w:rsid w:val="003D3583"/>
    <w:rsid w:val="003D391E"/>
    <w:rsid w:val="003D3B6F"/>
    <w:rsid w:val="003D3FF3"/>
    <w:rsid w:val="003D40E8"/>
    <w:rsid w:val="003D44FC"/>
    <w:rsid w:val="003D455E"/>
    <w:rsid w:val="003D5785"/>
    <w:rsid w:val="003D5A2D"/>
    <w:rsid w:val="003D5A9D"/>
    <w:rsid w:val="003D62C0"/>
    <w:rsid w:val="003D65F6"/>
    <w:rsid w:val="003D6911"/>
    <w:rsid w:val="003D77DA"/>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676"/>
    <w:rsid w:val="003E67E7"/>
    <w:rsid w:val="003E6B3C"/>
    <w:rsid w:val="003E6B95"/>
    <w:rsid w:val="003E70FF"/>
    <w:rsid w:val="003E7F1B"/>
    <w:rsid w:val="003F0B41"/>
    <w:rsid w:val="003F1E39"/>
    <w:rsid w:val="003F229D"/>
    <w:rsid w:val="003F25F0"/>
    <w:rsid w:val="003F2D5B"/>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C82"/>
    <w:rsid w:val="00404C44"/>
    <w:rsid w:val="00404EE8"/>
    <w:rsid w:val="00404F5A"/>
    <w:rsid w:val="0040510D"/>
    <w:rsid w:val="0040512D"/>
    <w:rsid w:val="00405DF1"/>
    <w:rsid w:val="0040602F"/>
    <w:rsid w:val="00406AFB"/>
    <w:rsid w:val="00407382"/>
    <w:rsid w:val="0040791B"/>
    <w:rsid w:val="00411958"/>
    <w:rsid w:val="00411B2A"/>
    <w:rsid w:val="00412973"/>
    <w:rsid w:val="00412D42"/>
    <w:rsid w:val="00412DA4"/>
    <w:rsid w:val="00412EB6"/>
    <w:rsid w:val="0041351F"/>
    <w:rsid w:val="004137C8"/>
    <w:rsid w:val="00413BF9"/>
    <w:rsid w:val="00413C2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5173"/>
    <w:rsid w:val="004255B4"/>
    <w:rsid w:val="00426766"/>
    <w:rsid w:val="004267D0"/>
    <w:rsid w:val="004279CA"/>
    <w:rsid w:val="00427A82"/>
    <w:rsid w:val="00427EA2"/>
    <w:rsid w:val="00430115"/>
    <w:rsid w:val="004303CA"/>
    <w:rsid w:val="00430A4B"/>
    <w:rsid w:val="00431C46"/>
    <w:rsid w:val="004327E6"/>
    <w:rsid w:val="004329DC"/>
    <w:rsid w:val="00432AC6"/>
    <w:rsid w:val="00434C5E"/>
    <w:rsid w:val="00434E0B"/>
    <w:rsid w:val="00435765"/>
    <w:rsid w:val="004360B6"/>
    <w:rsid w:val="004362E5"/>
    <w:rsid w:val="00436356"/>
    <w:rsid w:val="0044041E"/>
    <w:rsid w:val="00440722"/>
    <w:rsid w:val="00440DF5"/>
    <w:rsid w:val="004425D9"/>
    <w:rsid w:val="00443244"/>
    <w:rsid w:val="00444AF6"/>
    <w:rsid w:val="0044519D"/>
    <w:rsid w:val="00445544"/>
    <w:rsid w:val="00445C0B"/>
    <w:rsid w:val="00446068"/>
    <w:rsid w:val="00446195"/>
    <w:rsid w:val="00447CD0"/>
    <w:rsid w:val="00447FC2"/>
    <w:rsid w:val="004501E7"/>
    <w:rsid w:val="004502F4"/>
    <w:rsid w:val="004506F4"/>
    <w:rsid w:val="004509D1"/>
    <w:rsid w:val="00450A42"/>
    <w:rsid w:val="00450C7D"/>
    <w:rsid w:val="004513A5"/>
    <w:rsid w:val="00451C67"/>
    <w:rsid w:val="00451D50"/>
    <w:rsid w:val="00452EC4"/>
    <w:rsid w:val="00453340"/>
    <w:rsid w:val="00453775"/>
    <w:rsid w:val="00453890"/>
    <w:rsid w:val="00454380"/>
    <w:rsid w:val="0045470C"/>
    <w:rsid w:val="004552C8"/>
    <w:rsid w:val="0045536C"/>
    <w:rsid w:val="00455A07"/>
    <w:rsid w:val="00455AEB"/>
    <w:rsid w:val="0045603C"/>
    <w:rsid w:val="00456053"/>
    <w:rsid w:val="00456068"/>
    <w:rsid w:val="00456896"/>
    <w:rsid w:val="00456ADA"/>
    <w:rsid w:val="00456B0D"/>
    <w:rsid w:val="0045770D"/>
    <w:rsid w:val="0045790F"/>
    <w:rsid w:val="00457B9B"/>
    <w:rsid w:val="00457D63"/>
    <w:rsid w:val="00457E21"/>
    <w:rsid w:val="0046007E"/>
    <w:rsid w:val="0046024B"/>
    <w:rsid w:val="00460E36"/>
    <w:rsid w:val="00461155"/>
    <w:rsid w:val="004616FE"/>
    <w:rsid w:val="0046218C"/>
    <w:rsid w:val="004623D4"/>
    <w:rsid w:val="00463944"/>
    <w:rsid w:val="00463F0F"/>
    <w:rsid w:val="0046512A"/>
    <w:rsid w:val="00465234"/>
    <w:rsid w:val="00465B24"/>
    <w:rsid w:val="00466858"/>
    <w:rsid w:val="00466D0F"/>
    <w:rsid w:val="00467544"/>
    <w:rsid w:val="004676BA"/>
    <w:rsid w:val="0046784C"/>
    <w:rsid w:val="00467ECB"/>
    <w:rsid w:val="00470865"/>
    <w:rsid w:val="004710C3"/>
    <w:rsid w:val="00471459"/>
    <w:rsid w:val="00472274"/>
    <w:rsid w:val="004722D4"/>
    <w:rsid w:val="00472D9C"/>
    <w:rsid w:val="00473B60"/>
    <w:rsid w:val="00475AFF"/>
    <w:rsid w:val="00475D30"/>
    <w:rsid w:val="004765F4"/>
    <w:rsid w:val="00476B4D"/>
    <w:rsid w:val="00476CBC"/>
    <w:rsid w:val="00476E6C"/>
    <w:rsid w:val="00477282"/>
    <w:rsid w:val="00477947"/>
    <w:rsid w:val="00477BBA"/>
    <w:rsid w:val="00480FA1"/>
    <w:rsid w:val="00481FD7"/>
    <w:rsid w:val="00482DE5"/>
    <w:rsid w:val="00483266"/>
    <w:rsid w:val="0048352E"/>
    <w:rsid w:val="004836A9"/>
    <w:rsid w:val="00483B23"/>
    <w:rsid w:val="004840D7"/>
    <w:rsid w:val="004846F4"/>
    <w:rsid w:val="004847FD"/>
    <w:rsid w:val="00485C26"/>
    <w:rsid w:val="00485EC0"/>
    <w:rsid w:val="004875E1"/>
    <w:rsid w:val="00487B37"/>
    <w:rsid w:val="00490636"/>
    <w:rsid w:val="00490FF0"/>
    <w:rsid w:val="004910FE"/>
    <w:rsid w:val="00491198"/>
    <w:rsid w:val="004917E0"/>
    <w:rsid w:val="00491BF6"/>
    <w:rsid w:val="00491FED"/>
    <w:rsid w:val="00492F82"/>
    <w:rsid w:val="004943C2"/>
    <w:rsid w:val="00494918"/>
    <w:rsid w:val="00494C65"/>
    <w:rsid w:val="00494F0C"/>
    <w:rsid w:val="00495557"/>
    <w:rsid w:val="00495C83"/>
    <w:rsid w:val="0049618D"/>
    <w:rsid w:val="004965EF"/>
    <w:rsid w:val="0049719D"/>
    <w:rsid w:val="00497FCD"/>
    <w:rsid w:val="004A0D1E"/>
    <w:rsid w:val="004A0E60"/>
    <w:rsid w:val="004A0E66"/>
    <w:rsid w:val="004A0EEC"/>
    <w:rsid w:val="004A130F"/>
    <w:rsid w:val="004A17EF"/>
    <w:rsid w:val="004A1BDA"/>
    <w:rsid w:val="004A22DA"/>
    <w:rsid w:val="004A2700"/>
    <w:rsid w:val="004A36C8"/>
    <w:rsid w:val="004A3721"/>
    <w:rsid w:val="004A3742"/>
    <w:rsid w:val="004A37B8"/>
    <w:rsid w:val="004A3ED3"/>
    <w:rsid w:val="004A47BC"/>
    <w:rsid w:val="004A4AC6"/>
    <w:rsid w:val="004B1199"/>
    <w:rsid w:val="004B16C4"/>
    <w:rsid w:val="004B1867"/>
    <w:rsid w:val="004B2A64"/>
    <w:rsid w:val="004B3073"/>
    <w:rsid w:val="004B352E"/>
    <w:rsid w:val="004B41DA"/>
    <w:rsid w:val="004B470D"/>
    <w:rsid w:val="004B4764"/>
    <w:rsid w:val="004B4846"/>
    <w:rsid w:val="004B5394"/>
    <w:rsid w:val="004B5BDD"/>
    <w:rsid w:val="004B5F5B"/>
    <w:rsid w:val="004B6E9E"/>
    <w:rsid w:val="004B6F83"/>
    <w:rsid w:val="004B7C29"/>
    <w:rsid w:val="004C06E5"/>
    <w:rsid w:val="004C189F"/>
    <w:rsid w:val="004C198D"/>
    <w:rsid w:val="004C1AD6"/>
    <w:rsid w:val="004C1B7D"/>
    <w:rsid w:val="004C1E3C"/>
    <w:rsid w:val="004C25F0"/>
    <w:rsid w:val="004C26DD"/>
    <w:rsid w:val="004C2B5D"/>
    <w:rsid w:val="004C2D68"/>
    <w:rsid w:val="004C2F56"/>
    <w:rsid w:val="004C339D"/>
    <w:rsid w:val="004C33E8"/>
    <w:rsid w:val="004C426D"/>
    <w:rsid w:val="004C4307"/>
    <w:rsid w:val="004C4309"/>
    <w:rsid w:val="004C49E3"/>
    <w:rsid w:val="004C4E8A"/>
    <w:rsid w:val="004C514A"/>
    <w:rsid w:val="004C6572"/>
    <w:rsid w:val="004C6D4F"/>
    <w:rsid w:val="004C7541"/>
    <w:rsid w:val="004D1E71"/>
    <w:rsid w:val="004D2809"/>
    <w:rsid w:val="004D2CDF"/>
    <w:rsid w:val="004D33CE"/>
    <w:rsid w:val="004D4AAE"/>
    <w:rsid w:val="004D66C4"/>
    <w:rsid w:val="004D727A"/>
    <w:rsid w:val="004D7C86"/>
    <w:rsid w:val="004E0197"/>
    <w:rsid w:val="004E0D2C"/>
    <w:rsid w:val="004E1122"/>
    <w:rsid w:val="004E1409"/>
    <w:rsid w:val="004E1A87"/>
    <w:rsid w:val="004E1BB0"/>
    <w:rsid w:val="004E3030"/>
    <w:rsid w:val="004E3185"/>
    <w:rsid w:val="004E3311"/>
    <w:rsid w:val="004E38EC"/>
    <w:rsid w:val="004E3933"/>
    <w:rsid w:val="004E4549"/>
    <w:rsid w:val="004E4C83"/>
    <w:rsid w:val="004E4D53"/>
    <w:rsid w:val="004E4D84"/>
    <w:rsid w:val="004E4EBC"/>
    <w:rsid w:val="004E5104"/>
    <w:rsid w:val="004E5B06"/>
    <w:rsid w:val="004E5C48"/>
    <w:rsid w:val="004E5FA8"/>
    <w:rsid w:val="004E684C"/>
    <w:rsid w:val="004E6FF1"/>
    <w:rsid w:val="004E76DB"/>
    <w:rsid w:val="004F1F90"/>
    <w:rsid w:val="004F2401"/>
    <w:rsid w:val="004F2A44"/>
    <w:rsid w:val="004F2DAD"/>
    <w:rsid w:val="004F34F7"/>
    <w:rsid w:val="004F55D6"/>
    <w:rsid w:val="004F565A"/>
    <w:rsid w:val="004F571B"/>
    <w:rsid w:val="004F64EB"/>
    <w:rsid w:val="004F756C"/>
    <w:rsid w:val="004F7A74"/>
    <w:rsid w:val="00500161"/>
    <w:rsid w:val="00500250"/>
    <w:rsid w:val="00500264"/>
    <w:rsid w:val="00500824"/>
    <w:rsid w:val="00500DAB"/>
    <w:rsid w:val="00501011"/>
    <w:rsid w:val="005010D6"/>
    <w:rsid w:val="00501144"/>
    <w:rsid w:val="005013EF"/>
    <w:rsid w:val="005019E0"/>
    <w:rsid w:val="005019F1"/>
    <w:rsid w:val="00501CEB"/>
    <w:rsid w:val="0050211F"/>
    <w:rsid w:val="005022E7"/>
    <w:rsid w:val="00502A93"/>
    <w:rsid w:val="005037F9"/>
    <w:rsid w:val="00506083"/>
    <w:rsid w:val="005068D6"/>
    <w:rsid w:val="00506B86"/>
    <w:rsid w:val="00506EEC"/>
    <w:rsid w:val="00506FD4"/>
    <w:rsid w:val="005107FF"/>
    <w:rsid w:val="00510CBC"/>
    <w:rsid w:val="0051102D"/>
    <w:rsid w:val="005112A5"/>
    <w:rsid w:val="00511509"/>
    <w:rsid w:val="00511F48"/>
    <w:rsid w:val="00512448"/>
    <w:rsid w:val="0051253A"/>
    <w:rsid w:val="0051266C"/>
    <w:rsid w:val="00512DB9"/>
    <w:rsid w:val="00513B72"/>
    <w:rsid w:val="005151B5"/>
    <w:rsid w:val="00515277"/>
    <w:rsid w:val="005158C2"/>
    <w:rsid w:val="005169DE"/>
    <w:rsid w:val="0051754D"/>
    <w:rsid w:val="0051785D"/>
    <w:rsid w:val="00517913"/>
    <w:rsid w:val="0052005F"/>
    <w:rsid w:val="00520200"/>
    <w:rsid w:val="00520E2D"/>
    <w:rsid w:val="00520F04"/>
    <w:rsid w:val="00521717"/>
    <w:rsid w:val="005224B2"/>
    <w:rsid w:val="00523B23"/>
    <w:rsid w:val="00523DFA"/>
    <w:rsid w:val="00524D5E"/>
    <w:rsid w:val="005254BC"/>
    <w:rsid w:val="005256FC"/>
    <w:rsid w:val="00526C27"/>
    <w:rsid w:val="00526DFF"/>
    <w:rsid w:val="00527473"/>
    <w:rsid w:val="00527EF9"/>
    <w:rsid w:val="005305FF"/>
    <w:rsid w:val="00530C9B"/>
    <w:rsid w:val="00531585"/>
    <w:rsid w:val="00532334"/>
    <w:rsid w:val="005324AF"/>
    <w:rsid w:val="0053402C"/>
    <w:rsid w:val="00534090"/>
    <w:rsid w:val="00534ABA"/>
    <w:rsid w:val="00534DA8"/>
    <w:rsid w:val="00535FFF"/>
    <w:rsid w:val="0053616F"/>
    <w:rsid w:val="005368AD"/>
    <w:rsid w:val="005370BC"/>
    <w:rsid w:val="00537B35"/>
    <w:rsid w:val="00537DE7"/>
    <w:rsid w:val="00537EC4"/>
    <w:rsid w:val="00537FE4"/>
    <w:rsid w:val="0054027D"/>
    <w:rsid w:val="00541222"/>
    <w:rsid w:val="00541A8D"/>
    <w:rsid w:val="00541D4D"/>
    <w:rsid w:val="0054309B"/>
    <w:rsid w:val="0054335C"/>
    <w:rsid w:val="00544DA0"/>
    <w:rsid w:val="005454BD"/>
    <w:rsid w:val="005457E4"/>
    <w:rsid w:val="00546C49"/>
    <w:rsid w:val="0055010B"/>
    <w:rsid w:val="005502D3"/>
    <w:rsid w:val="00550D59"/>
    <w:rsid w:val="00550D66"/>
    <w:rsid w:val="0055110D"/>
    <w:rsid w:val="00551297"/>
    <w:rsid w:val="00551F81"/>
    <w:rsid w:val="0055210F"/>
    <w:rsid w:val="00552CD7"/>
    <w:rsid w:val="005533BE"/>
    <w:rsid w:val="00554B30"/>
    <w:rsid w:val="00554FFB"/>
    <w:rsid w:val="005568DE"/>
    <w:rsid w:val="0055699C"/>
    <w:rsid w:val="00557C50"/>
    <w:rsid w:val="005606B6"/>
    <w:rsid w:val="005608D6"/>
    <w:rsid w:val="00560F19"/>
    <w:rsid w:val="00561E6B"/>
    <w:rsid w:val="005621D2"/>
    <w:rsid w:val="005621E0"/>
    <w:rsid w:val="00562D90"/>
    <w:rsid w:val="00562FC9"/>
    <w:rsid w:val="00563A23"/>
    <w:rsid w:val="00563A5A"/>
    <w:rsid w:val="00563C61"/>
    <w:rsid w:val="00563ECB"/>
    <w:rsid w:val="00563F47"/>
    <w:rsid w:val="005640BB"/>
    <w:rsid w:val="00564249"/>
    <w:rsid w:val="00564C23"/>
    <w:rsid w:val="0056530C"/>
    <w:rsid w:val="00565406"/>
    <w:rsid w:val="00565570"/>
    <w:rsid w:val="005657DD"/>
    <w:rsid w:val="00565B29"/>
    <w:rsid w:val="005664CC"/>
    <w:rsid w:val="0056664B"/>
    <w:rsid w:val="00567588"/>
    <w:rsid w:val="00567992"/>
    <w:rsid w:val="00567C3C"/>
    <w:rsid w:val="005702F8"/>
    <w:rsid w:val="00570FC0"/>
    <w:rsid w:val="00571231"/>
    <w:rsid w:val="00571767"/>
    <w:rsid w:val="00571A98"/>
    <w:rsid w:val="00571D4F"/>
    <w:rsid w:val="00571E44"/>
    <w:rsid w:val="00573E61"/>
    <w:rsid w:val="00573F88"/>
    <w:rsid w:val="0057411B"/>
    <w:rsid w:val="00574525"/>
    <w:rsid w:val="00574778"/>
    <w:rsid w:val="0057498F"/>
    <w:rsid w:val="00574DE9"/>
    <w:rsid w:val="00575DF4"/>
    <w:rsid w:val="00576D65"/>
    <w:rsid w:val="0057765D"/>
    <w:rsid w:val="005777FC"/>
    <w:rsid w:val="00580441"/>
    <w:rsid w:val="005808EB"/>
    <w:rsid w:val="00580D37"/>
    <w:rsid w:val="00580FCB"/>
    <w:rsid w:val="00581FA0"/>
    <w:rsid w:val="00582B90"/>
    <w:rsid w:val="005831A7"/>
    <w:rsid w:val="00583321"/>
    <w:rsid w:val="0058341E"/>
    <w:rsid w:val="005834DD"/>
    <w:rsid w:val="00584F3A"/>
    <w:rsid w:val="005853AB"/>
    <w:rsid w:val="00585748"/>
    <w:rsid w:val="005859C5"/>
    <w:rsid w:val="00585C79"/>
    <w:rsid w:val="00586144"/>
    <w:rsid w:val="00587785"/>
    <w:rsid w:val="0058788D"/>
    <w:rsid w:val="00587E29"/>
    <w:rsid w:val="00587FE6"/>
    <w:rsid w:val="00591698"/>
    <w:rsid w:val="00592862"/>
    <w:rsid w:val="00593B87"/>
    <w:rsid w:val="00593C1C"/>
    <w:rsid w:val="00593E94"/>
    <w:rsid w:val="00594143"/>
    <w:rsid w:val="00594543"/>
    <w:rsid w:val="00594612"/>
    <w:rsid w:val="00595873"/>
    <w:rsid w:val="00595CDD"/>
    <w:rsid w:val="005964BB"/>
    <w:rsid w:val="00596834"/>
    <w:rsid w:val="00596A70"/>
    <w:rsid w:val="00596BD3"/>
    <w:rsid w:val="00596BE7"/>
    <w:rsid w:val="00596C3E"/>
    <w:rsid w:val="005977DD"/>
    <w:rsid w:val="005A0038"/>
    <w:rsid w:val="005A04BD"/>
    <w:rsid w:val="005A0A3F"/>
    <w:rsid w:val="005A114F"/>
    <w:rsid w:val="005A1F49"/>
    <w:rsid w:val="005A2364"/>
    <w:rsid w:val="005A2480"/>
    <w:rsid w:val="005A2B2C"/>
    <w:rsid w:val="005A2D6B"/>
    <w:rsid w:val="005A3252"/>
    <w:rsid w:val="005A33F7"/>
    <w:rsid w:val="005A40CF"/>
    <w:rsid w:val="005A4A0A"/>
    <w:rsid w:val="005A4A9C"/>
    <w:rsid w:val="005A4BAE"/>
    <w:rsid w:val="005A4F39"/>
    <w:rsid w:val="005A574D"/>
    <w:rsid w:val="005A5B5C"/>
    <w:rsid w:val="005A6E93"/>
    <w:rsid w:val="005A707A"/>
    <w:rsid w:val="005A7340"/>
    <w:rsid w:val="005A7F93"/>
    <w:rsid w:val="005B07EA"/>
    <w:rsid w:val="005B0B20"/>
    <w:rsid w:val="005B0BD6"/>
    <w:rsid w:val="005B0C0E"/>
    <w:rsid w:val="005B0EFB"/>
    <w:rsid w:val="005B1060"/>
    <w:rsid w:val="005B12B9"/>
    <w:rsid w:val="005B17C1"/>
    <w:rsid w:val="005B3737"/>
    <w:rsid w:val="005B3A42"/>
    <w:rsid w:val="005B5D40"/>
    <w:rsid w:val="005B5EFC"/>
    <w:rsid w:val="005B6412"/>
    <w:rsid w:val="005B6698"/>
    <w:rsid w:val="005B68A7"/>
    <w:rsid w:val="005B6AC3"/>
    <w:rsid w:val="005C055E"/>
    <w:rsid w:val="005C0FA1"/>
    <w:rsid w:val="005C120B"/>
    <w:rsid w:val="005C132F"/>
    <w:rsid w:val="005C1615"/>
    <w:rsid w:val="005C1D98"/>
    <w:rsid w:val="005C1DA5"/>
    <w:rsid w:val="005C2559"/>
    <w:rsid w:val="005C2873"/>
    <w:rsid w:val="005C28AB"/>
    <w:rsid w:val="005C34FC"/>
    <w:rsid w:val="005C3B5C"/>
    <w:rsid w:val="005C3C7F"/>
    <w:rsid w:val="005C5143"/>
    <w:rsid w:val="005C5639"/>
    <w:rsid w:val="005C5742"/>
    <w:rsid w:val="005C6005"/>
    <w:rsid w:val="005C760E"/>
    <w:rsid w:val="005C7862"/>
    <w:rsid w:val="005C7E9E"/>
    <w:rsid w:val="005D18C9"/>
    <w:rsid w:val="005D1B72"/>
    <w:rsid w:val="005D23BD"/>
    <w:rsid w:val="005D2471"/>
    <w:rsid w:val="005D25A3"/>
    <w:rsid w:val="005D2779"/>
    <w:rsid w:val="005D3242"/>
    <w:rsid w:val="005D610C"/>
    <w:rsid w:val="005D74E7"/>
    <w:rsid w:val="005D7F7B"/>
    <w:rsid w:val="005E24DE"/>
    <w:rsid w:val="005E3BCD"/>
    <w:rsid w:val="005E4A87"/>
    <w:rsid w:val="005E4DA5"/>
    <w:rsid w:val="005E503E"/>
    <w:rsid w:val="005E59C7"/>
    <w:rsid w:val="005E5E7B"/>
    <w:rsid w:val="005E6095"/>
    <w:rsid w:val="005E6A3F"/>
    <w:rsid w:val="005E6DB8"/>
    <w:rsid w:val="005E7228"/>
    <w:rsid w:val="005E7284"/>
    <w:rsid w:val="005E7BAC"/>
    <w:rsid w:val="005F0E5C"/>
    <w:rsid w:val="005F134E"/>
    <w:rsid w:val="005F1365"/>
    <w:rsid w:val="005F2C1F"/>
    <w:rsid w:val="005F2DE6"/>
    <w:rsid w:val="005F2E44"/>
    <w:rsid w:val="005F3690"/>
    <w:rsid w:val="005F3986"/>
    <w:rsid w:val="005F4C57"/>
    <w:rsid w:val="005F588E"/>
    <w:rsid w:val="005F6774"/>
    <w:rsid w:val="005F79AA"/>
    <w:rsid w:val="0060044B"/>
    <w:rsid w:val="006013D7"/>
    <w:rsid w:val="006014DB"/>
    <w:rsid w:val="00601587"/>
    <w:rsid w:val="00601E61"/>
    <w:rsid w:val="00602079"/>
    <w:rsid w:val="006022F3"/>
    <w:rsid w:val="00602579"/>
    <w:rsid w:val="00602BA4"/>
    <w:rsid w:val="00602D5A"/>
    <w:rsid w:val="00602DA2"/>
    <w:rsid w:val="00602FF4"/>
    <w:rsid w:val="00603228"/>
    <w:rsid w:val="00604ACD"/>
    <w:rsid w:val="00604C15"/>
    <w:rsid w:val="00604DC2"/>
    <w:rsid w:val="00604DE6"/>
    <w:rsid w:val="00605505"/>
    <w:rsid w:val="006059FA"/>
    <w:rsid w:val="006060C4"/>
    <w:rsid w:val="00607C35"/>
    <w:rsid w:val="00611777"/>
    <w:rsid w:val="0061189F"/>
    <w:rsid w:val="0061219B"/>
    <w:rsid w:val="00612D05"/>
    <w:rsid w:val="00613FB6"/>
    <w:rsid w:val="006140C6"/>
    <w:rsid w:val="00614134"/>
    <w:rsid w:val="00614241"/>
    <w:rsid w:val="0061428D"/>
    <w:rsid w:val="00615046"/>
    <w:rsid w:val="00615411"/>
    <w:rsid w:val="00615776"/>
    <w:rsid w:val="0061599E"/>
    <w:rsid w:val="00615AC7"/>
    <w:rsid w:val="006162E6"/>
    <w:rsid w:val="006171A5"/>
    <w:rsid w:val="00620309"/>
    <w:rsid w:val="00620D7E"/>
    <w:rsid w:val="0062159D"/>
    <w:rsid w:val="00621680"/>
    <w:rsid w:val="00621EC5"/>
    <w:rsid w:val="006223E0"/>
    <w:rsid w:val="006224D0"/>
    <w:rsid w:val="00622BCE"/>
    <w:rsid w:val="00622E29"/>
    <w:rsid w:val="00623643"/>
    <w:rsid w:val="006239DF"/>
    <w:rsid w:val="00624018"/>
    <w:rsid w:val="0062406F"/>
    <w:rsid w:val="006240C4"/>
    <w:rsid w:val="00625304"/>
    <w:rsid w:val="0062581B"/>
    <w:rsid w:val="006261F4"/>
    <w:rsid w:val="0063164E"/>
    <w:rsid w:val="0063191D"/>
    <w:rsid w:val="00633488"/>
    <w:rsid w:val="00633581"/>
    <w:rsid w:val="006339AF"/>
    <w:rsid w:val="00633C47"/>
    <w:rsid w:val="00633E7B"/>
    <w:rsid w:val="006348F7"/>
    <w:rsid w:val="0063512D"/>
    <w:rsid w:val="006358FB"/>
    <w:rsid w:val="00635AE2"/>
    <w:rsid w:val="00635E1E"/>
    <w:rsid w:val="0063613D"/>
    <w:rsid w:val="0063677C"/>
    <w:rsid w:val="00636972"/>
    <w:rsid w:val="00636B69"/>
    <w:rsid w:val="00636BC2"/>
    <w:rsid w:val="006404D1"/>
    <w:rsid w:val="00640AA1"/>
    <w:rsid w:val="00640F43"/>
    <w:rsid w:val="006412CA"/>
    <w:rsid w:val="00641718"/>
    <w:rsid w:val="006420DA"/>
    <w:rsid w:val="00642A0A"/>
    <w:rsid w:val="00643AC1"/>
    <w:rsid w:val="00643D62"/>
    <w:rsid w:val="00644A5E"/>
    <w:rsid w:val="00644A6C"/>
    <w:rsid w:val="00644D69"/>
    <w:rsid w:val="006457A8"/>
    <w:rsid w:val="00645EA0"/>
    <w:rsid w:val="00645F76"/>
    <w:rsid w:val="00646EB0"/>
    <w:rsid w:val="0064714D"/>
    <w:rsid w:val="0064727D"/>
    <w:rsid w:val="00647B32"/>
    <w:rsid w:val="00647C27"/>
    <w:rsid w:val="006519E6"/>
    <w:rsid w:val="00651CDE"/>
    <w:rsid w:val="00652326"/>
    <w:rsid w:val="00652907"/>
    <w:rsid w:val="00652E06"/>
    <w:rsid w:val="00653FC4"/>
    <w:rsid w:val="00654F91"/>
    <w:rsid w:val="00655361"/>
    <w:rsid w:val="00656253"/>
    <w:rsid w:val="00656799"/>
    <w:rsid w:val="00656B77"/>
    <w:rsid w:val="00656E72"/>
    <w:rsid w:val="006570B1"/>
    <w:rsid w:val="006578A1"/>
    <w:rsid w:val="0066137B"/>
    <w:rsid w:val="0066174E"/>
    <w:rsid w:val="00661BBB"/>
    <w:rsid w:val="00661E57"/>
    <w:rsid w:val="006626E8"/>
    <w:rsid w:val="006629E4"/>
    <w:rsid w:val="00663783"/>
    <w:rsid w:val="00663E47"/>
    <w:rsid w:val="006644A7"/>
    <w:rsid w:val="00664BDE"/>
    <w:rsid w:val="0066565B"/>
    <w:rsid w:val="00665C44"/>
    <w:rsid w:val="00666284"/>
    <w:rsid w:val="006667F3"/>
    <w:rsid w:val="00667AEA"/>
    <w:rsid w:val="006704FA"/>
    <w:rsid w:val="00670687"/>
    <w:rsid w:val="00670DC5"/>
    <w:rsid w:val="00671652"/>
    <w:rsid w:val="00671FAA"/>
    <w:rsid w:val="00675DA5"/>
    <w:rsid w:val="006803C7"/>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22E"/>
    <w:rsid w:val="006858AA"/>
    <w:rsid w:val="00685BCF"/>
    <w:rsid w:val="006867C7"/>
    <w:rsid w:val="006871D0"/>
    <w:rsid w:val="0068751F"/>
    <w:rsid w:val="006900D1"/>
    <w:rsid w:val="00690297"/>
    <w:rsid w:val="0069115A"/>
    <w:rsid w:val="006912F1"/>
    <w:rsid w:val="00691387"/>
    <w:rsid w:val="006914C1"/>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54DD"/>
    <w:rsid w:val="006A561D"/>
    <w:rsid w:val="006A5A0C"/>
    <w:rsid w:val="006A5BA0"/>
    <w:rsid w:val="006A5BB1"/>
    <w:rsid w:val="006A5F88"/>
    <w:rsid w:val="006A7D95"/>
    <w:rsid w:val="006B120D"/>
    <w:rsid w:val="006B13C1"/>
    <w:rsid w:val="006B2CC7"/>
    <w:rsid w:val="006B3AF9"/>
    <w:rsid w:val="006B4158"/>
    <w:rsid w:val="006B44C5"/>
    <w:rsid w:val="006B555F"/>
    <w:rsid w:val="006B6242"/>
    <w:rsid w:val="006B6C7C"/>
    <w:rsid w:val="006B6EA4"/>
    <w:rsid w:val="006B77BB"/>
    <w:rsid w:val="006B7F8F"/>
    <w:rsid w:val="006B7FC5"/>
    <w:rsid w:val="006C055E"/>
    <w:rsid w:val="006C0D13"/>
    <w:rsid w:val="006C187F"/>
    <w:rsid w:val="006C18C8"/>
    <w:rsid w:val="006C19BC"/>
    <w:rsid w:val="006C19D5"/>
    <w:rsid w:val="006C1B44"/>
    <w:rsid w:val="006C1F33"/>
    <w:rsid w:val="006C1F77"/>
    <w:rsid w:val="006C2211"/>
    <w:rsid w:val="006C3031"/>
    <w:rsid w:val="006C3607"/>
    <w:rsid w:val="006C3990"/>
    <w:rsid w:val="006C3ED2"/>
    <w:rsid w:val="006C4233"/>
    <w:rsid w:val="006C42E7"/>
    <w:rsid w:val="006C4422"/>
    <w:rsid w:val="006C4C97"/>
    <w:rsid w:val="006C5CCA"/>
    <w:rsid w:val="006C625F"/>
    <w:rsid w:val="006C75AA"/>
    <w:rsid w:val="006C78A6"/>
    <w:rsid w:val="006C7AB4"/>
    <w:rsid w:val="006D006B"/>
    <w:rsid w:val="006D105C"/>
    <w:rsid w:val="006D30E7"/>
    <w:rsid w:val="006D48E7"/>
    <w:rsid w:val="006D4947"/>
    <w:rsid w:val="006D4C4B"/>
    <w:rsid w:val="006D4D7C"/>
    <w:rsid w:val="006D5F16"/>
    <w:rsid w:val="006D63AD"/>
    <w:rsid w:val="006D6764"/>
    <w:rsid w:val="006D67D9"/>
    <w:rsid w:val="006D6C93"/>
    <w:rsid w:val="006D7573"/>
    <w:rsid w:val="006E0340"/>
    <w:rsid w:val="006E06F9"/>
    <w:rsid w:val="006E07A9"/>
    <w:rsid w:val="006E0D91"/>
    <w:rsid w:val="006E1706"/>
    <w:rsid w:val="006E200A"/>
    <w:rsid w:val="006E2E45"/>
    <w:rsid w:val="006E3CB2"/>
    <w:rsid w:val="006E3DA8"/>
    <w:rsid w:val="006E5DAA"/>
    <w:rsid w:val="006E7006"/>
    <w:rsid w:val="006E746F"/>
    <w:rsid w:val="006E7652"/>
    <w:rsid w:val="006F00E7"/>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62D"/>
    <w:rsid w:val="00700492"/>
    <w:rsid w:val="0070167E"/>
    <w:rsid w:val="00701E1B"/>
    <w:rsid w:val="00702ED0"/>
    <w:rsid w:val="00703C09"/>
    <w:rsid w:val="0070434A"/>
    <w:rsid w:val="007048C4"/>
    <w:rsid w:val="00704CC4"/>
    <w:rsid w:val="00705345"/>
    <w:rsid w:val="0070638D"/>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15A"/>
    <w:rsid w:val="0071458E"/>
    <w:rsid w:val="007145C9"/>
    <w:rsid w:val="00714631"/>
    <w:rsid w:val="00714B6E"/>
    <w:rsid w:val="0071512F"/>
    <w:rsid w:val="007169AC"/>
    <w:rsid w:val="007169DD"/>
    <w:rsid w:val="00717679"/>
    <w:rsid w:val="00717B67"/>
    <w:rsid w:val="0072051C"/>
    <w:rsid w:val="007206A2"/>
    <w:rsid w:val="00720B38"/>
    <w:rsid w:val="00720CA7"/>
    <w:rsid w:val="00720FED"/>
    <w:rsid w:val="0072147B"/>
    <w:rsid w:val="0072181E"/>
    <w:rsid w:val="00721893"/>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6CF1"/>
    <w:rsid w:val="00727077"/>
    <w:rsid w:val="00730EA6"/>
    <w:rsid w:val="00731C15"/>
    <w:rsid w:val="00732045"/>
    <w:rsid w:val="007322A0"/>
    <w:rsid w:val="00732C1A"/>
    <w:rsid w:val="00733CDC"/>
    <w:rsid w:val="00734B9A"/>
    <w:rsid w:val="00735695"/>
    <w:rsid w:val="00735863"/>
    <w:rsid w:val="007360CB"/>
    <w:rsid w:val="0073653E"/>
    <w:rsid w:val="00737566"/>
    <w:rsid w:val="00740DDA"/>
    <w:rsid w:val="00741BA2"/>
    <w:rsid w:val="00741CF4"/>
    <w:rsid w:val="00741DCC"/>
    <w:rsid w:val="00741DE2"/>
    <w:rsid w:val="007421A1"/>
    <w:rsid w:val="007427FE"/>
    <w:rsid w:val="00742A47"/>
    <w:rsid w:val="00742C51"/>
    <w:rsid w:val="00743445"/>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3744"/>
    <w:rsid w:val="00753A93"/>
    <w:rsid w:val="00755663"/>
    <w:rsid w:val="00755964"/>
    <w:rsid w:val="00756386"/>
    <w:rsid w:val="00756603"/>
    <w:rsid w:val="007575C0"/>
    <w:rsid w:val="00757D2F"/>
    <w:rsid w:val="0076000E"/>
    <w:rsid w:val="00760C00"/>
    <w:rsid w:val="007610E9"/>
    <w:rsid w:val="00761728"/>
    <w:rsid w:val="00761C6C"/>
    <w:rsid w:val="00762B72"/>
    <w:rsid w:val="00763CCB"/>
    <w:rsid w:val="007642B4"/>
    <w:rsid w:val="00764C45"/>
    <w:rsid w:val="00765A07"/>
    <w:rsid w:val="00766277"/>
    <w:rsid w:val="0076656A"/>
    <w:rsid w:val="00766701"/>
    <w:rsid w:val="00766911"/>
    <w:rsid w:val="00767793"/>
    <w:rsid w:val="007679D8"/>
    <w:rsid w:val="00770803"/>
    <w:rsid w:val="00771319"/>
    <w:rsid w:val="007713E8"/>
    <w:rsid w:val="00771794"/>
    <w:rsid w:val="00771CCF"/>
    <w:rsid w:val="00771F7D"/>
    <w:rsid w:val="00772C3E"/>
    <w:rsid w:val="00772C54"/>
    <w:rsid w:val="00772FE4"/>
    <w:rsid w:val="007730F4"/>
    <w:rsid w:val="007736E8"/>
    <w:rsid w:val="00774ACE"/>
    <w:rsid w:val="00775823"/>
    <w:rsid w:val="00775F57"/>
    <w:rsid w:val="00776372"/>
    <w:rsid w:val="00776584"/>
    <w:rsid w:val="007769EF"/>
    <w:rsid w:val="00776D4F"/>
    <w:rsid w:val="00776DDC"/>
    <w:rsid w:val="007770F9"/>
    <w:rsid w:val="00777179"/>
    <w:rsid w:val="00777945"/>
    <w:rsid w:val="00777D40"/>
    <w:rsid w:val="00780B8D"/>
    <w:rsid w:val="00780B8E"/>
    <w:rsid w:val="00780FE4"/>
    <w:rsid w:val="00781466"/>
    <w:rsid w:val="00781649"/>
    <w:rsid w:val="007823D6"/>
    <w:rsid w:val="0078254E"/>
    <w:rsid w:val="00782628"/>
    <w:rsid w:val="007826AB"/>
    <w:rsid w:val="007834E8"/>
    <w:rsid w:val="007836C6"/>
    <w:rsid w:val="007840E2"/>
    <w:rsid w:val="0078569F"/>
    <w:rsid w:val="00785803"/>
    <w:rsid w:val="00785EB4"/>
    <w:rsid w:val="0078609A"/>
    <w:rsid w:val="00786F85"/>
    <w:rsid w:val="0078731A"/>
    <w:rsid w:val="00787487"/>
    <w:rsid w:val="007906F1"/>
    <w:rsid w:val="00790EDA"/>
    <w:rsid w:val="00791349"/>
    <w:rsid w:val="00791D85"/>
    <w:rsid w:val="00791DAF"/>
    <w:rsid w:val="007924CA"/>
    <w:rsid w:val="00794CBF"/>
    <w:rsid w:val="00795365"/>
    <w:rsid w:val="0079567E"/>
    <w:rsid w:val="007961D5"/>
    <w:rsid w:val="00796A6F"/>
    <w:rsid w:val="00796C5D"/>
    <w:rsid w:val="00797B06"/>
    <w:rsid w:val="00797B9C"/>
    <w:rsid w:val="007A0483"/>
    <w:rsid w:val="007A1065"/>
    <w:rsid w:val="007A1D86"/>
    <w:rsid w:val="007A2A97"/>
    <w:rsid w:val="007A2CDC"/>
    <w:rsid w:val="007A371B"/>
    <w:rsid w:val="007A3832"/>
    <w:rsid w:val="007A383E"/>
    <w:rsid w:val="007A3A0F"/>
    <w:rsid w:val="007A3E60"/>
    <w:rsid w:val="007A407D"/>
    <w:rsid w:val="007A464F"/>
    <w:rsid w:val="007A5E15"/>
    <w:rsid w:val="007A6196"/>
    <w:rsid w:val="007A63D5"/>
    <w:rsid w:val="007A689A"/>
    <w:rsid w:val="007A68EA"/>
    <w:rsid w:val="007A6B7D"/>
    <w:rsid w:val="007A7629"/>
    <w:rsid w:val="007B1027"/>
    <w:rsid w:val="007B1691"/>
    <w:rsid w:val="007B174F"/>
    <w:rsid w:val="007B1863"/>
    <w:rsid w:val="007B18C5"/>
    <w:rsid w:val="007B22E0"/>
    <w:rsid w:val="007B28CA"/>
    <w:rsid w:val="007B358D"/>
    <w:rsid w:val="007B5401"/>
    <w:rsid w:val="007B5FB4"/>
    <w:rsid w:val="007B6B2B"/>
    <w:rsid w:val="007B7569"/>
    <w:rsid w:val="007B7949"/>
    <w:rsid w:val="007B7D30"/>
    <w:rsid w:val="007C0FA9"/>
    <w:rsid w:val="007C2413"/>
    <w:rsid w:val="007C25AE"/>
    <w:rsid w:val="007C3152"/>
    <w:rsid w:val="007C333B"/>
    <w:rsid w:val="007C3914"/>
    <w:rsid w:val="007C3CEA"/>
    <w:rsid w:val="007C3D92"/>
    <w:rsid w:val="007C3E6F"/>
    <w:rsid w:val="007C3E98"/>
    <w:rsid w:val="007C5A8F"/>
    <w:rsid w:val="007C5B38"/>
    <w:rsid w:val="007C76E8"/>
    <w:rsid w:val="007D01E6"/>
    <w:rsid w:val="007D035E"/>
    <w:rsid w:val="007D0378"/>
    <w:rsid w:val="007D0396"/>
    <w:rsid w:val="007D0644"/>
    <w:rsid w:val="007D1801"/>
    <w:rsid w:val="007D1FE0"/>
    <w:rsid w:val="007D20BB"/>
    <w:rsid w:val="007D261E"/>
    <w:rsid w:val="007D2F61"/>
    <w:rsid w:val="007D3004"/>
    <w:rsid w:val="007D337D"/>
    <w:rsid w:val="007D3D0E"/>
    <w:rsid w:val="007D3D33"/>
    <w:rsid w:val="007D41C2"/>
    <w:rsid w:val="007D4F02"/>
    <w:rsid w:val="007D674C"/>
    <w:rsid w:val="007D6B7B"/>
    <w:rsid w:val="007D6CF1"/>
    <w:rsid w:val="007D7131"/>
    <w:rsid w:val="007D7BEC"/>
    <w:rsid w:val="007D7CE3"/>
    <w:rsid w:val="007E051A"/>
    <w:rsid w:val="007E0798"/>
    <w:rsid w:val="007E1B72"/>
    <w:rsid w:val="007E3EE3"/>
    <w:rsid w:val="007E57DE"/>
    <w:rsid w:val="007E5902"/>
    <w:rsid w:val="007E6719"/>
    <w:rsid w:val="007E68ED"/>
    <w:rsid w:val="007E69ED"/>
    <w:rsid w:val="007E7B2D"/>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2063"/>
    <w:rsid w:val="00804114"/>
    <w:rsid w:val="0080448C"/>
    <w:rsid w:val="00804634"/>
    <w:rsid w:val="008047E8"/>
    <w:rsid w:val="0080531E"/>
    <w:rsid w:val="00805C3D"/>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D31"/>
    <w:rsid w:val="0081601F"/>
    <w:rsid w:val="00816064"/>
    <w:rsid w:val="0081717E"/>
    <w:rsid w:val="008174B2"/>
    <w:rsid w:val="00817CFF"/>
    <w:rsid w:val="0082000D"/>
    <w:rsid w:val="0082037E"/>
    <w:rsid w:val="00820C9C"/>
    <w:rsid w:val="00820F55"/>
    <w:rsid w:val="00821572"/>
    <w:rsid w:val="00821D9C"/>
    <w:rsid w:val="0082207D"/>
    <w:rsid w:val="00822310"/>
    <w:rsid w:val="00823794"/>
    <w:rsid w:val="008237B3"/>
    <w:rsid w:val="008237F4"/>
    <w:rsid w:val="00823F67"/>
    <w:rsid w:val="00824022"/>
    <w:rsid w:val="0082483A"/>
    <w:rsid w:val="00824A81"/>
    <w:rsid w:val="008257B8"/>
    <w:rsid w:val="008260ED"/>
    <w:rsid w:val="0082699D"/>
    <w:rsid w:val="00826CB0"/>
    <w:rsid w:val="00826E6B"/>
    <w:rsid w:val="008275FD"/>
    <w:rsid w:val="00827A52"/>
    <w:rsid w:val="00830BA1"/>
    <w:rsid w:val="00830EB2"/>
    <w:rsid w:val="00831652"/>
    <w:rsid w:val="0083202E"/>
    <w:rsid w:val="0083304F"/>
    <w:rsid w:val="008334C9"/>
    <w:rsid w:val="00834122"/>
    <w:rsid w:val="00834DC7"/>
    <w:rsid w:val="008352C5"/>
    <w:rsid w:val="008358A6"/>
    <w:rsid w:val="008359FB"/>
    <w:rsid w:val="00835B0C"/>
    <w:rsid w:val="00835C56"/>
    <w:rsid w:val="008360FC"/>
    <w:rsid w:val="00836E81"/>
    <w:rsid w:val="0083735D"/>
    <w:rsid w:val="008377C1"/>
    <w:rsid w:val="00837C90"/>
    <w:rsid w:val="00837EB1"/>
    <w:rsid w:val="0084042B"/>
    <w:rsid w:val="008409BB"/>
    <w:rsid w:val="0084184A"/>
    <w:rsid w:val="008423F2"/>
    <w:rsid w:val="00842A30"/>
    <w:rsid w:val="00842F71"/>
    <w:rsid w:val="00843179"/>
    <w:rsid w:val="0084386A"/>
    <w:rsid w:val="00843E0E"/>
    <w:rsid w:val="008442EA"/>
    <w:rsid w:val="00844589"/>
    <w:rsid w:val="00844794"/>
    <w:rsid w:val="00844E65"/>
    <w:rsid w:val="00844FE7"/>
    <w:rsid w:val="00845969"/>
    <w:rsid w:val="00845C27"/>
    <w:rsid w:val="00845F37"/>
    <w:rsid w:val="00845FF5"/>
    <w:rsid w:val="00846001"/>
    <w:rsid w:val="0084615D"/>
    <w:rsid w:val="008463DF"/>
    <w:rsid w:val="0084642A"/>
    <w:rsid w:val="008465C4"/>
    <w:rsid w:val="00846710"/>
    <w:rsid w:val="008478ED"/>
    <w:rsid w:val="0085118C"/>
    <w:rsid w:val="00851728"/>
    <w:rsid w:val="00851DFF"/>
    <w:rsid w:val="00853064"/>
    <w:rsid w:val="00853084"/>
    <w:rsid w:val="00853142"/>
    <w:rsid w:val="008540A6"/>
    <w:rsid w:val="00854420"/>
    <w:rsid w:val="00854481"/>
    <w:rsid w:val="00857591"/>
    <w:rsid w:val="00857E88"/>
    <w:rsid w:val="008612DB"/>
    <w:rsid w:val="00861B57"/>
    <w:rsid w:val="00862AC4"/>
    <w:rsid w:val="008633AC"/>
    <w:rsid w:val="008634E3"/>
    <w:rsid w:val="00864627"/>
    <w:rsid w:val="00864635"/>
    <w:rsid w:val="00864678"/>
    <w:rsid w:val="00864C1A"/>
    <w:rsid w:val="00865217"/>
    <w:rsid w:val="0086578D"/>
    <w:rsid w:val="008658AA"/>
    <w:rsid w:val="00865CBD"/>
    <w:rsid w:val="0086665C"/>
    <w:rsid w:val="00866E37"/>
    <w:rsid w:val="00866F9E"/>
    <w:rsid w:val="008672E2"/>
    <w:rsid w:val="0086793D"/>
    <w:rsid w:val="00867B1C"/>
    <w:rsid w:val="008713D6"/>
    <w:rsid w:val="00871643"/>
    <w:rsid w:val="0087281D"/>
    <w:rsid w:val="00872828"/>
    <w:rsid w:val="008732D8"/>
    <w:rsid w:val="00873377"/>
    <w:rsid w:val="00873577"/>
    <w:rsid w:val="0087409F"/>
    <w:rsid w:val="00874D58"/>
    <w:rsid w:val="008750D2"/>
    <w:rsid w:val="00875AB5"/>
    <w:rsid w:val="00875C91"/>
    <w:rsid w:val="00875F85"/>
    <w:rsid w:val="00876C6B"/>
    <w:rsid w:val="00876DC9"/>
    <w:rsid w:val="00877125"/>
    <w:rsid w:val="008777C2"/>
    <w:rsid w:val="00877A77"/>
    <w:rsid w:val="00881511"/>
    <w:rsid w:val="0088194A"/>
    <w:rsid w:val="00882448"/>
    <w:rsid w:val="00882F1D"/>
    <w:rsid w:val="00883A4D"/>
    <w:rsid w:val="00883B21"/>
    <w:rsid w:val="00883F8F"/>
    <w:rsid w:val="00884235"/>
    <w:rsid w:val="00885285"/>
    <w:rsid w:val="00885985"/>
    <w:rsid w:val="00886699"/>
    <w:rsid w:val="00886A21"/>
    <w:rsid w:val="0088709A"/>
    <w:rsid w:val="0089199F"/>
    <w:rsid w:val="00891C32"/>
    <w:rsid w:val="00891D7F"/>
    <w:rsid w:val="00892265"/>
    <w:rsid w:val="0089233E"/>
    <w:rsid w:val="0089330E"/>
    <w:rsid w:val="00893323"/>
    <w:rsid w:val="008938C2"/>
    <w:rsid w:val="00893A8E"/>
    <w:rsid w:val="00893E27"/>
    <w:rsid w:val="008945F7"/>
    <w:rsid w:val="0089463D"/>
    <w:rsid w:val="0089544E"/>
    <w:rsid w:val="0089554F"/>
    <w:rsid w:val="008955E6"/>
    <w:rsid w:val="00895B5F"/>
    <w:rsid w:val="0089637C"/>
    <w:rsid w:val="00896712"/>
    <w:rsid w:val="00896870"/>
    <w:rsid w:val="008969BD"/>
    <w:rsid w:val="00897CAB"/>
    <w:rsid w:val="008A13BD"/>
    <w:rsid w:val="008A1596"/>
    <w:rsid w:val="008A1EDF"/>
    <w:rsid w:val="008A2695"/>
    <w:rsid w:val="008A2DC9"/>
    <w:rsid w:val="008A2FF1"/>
    <w:rsid w:val="008A32D4"/>
    <w:rsid w:val="008A34BA"/>
    <w:rsid w:val="008A367F"/>
    <w:rsid w:val="008A37AF"/>
    <w:rsid w:val="008A3D62"/>
    <w:rsid w:val="008A448D"/>
    <w:rsid w:val="008A4A55"/>
    <w:rsid w:val="008A506F"/>
    <w:rsid w:val="008A528A"/>
    <w:rsid w:val="008A5298"/>
    <w:rsid w:val="008A535A"/>
    <w:rsid w:val="008A720F"/>
    <w:rsid w:val="008A7C72"/>
    <w:rsid w:val="008B04F2"/>
    <w:rsid w:val="008B07D9"/>
    <w:rsid w:val="008B0D0E"/>
    <w:rsid w:val="008B12BB"/>
    <w:rsid w:val="008B1411"/>
    <w:rsid w:val="008B17A2"/>
    <w:rsid w:val="008B25F2"/>
    <w:rsid w:val="008B2643"/>
    <w:rsid w:val="008B2FAE"/>
    <w:rsid w:val="008B3097"/>
    <w:rsid w:val="008B3317"/>
    <w:rsid w:val="008B414B"/>
    <w:rsid w:val="008B4E0E"/>
    <w:rsid w:val="008B4FB9"/>
    <w:rsid w:val="008B5715"/>
    <w:rsid w:val="008B5A2D"/>
    <w:rsid w:val="008B5BC2"/>
    <w:rsid w:val="008B60BB"/>
    <w:rsid w:val="008B6732"/>
    <w:rsid w:val="008B68EC"/>
    <w:rsid w:val="008B711E"/>
    <w:rsid w:val="008C042F"/>
    <w:rsid w:val="008C057B"/>
    <w:rsid w:val="008C0CAC"/>
    <w:rsid w:val="008C13B4"/>
    <w:rsid w:val="008C1557"/>
    <w:rsid w:val="008C1B8C"/>
    <w:rsid w:val="008C2306"/>
    <w:rsid w:val="008C26D1"/>
    <w:rsid w:val="008C2B7F"/>
    <w:rsid w:val="008C36AC"/>
    <w:rsid w:val="008C4953"/>
    <w:rsid w:val="008C4E44"/>
    <w:rsid w:val="008C6255"/>
    <w:rsid w:val="008C684B"/>
    <w:rsid w:val="008C6ABD"/>
    <w:rsid w:val="008C6F18"/>
    <w:rsid w:val="008C7685"/>
    <w:rsid w:val="008D007A"/>
    <w:rsid w:val="008D07DE"/>
    <w:rsid w:val="008D0831"/>
    <w:rsid w:val="008D0E40"/>
    <w:rsid w:val="008D1E7F"/>
    <w:rsid w:val="008D2367"/>
    <w:rsid w:val="008D312C"/>
    <w:rsid w:val="008D427A"/>
    <w:rsid w:val="008D496B"/>
    <w:rsid w:val="008D4DD5"/>
    <w:rsid w:val="008D5657"/>
    <w:rsid w:val="008D5F2F"/>
    <w:rsid w:val="008D6752"/>
    <w:rsid w:val="008D69E7"/>
    <w:rsid w:val="008D6FC1"/>
    <w:rsid w:val="008E0140"/>
    <w:rsid w:val="008E0688"/>
    <w:rsid w:val="008E0BEF"/>
    <w:rsid w:val="008E266D"/>
    <w:rsid w:val="008E2F0C"/>
    <w:rsid w:val="008E3E23"/>
    <w:rsid w:val="008E52DA"/>
    <w:rsid w:val="008E547B"/>
    <w:rsid w:val="008E5DF8"/>
    <w:rsid w:val="008E7B47"/>
    <w:rsid w:val="008F0250"/>
    <w:rsid w:val="008F11F4"/>
    <w:rsid w:val="008F1952"/>
    <w:rsid w:val="008F1EF5"/>
    <w:rsid w:val="008F254D"/>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1F59"/>
    <w:rsid w:val="00902E5B"/>
    <w:rsid w:val="00903FD9"/>
    <w:rsid w:val="00904CF5"/>
    <w:rsid w:val="009050D7"/>
    <w:rsid w:val="00905259"/>
    <w:rsid w:val="0090556C"/>
    <w:rsid w:val="00905633"/>
    <w:rsid w:val="00905EAE"/>
    <w:rsid w:val="009060C4"/>
    <w:rsid w:val="00906C91"/>
    <w:rsid w:val="00906C95"/>
    <w:rsid w:val="00906D10"/>
    <w:rsid w:val="00907656"/>
    <w:rsid w:val="00907785"/>
    <w:rsid w:val="00907E47"/>
    <w:rsid w:val="009115EF"/>
    <w:rsid w:val="009116DD"/>
    <w:rsid w:val="00912D1C"/>
    <w:rsid w:val="00913019"/>
    <w:rsid w:val="0091356B"/>
    <w:rsid w:val="00913F1E"/>
    <w:rsid w:val="00913FB2"/>
    <w:rsid w:val="009140C4"/>
    <w:rsid w:val="009144A9"/>
    <w:rsid w:val="0091468B"/>
    <w:rsid w:val="00914DB2"/>
    <w:rsid w:val="0091526F"/>
    <w:rsid w:val="009153D2"/>
    <w:rsid w:val="00916286"/>
    <w:rsid w:val="00916595"/>
    <w:rsid w:val="00916C47"/>
    <w:rsid w:val="009171AD"/>
    <w:rsid w:val="00917569"/>
    <w:rsid w:val="00920174"/>
    <w:rsid w:val="00921017"/>
    <w:rsid w:val="009219D2"/>
    <w:rsid w:val="00921A4E"/>
    <w:rsid w:val="00921E37"/>
    <w:rsid w:val="00922511"/>
    <w:rsid w:val="00922F07"/>
    <w:rsid w:val="00923463"/>
    <w:rsid w:val="00925238"/>
    <w:rsid w:val="0092528F"/>
    <w:rsid w:val="009254A3"/>
    <w:rsid w:val="00925ACF"/>
    <w:rsid w:val="0092615D"/>
    <w:rsid w:val="009262E6"/>
    <w:rsid w:val="0092638C"/>
    <w:rsid w:val="00926546"/>
    <w:rsid w:val="009265A1"/>
    <w:rsid w:val="00927700"/>
    <w:rsid w:val="0093036E"/>
    <w:rsid w:val="00930E4D"/>
    <w:rsid w:val="00931224"/>
    <w:rsid w:val="00931AE9"/>
    <w:rsid w:val="00932828"/>
    <w:rsid w:val="009333D3"/>
    <w:rsid w:val="009339B6"/>
    <w:rsid w:val="00933B4C"/>
    <w:rsid w:val="00933DC4"/>
    <w:rsid w:val="0093431B"/>
    <w:rsid w:val="009346D6"/>
    <w:rsid w:val="00934743"/>
    <w:rsid w:val="0093487E"/>
    <w:rsid w:val="00934FFE"/>
    <w:rsid w:val="009358EA"/>
    <w:rsid w:val="00936405"/>
    <w:rsid w:val="00936B64"/>
    <w:rsid w:val="00936F76"/>
    <w:rsid w:val="009379C4"/>
    <w:rsid w:val="00940362"/>
    <w:rsid w:val="0094041A"/>
    <w:rsid w:val="00940D32"/>
    <w:rsid w:val="0094190D"/>
    <w:rsid w:val="00942354"/>
    <w:rsid w:val="00942681"/>
    <w:rsid w:val="00943A7E"/>
    <w:rsid w:val="00943E42"/>
    <w:rsid w:val="00943E5D"/>
    <w:rsid w:val="00944728"/>
    <w:rsid w:val="009453E8"/>
    <w:rsid w:val="00945664"/>
    <w:rsid w:val="00945AD1"/>
    <w:rsid w:val="00946ECB"/>
    <w:rsid w:val="00947069"/>
    <w:rsid w:val="00947268"/>
    <w:rsid w:val="0094750E"/>
    <w:rsid w:val="00947C94"/>
    <w:rsid w:val="009507C8"/>
    <w:rsid w:val="0095115E"/>
    <w:rsid w:val="0095118A"/>
    <w:rsid w:val="00952468"/>
    <w:rsid w:val="00954767"/>
    <w:rsid w:val="0095487A"/>
    <w:rsid w:val="009548CB"/>
    <w:rsid w:val="009548FB"/>
    <w:rsid w:val="0095538B"/>
    <w:rsid w:val="0095695D"/>
    <w:rsid w:val="00957A9E"/>
    <w:rsid w:val="00957AF7"/>
    <w:rsid w:val="00960ACA"/>
    <w:rsid w:val="00960C4F"/>
    <w:rsid w:val="0096217C"/>
    <w:rsid w:val="00962441"/>
    <w:rsid w:val="00963277"/>
    <w:rsid w:val="00964B53"/>
    <w:rsid w:val="00964C3F"/>
    <w:rsid w:val="00964C6C"/>
    <w:rsid w:val="00965176"/>
    <w:rsid w:val="00965240"/>
    <w:rsid w:val="00965847"/>
    <w:rsid w:val="00965A3E"/>
    <w:rsid w:val="00965C48"/>
    <w:rsid w:val="00966D9D"/>
    <w:rsid w:val="00966E4A"/>
    <w:rsid w:val="00967041"/>
    <w:rsid w:val="00970918"/>
    <w:rsid w:val="0097099E"/>
    <w:rsid w:val="009714D1"/>
    <w:rsid w:val="00971761"/>
    <w:rsid w:val="0097216F"/>
    <w:rsid w:val="00972180"/>
    <w:rsid w:val="00972C3B"/>
    <w:rsid w:val="00973057"/>
    <w:rsid w:val="00973604"/>
    <w:rsid w:val="00974D50"/>
    <w:rsid w:val="009751AF"/>
    <w:rsid w:val="00975326"/>
    <w:rsid w:val="00975DEA"/>
    <w:rsid w:val="00977CDF"/>
    <w:rsid w:val="0098043F"/>
    <w:rsid w:val="00981038"/>
    <w:rsid w:val="0098106E"/>
    <w:rsid w:val="00981511"/>
    <w:rsid w:val="00981D1C"/>
    <w:rsid w:val="00981E1C"/>
    <w:rsid w:val="00982118"/>
    <w:rsid w:val="0098262F"/>
    <w:rsid w:val="00982B8F"/>
    <w:rsid w:val="00982C62"/>
    <w:rsid w:val="00982C91"/>
    <w:rsid w:val="00982F76"/>
    <w:rsid w:val="00982FA3"/>
    <w:rsid w:val="009840FD"/>
    <w:rsid w:val="00984701"/>
    <w:rsid w:val="00984847"/>
    <w:rsid w:val="00984BEC"/>
    <w:rsid w:val="00985A38"/>
    <w:rsid w:val="00985EB8"/>
    <w:rsid w:val="00985FB3"/>
    <w:rsid w:val="00986566"/>
    <w:rsid w:val="00986CC1"/>
    <w:rsid w:val="00986F4E"/>
    <w:rsid w:val="00987191"/>
    <w:rsid w:val="00987A5A"/>
    <w:rsid w:val="00987CB4"/>
    <w:rsid w:val="0099097E"/>
    <w:rsid w:val="00991C15"/>
    <w:rsid w:val="009921FC"/>
    <w:rsid w:val="0099272B"/>
    <w:rsid w:val="00992A0E"/>
    <w:rsid w:val="0099399E"/>
    <w:rsid w:val="0099413C"/>
    <w:rsid w:val="00994230"/>
    <w:rsid w:val="0099479E"/>
    <w:rsid w:val="00994D02"/>
    <w:rsid w:val="009951D8"/>
    <w:rsid w:val="00995355"/>
    <w:rsid w:val="0099586F"/>
    <w:rsid w:val="0099719E"/>
    <w:rsid w:val="009A0169"/>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0CE4"/>
    <w:rsid w:val="009B14E2"/>
    <w:rsid w:val="009B1B0E"/>
    <w:rsid w:val="009B2596"/>
    <w:rsid w:val="009B42B6"/>
    <w:rsid w:val="009B42CC"/>
    <w:rsid w:val="009B43D6"/>
    <w:rsid w:val="009B5081"/>
    <w:rsid w:val="009B6985"/>
    <w:rsid w:val="009B69B3"/>
    <w:rsid w:val="009B7011"/>
    <w:rsid w:val="009B71E4"/>
    <w:rsid w:val="009C04EE"/>
    <w:rsid w:val="009C0CD4"/>
    <w:rsid w:val="009C115D"/>
    <w:rsid w:val="009C15E7"/>
    <w:rsid w:val="009C17C8"/>
    <w:rsid w:val="009C385B"/>
    <w:rsid w:val="009C3E3C"/>
    <w:rsid w:val="009C4353"/>
    <w:rsid w:val="009C49C2"/>
    <w:rsid w:val="009C4E2D"/>
    <w:rsid w:val="009C62C0"/>
    <w:rsid w:val="009C6A88"/>
    <w:rsid w:val="009C765D"/>
    <w:rsid w:val="009C7ADA"/>
    <w:rsid w:val="009C7DFA"/>
    <w:rsid w:val="009D000A"/>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DE3"/>
    <w:rsid w:val="009E004A"/>
    <w:rsid w:val="009E066B"/>
    <w:rsid w:val="009E1316"/>
    <w:rsid w:val="009E1515"/>
    <w:rsid w:val="009E1CFF"/>
    <w:rsid w:val="009E1FEE"/>
    <w:rsid w:val="009E23EA"/>
    <w:rsid w:val="009E2D24"/>
    <w:rsid w:val="009E2E5D"/>
    <w:rsid w:val="009E2EA0"/>
    <w:rsid w:val="009E305F"/>
    <w:rsid w:val="009E3417"/>
    <w:rsid w:val="009E36FF"/>
    <w:rsid w:val="009E37D3"/>
    <w:rsid w:val="009E3CC0"/>
    <w:rsid w:val="009E5028"/>
    <w:rsid w:val="009E50FB"/>
    <w:rsid w:val="009E5280"/>
    <w:rsid w:val="009E5386"/>
    <w:rsid w:val="009E5DD1"/>
    <w:rsid w:val="009E60AD"/>
    <w:rsid w:val="009E6125"/>
    <w:rsid w:val="009E68C8"/>
    <w:rsid w:val="009E6AB5"/>
    <w:rsid w:val="009E6DAB"/>
    <w:rsid w:val="009E6F4B"/>
    <w:rsid w:val="009E703C"/>
    <w:rsid w:val="009E7E4C"/>
    <w:rsid w:val="009E7EBB"/>
    <w:rsid w:val="009F08F5"/>
    <w:rsid w:val="009F0956"/>
    <w:rsid w:val="009F0EE5"/>
    <w:rsid w:val="009F1264"/>
    <w:rsid w:val="009F1721"/>
    <w:rsid w:val="009F245B"/>
    <w:rsid w:val="009F25E6"/>
    <w:rsid w:val="009F2BE8"/>
    <w:rsid w:val="009F2F09"/>
    <w:rsid w:val="009F39A7"/>
    <w:rsid w:val="009F40B7"/>
    <w:rsid w:val="009F4188"/>
    <w:rsid w:val="009F4302"/>
    <w:rsid w:val="009F4393"/>
    <w:rsid w:val="009F4BE9"/>
    <w:rsid w:val="009F62D3"/>
    <w:rsid w:val="009F65E3"/>
    <w:rsid w:val="009F6A2F"/>
    <w:rsid w:val="00A00112"/>
    <w:rsid w:val="00A0079A"/>
    <w:rsid w:val="00A008B5"/>
    <w:rsid w:val="00A01420"/>
    <w:rsid w:val="00A017B4"/>
    <w:rsid w:val="00A01C53"/>
    <w:rsid w:val="00A01D38"/>
    <w:rsid w:val="00A02414"/>
    <w:rsid w:val="00A025B9"/>
    <w:rsid w:val="00A02623"/>
    <w:rsid w:val="00A0355C"/>
    <w:rsid w:val="00A03A13"/>
    <w:rsid w:val="00A040CD"/>
    <w:rsid w:val="00A04429"/>
    <w:rsid w:val="00A06446"/>
    <w:rsid w:val="00A06697"/>
    <w:rsid w:val="00A06C40"/>
    <w:rsid w:val="00A103C1"/>
    <w:rsid w:val="00A10586"/>
    <w:rsid w:val="00A10A48"/>
    <w:rsid w:val="00A110DA"/>
    <w:rsid w:val="00A1132B"/>
    <w:rsid w:val="00A11930"/>
    <w:rsid w:val="00A11B54"/>
    <w:rsid w:val="00A11CDC"/>
    <w:rsid w:val="00A1207B"/>
    <w:rsid w:val="00A1238C"/>
    <w:rsid w:val="00A124CB"/>
    <w:rsid w:val="00A1263D"/>
    <w:rsid w:val="00A12AF2"/>
    <w:rsid w:val="00A12D8A"/>
    <w:rsid w:val="00A12E6C"/>
    <w:rsid w:val="00A136D0"/>
    <w:rsid w:val="00A13D1A"/>
    <w:rsid w:val="00A14DC2"/>
    <w:rsid w:val="00A14DD6"/>
    <w:rsid w:val="00A15D5E"/>
    <w:rsid w:val="00A161F8"/>
    <w:rsid w:val="00A169FA"/>
    <w:rsid w:val="00A1766A"/>
    <w:rsid w:val="00A200F4"/>
    <w:rsid w:val="00A206C9"/>
    <w:rsid w:val="00A20C27"/>
    <w:rsid w:val="00A20E7D"/>
    <w:rsid w:val="00A2122D"/>
    <w:rsid w:val="00A216BC"/>
    <w:rsid w:val="00A23931"/>
    <w:rsid w:val="00A23FD6"/>
    <w:rsid w:val="00A25317"/>
    <w:rsid w:val="00A25706"/>
    <w:rsid w:val="00A25C26"/>
    <w:rsid w:val="00A25D84"/>
    <w:rsid w:val="00A26029"/>
    <w:rsid w:val="00A262E4"/>
    <w:rsid w:val="00A267C2"/>
    <w:rsid w:val="00A268EA"/>
    <w:rsid w:val="00A2703A"/>
    <w:rsid w:val="00A31CE0"/>
    <w:rsid w:val="00A31FA9"/>
    <w:rsid w:val="00A333BF"/>
    <w:rsid w:val="00A33825"/>
    <w:rsid w:val="00A3398F"/>
    <w:rsid w:val="00A34598"/>
    <w:rsid w:val="00A34749"/>
    <w:rsid w:val="00A35583"/>
    <w:rsid w:val="00A363EF"/>
    <w:rsid w:val="00A36DFE"/>
    <w:rsid w:val="00A370FD"/>
    <w:rsid w:val="00A3798C"/>
    <w:rsid w:val="00A37DD9"/>
    <w:rsid w:val="00A40ED7"/>
    <w:rsid w:val="00A40F83"/>
    <w:rsid w:val="00A412BA"/>
    <w:rsid w:val="00A41416"/>
    <w:rsid w:val="00A4200D"/>
    <w:rsid w:val="00A424BF"/>
    <w:rsid w:val="00A4258E"/>
    <w:rsid w:val="00A432D1"/>
    <w:rsid w:val="00A4354D"/>
    <w:rsid w:val="00A43716"/>
    <w:rsid w:val="00A442C5"/>
    <w:rsid w:val="00A44712"/>
    <w:rsid w:val="00A44AF5"/>
    <w:rsid w:val="00A44B8B"/>
    <w:rsid w:val="00A44DDE"/>
    <w:rsid w:val="00A45367"/>
    <w:rsid w:val="00A45EC4"/>
    <w:rsid w:val="00A47212"/>
    <w:rsid w:val="00A474EA"/>
    <w:rsid w:val="00A501B2"/>
    <w:rsid w:val="00A5034A"/>
    <w:rsid w:val="00A50FFA"/>
    <w:rsid w:val="00A539D1"/>
    <w:rsid w:val="00A54DAE"/>
    <w:rsid w:val="00A56D3B"/>
    <w:rsid w:val="00A57450"/>
    <w:rsid w:val="00A57479"/>
    <w:rsid w:val="00A57C08"/>
    <w:rsid w:val="00A600D9"/>
    <w:rsid w:val="00A604CD"/>
    <w:rsid w:val="00A620BD"/>
    <w:rsid w:val="00A637A0"/>
    <w:rsid w:val="00A63ECD"/>
    <w:rsid w:val="00A64093"/>
    <w:rsid w:val="00A640EB"/>
    <w:rsid w:val="00A6412F"/>
    <w:rsid w:val="00A64815"/>
    <w:rsid w:val="00A65043"/>
    <w:rsid w:val="00A66DF9"/>
    <w:rsid w:val="00A704E4"/>
    <w:rsid w:val="00A706FC"/>
    <w:rsid w:val="00A70BD2"/>
    <w:rsid w:val="00A7136A"/>
    <w:rsid w:val="00A71C44"/>
    <w:rsid w:val="00A7204C"/>
    <w:rsid w:val="00A72296"/>
    <w:rsid w:val="00A73268"/>
    <w:rsid w:val="00A7388E"/>
    <w:rsid w:val="00A74544"/>
    <w:rsid w:val="00A74548"/>
    <w:rsid w:val="00A74DF2"/>
    <w:rsid w:val="00A74E4D"/>
    <w:rsid w:val="00A7592E"/>
    <w:rsid w:val="00A76C1F"/>
    <w:rsid w:val="00A803FC"/>
    <w:rsid w:val="00A8071A"/>
    <w:rsid w:val="00A80DD9"/>
    <w:rsid w:val="00A80FCA"/>
    <w:rsid w:val="00A81CBC"/>
    <w:rsid w:val="00A82506"/>
    <w:rsid w:val="00A825E3"/>
    <w:rsid w:val="00A837CE"/>
    <w:rsid w:val="00A83DB5"/>
    <w:rsid w:val="00A83FBA"/>
    <w:rsid w:val="00A841FC"/>
    <w:rsid w:val="00A84636"/>
    <w:rsid w:val="00A84FE1"/>
    <w:rsid w:val="00A85080"/>
    <w:rsid w:val="00A86406"/>
    <w:rsid w:val="00A86853"/>
    <w:rsid w:val="00A86AFF"/>
    <w:rsid w:val="00A86B75"/>
    <w:rsid w:val="00A86E75"/>
    <w:rsid w:val="00A86F33"/>
    <w:rsid w:val="00A9065F"/>
    <w:rsid w:val="00A90B0E"/>
    <w:rsid w:val="00A91AA1"/>
    <w:rsid w:val="00A91C8C"/>
    <w:rsid w:val="00A91F0D"/>
    <w:rsid w:val="00A9235A"/>
    <w:rsid w:val="00A92FF7"/>
    <w:rsid w:val="00A93069"/>
    <w:rsid w:val="00A9468F"/>
    <w:rsid w:val="00A9498D"/>
    <w:rsid w:val="00A9508B"/>
    <w:rsid w:val="00A95335"/>
    <w:rsid w:val="00A9566B"/>
    <w:rsid w:val="00A9657F"/>
    <w:rsid w:val="00A9797D"/>
    <w:rsid w:val="00AA015F"/>
    <w:rsid w:val="00AA0C3A"/>
    <w:rsid w:val="00AA1723"/>
    <w:rsid w:val="00AA190D"/>
    <w:rsid w:val="00AA1FDD"/>
    <w:rsid w:val="00AA22C3"/>
    <w:rsid w:val="00AA230D"/>
    <w:rsid w:val="00AA4941"/>
    <w:rsid w:val="00AA49E9"/>
    <w:rsid w:val="00AA5475"/>
    <w:rsid w:val="00AA5876"/>
    <w:rsid w:val="00AA6A8A"/>
    <w:rsid w:val="00AA6DD8"/>
    <w:rsid w:val="00AA6FA3"/>
    <w:rsid w:val="00AA70BB"/>
    <w:rsid w:val="00AA757C"/>
    <w:rsid w:val="00AA7F10"/>
    <w:rsid w:val="00AB0391"/>
    <w:rsid w:val="00AB06B4"/>
    <w:rsid w:val="00AB15DA"/>
    <w:rsid w:val="00AB2085"/>
    <w:rsid w:val="00AB2151"/>
    <w:rsid w:val="00AB235B"/>
    <w:rsid w:val="00AB2C59"/>
    <w:rsid w:val="00AB2C71"/>
    <w:rsid w:val="00AB2C8A"/>
    <w:rsid w:val="00AB42B6"/>
    <w:rsid w:val="00AB4A01"/>
    <w:rsid w:val="00AB4BEF"/>
    <w:rsid w:val="00AB4D67"/>
    <w:rsid w:val="00AB545D"/>
    <w:rsid w:val="00AB54D7"/>
    <w:rsid w:val="00AB57D3"/>
    <w:rsid w:val="00AB6886"/>
    <w:rsid w:val="00AB6AE4"/>
    <w:rsid w:val="00AB6E00"/>
    <w:rsid w:val="00AB6F37"/>
    <w:rsid w:val="00AB769E"/>
    <w:rsid w:val="00AB7D55"/>
    <w:rsid w:val="00AC0681"/>
    <w:rsid w:val="00AC154B"/>
    <w:rsid w:val="00AC1B72"/>
    <w:rsid w:val="00AC26FE"/>
    <w:rsid w:val="00AC350D"/>
    <w:rsid w:val="00AC3568"/>
    <w:rsid w:val="00AC3CF2"/>
    <w:rsid w:val="00AC47EC"/>
    <w:rsid w:val="00AC4E5D"/>
    <w:rsid w:val="00AC4E92"/>
    <w:rsid w:val="00AC520B"/>
    <w:rsid w:val="00AC6C53"/>
    <w:rsid w:val="00AC6E85"/>
    <w:rsid w:val="00AC7284"/>
    <w:rsid w:val="00AC7CE6"/>
    <w:rsid w:val="00AD0828"/>
    <w:rsid w:val="00AD0B13"/>
    <w:rsid w:val="00AD0E69"/>
    <w:rsid w:val="00AD103D"/>
    <w:rsid w:val="00AD159C"/>
    <w:rsid w:val="00AD17FA"/>
    <w:rsid w:val="00AD19EC"/>
    <w:rsid w:val="00AD2717"/>
    <w:rsid w:val="00AD3644"/>
    <w:rsid w:val="00AD3C99"/>
    <w:rsid w:val="00AD3DC4"/>
    <w:rsid w:val="00AD4A46"/>
    <w:rsid w:val="00AD4FF4"/>
    <w:rsid w:val="00AD531D"/>
    <w:rsid w:val="00AD600C"/>
    <w:rsid w:val="00AD63D6"/>
    <w:rsid w:val="00AD6CD5"/>
    <w:rsid w:val="00AD733B"/>
    <w:rsid w:val="00AD7CA7"/>
    <w:rsid w:val="00AE0040"/>
    <w:rsid w:val="00AE0C57"/>
    <w:rsid w:val="00AE184D"/>
    <w:rsid w:val="00AE1C03"/>
    <w:rsid w:val="00AE23E3"/>
    <w:rsid w:val="00AE2F65"/>
    <w:rsid w:val="00AE317E"/>
    <w:rsid w:val="00AE35A5"/>
    <w:rsid w:val="00AE4E2A"/>
    <w:rsid w:val="00AE5CF9"/>
    <w:rsid w:val="00AE5DB6"/>
    <w:rsid w:val="00AE6C3C"/>
    <w:rsid w:val="00AE702E"/>
    <w:rsid w:val="00AE73E0"/>
    <w:rsid w:val="00AF03C0"/>
    <w:rsid w:val="00AF166F"/>
    <w:rsid w:val="00AF1C03"/>
    <w:rsid w:val="00AF3936"/>
    <w:rsid w:val="00AF39AF"/>
    <w:rsid w:val="00AF3E3B"/>
    <w:rsid w:val="00AF3E5A"/>
    <w:rsid w:val="00AF46FE"/>
    <w:rsid w:val="00AF486F"/>
    <w:rsid w:val="00AF548B"/>
    <w:rsid w:val="00AF55E0"/>
    <w:rsid w:val="00AF5666"/>
    <w:rsid w:val="00AF5870"/>
    <w:rsid w:val="00AF5AAF"/>
    <w:rsid w:val="00AF6619"/>
    <w:rsid w:val="00AF6CFD"/>
    <w:rsid w:val="00AF72AE"/>
    <w:rsid w:val="00AF7DC1"/>
    <w:rsid w:val="00B000AE"/>
    <w:rsid w:val="00B0040B"/>
    <w:rsid w:val="00B00830"/>
    <w:rsid w:val="00B00AB5"/>
    <w:rsid w:val="00B00CC0"/>
    <w:rsid w:val="00B00F5C"/>
    <w:rsid w:val="00B019C1"/>
    <w:rsid w:val="00B0236E"/>
    <w:rsid w:val="00B02506"/>
    <w:rsid w:val="00B02ACE"/>
    <w:rsid w:val="00B0317A"/>
    <w:rsid w:val="00B03913"/>
    <w:rsid w:val="00B04CE3"/>
    <w:rsid w:val="00B04CEA"/>
    <w:rsid w:val="00B05607"/>
    <w:rsid w:val="00B05A08"/>
    <w:rsid w:val="00B05F14"/>
    <w:rsid w:val="00B06737"/>
    <w:rsid w:val="00B0784C"/>
    <w:rsid w:val="00B07C46"/>
    <w:rsid w:val="00B07CE9"/>
    <w:rsid w:val="00B101D5"/>
    <w:rsid w:val="00B10633"/>
    <w:rsid w:val="00B10B08"/>
    <w:rsid w:val="00B10D50"/>
    <w:rsid w:val="00B11A78"/>
    <w:rsid w:val="00B11CFB"/>
    <w:rsid w:val="00B12111"/>
    <w:rsid w:val="00B12804"/>
    <w:rsid w:val="00B12A1F"/>
    <w:rsid w:val="00B133A0"/>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0FD1"/>
    <w:rsid w:val="00B21736"/>
    <w:rsid w:val="00B218B1"/>
    <w:rsid w:val="00B21A33"/>
    <w:rsid w:val="00B224AA"/>
    <w:rsid w:val="00B22998"/>
    <w:rsid w:val="00B229FE"/>
    <w:rsid w:val="00B2302B"/>
    <w:rsid w:val="00B24363"/>
    <w:rsid w:val="00B2456E"/>
    <w:rsid w:val="00B24979"/>
    <w:rsid w:val="00B250A5"/>
    <w:rsid w:val="00B25651"/>
    <w:rsid w:val="00B26937"/>
    <w:rsid w:val="00B30243"/>
    <w:rsid w:val="00B30421"/>
    <w:rsid w:val="00B30A89"/>
    <w:rsid w:val="00B30DC8"/>
    <w:rsid w:val="00B315BB"/>
    <w:rsid w:val="00B31977"/>
    <w:rsid w:val="00B3235A"/>
    <w:rsid w:val="00B333FE"/>
    <w:rsid w:val="00B3382B"/>
    <w:rsid w:val="00B349E3"/>
    <w:rsid w:val="00B35094"/>
    <w:rsid w:val="00B350F0"/>
    <w:rsid w:val="00B357AC"/>
    <w:rsid w:val="00B35992"/>
    <w:rsid w:val="00B35E4B"/>
    <w:rsid w:val="00B35FCC"/>
    <w:rsid w:val="00B36518"/>
    <w:rsid w:val="00B37754"/>
    <w:rsid w:val="00B378CC"/>
    <w:rsid w:val="00B41615"/>
    <w:rsid w:val="00B41FD8"/>
    <w:rsid w:val="00B420DF"/>
    <w:rsid w:val="00B428E2"/>
    <w:rsid w:val="00B42A2C"/>
    <w:rsid w:val="00B42A5C"/>
    <w:rsid w:val="00B42A98"/>
    <w:rsid w:val="00B42C64"/>
    <w:rsid w:val="00B448EF"/>
    <w:rsid w:val="00B47493"/>
    <w:rsid w:val="00B474C8"/>
    <w:rsid w:val="00B474DF"/>
    <w:rsid w:val="00B47915"/>
    <w:rsid w:val="00B47A1B"/>
    <w:rsid w:val="00B50E18"/>
    <w:rsid w:val="00B513A9"/>
    <w:rsid w:val="00B51568"/>
    <w:rsid w:val="00B51610"/>
    <w:rsid w:val="00B5167B"/>
    <w:rsid w:val="00B520E3"/>
    <w:rsid w:val="00B52336"/>
    <w:rsid w:val="00B5388C"/>
    <w:rsid w:val="00B55CED"/>
    <w:rsid w:val="00B55D57"/>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6064"/>
    <w:rsid w:val="00B66995"/>
    <w:rsid w:val="00B671A1"/>
    <w:rsid w:val="00B675A6"/>
    <w:rsid w:val="00B6794D"/>
    <w:rsid w:val="00B67B55"/>
    <w:rsid w:val="00B67C6C"/>
    <w:rsid w:val="00B70C61"/>
    <w:rsid w:val="00B70E5A"/>
    <w:rsid w:val="00B7220D"/>
    <w:rsid w:val="00B74729"/>
    <w:rsid w:val="00B749B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4FB4"/>
    <w:rsid w:val="00B860E6"/>
    <w:rsid w:val="00B8756E"/>
    <w:rsid w:val="00B87A7D"/>
    <w:rsid w:val="00B87DF9"/>
    <w:rsid w:val="00B91951"/>
    <w:rsid w:val="00B91A58"/>
    <w:rsid w:val="00B91EAD"/>
    <w:rsid w:val="00B920B9"/>
    <w:rsid w:val="00B930D2"/>
    <w:rsid w:val="00B937CD"/>
    <w:rsid w:val="00B938BC"/>
    <w:rsid w:val="00B93997"/>
    <w:rsid w:val="00B93C98"/>
    <w:rsid w:val="00B93DF6"/>
    <w:rsid w:val="00B97601"/>
    <w:rsid w:val="00B976BB"/>
    <w:rsid w:val="00BA01A7"/>
    <w:rsid w:val="00BA0224"/>
    <w:rsid w:val="00BA05C8"/>
    <w:rsid w:val="00BA09AA"/>
    <w:rsid w:val="00BA0AD5"/>
    <w:rsid w:val="00BA0CA0"/>
    <w:rsid w:val="00BA0E3C"/>
    <w:rsid w:val="00BA1F74"/>
    <w:rsid w:val="00BA1FE7"/>
    <w:rsid w:val="00BA2B1D"/>
    <w:rsid w:val="00BA386F"/>
    <w:rsid w:val="00BA3D14"/>
    <w:rsid w:val="00BA435A"/>
    <w:rsid w:val="00BA54BA"/>
    <w:rsid w:val="00BA5603"/>
    <w:rsid w:val="00BA56D9"/>
    <w:rsid w:val="00BA6194"/>
    <w:rsid w:val="00BA6CE3"/>
    <w:rsid w:val="00BA7EEE"/>
    <w:rsid w:val="00BB2008"/>
    <w:rsid w:val="00BB29DF"/>
    <w:rsid w:val="00BB2CFC"/>
    <w:rsid w:val="00BB34DC"/>
    <w:rsid w:val="00BB35D0"/>
    <w:rsid w:val="00BB3883"/>
    <w:rsid w:val="00BB3AC4"/>
    <w:rsid w:val="00BB44F0"/>
    <w:rsid w:val="00BB4999"/>
    <w:rsid w:val="00BB4BCD"/>
    <w:rsid w:val="00BB56C7"/>
    <w:rsid w:val="00BB5B62"/>
    <w:rsid w:val="00BB6502"/>
    <w:rsid w:val="00BB6BCD"/>
    <w:rsid w:val="00BB70F9"/>
    <w:rsid w:val="00BB7C9B"/>
    <w:rsid w:val="00BC1527"/>
    <w:rsid w:val="00BC2306"/>
    <w:rsid w:val="00BC2F31"/>
    <w:rsid w:val="00BC316E"/>
    <w:rsid w:val="00BC4036"/>
    <w:rsid w:val="00BC4F0A"/>
    <w:rsid w:val="00BC509F"/>
    <w:rsid w:val="00BC51D2"/>
    <w:rsid w:val="00BC555E"/>
    <w:rsid w:val="00BC64BE"/>
    <w:rsid w:val="00BC7155"/>
    <w:rsid w:val="00BC7550"/>
    <w:rsid w:val="00BD0B72"/>
    <w:rsid w:val="00BD2668"/>
    <w:rsid w:val="00BD2FEB"/>
    <w:rsid w:val="00BD3924"/>
    <w:rsid w:val="00BD3C33"/>
    <w:rsid w:val="00BD450F"/>
    <w:rsid w:val="00BD4512"/>
    <w:rsid w:val="00BD52AA"/>
    <w:rsid w:val="00BD5E4A"/>
    <w:rsid w:val="00BD6D3E"/>
    <w:rsid w:val="00BD7FF4"/>
    <w:rsid w:val="00BE1061"/>
    <w:rsid w:val="00BE1321"/>
    <w:rsid w:val="00BE2893"/>
    <w:rsid w:val="00BE2EB4"/>
    <w:rsid w:val="00BE2F5A"/>
    <w:rsid w:val="00BE357D"/>
    <w:rsid w:val="00BE37D3"/>
    <w:rsid w:val="00BE4098"/>
    <w:rsid w:val="00BE522A"/>
    <w:rsid w:val="00BE57B5"/>
    <w:rsid w:val="00BE5ABE"/>
    <w:rsid w:val="00BE6DDD"/>
    <w:rsid w:val="00BE7A7C"/>
    <w:rsid w:val="00BF0A44"/>
    <w:rsid w:val="00BF0CEC"/>
    <w:rsid w:val="00BF1A44"/>
    <w:rsid w:val="00BF1EDF"/>
    <w:rsid w:val="00BF40EE"/>
    <w:rsid w:val="00BF4D3D"/>
    <w:rsid w:val="00BF569C"/>
    <w:rsid w:val="00BF5B8C"/>
    <w:rsid w:val="00BF66B7"/>
    <w:rsid w:val="00BF6A68"/>
    <w:rsid w:val="00BF7152"/>
    <w:rsid w:val="00BF73F0"/>
    <w:rsid w:val="00BF75B1"/>
    <w:rsid w:val="00BF75C9"/>
    <w:rsid w:val="00BF7BD3"/>
    <w:rsid w:val="00C00352"/>
    <w:rsid w:val="00C007CE"/>
    <w:rsid w:val="00C00A22"/>
    <w:rsid w:val="00C00F18"/>
    <w:rsid w:val="00C01D39"/>
    <w:rsid w:val="00C0200C"/>
    <w:rsid w:val="00C020A8"/>
    <w:rsid w:val="00C02DC2"/>
    <w:rsid w:val="00C034A4"/>
    <w:rsid w:val="00C03DD0"/>
    <w:rsid w:val="00C04445"/>
    <w:rsid w:val="00C04705"/>
    <w:rsid w:val="00C04A7F"/>
    <w:rsid w:val="00C04E2B"/>
    <w:rsid w:val="00C051AA"/>
    <w:rsid w:val="00C060A0"/>
    <w:rsid w:val="00C07187"/>
    <w:rsid w:val="00C075C9"/>
    <w:rsid w:val="00C07DB2"/>
    <w:rsid w:val="00C07FAD"/>
    <w:rsid w:val="00C106C4"/>
    <w:rsid w:val="00C111EA"/>
    <w:rsid w:val="00C119AD"/>
    <w:rsid w:val="00C1228D"/>
    <w:rsid w:val="00C13FED"/>
    <w:rsid w:val="00C14E7D"/>
    <w:rsid w:val="00C15722"/>
    <w:rsid w:val="00C16103"/>
    <w:rsid w:val="00C16897"/>
    <w:rsid w:val="00C17E76"/>
    <w:rsid w:val="00C200C9"/>
    <w:rsid w:val="00C21D8E"/>
    <w:rsid w:val="00C22525"/>
    <w:rsid w:val="00C23DBB"/>
    <w:rsid w:val="00C23FE1"/>
    <w:rsid w:val="00C2410D"/>
    <w:rsid w:val="00C24BAF"/>
    <w:rsid w:val="00C25F8B"/>
    <w:rsid w:val="00C265C0"/>
    <w:rsid w:val="00C26B9E"/>
    <w:rsid w:val="00C272EF"/>
    <w:rsid w:val="00C2732B"/>
    <w:rsid w:val="00C2753F"/>
    <w:rsid w:val="00C276A8"/>
    <w:rsid w:val="00C27963"/>
    <w:rsid w:val="00C27975"/>
    <w:rsid w:val="00C300BC"/>
    <w:rsid w:val="00C318F7"/>
    <w:rsid w:val="00C319D2"/>
    <w:rsid w:val="00C31F85"/>
    <w:rsid w:val="00C32534"/>
    <w:rsid w:val="00C326EE"/>
    <w:rsid w:val="00C32951"/>
    <w:rsid w:val="00C32C02"/>
    <w:rsid w:val="00C33235"/>
    <w:rsid w:val="00C33677"/>
    <w:rsid w:val="00C34137"/>
    <w:rsid w:val="00C3476B"/>
    <w:rsid w:val="00C347A2"/>
    <w:rsid w:val="00C35240"/>
    <w:rsid w:val="00C368B3"/>
    <w:rsid w:val="00C36F07"/>
    <w:rsid w:val="00C37214"/>
    <w:rsid w:val="00C372E8"/>
    <w:rsid w:val="00C409DC"/>
    <w:rsid w:val="00C40B1B"/>
    <w:rsid w:val="00C40E88"/>
    <w:rsid w:val="00C416A3"/>
    <w:rsid w:val="00C41785"/>
    <w:rsid w:val="00C41FC1"/>
    <w:rsid w:val="00C434C2"/>
    <w:rsid w:val="00C43940"/>
    <w:rsid w:val="00C44342"/>
    <w:rsid w:val="00C44694"/>
    <w:rsid w:val="00C44744"/>
    <w:rsid w:val="00C457C1"/>
    <w:rsid w:val="00C46625"/>
    <w:rsid w:val="00C46870"/>
    <w:rsid w:val="00C47545"/>
    <w:rsid w:val="00C47593"/>
    <w:rsid w:val="00C5024D"/>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6324"/>
    <w:rsid w:val="00C5653B"/>
    <w:rsid w:val="00C565A3"/>
    <w:rsid w:val="00C577F7"/>
    <w:rsid w:val="00C60667"/>
    <w:rsid w:val="00C61AB9"/>
    <w:rsid w:val="00C61F84"/>
    <w:rsid w:val="00C62FF7"/>
    <w:rsid w:val="00C63135"/>
    <w:rsid w:val="00C637DC"/>
    <w:rsid w:val="00C63EE8"/>
    <w:rsid w:val="00C6432E"/>
    <w:rsid w:val="00C65718"/>
    <w:rsid w:val="00C65B95"/>
    <w:rsid w:val="00C65C81"/>
    <w:rsid w:val="00C66772"/>
    <w:rsid w:val="00C66D2B"/>
    <w:rsid w:val="00C67580"/>
    <w:rsid w:val="00C6781C"/>
    <w:rsid w:val="00C67EA1"/>
    <w:rsid w:val="00C70AEE"/>
    <w:rsid w:val="00C71D15"/>
    <w:rsid w:val="00C7234D"/>
    <w:rsid w:val="00C7244E"/>
    <w:rsid w:val="00C726C9"/>
    <w:rsid w:val="00C72801"/>
    <w:rsid w:val="00C72C0A"/>
    <w:rsid w:val="00C73E67"/>
    <w:rsid w:val="00C73FAD"/>
    <w:rsid w:val="00C74AE1"/>
    <w:rsid w:val="00C757B8"/>
    <w:rsid w:val="00C765E8"/>
    <w:rsid w:val="00C76906"/>
    <w:rsid w:val="00C76B7C"/>
    <w:rsid w:val="00C76CC7"/>
    <w:rsid w:val="00C76F81"/>
    <w:rsid w:val="00C776A4"/>
    <w:rsid w:val="00C800DD"/>
    <w:rsid w:val="00C80920"/>
    <w:rsid w:val="00C80B03"/>
    <w:rsid w:val="00C8243F"/>
    <w:rsid w:val="00C8289B"/>
    <w:rsid w:val="00C82C4B"/>
    <w:rsid w:val="00C82D54"/>
    <w:rsid w:val="00C82F3B"/>
    <w:rsid w:val="00C837C4"/>
    <w:rsid w:val="00C83829"/>
    <w:rsid w:val="00C83A03"/>
    <w:rsid w:val="00C83EDD"/>
    <w:rsid w:val="00C84505"/>
    <w:rsid w:val="00C8495F"/>
    <w:rsid w:val="00C84BF1"/>
    <w:rsid w:val="00C84CA2"/>
    <w:rsid w:val="00C8515D"/>
    <w:rsid w:val="00C85A36"/>
    <w:rsid w:val="00C85CD1"/>
    <w:rsid w:val="00C86C56"/>
    <w:rsid w:val="00C8773E"/>
    <w:rsid w:val="00C90601"/>
    <w:rsid w:val="00C90B02"/>
    <w:rsid w:val="00C90D16"/>
    <w:rsid w:val="00C9116A"/>
    <w:rsid w:val="00C91DAF"/>
    <w:rsid w:val="00C9265D"/>
    <w:rsid w:val="00C92824"/>
    <w:rsid w:val="00C92FF5"/>
    <w:rsid w:val="00C937BA"/>
    <w:rsid w:val="00C94796"/>
    <w:rsid w:val="00C949FC"/>
    <w:rsid w:val="00C94B5C"/>
    <w:rsid w:val="00C960CF"/>
    <w:rsid w:val="00C96672"/>
    <w:rsid w:val="00C96678"/>
    <w:rsid w:val="00C96772"/>
    <w:rsid w:val="00C96A11"/>
    <w:rsid w:val="00C96CFA"/>
    <w:rsid w:val="00C96E5A"/>
    <w:rsid w:val="00C96EB5"/>
    <w:rsid w:val="00CA0257"/>
    <w:rsid w:val="00CA0917"/>
    <w:rsid w:val="00CA102B"/>
    <w:rsid w:val="00CA283D"/>
    <w:rsid w:val="00CA2918"/>
    <w:rsid w:val="00CA29D1"/>
    <w:rsid w:val="00CA2DD6"/>
    <w:rsid w:val="00CA3247"/>
    <w:rsid w:val="00CA3752"/>
    <w:rsid w:val="00CA3999"/>
    <w:rsid w:val="00CA39C0"/>
    <w:rsid w:val="00CA5AD3"/>
    <w:rsid w:val="00CA62DD"/>
    <w:rsid w:val="00CA69BA"/>
    <w:rsid w:val="00CA7DE6"/>
    <w:rsid w:val="00CB0339"/>
    <w:rsid w:val="00CB110E"/>
    <w:rsid w:val="00CB11F8"/>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110F"/>
    <w:rsid w:val="00CC11B8"/>
    <w:rsid w:val="00CC1808"/>
    <w:rsid w:val="00CC1AF9"/>
    <w:rsid w:val="00CC20E0"/>
    <w:rsid w:val="00CC2818"/>
    <w:rsid w:val="00CC2F7A"/>
    <w:rsid w:val="00CC3A70"/>
    <w:rsid w:val="00CC4033"/>
    <w:rsid w:val="00CC40B8"/>
    <w:rsid w:val="00CC5444"/>
    <w:rsid w:val="00CC5534"/>
    <w:rsid w:val="00CC5631"/>
    <w:rsid w:val="00CC5E6C"/>
    <w:rsid w:val="00CC62A6"/>
    <w:rsid w:val="00CC676C"/>
    <w:rsid w:val="00CC745B"/>
    <w:rsid w:val="00CC7A11"/>
    <w:rsid w:val="00CD04A8"/>
    <w:rsid w:val="00CD051B"/>
    <w:rsid w:val="00CD1DB1"/>
    <w:rsid w:val="00CD22B5"/>
    <w:rsid w:val="00CD22F4"/>
    <w:rsid w:val="00CD25E1"/>
    <w:rsid w:val="00CD367C"/>
    <w:rsid w:val="00CD454A"/>
    <w:rsid w:val="00CD499A"/>
    <w:rsid w:val="00CD4F54"/>
    <w:rsid w:val="00CD4FFE"/>
    <w:rsid w:val="00CD57FA"/>
    <w:rsid w:val="00CD5A6E"/>
    <w:rsid w:val="00CD6865"/>
    <w:rsid w:val="00CD711F"/>
    <w:rsid w:val="00CD74A7"/>
    <w:rsid w:val="00CD79B2"/>
    <w:rsid w:val="00CE157C"/>
    <w:rsid w:val="00CE1665"/>
    <w:rsid w:val="00CE1AF6"/>
    <w:rsid w:val="00CE2298"/>
    <w:rsid w:val="00CE3064"/>
    <w:rsid w:val="00CE39E4"/>
    <w:rsid w:val="00CE4282"/>
    <w:rsid w:val="00CE51A5"/>
    <w:rsid w:val="00CE54E1"/>
    <w:rsid w:val="00CE55B6"/>
    <w:rsid w:val="00CE5856"/>
    <w:rsid w:val="00CE5BDE"/>
    <w:rsid w:val="00CE6A6D"/>
    <w:rsid w:val="00CE774C"/>
    <w:rsid w:val="00CF012E"/>
    <w:rsid w:val="00CF04D4"/>
    <w:rsid w:val="00CF0B4C"/>
    <w:rsid w:val="00CF1680"/>
    <w:rsid w:val="00CF1780"/>
    <w:rsid w:val="00CF1BD7"/>
    <w:rsid w:val="00CF1E21"/>
    <w:rsid w:val="00CF21A5"/>
    <w:rsid w:val="00CF2518"/>
    <w:rsid w:val="00CF2DDE"/>
    <w:rsid w:val="00CF344A"/>
    <w:rsid w:val="00CF39A0"/>
    <w:rsid w:val="00CF3D1C"/>
    <w:rsid w:val="00CF4713"/>
    <w:rsid w:val="00CF477B"/>
    <w:rsid w:val="00CF4A66"/>
    <w:rsid w:val="00CF4B12"/>
    <w:rsid w:val="00CF58FE"/>
    <w:rsid w:val="00CF5EBE"/>
    <w:rsid w:val="00CF644D"/>
    <w:rsid w:val="00CF783B"/>
    <w:rsid w:val="00CF7D97"/>
    <w:rsid w:val="00CF7EEC"/>
    <w:rsid w:val="00D001C2"/>
    <w:rsid w:val="00D00779"/>
    <w:rsid w:val="00D009D8"/>
    <w:rsid w:val="00D012E1"/>
    <w:rsid w:val="00D01318"/>
    <w:rsid w:val="00D01665"/>
    <w:rsid w:val="00D01D1E"/>
    <w:rsid w:val="00D02580"/>
    <w:rsid w:val="00D0330B"/>
    <w:rsid w:val="00D03BF7"/>
    <w:rsid w:val="00D03F1E"/>
    <w:rsid w:val="00D0428E"/>
    <w:rsid w:val="00D04426"/>
    <w:rsid w:val="00D0482F"/>
    <w:rsid w:val="00D04A33"/>
    <w:rsid w:val="00D05892"/>
    <w:rsid w:val="00D06824"/>
    <w:rsid w:val="00D06C03"/>
    <w:rsid w:val="00D1037A"/>
    <w:rsid w:val="00D10499"/>
    <w:rsid w:val="00D10D09"/>
    <w:rsid w:val="00D1163E"/>
    <w:rsid w:val="00D12362"/>
    <w:rsid w:val="00D12A4F"/>
    <w:rsid w:val="00D14C15"/>
    <w:rsid w:val="00D15CB3"/>
    <w:rsid w:val="00D15F51"/>
    <w:rsid w:val="00D1660E"/>
    <w:rsid w:val="00D16ED5"/>
    <w:rsid w:val="00D171C6"/>
    <w:rsid w:val="00D202B1"/>
    <w:rsid w:val="00D20662"/>
    <w:rsid w:val="00D21291"/>
    <w:rsid w:val="00D21C8A"/>
    <w:rsid w:val="00D2297E"/>
    <w:rsid w:val="00D22DE5"/>
    <w:rsid w:val="00D233BD"/>
    <w:rsid w:val="00D233D7"/>
    <w:rsid w:val="00D23CBB"/>
    <w:rsid w:val="00D25806"/>
    <w:rsid w:val="00D25E9D"/>
    <w:rsid w:val="00D25F1C"/>
    <w:rsid w:val="00D26DE6"/>
    <w:rsid w:val="00D26EE7"/>
    <w:rsid w:val="00D305F7"/>
    <w:rsid w:val="00D30718"/>
    <w:rsid w:val="00D3171B"/>
    <w:rsid w:val="00D322FB"/>
    <w:rsid w:val="00D32475"/>
    <w:rsid w:val="00D32EC3"/>
    <w:rsid w:val="00D32EF4"/>
    <w:rsid w:val="00D33F81"/>
    <w:rsid w:val="00D34850"/>
    <w:rsid w:val="00D3486B"/>
    <w:rsid w:val="00D35060"/>
    <w:rsid w:val="00D369D4"/>
    <w:rsid w:val="00D36AD7"/>
    <w:rsid w:val="00D373E9"/>
    <w:rsid w:val="00D37C61"/>
    <w:rsid w:val="00D403FF"/>
    <w:rsid w:val="00D404C4"/>
    <w:rsid w:val="00D40CE9"/>
    <w:rsid w:val="00D40D0B"/>
    <w:rsid w:val="00D42115"/>
    <w:rsid w:val="00D42EFD"/>
    <w:rsid w:val="00D457D1"/>
    <w:rsid w:val="00D458AA"/>
    <w:rsid w:val="00D46009"/>
    <w:rsid w:val="00D46338"/>
    <w:rsid w:val="00D46BA2"/>
    <w:rsid w:val="00D47234"/>
    <w:rsid w:val="00D47281"/>
    <w:rsid w:val="00D47581"/>
    <w:rsid w:val="00D50295"/>
    <w:rsid w:val="00D5069A"/>
    <w:rsid w:val="00D50E43"/>
    <w:rsid w:val="00D51469"/>
    <w:rsid w:val="00D52B45"/>
    <w:rsid w:val="00D530EB"/>
    <w:rsid w:val="00D53393"/>
    <w:rsid w:val="00D535B6"/>
    <w:rsid w:val="00D5451D"/>
    <w:rsid w:val="00D55235"/>
    <w:rsid w:val="00D55D78"/>
    <w:rsid w:val="00D5714E"/>
    <w:rsid w:val="00D572B2"/>
    <w:rsid w:val="00D57F53"/>
    <w:rsid w:val="00D60CAB"/>
    <w:rsid w:val="00D610FD"/>
    <w:rsid w:val="00D612AF"/>
    <w:rsid w:val="00D619F3"/>
    <w:rsid w:val="00D62A5B"/>
    <w:rsid w:val="00D62AD4"/>
    <w:rsid w:val="00D62B43"/>
    <w:rsid w:val="00D62ECD"/>
    <w:rsid w:val="00D63748"/>
    <w:rsid w:val="00D639F0"/>
    <w:rsid w:val="00D63C1B"/>
    <w:rsid w:val="00D63D76"/>
    <w:rsid w:val="00D64B44"/>
    <w:rsid w:val="00D64BFF"/>
    <w:rsid w:val="00D64DE1"/>
    <w:rsid w:val="00D64E3F"/>
    <w:rsid w:val="00D653D0"/>
    <w:rsid w:val="00D6692A"/>
    <w:rsid w:val="00D66E55"/>
    <w:rsid w:val="00D674E9"/>
    <w:rsid w:val="00D6799A"/>
    <w:rsid w:val="00D7009C"/>
    <w:rsid w:val="00D70F17"/>
    <w:rsid w:val="00D712DA"/>
    <w:rsid w:val="00D719EF"/>
    <w:rsid w:val="00D72327"/>
    <w:rsid w:val="00D727E0"/>
    <w:rsid w:val="00D72B87"/>
    <w:rsid w:val="00D72C08"/>
    <w:rsid w:val="00D72C72"/>
    <w:rsid w:val="00D74160"/>
    <w:rsid w:val="00D744CC"/>
    <w:rsid w:val="00D75D22"/>
    <w:rsid w:val="00D75DA5"/>
    <w:rsid w:val="00D76C58"/>
    <w:rsid w:val="00D76CF2"/>
    <w:rsid w:val="00D76E7C"/>
    <w:rsid w:val="00D77EA1"/>
    <w:rsid w:val="00D80B40"/>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70E8"/>
    <w:rsid w:val="00D87423"/>
    <w:rsid w:val="00D87452"/>
    <w:rsid w:val="00D87485"/>
    <w:rsid w:val="00D87E58"/>
    <w:rsid w:val="00D907CB"/>
    <w:rsid w:val="00D91BF2"/>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2FD5"/>
    <w:rsid w:val="00DA4838"/>
    <w:rsid w:val="00DA4989"/>
    <w:rsid w:val="00DA500C"/>
    <w:rsid w:val="00DA5721"/>
    <w:rsid w:val="00DA6173"/>
    <w:rsid w:val="00DA7477"/>
    <w:rsid w:val="00DA7573"/>
    <w:rsid w:val="00DA7BD4"/>
    <w:rsid w:val="00DB0191"/>
    <w:rsid w:val="00DB0359"/>
    <w:rsid w:val="00DB0EF6"/>
    <w:rsid w:val="00DB0F8A"/>
    <w:rsid w:val="00DB26A8"/>
    <w:rsid w:val="00DB27CF"/>
    <w:rsid w:val="00DB324C"/>
    <w:rsid w:val="00DB3FD3"/>
    <w:rsid w:val="00DB5F2A"/>
    <w:rsid w:val="00DB6D86"/>
    <w:rsid w:val="00DB6F45"/>
    <w:rsid w:val="00DB72B7"/>
    <w:rsid w:val="00DB7546"/>
    <w:rsid w:val="00DB7E60"/>
    <w:rsid w:val="00DC0624"/>
    <w:rsid w:val="00DC0FC3"/>
    <w:rsid w:val="00DC1A58"/>
    <w:rsid w:val="00DC1AC0"/>
    <w:rsid w:val="00DC1CDD"/>
    <w:rsid w:val="00DC1D8E"/>
    <w:rsid w:val="00DC20C3"/>
    <w:rsid w:val="00DC227A"/>
    <w:rsid w:val="00DC2360"/>
    <w:rsid w:val="00DC26E4"/>
    <w:rsid w:val="00DC2BAE"/>
    <w:rsid w:val="00DC2CEE"/>
    <w:rsid w:val="00DC2E45"/>
    <w:rsid w:val="00DC3257"/>
    <w:rsid w:val="00DC3279"/>
    <w:rsid w:val="00DC346F"/>
    <w:rsid w:val="00DC3BF1"/>
    <w:rsid w:val="00DC4D1D"/>
    <w:rsid w:val="00DC4D87"/>
    <w:rsid w:val="00DC54EB"/>
    <w:rsid w:val="00DC580A"/>
    <w:rsid w:val="00DC5B50"/>
    <w:rsid w:val="00DC66BC"/>
    <w:rsid w:val="00DC727F"/>
    <w:rsid w:val="00DC7E78"/>
    <w:rsid w:val="00DD0493"/>
    <w:rsid w:val="00DD0924"/>
    <w:rsid w:val="00DD0CBF"/>
    <w:rsid w:val="00DD1071"/>
    <w:rsid w:val="00DD12FD"/>
    <w:rsid w:val="00DD1576"/>
    <w:rsid w:val="00DD21B6"/>
    <w:rsid w:val="00DD2893"/>
    <w:rsid w:val="00DD4717"/>
    <w:rsid w:val="00DD4F74"/>
    <w:rsid w:val="00DD531F"/>
    <w:rsid w:val="00DD556C"/>
    <w:rsid w:val="00DD5737"/>
    <w:rsid w:val="00DD5E81"/>
    <w:rsid w:val="00DD6C46"/>
    <w:rsid w:val="00DD6C7A"/>
    <w:rsid w:val="00DD6F44"/>
    <w:rsid w:val="00DD7CCA"/>
    <w:rsid w:val="00DE0BDE"/>
    <w:rsid w:val="00DE10CF"/>
    <w:rsid w:val="00DE1270"/>
    <w:rsid w:val="00DE1E1E"/>
    <w:rsid w:val="00DE223E"/>
    <w:rsid w:val="00DE2D33"/>
    <w:rsid w:val="00DE34EB"/>
    <w:rsid w:val="00DE3592"/>
    <w:rsid w:val="00DE3E78"/>
    <w:rsid w:val="00DE41E7"/>
    <w:rsid w:val="00DE41F8"/>
    <w:rsid w:val="00DE4B9D"/>
    <w:rsid w:val="00DE50EA"/>
    <w:rsid w:val="00DE545C"/>
    <w:rsid w:val="00DE5C9F"/>
    <w:rsid w:val="00DE734E"/>
    <w:rsid w:val="00DE7887"/>
    <w:rsid w:val="00DE7BF8"/>
    <w:rsid w:val="00DF0DC3"/>
    <w:rsid w:val="00DF14F9"/>
    <w:rsid w:val="00DF1C2D"/>
    <w:rsid w:val="00DF1FAE"/>
    <w:rsid w:val="00DF2AD9"/>
    <w:rsid w:val="00DF54D0"/>
    <w:rsid w:val="00DF580C"/>
    <w:rsid w:val="00DF5C1A"/>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07A1A"/>
    <w:rsid w:val="00E1024A"/>
    <w:rsid w:val="00E10B17"/>
    <w:rsid w:val="00E10B67"/>
    <w:rsid w:val="00E12029"/>
    <w:rsid w:val="00E12742"/>
    <w:rsid w:val="00E12AB9"/>
    <w:rsid w:val="00E12B67"/>
    <w:rsid w:val="00E141D3"/>
    <w:rsid w:val="00E14941"/>
    <w:rsid w:val="00E15145"/>
    <w:rsid w:val="00E1526B"/>
    <w:rsid w:val="00E1534B"/>
    <w:rsid w:val="00E15408"/>
    <w:rsid w:val="00E15743"/>
    <w:rsid w:val="00E15C52"/>
    <w:rsid w:val="00E15EDA"/>
    <w:rsid w:val="00E15F0B"/>
    <w:rsid w:val="00E160E8"/>
    <w:rsid w:val="00E16199"/>
    <w:rsid w:val="00E16311"/>
    <w:rsid w:val="00E1702C"/>
    <w:rsid w:val="00E20CC5"/>
    <w:rsid w:val="00E21ACA"/>
    <w:rsid w:val="00E21ECC"/>
    <w:rsid w:val="00E22B80"/>
    <w:rsid w:val="00E22C0E"/>
    <w:rsid w:val="00E22CFF"/>
    <w:rsid w:val="00E231CD"/>
    <w:rsid w:val="00E231E1"/>
    <w:rsid w:val="00E23888"/>
    <w:rsid w:val="00E23B9C"/>
    <w:rsid w:val="00E23CE3"/>
    <w:rsid w:val="00E23CF7"/>
    <w:rsid w:val="00E23E2B"/>
    <w:rsid w:val="00E23E76"/>
    <w:rsid w:val="00E249DB"/>
    <w:rsid w:val="00E253A3"/>
    <w:rsid w:val="00E25402"/>
    <w:rsid w:val="00E259B0"/>
    <w:rsid w:val="00E25AF8"/>
    <w:rsid w:val="00E26AEC"/>
    <w:rsid w:val="00E2757B"/>
    <w:rsid w:val="00E2792D"/>
    <w:rsid w:val="00E30828"/>
    <w:rsid w:val="00E30B37"/>
    <w:rsid w:val="00E3109C"/>
    <w:rsid w:val="00E311D1"/>
    <w:rsid w:val="00E31537"/>
    <w:rsid w:val="00E31B6D"/>
    <w:rsid w:val="00E31C2D"/>
    <w:rsid w:val="00E32432"/>
    <w:rsid w:val="00E33B1E"/>
    <w:rsid w:val="00E34277"/>
    <w:rsid w:val="00E35C6C"/>
    <w:rsid w:val="00E3621B"/>
    <w:rsid w:val="00E36D6F"/>
    <w:rsid w:val="00E36F43"/>
    <w:rsid w:val="00E37F0C"/>
    <w:rsid w:val="00E40ADF"/>
    <w:rsid w:val="00E418E3"/>
    <w:rsid w:val="00E41F8B"/>
    <w:rsid w:val="00E423DE"/>
    <w:rsid w:val="00E4296F"/>
    <w:rsid w:val="00E42F07"/>
    <w:rsid w:val="00E4370F"/>
    <w:rsid w:val="00E4441D"/>
    <w:rsid w:val="00E453AB"/>
    <w:rsid w:val="00E462E6"/>
    <w:rsid w:val="00E463A0"/>
    <w:rsid w:val="00E465B5"/>
    <w:rsid w:val="00E47839"/>
    <w:rsid w:val="00E513CF"/>
    <w:rsid w:val="00E51CDE"/>
    <w:rsid w:val="00E5210B"/>
    <w:rsid w:val="00E53631"/>
    <w:rsid w:val="00E5388F"/>
    <w:rsid w:val="00E54239"/>
    <w:rsid w:val="00E54272"/>
    <w:rsid w:val="00E542BC"/>
    <w:rsid w:val="00E54521"/>
    <w:rsid w:val="00E54617"/>
    <w:rsid w:val="00E5484B"/>
    <w:rsid w:val="00E56023"/>
    <w:rsid w:val="00E56471"/>
    <w:rsid w:val="00E56BC2"/>
    <w:rsid w:val="00E56D6E"/>
    <w:rsid w:val="00E56FEF"/>
    <w:rsid w:val="00E57601"/>
    <w:rsid w:val="00E577F9"/>
    <w:rsid w:val="00E57FB5"/>
    <w:rsid w:val="00E60F14"/>
    <w:rsid w:val="00E61AC4"/>
    <w:rsid w:val="00E61B23"/>
    <w:rsid w:val="00E625BE"/>
    <w:rsid w:val="00E6284B"/>
    <w:rsid w:val="00E62D07"/>
    <w:rsid w:val="00E62DF6"/>
    <w:rsid w:val="00E63A22"/>
    <w:rsid w:val="00E63B8F"/>
    <w:rsid w:val="00E646B5"/>
    <w:rsid w:val="00E65427"/>
    <w:rsid w:val="00E6543F"/>
    <w:rsid w:val="00E655EF"/>
    <w:rsid w:val="00E661C0"/>
    <w:rsid w:val="00E663F5"/>
    <w:rsid w:val="00E66E97"/>
    <w:rsid w:val="00E70BD6"/>
    <w:rsid w:val="00E71305"/>
    <w:rsid w:val="00E72383"/>
    <w:rsid w:val="00E724D2"/>
    <w:rsid w:val="00E72D9F"/>
    <w:rsid w:val="00E732B8"/>
    <w:rsid w:val="00E73C41"/>
    <w:rsid w:val="00E74933"/>
    <w:rsid w:val="00E74EDC"/>
    <w:rsid w:val="00E75597"/>
    <w:rsid w:val="00E75737"/>
    <w:rsid w:val="00E75875"/>
    <w:rsid w:val="00E75886"/>
    <w:rsid w:val="00E75D6E"/>
    <w:rsid w:val="00E76007"/>
    <w:rsid w:val="00E76181"/>
    <w:rsid w:val="00E770F2"/>
    <w:rsid w:val="00E77EAC"/>
    <w:rsid w:val="00E80934"/>
    <w:rsid w:val="00E81069"/>
    <w:rsid w:val="00E817AD"/>
    <w:rsid w:val="00E817EF"/>
    <w:rsid w:val="00E8184F"/>
    <w:rsid w:val="00E8192B"/>
    <w:rsid w:val="00E828D5"/>
    <w:rsid w:val="00E82D81"/>
    <w:rsid w:val="00E83259"/>
    <w:rsid w:val="00E839BE"/>
    <w:rsid w:val="00E83CAC"/>
    <w:rsid w:val="00E84C89"/>
    <w:rsid w:val="00E85357"/>
    <w:rsid w:val="00E85E56"/>
    <w:rsid w:val="00E860DD"/>
    <w:rsid w:val="00E8713D"/>
    <w:rsid w:val="00E87DAB"/>
    <w:rsid w:val="00E90329"/>
    <w:rsid w:val="00E910D5"/>
    <w:rsid w:val="00E922C4"/>
    <w:rsid w:val="00E943AE"/>
    <w:rsid w:val="00E947B0"/>
    <w:rsid w:val="00E95D82"/>
    <w:rsid w:val="00E95F21"/>
    <w:rsid w:val="00E96273"/>
    <w:rsid w:val="00E96E97"/>
    <w:rsid w:val="00E97D49"/>
    <w:rsid w:val="00EA0251"/>
    <w:rsid w:val="00EA1065"/>
    <w:rsid w:val="00EA1434"/>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2EF9"/>
    <w:rsid w:val="00EB31A3"/>
    <w:rsid w:val="00EB325B"/>
    <w:rsid w:val="00EB3E22"/>
    <w:rsid w:val="00EB693B"/>
    <w:rsid w:val="00EB7BA9"/>
    <w:rsid w:val="00EB7D75"/>
    <w:rsid w:val="00EC0B20"/>
    <w:rsid w:val="00EC0B89"/>
    <w:rsid w:val="00EC0EE7"/>
    <w:rsid w:val="00EC1C3A"/>
    <w:rsid w:val="00EC1F51"/>
    <w:rsid w:val="00EC2B1D"/>
    <w:rsid w:val="00EC4233"/>
    <w:rsid w:val="00EC4544"/>
    <w:rsid w:val="00EC4A85"/>
    <w:rsid w:val="00EC57B2"/>
    <w:rsid w:val="00EC58F4"/>
    <w:rsid w:val="00EC650B"/>
    <w:rsid w:val="00EC7808"/>
    <w:rsid w:val="00EC7BFA"/>
    <w:rsid w:val="00ED042E"/>
    <w:rsid w:val="00ED1295"/>
    <w:rsid w:val="00ED2725"/>
    <w:rsid w:val="00ED34D1"/>
    <w:rsid w:val="00ED367F"/>
    <w:rsid w:val="00ED3890"/>
    <w:rsid w:val="00ED4206"/>
    <w:rsid w:val="00ED58A2"/>
    <w:rsid w:val="00ED58C3"/>
    <w:rsid w:val="00ED5C71"/>
    <w:rsid w:val="00ED5EEE"/>
    <w:rsid w:val="00ED667C"/>
    <w:rsid w:val="00ED7966"/>
    <w:rsid w:val="00EE01CC"/>
    <w:rsid w:val="00EE04EE"/>
    <w:rsid w:val="00EE1760"/>
    <w:rsid w:val="00EE18B6"/>
    <w:rsid w:val="00EE25E3"/>
    <w:rsid w:val="00EE287D"/>
    <w:rsid w:val="00EE3B32"/>
    <w:rsid w:val="00EE3CFF"/>
    <w:rsid w:val="00EE3F39"/>
    <w:rsid w:val="00EE414C"/>
    <w:rsid w:val="00EE44FE"/>
    <w:rsid w:val="00EE5406"/>
    <w:rsid w:val="00EE5EF8"/>
    <w:rsid w:val="00EE6964"/>
    <w:rsid w:val="00EE6A1D"/>
    <w:rsid w:val="00EE6D18"/>
    <w:rsid w:val="00EE7E7A"/>
    <w:rsid w:val="00EF1230"/>
    <w:rsid w:val="00EF223B"/>
    <w:rsid w:val="00EF29DE"/>
    <w:rsid w:val="00EF3978"/>
    <w:rsid w:val="00EF3AAC"/>
    <w:rsid w:val="00EF4D42"/>
    <w:rsid w:val="00EF4FD1"/>
    <w:rsid w:val="00EF5318"/>
    <w:rsid w:val="00EF599F"/>
    <w:rsid w:val="00EF708A"/>
    <w:rsid w:val="00EF72C3"/>
    <w:rsid w:val="00EF7768"/>
    <w:rsid w:val="00EF79CE"/>
    <w:rsid w:val="00F00152"/>
    <w:rsid w:val="00F00352"/>
    <w:rsid w:val="00F00997"/>
    <w:rsid w:val="00F00B1B"/>
    <w:rsid w:val="00F00E37"/>
    <w:rsid w:val="00F010EE"/>
    <w:rsid w:val="00F01383"/>
    <w:rsid w:val="00F0167D"/>
    <w:rsid w:val="00F0177A"/>
    <w:rsid w:val="00F019D5"/>
    <w:rsid w:val="00F01E9B"/>
    <w:rsid w:val="00F02500"/>
    <w:rsid w:val="00F02BF0"/>
    <w:rsid w:val="00F032E2"/>
    <w:rsid w:val="00F037E3"/>
    <w:rsid w:val="00F03FF2"/>
    <w:rsid w:val="00F04721"/>
    <w:rsid w:val="00F04F9E"/>
    <w:rsid w:val="00F06135"/>
    <w:rsid w:val="00F06A47"/>
    <w:rsid w:val="00F0700C"/>
    <w:rsid w:val="00F0717F"/>
    <w:rsid w:val="00F0747A"/>
    <w:rsid w:val="00F07849"/>
    <w:rsid w:val="00F07882"/>
    <w:rsid w:val="00F07883"/>
    <w:rsid w:val="00F10177"/>
    <w:rsid w:val="00F10D83"/>
    <w:rsid w:val="00F11637"/>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079"/>
    <w:rsid w:val="00F256AE"/>
    <w:rsid w:val="00F25773"/>
    <w:rsid w:val="00F257FA"/>
    <w:rsid w:val="00F26004"/>
    <w:rsid w:val="00F270E8"/>
    <w:rsid w:val="00F27EF5"/>
    <w:rsid w:val="00F27FDB"/>
    <w:rsid w:val="00F30251"/>
    <w:rsid w:val="00F305CC"/>
    <w:rsid w:val="00F3179A"/>
    <w:rsid w:val="00F31D54"/>
    <w:rsid w:val="00F31D8B"/>
    <w:rsid w:val="00F32357"/>
    <w:rsid w:val="00F32C70"/>
    <w:rsid w:val="00F34E02"/>
    <w:rsid w:val="00F3549E"/>
    <w:rsid w:val="00F35EC6"/>
    <w:rsid w:val="00F365A7"/>
    <w:rsid w:val="00F3681C"/>
    <w:rsid w:val="00F371C1"/>
    <w:rsid w:val="00F3769D"/>
    <w:rsid w:val="00F404F4"/>
    <w:rsid w:val="00F4143E"/>
    <w:rsid w:val="00F41CC5"/>
    <w:rsid w:val="00F41D25"/>
    <w:rsid w:val="00F423C2"/>
    <w:rsid w:val="00F4332A"/>
    <w:rsid w:val="00F433F8"/>
    <w:rsid w:val="00F433FE"/>
    <w:rsid w:val="00F43627"/>
    <w:rsid w:val="00F43781"/>
    <w:rsid w:val="00F4463C"/>
    <w:rsid w:val="00F473A5"/>
    <w:rsid w:val="00F473F3"/>
    <w:rsid w:val="00F474B8"/>
    <w:rsid w:val="00F478CA"/>
    <w:rsid w:val="00F47CE2"/>
    <w:rsid w:val="00F501F3"/>
    <w:rsid w:val="00F50A98"/>
    <w:rsid w:val="00F50E5F"/>
    <w:rsid w:val="00F51460"/>
    <w:rsid w:val="00F51667"/>
    <w:rsid w:val="00F51D65"/>
    <w:rsid w:val="00F521DC"/>
    <w:rsid w:val="00F525D9"/>
    <w:rsid w:val="00F53199"/>
    <w:rsid w:val="00F541A1"/>
    <w:rsid w:val="00F54B09"/>
    <w:rsid w:val="00F54BEA"/>
    <w:rsid w:val="00F54D91"/>
    <w:rsid w:val="00F54E8A"/>
    <w:rsid w:val="00F55386"/>
    <w:rsid w:val="00F559A8"/>
    <w:rsid w:val="00F55C21"/>
    <w:rsid w:val="00F55E2E"/>
    <w:rsid w:val="00F55E5F"/>
    <w:rsid w:val="00F55F6D"/>
    <w:rsid w:val="00F5736B"/>
    <w:rsid w:val="00F5746A"/>
    <w:rsid w:val="00F57880"/>
    <w:rsid w:val="00F606F3"/>
    <w:rsid w:val="00F608AB"/>
    <w:rsid w:val="00F60BE7"/>
    <w:rsid w:val="00F6150C"/>
    <w:rsid w:val="00F6159C"/>
    <w:rsid w:val="00F61714"/>
    <w:rsid w:val="00F6238F"/>
    <w:rsid w:val="00F63E59"/>
    <w:rsid w:val="00F64915"/>
    <w:rsid w:val="00F64BE0"/>
    <w:rsid w:val="00F65B68"/>
    <w:rsid w:val="00F67846"/>
    <w:rsid w:val="00F67B42"/>
    <w:rsid w:val="00F70B72"/>
    <w:rsid w:val="00F70DEF"/>
    <w:rsid w:val="00F70EA3"/>
    <w:rsid w:val="00F71398"/>
    <w:rsid w:val="00F7294C"/>
    <w:rsid w:val="00F72C5F"/>
    <w:rsid w:val="00F73549"/>
    <w:rsid w:val="00F75782"/>
    <w:rsid w:val="00F770E3"/>
    <w:rsid w:val="00F80C1D"/>
    <w:rsid w:val="00F81130"/>
    <w:rsid w:val="00F818F7"/>
    <w:rsid w:val="00F8325D"/>
    <w:rsid w:val="00F832A9"/>
    <w:rsid w:val="00F832B0"/>
    <w:rsid w:val="00F83307"/>
    <w:rsid w:val="00F833A5"/>
    <w:rsid w:val="00F844D3"/>
    <w:rsid w:val="00F84629"/>
    <w:rsid w:val="00F84B71"/>
    <w:rsid w:val="00F84F0E"/>
    <w:rsid w:val="00F8519E"/>
    <w:rsid w:val="00F85FF5"/>
    <w:rsid w:val="00F86BB4"/>
    <w:rsid w:val="00F86E69"/>
    <w:rsid w:val="00F870F5"/>
    <w:rsid w:val="00F87D02"/>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6370"/>
    <w:rsid w:val="00F97940"/>
    <w:rsid w:val="00F97BA3"/>
    <w:rsid w:val="00F97EA2"/>
    <w:rsid w:val="00F97F0D"/>
    <w:rsid w:val="00FA0B0A"/>
    <w:rsid w:val="00FA0C86"/>
    <w:rsid w:val="00FA121C"/>
    <w:rsid w:val="00FA1407"/>
    <w:rsid w:val="00FA1A68"/>
    <w:rsid w:val="00FA1B1A"/>
    <w:rsid w:val="00FA2747"/>
    <w:rsid w:val="00FA2A33"/>
    <w:rsid w:val="00FA2C8F"/>
    <w:rsid w:val="00FA2CF7"/>
    <w:rsid w:val="00FA3410"/>
    <w:rsid w:val="00FA360B"/>
    <w:rsid w:val="00FA3860"/>
    <w:rsid w:val="00FA3A50"/>
    <w:rsid w:val="00FA4763"/>
    <w:rsid w:val="00FA4830"/>
    <w:rsid w:val="00FA5032"/>
    <w:rsid w:val="00FA52EB"/>
    <w:rsid w:val="00FA6366"/>
    <w:rsid w:val="00FA6980"/>
    <w:rsid w:val="00FA6CDF"/>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876"/>
    <w:rsid w:val="00FC62F5"/>
    <w:rsid w:val="00FC731E"/>
    <w:rsid w:val="00FC7F3E"/>
    <w:rsid w:val="00FD035A"/>
    <w:rsid w:val="00FD03D7"/>
    <w:rsid w:val="00FD19F1"/>
    <w:rsid w:val="00FD1A7E"/>
    <w:rsid w:val="00FD2CC3"/>
    <w:rsid w:val="00FD31BF"/>
    <w:rsid w:val="00FD3CC7"/>
    <w:rsid w:val="00FD4148"/>
    <w:rsid w:val="00FD4D5B"/>
    <w:rsid w:val="00FD6453"/>
    <w:rsid w:val="00FD67FD"/>
    <w:rsid w:val="00FD7CB2"/>
    <w:rsid w:val="00FD7D46"/>
    <w:rsid w:val="00FD7D8B"/>
    <w:rsid w:val="00FE0AF2"/>
    <w:rsid w:val="00FE0E83"/>
    <w:rsid w:val="00FE1C47"/>
    <w:rsid w:val="00FE22DD"/>
    <w:rsid w:val="00FE2CFB"/>
    <w:rsid w:val="00FE4A60"/>
    <w:rsid w:val="00FE4DF3"/>
    <w:rsid w:val="00FE4F91"/>
    <w:rsid w:val="00FE54E0"/>
    <w:rsid w:val="00FE55F0"/>
    <w:rsid w:val="00FE6331"/>
    <w:rsid w:val="00FE685B"/>
    <w:rsid w:val="00FE6C12"/>
    <w:rsid w:val="00FE785C"/>
    <w:rsid w:val="00FE7894"/>
    <w:rsid w:val="00FF01FA"/>
    <w:rsid w:val="00FF21B5"/>
    <w:rsid w:val="00FF21C3"/>
    <w:rsid w:val="00FF2A11"/>
    <w:rsid w:val="00FF2AA0"/>
    <w:rsid w:val="00FF3D56"/>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 w:val="02815506"/>
    <w:rsid w:val="0830486F"/>
    <w:rsid w:val="0C5A0913"/>
    <w:rsid w:val="11F7F06C"/>
    <w:rsid w:val="13CB1799"/>
    <w:rsid w:val="1559963B"/>
    <w:rsid w:val="1749318B"/>
    <w:rsid w:val="20E8E795"/>
    <w:rsid w:val="3D3EFEF0"/>
    <w:rsid w:val="6A2250F2"/>
    <w:rsid w:val="726E7B8F"/>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9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D02"/>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5C6005"/>
    <w:pPr>
      <w:keepNext/>
      <w:tabs>
        <w:tab w:val="left" w:pos="851"/>
      </w:tabs>
      <w:spacing w:before="240" w:after="360" w:line="600" w:lineRule="atLeast"/>
      <w:jc w:val="left"/>
      <w:outlineLvl w:val="0"/>
    </w:pPr>
    <w:rPr>
      <w:rFonts w:ascii="Georgia" w:eastAsiaTheme="majorEastAsia" w:hAnsi="Georgia" w:cstheme="majorBidi"/>
      <w:b/>
      <w:bCs/>
      <w:color w:val="1B556B"/>
      <w:sz w:val="40"/>
      <w:szCs w:val="28"/>
    </w:rPr>
  </w:style>
  <w:style w:type="paragraph" w:styleId="Heading2">
    <w:name w:val="heading 2"/>
    <w:basedOn w:val="Normal"/>
    <w:next w:val="BodyText"/>
    <w:link w:val="Heading2Char"/>
    <w:qFormat/>
    <w:rsid w:val="00640AA1"/>
    <w:pPr>
      <w:keepNext/>
      <w:tabs>
        <w:tab w:val="left" w:pos="851"/>
      </w:tabs>
      <w:spacing w:before="360" w:after="0" w:line="440" w:lineRule="atLeast"/>
      <w:jc w:val="left"/>
      <w:outlineLvl w:val="1"/>
    </w:pPr>
    <w:rPr>
      <w:rFonts w:ascii="Georgia" w:eastAsiaTheme="majorEastAsia" w:hAnsi="Georgia" w:cstheme="majorBidi"/>
      <w:b/>
      <w:bCs/>
      <w:color w:val="1B556B"/>
      <w:sz w:val="32"/>
      <w:szCs w:val="26"/>
    </w:rPr>
  </w:style>
  <w:style w:type="paragraph" w:styleId="Heading3">
    <w:name w:val="heading 3"/>
    <w:basedOn w:val="Normal"/>
    <w:next w:val="BodyText"/>
    <w:link w:val="Heading3Char"/>
    <w:qFormat/>
    <w:rsid w:val="000D7EBF"/>
    <w:pPr>
      <w:keepNext/>
      <w:tabs>
        <w:tab w:val="left" w:pos="851"/>
      </w:tabs>
      <w:spacing w:before="360" w:after="0" w:line="360" w:lineRule="atLeas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360476"/>
    <w:pPr>
      <w:outlineLvl w:val="3"/>
    </w:pPr>
    <w:rPr>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6005"/>
    <w:rPr>
      <w:rFonts w:ascii="Georgia" w:eastAsiaTheme="majorEastAsia" w:hAnsi="Georgia" w:cstheme="majorBidi"/>
      <w:b/>
      <w:bCs/>
      <w:color w:val="1B556B"/>
      <w:sz w:val="40"/>
      <w:szCs w:val="28"/>
    </w:rPr>
  </w:style>
  <w:style w:type="character" w:customStyle="1" w:styleId="Heading2Char">
    <w:name w:val="Heading 2 Char"/>
    <w:basedOn w:val="DefaultParagraphFont"/>
    <w:link w:val="Heading2"/>
    <w:rsid w:val="00640AA1"/>
    <w:rPr>
      <w:rFonts w:ascii="Georgia" w:eastAsiaTheme="majorEastAsia" w:hAnsi="Georgia" w:cstheme="majorBidi"/>
      <w:b/>
      <w:bCs/>
      <w:color w:val="1B556B"/>
      <w:sz w:val="32"/>
      <w:szCs w:val="26"/>
    </w:rPr>
  </w:style>
  <w:style w:type="character" w:customStyle="1" w:styleId="Heading3Char">
    <w:name w:val="Heading 3 Char"/>
    <w:basedOn w:val="DefaultParagraphFont"/>
    <w:link w:val="Heading3"/>
    <w:rsid w:val="000D7EBF"/>
    <w:rPr>
      <w:rFonts w:ascii="Georgia" w:eastAsiaTheme="majorEastAsia" w:hAnsi="Georgia" w:cstheme="majorBidi"/>
      <w:b/>
      <w:bCs/>
      <w:sz w:val="28"/>
      <w:szCs w:val="22"/>
    </w:rPr>
  </w:style>
  <w:style w:type="character" w:customStyle="1" w:styleId="Heading4Char">
    <w:name w:val="Heading 4 Char"/>
    <w:link w:val="Heading4"/>
    <w:rsid w:val="00360476"/>
    <w:rPr>
      <w:rFonts w:ascii="Georgia" w:eastAsia="Times New Roman" w:hAnsi="Georgia"/>
      <w:b/>
      <w:bCs/>
      <w:sz w:val="24"/>
      <w:szCs w:val="22"/>
    </w:rPr>
  </w:style>
  <w:style w:type="character" w:customStyle="1" w:styleId="Heading5Char">
    <w:name w:val="Heading 5 Char"/>
    <w:link w:val="Heading5"/>
    <w:rsid w:val="008B68EC"/>
    <w:rPr>
      <w:rFonts w:ascii="Calibri" w:eastAsia="Times New Roman" w:hAnsi="Calibri" w:cs="Times New Roman"/>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38"/>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F00997"/>
    <w:pPr>
      <w:numPr>
        <w:numId w:val="34"/>
      </w:numPr>
      <w:tabs>
        <w:tab w:val="left" w:pos="397"/>
      </w:tabs>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list">
    <w:name w:val="Sub-lis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uiPriority w:val="99"/>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3B2986"/>
    <w:pPr>
      <w:jc w:val="left"/>
    </w:pPr>
    <w:rPr>
      <w:rFonts w:ascii="Georgia" w:hAnsi="Georgia"/>
      <w:b/>
      <w:bCs/>
      <w:color w:val="1B556B" w:themeColor="text2"/>
      <w:sz w:val="56"/>
      <w:szCs w:val="56"/>
    </w:rPr>
  </w:style>
  <w:style w:type="character" w:customStyle="1" w:styleId="TitleChar">
    <w:name w:val="Title Char"/>
    <w:link w:val="Title"/>
    <w:uiPriority w:val="2"/>
    <w:rsid w:val="003B2986"/>
    <w:rPr>
      <w:rFonts w:ascii="Georgia" w:eastAsia="Times New Roman" w:hAnsi="Georgia"/>
      <w:b/>
      <w:bCs/>
      <w:color w:val="1B556B" w:themeColor="text2"/>
      <w:sz w:val="56"/>
      <w:szCs w:val="56"/>
    </w:rPr>
  </w:style>
  <w:style w:type="paragraph" w:styleId="Subtitle">
    <w:name w:val="Subtitle"/>
    <w:basedOn w:val="Normal"/>
    <w:link w:val="SubtitleChar"/>
    <w:uiPriority w:val="2"/>
    <w:rsid w:val="00296A94"/>
    <w:pPr>
      <w:jc w:val="left"/>
    </w:pPr>
    <w:rPr>
      <w:rFonts w:ascii="Georgia" w:hAnsi="Georgia"/>
      <w:b/>
      <w:bCs/>
      <w:color w:val="FFFFFF" w:themeColor="background1"/>
      <w:sz w:val="36"/>
      <w:szCs w:val="36"/>
    </w:rPr>
  </w:style>
  <w:style w:type="character" w:customStyle="1" w:styleId="SubtitleChar">
    <w:name w:val="Subtitle Char"/>
    <w:link w:val="Subtitle"/>
    <w:uiPriority w:val="2"/>
    <w:rsid w:val="00296A94"/>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2"/>
    <w:rsid w:val="006E2E45"/>
    <w:pPr>
      <w:tabs>
        <w:tab w:val="right" w:pos="8505"/>
        <w:tab w:val="right" w:pos="9072"/>
      </w:tabs>
      <w:jc w:val="left"/>
    </w:pPr>
    <w:rPr>
      <w:sz w:val="16"/>
    </w:rPr>
  </w:style>
  <w:style w:type="paragraph" w:customStyle="1" w:styleId="Footereven">
    <w:name w:val="Footer even"/>
    <w:basedOn w:val="Normal"/>
    <w:uiPriority w:val="2"/>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ind w:left="397" w:hanging="397"/>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Segoe UI" w:eastAsia="Times New Roman" w:hAnsi="Segoe UI"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Segoe UI" w:eastAsia="Times New Roman" w:hAnsi="Segoe UI"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0836C9"/>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Segoe UI" w:eastAsia="Times New Roman" w:hAnsi="Segoe UI"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zh-CN"/>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33"/>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paragraph" w:styleId="CommentText">
    <w:name w:val="annotation text"/>
    <w:basedOn w:val="Normal"/>
    <w:link w:val="CommentTextChar"/>
    <w:uiPriority w:val="99"/>
    <w:semiHidden/>
    <w:rsid w:val="00363B9A"/>
    <w:pPr>
      <w:spacing w:line="240" w:lineRule="auto"/>
    </w:pPr>
    <w:rPr>
      <w:sz w:val="20"/>
      <w:szCs w:val="20"/>
    </w:rPr>
  </w:style>
  <w:style w:type="character" w:customStyle="1" w:styleId="CommentTextChar">
    <w:name w:val="Comment Text Char"/>
    <w:basedOn w:val="DefaultParagraphFont"/>
    <w:link w:val="CommentText"/>
    <w:uiPriority w:val="99"/>
    <w:semiHidden/>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39"/>
      </w:numPr>
      <w:spacing w:before="0"/>
    </w:pPr>
    <w:rPr>
      <w:rFonts w:cs="Times New Roman"/>
      <w:szCs w:val="20"/>
    </w:rPr>
  </w:style>
  <w:style w:type="paragraph" w:customStyle="1" w:styleId="Sub-bullet">
    <w:name w:val="Sub-bullet"/>
    <w:basedOn w:val="Normal"/>
    <w:qFormat/>
    <w:rsid w:val="00580FCB"/>
    <w:pPr>
      <w:tabs>
        <w:tab w:val="left" w:pos="794"/>
      </w:tabs>
      <w:spacing w:before="0"/>
      <w:ind w:left="794" w:hanging="397"/>
      <w:jc w:val="left"/>
    </w:p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normaltextrun">
    <w:name w:val="normaltextrun"/>
    <w:basedOn w:val="DefaultParagraphFont"/>
    <w:rsid w:val="009548CB"/>
  </w:style>
  <w:style w:type="character" w:customStyle="1" w:styleId="eop">
    <w:name w:val="eop"/>
    <w:basedOn w:val="DefaultParagraphFont"/>
    <w:rsid w:val="009548CB"/>
  </w:style>
  <w:style w:type="paragraph" w:customStyle="1" w:styleId="paragraph">
    <w:name w:val="paragraph"/>
    <w:basedOn w:val="Normal"/>
    <w:rsid w:val="00CF1780"/>
    <w:pPr>
      <w:spacing w:before="100" w:beforeAutospacing="1" w:after="100" w:afterAutospacing="1" w:line="240" w:lineRule="auto"/>
      <w:jc w:val="left"/>
    </w:pPr>
    <w:rPr>
      <w:rFonts w:ascii="Times New Roman" w:hAnsi="Times New Roman"/>
      <w:sz w:val="24"/>
      <w:szCs w:val="24"/>
    </w:rPr>
  </w:style>
  <w:style w:type="paragraph" w:customStyle="1" w:styleId="Headerinfo">
    <w:name w:val="Header info"/>
    <w:basedOn w:val="Title"/>
    <w:qFormat/>
    <w:rsid w:val="00DA500C"/>
    <w:pPr>
      <w:ind w:right="-710"/>
    </w:pPr>
    <w:rPr>
      <w:rFonts w:asciiTheme="minorHAnsi" w:hAnsiTheme="minorHAnsi" w:cstheme="minorHAnsi"/>
      <w:b w:val="0"/>
      <w:color w:val="FFFFFF" w:themeColor="background1"/>
      <w:sz w:val="22"/>
      <w:szCs w:val="22"/>
    </w:rPr>
  </w:style>
  <w:style w:type="paragraph" w:styleId="NormalWeb">
    <w:name w:val="Normal (Web)"/>
    <w:basedOn w:val="Normal"/>
    <w:uiPriority w:val="99"/>
    <w:semiHidden/>
    <w:unhideWhenUsed/>
    <w:rsid w:val="00932828"/>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681861943">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996418032">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88448218">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24835314">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492067194">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596476283">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05446908">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4" ma:contentTypeDescription="Create a new document." ma:contentTypeScope="" ma:versionID="71ca4ff2c816bf98e720b531c5ba270a">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19f05a26c8dc5a9aa0303e2594aee7a9"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Email_x0020_Table xmlns="4a94300e-a927-4b92-9d3a-682523035cb6" xsi:nil="true"/>
    <Sender_x0020_Date xmlns="4a94300e-a927-4b92-9d3a-682523035cb6" xsi:nil="true"/>
    <Carbon_x0020_Copy xmlns="4a94300e-a927-4b92-9d3a-682523035cb6" xsi:nil="true"/>
    <Class xmlns="4a94300e-a927-4b92-9d3a-682523035cb6" xsi:nil="true"/>
    <From xmlns="4a94300e-a927-4b92-9d3a-682523035cb6" xsi:nil="true"/>
    <_dlc_DocId xmlns="58a6f171-52cb-4404-b47d-af1c8daf8fd1">ECM-1122293896-103500</_dlc_DocId>
    <Other_x0020_Details_2 xmlns="4a94300e-a927-4b92-9d3a-682523035cb6" xsi:nil="true"/>
    <Receiver xmlns="4a94300e-a927-4b92-9d3a-682523035cb6" xsi:nil="true"/>
    <Legacy_x0020_Version xmlns="4a94300e-a927-4b92-9d3a-682523035cb6" xsi:nil="true"/>
    <Author0 xmlns="4a94300e-a927-4b92-9d3a-682523035cb6" xsi:nil="true"/>
    <IconOverlay xmlns="http://schemas.microsoft.com/sharepoint/v4" xsi:nil="true"/>
    <Sent_x002f_Received xmlns="4a94300e-a927-4b92-9d3a-682523035cb6" xsi:nil="true"/>
    <Other_x0020_Details_3 xmlns="4a94300e-a927-4b92-9d3a-682523035cb6" xsi:nil="true"/>
    <_ip_UnifiedCompliancePolicyUIAction xmlns="http://schemas.microsoft.com/sharepoint/v3" xsi:nil="true"/>
    <Document_x0020_Type xmlns="4a94300e-a927-4b92-9d3a-682523035cb6" xsi:nil="true"/>
    <Legacy_x0020_DocID xmlns="4a94300e-a927-4b92-9d3a-682523035cb6" xsi:nil="true"/>
    <_ip_UnifiedCompliancePolicyProperties xmlns="http://schemas.microsoft.com/sharepoint/v3" xsi:nil="true"/>
    <Receiver_x0020_Date xmlns="4a94300e-a927-4b92-9d3a-682523035cb6" xsi:nil="true"/>
    <Year xmlns="4a94300e-a927-4b92-9d3a-682523035cb6" xsi:nil="true"/>
    <MTS_x0020_Type xmlns="4a94300e-a927-4b92-9d3a-682523035cb6" xsi:nil="true"/>
    <lcf76f155ced4ddcb4097134ff3c332f xmlns="4a94300e-a927-4b92-9d3a-682523035cb6">
      <Terms xmlns="http://schemas.microsoft.com/office/infopath/2007/PartnerControls"/>
    </lcf76f155ced4ddcb4097134ff3c332f>
    <TaxCatchAll xmlns="58a6f171-52cb-4404-b47d-af1c8daf8fd1" xsi:nil="true"/>
    <Status xmlns="4a94300e-a927-4b92-9d3a-682523035cb6" xsi:nil="true"/>
    <Sender xmlns="4a94300e-a927-4b92-9d3a-682523035cb6" xsi:nil="true"/>
    <MTS_x0020_ID xmlns="4a94300e-a927-4b92-9d3a-682523035cb6" xsi:nil="true"/>
    <To xmlns="4a94300e-a927-4b92-9d3a-682523035cb6" xsi:nil="true"/>
    <Library xmlns="4a94300e-a927-4b92-9d3a-682523035cb6" xsi:nil="true"/>
    <Other_x0020_Details xmlns="4a94300e-a927-4b92-9d3a-682523035cb6" xsi:nil="true"/>
    <_dlc_DocIdUrl xmlns="58a6f171-52cb-4404-b47d-af1c8daf8fd1">
      <Url>https://ministryforenvironment.sharepoint.com/sites/ECM-ER-Comms/_layouts/15/DocIdRedir.aspx?ID=ECM-1122293896-103500</Url>
      <Description>ECM-1122293896-103500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1E17D-F445-4C8F-85B5-9C97EED14FD3}">
  <ds:schemaRefs>
    <ds:schemaRef ds:uri="http://schemas.microsoft.com/sharepoint/events"/>
  </ds:schemaRefs>
</ds:datastoreItem>
</file>

<file path=customXml/itemProps2.xml><?xml version="1.0" encoding="utf-8"?>
<ds:datastoreItem xmlns:ds="http://schemas.openxmlformats.org/officeDocument/2006/customXml" ds:itemID="{13810995-E96E-405C-A871-712448632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4.xml><?xml version="1.0" encoding="utf-8"?>
<ds:datastoreItem xmlns:ds="http://schemas.openxmlformats.org/officeDocument/2006/customXml" ds:itemID="{AE5FA8FB-DD01-45FE-BD53-3E6B750B3939}">
  <ds:schemaRefs>
    <ds:schemaRef ds:uri="http://schemas.microsoft.com/office/2006/metadata/properties"/>
    <ds:schemaRef ds:uri="http://schemas.microsoft.com/office/infopath/2007/PartnerControls"/>
    <ds:schemaRef ds:uri="4a94300e-a927-4b92-9d3a-682523035cb6"/>
    <ds:schemaRef ds:uri="58a6f171-52cb-4404-b47d-af1c8daf8fd1"/>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44A84FDA-C411-4DA7-AB05-B7881AE113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2023-10-01T22:55:00Z</dcterms:created>
  <dcterms:modified xsi:type="dcterms:W3CDTF">2023-10-01T23:15:00Z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2023-10-01T22:55:18Z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68a98284-74f0-4776-9dd7-b1c70b32f22e</vt:lpwstr>
  </property>
  <property fmtid="{D5CDD505-2E9C-101B-9397-08002B2CF9AE}" pid="8" name="MSIP_Label_52dda6cc-d61d-4fd2-bf18-9b3017d931cc_ContentBits">
    <vt:lpwstr>0</vt:lpwstr>
  </property>
  <property fmtid="{D5CDD505-2E9C-101B-9397-08002B2CF9AE}" pid="9" name="MediaServiceImageTags">
    <vt:lpwstr/>
  </property>
  <property fmtid="{D5CDD505-2E9C-101B-9397-08002B2CF9AE}" pid="10" name="xd_ProgID">
    <vt:lpwstr/>
  </property>
  <property fmtid="{D5CDD505-2E9C-101B-9397-08002B2CF9AE}" pid="11" name="ContentTypeId">
    <vt:lpwstr>0x010100EA5FB0BEBF7DE54D9F252D8A06C053F7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xd_Signature">
    <vt:bool>false</vt:bool>
  </property>
  <property fmtid="{D5CDD505-2E9C-101B-9397-08002B2CF9AE}" pid="16" name="_dlc_DocIdItemGuid">
    <vt:lpwstr>3963f0ea-94d9-4344-a811-78ecb771fb8f</vt:lpwstr>
  </property>
  <property fmtid="{D5CDD505-2E9C-101B-9397-08002B2CF9AE}" pid="17" name="TriggerFlowInfo">
    <vt:lpwstr/>
  </property>
  <property fmtid="{D5CDD505-2E9C-101B-9397-08002B2CF9AE}" pid="18" name="Order">
    <vt:r8>9970200</vt:r8>
  </property>
</Properties>
</file>