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E511" w14:textId="6E0F9A13" w:rsidR="001C4D70" w:rsidRPr="00640AA1" w:rsidRDefault="00DA500C" w:rsidP="00640AA1">
      <w:pPr>
        <w:pStyle w:val="BodyText"/>
        <w:spacing w:after="3600"/>
        <w:rPr>
          <w:rStyle w:val="normaltextrun"/>
        </w:rPr>
      </w:pPr>
      <w:r>
        <w:rPr>
          <w:noProof/>
        </w:rPr>
        <mc:AlternateContent>
          <mc:Choice Requires="wps">
            <w:drawing>
              <wp:anchor distT="0" distB="0" distL="114300" distR="114300" simplePos="0" relativeHeight="251658240" behindDoc="0" locked="0" layoutInCell="1" allowOverlap="1" wp14:anchorId="1F9B9299" wp14:editId="5CC1A156">
                <wp:simplePos x="0" y="0"/>
                <wp:positionH relativeFrom="column">
                  <wp:posOffset>-52705</wp:posOffset>
                </wp:positionH>
                <wp:positionV relativeFrom="paragraph">
                  <wp:posOffset>1127760</wp:posOffset>
                </wp:positionV>
                <wp:extent cx="5808345" cy="2762250"/>
                <wp:effectExtent l="0" t="0" r="1905" b="0"/>
                <wp:wrapTopAndBottom/>
                <wp:docPr id="6" name="Text Box 6"/>
                <wp:cNvGraphicFramePr/>
                <a:graphic xmlns:a="http://schemas.openxmlformats.org/drawingml/2006/main">
                  <a:graphicData uri="http://schemas.microsoft.com/office/word/2010/wordprocessingShape">
                    <wps:wsp>
                      <wps:cNvSpPr txBox="1"/>
                      <wps:spPr>
                        <a:xfrm>
                          <a:off x="0" y="0"/>
                          <a:ext cx="5808345" cy="2762250"/>
                        </a:xfrm>
                        <a:prstGeom prst="rect">
                          <a:avLst/>
                        </a:prstGeom>
                        <a:noFill/>
                        <a:ln w="6350">
                          <a:noFill/>
                        </a:ln>
                      </wps:spPr>
                      <wps:txbx>
                        <w:txbxContent>
                          <w:p w14:paraId="12325B8E" w14:textId="30EF11C8" w:rsidR="00030405" w:rsidRDefault="00030405" w:rsidP="00296A94">
                            <w:pPr>
                              <w:pStyle w:val="Subtitle"/>
                              <w:rPr>
                                <w:color w:val="2C9986" w:themeColor="accent4"/>
                                <w:sz w:val="48"/>
                                <w:szCs w:val="48"/>
                              </w:rPr>
                            </w:pPr>
                            <w:bookmarkStart w:id="1" w:name="_Hlk146708682"/>
                            <w:r w:rsidRPr="00030405">
                              <w:rPr>
                                <w:color w:val="2C9986" w:themeColor="accent4"/>
                                <w:sz w:val="48"/>
                                <w:szCs w:val="48"/>
                              </w:rPr>
                              <w:t xml:space="preserve">Ngā mahere me ngā tauākī kaupapahere RMA: </w:t>
                            </w:r>
                            <w:r>
                              <w:rPr>
                                <w:color w:val="2C9986" w:themeColor="accent4"/>
                                <w:sz w:val="48"/>
                                <w:szCs w:val="48"/>
                              </w:rPr>
                              <w:br/>
                            </w:r>
                            <w:r w:rsidRPr="00030405">
                              <w:rPr>
                                <w:color w:val="2C9986" w:themeColor="accent4"/>
                                <w:sz w:val="48"/>
                                <w:szCs w:val="48"/>
                              </w:rPr>
                              <w:t>Te neke ki te pūnaha hou</w:t>
                            </w:r>
                          </w:p>
                          <w:p w14:paraId="0FFE03BE" w14:textId="0990C716" w:rsidR="00B349E3" w:rsidRPr="00EC0B89" w:rsidRDefault="000960B1" w:rsidP="00296A94">
                            <w:pPr>
                              <w:pStyle w:val="Subtitle"/>
                              <w:rPr>
                                <w:color w:val="1B556B" w:themeColor="text2"/>
                                <w:sz w:val="48"/>
                                <w:szCs w:val="48"/>
                              </w:rPr>
                            </w:pPr>
                            <w:r>
                              <w:rPr>
                                <w:color w:val="1B556B" w:themeColor="text2"/>
                                <w:sz w:val="48"/>
                                <w:szCs w:val="48"/>
                              </w:rPr>
                              <w:t>RMA</w:t>
                            </w:r>
                            <w:r w:rsidR="007E6667" w:rsidRPr="007E6667">
                              <w:rPr>
                                <w:color w:val="1B556B" w:themeColor="text2"/>
                                <w:sz w:val="48"/>
                                <w:szCs w:val="48"/>
                              </w:rPr>
                              <w:t xml:space="preserve"> plans and policy statements: Moving to the new system</w:t>
                            </w:r>
                            <w:bookmarkEnd w:id="1"/>
                          </w:p>
                        </w:txbxContent>
                      </wps:txbx>
                      <wps:bodyPr rot="0" spcFirstLastPara="0" vertOverflow="overflow" horzOverflow="overflow" vert="horz" wrap="square" lIns="36000" tIns="72000" rIns="0" bIns="54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B9299" id="_x0000_t202" coordsize="21600,21600" o:spt="202" path="m,l,21600r21600,l21600,xe">
                <v:stroke joinstyle="miter"/>
                <v:path gradientshapeok="t" o:connecttype="rect"/>
              </v:shapetype>
              <v:shape id="Text Box 6" o:spid="_x0000_s1026" type="#_x0000_t202" style="position:absolute;margin-left:-4.15pt;margin-top:88.8pt;width:457.3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" filled="f" stroked="f" strokeweight=".5pt">
                <v:textbox inset="1mm,2mm,0,15mm">
                  <w:txbxContent>
                    <w:p w14:paraId="12325B8E" w14:textId="30EF11C8" w:rsidR="00030405" w:rsidRDefault="00030405" w:rsidP="00296A94">
                      <w:pPr>
                        <w:pStyle w:val="Subtitle"/>
                        <w:rPr>
                          <w:color w:val="2C9986" w:themeColor="accent4"/>
                          <w:sz w:val="48"/>
                          <w:szCs w:val="48"/>
                        </w:rPr>
                      </w:pPr>
                      <w:bookmarkStart w:id="2" w:name="_Hlk146708682"/>
                      <w:r w:rsidRPr="00030405">
                        <w:rPr>
                          <w:color w:val="2C9986" w:themeColor="accent4"/>
                          <w:sz w:val="48"/>
                          <w:szCs w:val="48"/>
                        </w:rPr>
                        <w:t xml:space="preserve">Ngā mahere me ngā tauākī kaupapahere RMA: </w:t>
                      </w:r>
                      <w:r>
                        <w:rPr>
                          <w:color w:val="2C9986" w:themeColor="accent4"/>
                          <w:sz w:val="48"/>
                          <w:szCs w:val="48"/>
                        </w:rPr>
                        <w:br/>
                      </w:r>
                      <w:r w:rsidRPr="00030405">
                        <w:rPr>
                          <w:color w:val="2C9986" w:themeColor="accent4"/>
                          <w:sz w:val="48"/>
                          <w:szCs w:val="48"/>
                        </w:rPr>
                        <w:t>Te neke ki te pūnaha hou</w:t>
                      </w:r>
                    </w:p>
                    <w:p w14:paraId="0FFE03BE" w14:textId="0990C716" w:rsidR="00B349E3" w:rsidRPr="00EC0B89" w:rsidRDefault="000960B1" w:rsidP="00296A94">
                      <w:pPr>
                        <w:pStyle w:val="Subtitle"/>
                        <w:rPr>
                          <w:color w:val="1B556B" w:themeColor="text2"/>
                          <w:sz w:val="48"/>
                          <w:szCs w:val="48"/>
                        </w:rPr>
                      </w:pPr>
                      <w:r>
                        <w:rPr>
                          <w:color w:val="1B556B" w:themeColor="text2"/>
                          <w:sz w:val="48"/>
                          <w:szCs w:val="48"/>
                        </w:rPr>
                        <w:t>RMA</w:t>
                      </w:r>
                      <w:r w:rsidR="007E6667" w:rsidRPr="007E6667">
                        <w:rPr>
                          <w:color w:val="1B556B" w:themeColor="text2"/>
                          <w:sz w:val="48"/>
                          <w:szCs w:val="48"/>
                        </w:rPr>
                        <w:t xml:space="preserve"> plans and policy statements: Moving to the new system</w:t>
                      </w:r>
                      <w:bookmarkEnd w:id="2"/>
                    </w:p>
                  </w:txbxContent>
                </v:textbox>
                <w10:wrap type="topAndBottom"/>
              </v:shape>
            </w:pict>
          </mc:Fallback>
        </mc:AlternateContent>
      </w:r>
      <w:r w:rsidR="00721893">
        <w:rPr>
          <w:noProof/>
        </w:rPr>
        <mc:AlternateContent>
          <mc:Choice Requires="wps">
            <w:drawing>
              <wp:anchor distT="45720" distB="45720" distL="114300" distR="114300" simplePos="0" relativeHeight="251658243" behindDoc="0" locked="0" layoutInCell="1" allowOverlap="1" wp14:anchorId="4DEC8DBD" wp14:editId="0F6E427D">
                <wp:simplePos x="0" y="0"/>
                <wp:positionH relativeFrom="column">
                  <wp:posOffset>3693779</wp:posOffset>
                </wp:positionH>
                <wp:positionV relativeFrom="page">
                  <wp:posOffset>349250</wp:posOffset>
                </wp:positionV>
                <wp:extent cx="2408555" cy="71247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712470"/>
                        </a:xfrm>
                        <a:prstGeom prst="rect">
                          <a:avLst/>
                        </a:prstGeom>
                        <a:noFill/>
                        <a:ln w="9525">
                          <a:noFill/>
                          <a:miter lim="800000"/>
                          <a:headEnd/>
                          <a:tailEnd/>
                        </a:ln>
                      </wps:spPr>
                      <wps:txbx>
                        <w:txbxContent>
                          <w:p w14:paraId="3D10EA6F" w14:textId="20C7C496" w:rsidR="007A383E" w:rsidRPr="00721893" w:rsidRDefault="007A383E" w:rsidP="00DA500C">
                            <w:pPr>
                              <w:pStyle w:val="Headerinfo"/>
                              <w:rPr>
                                <w:b/>
                              </w:rPr>
                            </w:pPr>
                            <w:r w:rsidRPr="00721893">
                              <w:t>The new resource management system:</w:t>
                            </w:r>
                            <w:r w:rsidRPr="00721893">
                              <w:br/>
                              <w:t>Natural and Built Environment Act</w:t>
                            </w:r>
                            <w:r w:rsidR="00570FC0">
                              <w:t xml:space="preserve"> 2023</w:t>
                            </w:r>
                            <w:r w:rsidRPr="00721893">
                              <w:br/>
                              <w:t>and Spatial Planning Act 2023</w:t>
                            </w:r>
                          </w:p>
                          <w:p w14:paraId="4CFE7685" w14:textId="77777777" w:rsidR="007A383E" w:rsidRDefault="007A383E" w:rsidP="007A3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C8DBD" id="Text Box 217" o:spid="_x0000_s1027" type="#_x0000_t202" style="position:absolute;margin-left:290.85pt;margin-top:27.5pt;width:189.65pt;height:56.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" filled="f" stroked="f">
                <v:textbox>
                  <w:txbxContent>
                    <w:p w14:paraId="3D10EA6F" w14:textId="20C7C496" w:rsidR="007A383E" w:rsidRPr="00721893" w:rsidRDefault="007A383E" w:rsidP="00DA500C">
                      <w:pPr>
                        <w:pStyle w:val="Headerinfo"/>
                        <w:rPr>
                          <w:b/>
                        </w:rPr>
                      </w:pPr>
                      <w:r w:rsidRPr="00721893">
                        <w:t>The new resource management system:</w:t>
                      </w:r>
                      <w:r w:rsidRPr="00721893">
                        <w:br/>
                        <w:t>Natural and Built Environment Act</w:t>
                      </w:r>
                      <w:r w:rsidR="00570FC0">
                        <w:t xml:space="preserve"> 2023</w:t>
                      </w:r>
                      <w:r w:rsidRPr="00721893">
                        <w:br/>
                        <w:t>and Spatial Planning Act 2023</w:t>
                      </w:r>
                    </w:p>
                    <w:p w14:paraId="4CFE7685" w14:textId="77777777" w:rsidR="007A383E" w:rsidRDefault="007A383E" w:rsidP="007A383E"/>
                  </w:txbxContent>
                </v:textbox>
                <w10:wrap type="square" anchory="page"/>
              </v:shape>
            </w:pict>
          </mc:Fallback>
        </mc:AlternateContent>
      </w:r>
      <w:r w:rsidR="005C7862">
        <w:rPr>
          <w:rFonts w:asciiTheme="minorHAnsi" w:hAnsiTheme="minorHAnsi" w:cstheme="minorHAnsi"/>
          <w:noProof/>
          <w:color w:val="FFFFFF" w:themeColor="background1"/>
        </w:rPr>
        <w:drawing>
          <wp:anchor distT="0" distB="0" distL="114300" distR="114300" simplePos="0" relativeHeight="251658242" behindDoc="1" locked="0" layoutInCell="1" allowOverlap="1" wp14:anchorId="4EB9157D" wp14:editId="0B08B977">
            <wp:simplePos x="0" y="0"/>
            <wp:positionH relativeFrom="page">
              <wp:posOffset>8115</wp:posOffset>
            </wp:positionH>
            <wp:positionV relativeFrom="paragraph">
              <wp:posOffset>-737080</wp:posOffset>
            </wp:positionV>
            <wp:extent cx="7543165" cy="1352550"/>
            <wp:effectExtent l="0" t="0" r="635"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543165"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CE1AE" w14:textId="44100FD9" w:rsidR="004C6D3E" w:rsidRDefault="004C6D3E" w:rsidP="004C6D3E">
      <w:pPr>
        <w:pStyle w:val="BodyText"/>
      </w:pPr>
      <w:r>
        <w:t>New laws are being phased in that aim to help Aotearoa New Zealand protect and manage the environment and its resources. The Spatial Planning Act 2023 (SPA) and the Natural and Built Environment Act 2023 (NBA) were enacted on 23 August 2023.</w:t>
      </w:r>
      <w:r w:rsidR="0029353B">
        <w:rPr>
          <w:rStyle w:val="FootnoteReference"/>
        </w:rPr>
        <w:footnoteReference w:id="2"/>
      </w:r>
    </w:p>
    <w:p w14:paraId="3744B61A" w14:textId="3F50B0D5" w:rsidR="004C6D3E" w:rsidRDefault="004C6D3E" w:rsidP="004C6D3E">
      <w:pPr>
        <w:pStyle w:val="BodyText"/>
      </w:pPr>
      <w:r>
        <w:t>Each region will switch to the new system when its natural and built environment plan (NBE plan) comes into effect.</w:t>
      </w:r>
      <w:r w:rsidR="002F6F41">
        <w:rPr>
          <w:rStyle w:val="FootnoteReference"/>
        </w:rPr>
        <w:footnoteReference w:id="3"/>
      </w:r>
      <w:r>
        <w:t xml:space="preserve"> Many instruments made under the Resource Management Act 1991 (RMA) will remain in place until then, including councils’ policy statements, regional and district plans. </w:t>
      </w:r>
    </w:p>
    <w:p w14:paraId="52B32F67" w14:textId="77777777" w:rsidR="004C6D3E" w:rsidRDefault="004C6D3E" w:rsidP="004C6D3E">
      <w:pPr>
        <w:pStyle w:val="BodyText"/>
      </w:pPr>
      <w:r>
        <w:t>Regions will move to the new system at different times. The process will be:</w:t>
      </w:r>
    </w:p>
    <w:p w14:paraId="3F2E5ECE" w14:textId="204DCA90" w:rsidR="004C6D3E" w:rsidRDefault="004C6D3E" w:rsidP="004C6D3E">
      <w:pPr>
        <w:pStyle w:val="Bullet"/>
      </w:pPr>
      <w:r>
        <w:t>any required te Tiriti o Waitangi (Treaty of Waitangi) settlement transition arrangements are provided for</w:t>
      </w:r>
    </w:p>
    <w:p w14:paraId="70F7DD40" w14:textId="0E3BFD9C" w:rsidR="004C6D3E" w:rsidRDefault="004C6D3E" w:rsidP="004C6D3E">
      <w:pPr>
        <w:pStyle w:val="Bullet"/>
      </w:pPr>
      <w:r>
        <w:t>a region establishes its regional planning committee (RPC)</w:t>
      </w:r>
    </w:p>
    <w:p w14:paraId="6FEFC6F9" w14:textId="0DA09A1E" w:rsidR="004C6D3E" w:rsidRDefault="004C6D3E" w:rsidP="004C6D3E">
      <w:pPr>
        <w:pStyle w:val="Bullet"/>
      </w:pPr>
      <w:r>
        <w:t>RPC develops its first regional spatial strategy (RSS)</w:t>
      </w:r>
    </w:p>
    <w:p w14:paraId="5CB13FDB" w14:textId="270A5A23" w:rsidR="004C6D3E" w:rsidRDefault="004C6D3E" w:rsidP="004C6D3E">
      <w:pPr>
        <w:pStyle w:val="Bullet"/>
      </w:pPr>
      <w:r>
        <w:t>RPC develops its first NBE plan</w:t>
      </w:r>
    </w:p>
    <w:p w14:paraId="347AA457" w14:textId="64D341C1" w:rsidR="00501011" w:rsidRDefault="004C6D3E" w:rsidP="00B53CC6">
      <w:pPr>
        <w:pStyle w:val="Bullet"/>
      </w:pPr>
      <w:r>
        <w:t>a region reaches its NBEA date and moves to the new resource management system. The NBEA date is 10 working days after the RPC has notified the decisions version of its first NBE plan.</w:t>
      </w:r>
    </w:p>
    <w:p w14:paraId="0EBF6193" w14:textId="5FFF6B01" w:rsidR="00501011" w:rsidRDefault="00501011" w:rsidP="00F5746A">
      <w:pPr>
        <w:pStyle w:val="BodyText"/>
        <w:sectPr w:rsidR="00501011" w:rsidSect="00556BE4">
          <w:footerReference w:type="even" r:id="rId13"/>
          <w:footerReference w:type="default" r:id="rId14"/>
          <w:footerReference w:type="first" r:id="rId15"/>
          <w:pgSz w:w="11907" w:h="16840" w:code="9"/>
          <w:pgMar w:top="1134" w:right="1418" w:bottom="2835" w:left="1418" w:header="573" w:footer="726" w:gutter="0"/>
          <w:cols w:space="720"/>
          <w:titlePg/>
          <w:docGrid w:linePitch="299"/>
        </w:sectPr>
      </w:pPr>
    </w:p>
    <w:p w14:paraId="3C3C1758" w14:textId="77777777" w:rsidR="00556BE4" w:rsidRDefault="00556BE4" w:rsidP="00556BE4">
      <w:pPr>
        <w:pStyle w:val="Heading2"/>
        <w:spacing w:after="120"/>
      </w:pPr>
      <w:r>
        <w:lastRenderedPageBreak/>
        <w:t>This fact sheet covers:</w:t>
      </w:r>
    </w:p>
    <w:p w14:paraId="68585200" w14:textId="77777777" w:rsidR="00556BE4" w:rsidRDefault="00556BE4" w:rsidP="00556BE4">
      <w:pPr>
        <w:pStyle w:val="Bullet"/>
      </w:pPr>
      <w:r>
        <w:t xml:space="preserve">how policy statements and plans commence, are saved or transitioned  </w:t>
      </w:r>
    </w:p>
    <w:p w14:paraId="1F4EAB56" w14:textId="77777777" w:rsidR="00556BE4" w:rsidRDefault="00556BE4" w:rsidP="00556BE4">
      <w:pPr>
        <w:pStyle w:val="Bullet"/>
      </w:pPr>
      <w:r>
        <w:t>when the first NBE plans are ‘effectively operative’</w:t>
      </w:r>
    </w:p>
    <w:p w14:paraId="280FB3D9" w14:textId="77777777" w:rsidR="00556BE4" w:rsidRDefault="00556BE4" w:rsidP="00556BE4">
      <w:pPr>
        <w:pStyle w:val="Bullet"/>
      </w:pPr>
      <w:r>
        <w:t>when NBE plan rules have legal effect.</w:t>
      </w:r>
    </w:p>
    <w:p w14:paraId="68B0456E" w14:textId="2F48FAAC" w:rsidR="00D7633F" w:rsidRDefault="00D7633F" w:rsidP="00D7633F">
      <w:pPr>
        <w:pStyle w:val="Heading2"/>
      </w:pPr>
      <w:r>
        <w:t>How policy statements and plans commence, are saved or transitioned</w:t>
      </w:r>
    </w:p>
    <w:p w14:paraId="4D647868" w14:textId="071AB079" w:rsidR="00D7633F" w:rsidRDefault="00D7633F" w:rsidP="00D7633F">
      <w:pPr>
        <w:pStyle w:val="BodyText"/>
      </w:pPr>
      <w:r>
        <w:t xml:space="preserve">RMA plans and policy statements continue to apply in full until the region’s NBEA date. </w:t>
      </w:r>
      <w:r w:rsidR="67D3749A">
        <w:t>However, t</w:t>
      </w:r>
      <w:r>
        <w:t>here are changes to what is and isn’t allowed in reviewing and changing a policy statement or plan. The following table sets out what changes and when.</w:t>
      </w:r>
    </w:p>
    <w:tbl>
      <w:tblPr>
        <w:tblStyle w:val="LightGrid-Accent11"/>
        <w:tblW w:w="9072" w:type="dxa"/>
        <w:tblLook w:val="04A0" w:firstRow="1" w:lastRow="0" w:firstColumn="1" w:lastColumn="0" w:noHBand="0" w:noVBand="1"/>
      </w:tblPr>
      <w:tblGrid>
        <w:gridCol w:w="1736"/>
        <w:gridCol w:w="7336"/>
      </w:tblGrid>
      <w:tr w:rsidR="00D82A73" w:rsidRPr="00D82A73" w14:paraId="39288779" w14:textId="77777777" w:rsidTr="52A3B5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Borders>
              <w:top w:val="single" w:sz="4" w:space="0" w:color="1C556C" w:themeColor="accent1"/>
            </w:tcBorders>
          </w:tcPr>
          <w:p w14:paraId="6440B50F" w14:textId="77777777" w:rsidR="00D82A73" w:rsidRPr="00D82A73" w:rsidRDefault="00D82A73" w:rsidP="00D82A73">
            <w:pPr>
              <w:pStyle w:val="TableText"/>
            </w:pPr>
            <w:r w:rsidRPr="00D82A73">
              <w:t>Date</w:t>
            </w:r>
          </w:p>
        </w:tc>
        <w:tc>
          <w:tcPr>
            <w:tcW w:w="7336" w:type="dxa"/>
            <w:tcBorders>
              <w:top w:val="single" w:sz="4" w:space="0" w:color="1C556C" w:themeColor="accent1"/>
            </w:tcBorders>
          </w:tcPr>
          <w:p w14:paraId="216EF7E3" w14:textId="77777777" w:rsidR="00D82A73" w:rsidRPr="00D82A73" w:rsidRDefault="00D82A73" w:rsidP="00D82A73">
            <w:pPr>
              <w:pStyle w:val="TableText"/>
              <w:cnfStyle w:val="100000000000" w:firstRow="1" w:lastRow="0" w:firstColumn="0" w:lastColumn="0" w:oddVBand="0" w:evenVBand="0" w:oddHBand="0" w:evenHBand="0" w:firstRowFirstColumn="0" w:firstRowLastColumn="0" w:lastRowFirstColumn="0" w:lastRowLastColumn="0"/>
            </w:pPr>
            <w:r w:rsidRPr="00D82A73">
              <w:t xml:space="preserve">Change </w:t>
            </w:r>
          </w:p>
        </w:tc>
      </w:tr>
      <w:tr w:rsidR="00D7633F" w:rsidRPr="00D82A73" w14:paraId="45B87698" w14:textId="77777777" w:rsidTr="52A3B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14:paraId="7B0A857D" w14:textId="40BB8641" w:rsidR="00D7633F" w:rsidRPr="00D807B0" w:rsidRDefault="65AFE9E0" w:rsidP="4954383E">
            <w:pPr>
              <w:pStyle w:val="TableText"/>
              <w:rPr>
                <w:b/>
              </w:rPr>
            </w:pPr>
            <w:r w:rsidRPr="4954383E">
              <w:rPr>
                <w:b/>
              </w:rPr>
              <w:t xml:space="preserve">from enactment (Royal </w:t>
            </w:r>
            <w:r w:rsidR="00D82A73" w:rsidRPr="4954383E" w:rsidDel="65AFE9E0">
              <w:rPr>
                <w:b/>
              </w:rPr>
              <w:t>a</w:t>
            </w:r>
            <w:r w:rsidRPr="4954383E">
              <w:rPr>
                <w:b/>
              </w:rPr>
              <w:t>ssent)</w:t>
            </w:r>
            <w:r w:rsidR="00654B40" w:rsidRPr="4954383E">
              <w:rPr>
                <w:rStyle w:val="FootnoteReference"/>
                <w:b/>
              </w:rPr>
              <w:footnoteReference w:id="4"/>
            </w:r>
          </w:p>
        </w:tc>
        <w:tc>
          <w:tcPr>
            <w:tcW w:w="7336" w:type="dxa"/>
          </w:tcPr>
          <w:p w14:paraId="74BB7B61" w14:textId="292DF38F" w:rsidR="00D82A73" w:rsidRDefault="00D82A73" w:rsidP="00654B40">
            <w:pPr>
              <w:pStyle w:val="TableBullet"/>
              <w:spacing w:before="60"/>
              <w:cnfStyle w:val="000000100000" w:firstRow="0" w:lastRow="0" w:firstColumn="0" w:lastColumn="0" w:oddVBand="0" w:evenVBand="0" w:oddHBand="1" w:evenHBand="0" w:firstRowFirstColumn="0" w:firstRowLastColumn="0" w:lastRowFirstColumn="0" w:lastRowLastColumn="0"/>
            </w:pPr>
            <w:r>
              <w:t>any policy statement or plan review process begun under the RMA may be completed</w:t>
            </w:r>
          </w:p>
          <w:p w14:paraId="5DB00B90" w14:textId="58FAFC56" w:rsidR="00D7633F" w:rsidRPr="00D82A73" w:rsidRDefault="00D82A73" w:rsidP="00654B40">
            <w:pPr>
              <w:pStyle w:val="TableBullet"/>
              <w:cnfStyle w:val="000000100000" w:firstRow="0" w:lastRow="0" w:firstColumn="0" w:lastColumn="0" w:oddVBand="0" w:evenVBand="0" w:oddHBand="1" w:evenHBand="0" w:firstRowFirstColumn="0" w:firstRowLastColumn="0" w:lastRowFirstColumn="0" w:lastRowLastColumn="0"/>
            </w:pPr>
            <w:r>
              <w:t>any review not completed by the region’s NBEA date ceases to have effect</w:t>
            </w:r>
          </w:p>
        </w:tc>
      </w:tr>
      <w:tr w:rsidR="00D7633F" w:rsidRPr="00D82A73" w14:paraId="635A1D07" w14:textId="77777777" w:rsidTr="52A3B5B1">
        <w:tc>
          <w:tcPr>
            <w:cnfStyle w:val="001000000000" w:firstRow="0" w:lastRow="0" w:firstColumn="1" w:lastColumn="0" w:oddVBand="0" w:evenVBand="0" w:oddHBand="0" w:evenHBand="0" w:firstRowFirstColumn="0" w:firstRowLastColumn="0" w:lastRowFirstColumn="0" w:lastRowLastColumn="0"/>
            <w:tcW w:w="1736" w:type="dxa"/>
          </w:tcPr>
          <w:p w14:paraId="35F929B8" w14:textId="02B0068A" w:rsidR="00D7633F" w:rsidRPr="00D807B0" w:rsidRDefault="00D82A73" w:rsidP="00D82A73">
            <w:pPr>
              <w:pStyle w:val="TableText"/>
              <w:rPr>
                <w:b/>
                <w:bCs w:val="0"/>
              </w:rPr>
            </w:pPr>
            <w:r w:rsidRPr="00D807B0">
              <w:rPr>
                <w:b/>
                <w:bCs w:val="0"/>
              </w:rPr>
              <w:t>on notification of the regional spatial strategy</w:t>
            </w:r>
            <w:r w:rsidR="00FF6111">
              <w:rPr>
                <w:rStyle w:val="FootnoteReference"/>
                <w:b/>
                <w:bCs w:val="0"/>
              </w:rPr>
              <w:footnoteReference w:id="5"/>
            </w:r>
          </w:p>
        </w:tc>
        <w:tc>
          <w:tcPr>
            <w:tcW w:w="7336" w:type="dxa"/>
          </w:tcPr>
          <w:p w14:paraId="32C24EE9" w14:textId="0822CB2C" w:rsidR="00D7633F" w:rsidRPr="00D82A73" w:rsidRDefault="00D82A73" w:rsidP="00D82A73">
            <w:pPr>
              <w:pStyle w:val="TableText"/>
              <w:cnfStyle w:val="000000000000" w:firstRow="0" w:lastRow="0" w:firstColumn="0" w:lastColumn="0" w:oddVBand="0" w:evenVBand="0" w:oddHBand="0" w:evenHBand="0" w:firstRowFirstColumn="0" w:firstRowLastColumn="0" w:lastRowFirstColumn="0" w:lastRowLastColumn="0"/>
            </w:pPr>
            <w:r w:rsidRPr="00D82A73">
              <w:t>any change or review of an RMA policy statement or plan must not be inconsistent with the notified (or adopted) regional spatial strategy</w:t>
            </w:r>
          </w:p>
        </w:tc>
      </w:tr>
      <w:tr w:rsidR="00D82A73" w:rsidRPr="00D82A73" w14:paraId="7D3FAFC4" w14:textId="77777777" w:rsidTr="52A3B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14:paraId="691E5BBF" w14:textId="5093D69A" w:rsidR="00D82A73" w:rsidRPr="00D807B0" w:rsidRDefault="00D82A73" w:rsidP="00D82A73">
            <w:pPr>
              <w:pStyle w:val="TableText"/>
              <w:rPr>
                <w:b/>
                <w:bCs w:val="0"/>
              </w:rPr>
            </w:pPr>
            <w:r w:rsidRPr="00D807B0">
              <w:rPr>
                <w:b/>
                <w:bCs w:val="0"/>
              </w:rPr>
              <w:t>from the date a regional spatial strategy is adopted</w:t>
            </w:r>
            <w:r w:rsidR="00693805">
              <w:rPr>
                <w:rStyle w:val="FootnoteReference"/>
                <w:b/>
                <w:bCs w:val="0"/>
              </w:rPr>
              <w:footnoteReference w:id="6"/>
            </w:r>
          </w:p>
        </w:tc>
        <w:tc>
          <w:tcPr>
            <w:tcW w:w="7336" w:type="dxa"/>
          </w:tcPr>
          <w:p w14:paraId="4465FA9D" w14:textId="77777777" w:rsidR="00D807B0" w:rsidRDefault="00D807B0" w:rsidP="00D807B0">
            <w:pPr>
              <w:pStyle w:val="TableText"/>
              <w:cnfStyle w:val="000000100000" w:firstRow="0" w:lastRow="0" w:firstColumn="0" w:lastColumn="0" w:oddVBand="0" w:evenVBand="0" w:oddHBand="1" w:evenHBand="0" w:firstRowFirstColumn="0" w:firstRowLastColumn="0" w:lastRowFirstColumn="0" w:lastRowLastColumn="0"/>
            </w:pPr>
            <w:r>
              <w:t>the following are no longer permitted, unless required to fix an error, implement RMA national direction or address an emerging or urgent issue:</w:t>
            </w:r>
          </w:p>
          <w:p w14:paraId="174C3520" w14:textId="3CB81237" w:rsidR="00D807B0" w:rsidRDefault="00D807B0" w:rsidP="00654B40">
            <w:pPr>
              <w:pStyle w:val="TableBullet"/>
              <w:cnfStyle w:val="000000100000" w:firstRow="0" w:lastRow="0" w:firstColumn="0" w:lastColumn="0" w:oddVBand="0" w:evenVBand="0" w:oddHBand="1" w:evenHBand="0" w:firstRowFirstColumn="0" w:firstRowLastColumn="0" w:lastRowFirstColumn="0" w:lastRowLastColumn="0"/>
            </w:pPr>
            <w:r>
              <w:t xml:space="preserve">amendments to a policy statement or plan </w:t>
            </w:r>
          </w:p>
          <w:p w14:paraId="619EC92A" w14:textId="0504A7BA" w:rsidR="00D807B0" w:rsidRDefault="00D807B0" w:rsidP="00654B40">
            <w:pPr>
              <w:pStyle w:val="TableBullet"/>
              <w:cnfStyle w:val="000000100000" w:firstRow="0" w:lastRow="0" w:firstColumn="0" w:lastColumn="0" w:oddVBand="0" w:evenVBand="0" w:oddHBand="1" w:evenHBand="0" w:firstRowFirstColumn="0" w:firstRowLastColumn="0" w:lastRowFirstColumn="0" w:lastRowLastColumn="0"/>
            </w:pPr>
            <w:r>
              <w:t xml:space="preserve">requests for </w:t>
            </w:r>
            <w:r w:rsidR="5CC9ACD5">
              <w:t xml:space="preserve">an </w:t>
            </w:r>
            <w:r>
              <w:t>RMA private plan change</w:t>
            </w:r>
          </w:p>
          <w:p w14:paraId="23984779" w14:textId="2149C30B" w:rsidR="00D807B0" w:rsidRDefault="00D807B0" w:rsidP="00654B40">
            <w:pPr>
              <w:pStyle w:val="TableBullet"/>
              <w:cnfStyle w:val="000000100000" w:firstRow="0" w:lastRow="0" w:firstColumn="0" w:lastColumn="0" w:oddVBand="0" w:evenVBand="0" w:oddHBand="1" w:evenHBand="0" w:firstRowFirstColumn="0" w:firstRowLastColumn="0" w:lastRowFirstColumn="0" w:lastRowLastColumn="0"/>
            </w:pPr>
            <w:r>
              <w:t xml:space="preserve">applications for a streamlined planning process </w:t>
            </w:r>
          </w:p>
          <w:p w14:paraId="23FAA00F" w14:textId="2A126E17" w:rsidR="00D807B0" w:rsidRDefault="00D807B0" w:rsidP="00654B40">
            <w:pPr>
              <w:pStyle w:val="TableBullet"/>
              <w:cnfStyle w:val="000000100000" w:firstRow="0" w:lastRow="0" w:firstColumn="0" w:lastColumn="0" w:oddVBand="0" w:evenVBand="0" w:oddHBand="1" w:evenHBand="0" w:firstRowFirstColumn="0" w:firstRowLastColumn="0" w:lastRowFirstColumn="0" w:lastRowLastColumn="0"/>
            </w:pPr>
            <w:r>
              <w:t>proposal of national significance plan changes</w:t>
            </w:r>
          </w:p>
          <w:p w14:paraId="4CB2AA65" w14:textId="4F84257C" w:rsidR="00D82A73" w:rsidRPr="00D82A73" w:rsidRDefault="00D807B0" w:rsidP="00D807B0">
            <w:pPr>
              <w:pStyle w:val="TableText"/>
              <w:cnfStyle w:val="000000100000" w:firstRow="0" w:lastRow="0" w:firstColumn="0" w:lastColumn="0" w:oddVBand="0" w:evenVBand="0" w:oddHBand="1" w:evenHBand="0" w:firstRowFirstColumn="0" w:firstRowLastColumn="0" w:lastRowFirstColumn="0" w:lastRowLastColumn="0"/>
            </w:pPr>
            <w:r w:rsidRPr="00654B40">
              <w:rPr>
                <w:b/>
                <w:bCs/>
              </w:rPr>
              <w:t>Note</w:t>
            </w:r>
            <w:r>
              <w:t>: an RPC must begin developing an NBE plan within 40 working days of adopting the RSS (but can begin earlier)</w:t>
            </w:r>
            <w:r w:rsidR="00685FED">
              <w:rPr>
                <w:rStyle w:val="FootnoteReference"/>
              </w:rPr>
              <w:footnoteReference w:id="7"/>
            </w:r>
          </w:p>
        </w:tc>
      </w:tr>
      <w:tr w:rsidR="00D807B0" w:rsidRPr="00D82A73" w14:paraId="13034381" w14:textId="77777777" w:rsidTr="52A3B5B1">
        <w:tc>
          <w:tcPr>
            <w:cnfStyle w:val="001000000000" w:firstRow="0" w:lastRow="0" w:firstColumn="1" w:lastColumn="0" w:oddVBand="0" w:evenVBand="0" w:oddHBand="0" w:evenHBand="0" w:firstRowFirstColumn="0" w:firstRowLastColumn="0" w:lastRowFirstColumn="0" w:lastRowLastColumn="0"/>
            <w:tcW w:w="1736" w:type="dxa"/>
          </w:tcPr>
          <w:p w14:paraId="2DA08334" w14:textId="4AF422FD" w:rsidR="00D807B0" w:rsidRPr="00D807B0" w:rsidRDefault="00D807B0" w:rsidP="00D82A73">
            <w:pPr>
              <w:pStyle w:val="TableText"/>
              <w:rPr>
                <w:b/>
                <w:bCs w:val="0"/>
              </w:rPr>
            </w:pPr>
            <w:r w:rsidRPr="00D807B0">
              <w:rPr>
                <w:b/>
                <w:bCs w:val="0"/>
              </w:rPr>
              <w:t>from the date of notification of the NBE plan’s draft strategic content</w:t>
            </w:r>
            <w:r w:rsidR="00DE6ABB">
              <w:rPr>
                <w:rStyle w:val="FootnoteReference"/>
                <w:b/>
                <w:bCs w:val="0"/>
              </w:rPr>
              <w:footnoteReference w:id="8"/>
            </w:r>
          </w:p>
        </w:tc>
        <w:tc>
          <w:tcPr>
            <w:tcW w:w="7336" w:type="dxa"/>
          </w:tcPr>
          <w:p w14:paraId="01D63D88" w14:textId="76AB2C55" w:rsidR="00D807B0" w:rsidRDefault="00D807B0" w:rsidP="00D807B0">
            <w:pPr>
              <w:pStyle w:val="TableText"/>
              <w:cnfStyle w:val="000000000000" w:firstRow="0" w:lastRow="0" w:firstColumn="0" w:lastColumn="0" w:oddVBand="0" w:evenVBand="0" w:oddHBand="0" w:evenHBand="0" w:firstRowFirstColumn="0" w:firstRowLastColumn="0" w:lastRowFirstColumn="0" w:lastRowLastColumn="0"/>
            </w:pPr>
            <w:r w:rsidRPr="00D807B0">
              <w:t>intensification planning instruments can no longer be notified</w:t>
            </w:r>
          </w:p>
        </w:tc>
      </w:tr>
      <w:tr w:rsidR="00D807B0" w:rsidRPr="00D82A73" w14:paraId="782D55CB" w14:textId="77777777" w:rsidTr="52A3B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14:paraId="4DFD564B" w14:textId="4CFFE6EA" w:rsidR="00D807B0" w:rsidRPr="00D807B0" w:rsidRDefault="00D807B0" w:rsidP="00D82A73">
            <w:pPr>
              <w:pStyle w:val="TableText"/>
              <w:rPr>
                <w:b/>
                <w:bCs w:val="0"/>
              </w:rPr>
            </w:pPr>
            <w:r w:rsidRPr="00D807B0">
              <w:rPr>
                <w:b/>
                <w:bCs w:val="0"/>
              </w:rPr>
              <w:t>on the region’s NBEA date</w:t>
            </w:r>
            <w:r w:rsidR="00D84F16">
              <w:rPr>
                <w:rStyle w:val="FootnoteReference"/>
                <w:b/>
                <w:bCs w:val="0"/>
              </w:rPr>
              <w:footnoteReference w:id="9"/>
            </w:r>
          </w:p>
        </w:tc>
        <w:tc>
          <w:tcPr>
            <w:tcW w:w="7336" w:type="dxa"/>
          </w:tcPr>
          <w:p w14:paraId="44716D8E" w14:textId="77777777" w:rsidR="00D807B0" w:rsidRDefault="00D807B0" w:rsidP="00A76F18">
            <w:pPr>
              <w:pStyle w:val="TableBullet"/>
              <w:spacing w:before="60"/>
              <w:cnfStyle w:val="000000100000" w:firstRow="0" w:lastRow="0" w:firstColumn="0" w:lastColumn="0" w:oddVBand="0" w:evenVBand="0" w:oddHBand="1" w:evenHBand="0" w:firstRowFirstColumn="0" w:firstRowLastColumn="0" w:lastRowFirstColumn="0" w:lastRowLastColumn="0"/>
            </w:pPr>
            <w:r>
              <w:t xml:space="preserve">the NBE plan applies and is treated as operative </w:t>
            </w:r>
          </w:p>
          <w:p w14:paraId="4E84AB70" w14:textId="41937E13" w:rsidR="00D807B0" w:rsidRDefault="00D807B0" w:rsidP="00654B40">
            <w:pPr>
              <w:pStyle w:val="TableBullet"/>
              <w:cnfStyle w:val="000000100000" w:firstRow="0" w:lastRow="0" w:firstColumn="0" w:lastColumn="0" w:oddVBand="0" w:evenVBand="0" w:oddHBand="1" w:evenHBand="0" w:firstRowFirstColumn="0" w:firstRowLastColumn="0" w:lastRowFirstColumn="0" w:lastRowLastColumn="0"/>
            </w:pPr>
            <w:r>
              <w:t>the applicable RMA policy statement and plans no longer apply</w:t>
            </w:r>
          </w:p>
          <w:p w14:paraId="0AE46CC4" w14:textId="289291E2" w:rsidR="00D807B0" w:rsidRPr="00D807B0" w:rsidRDefault="00D807B0" w:rsidP="00654B40">
            <w:pPr>
              <w:pStyle w:val="TableBullet"/>
              <w:cnfStyle w:val="000000100000" w:firstRow="0" w:lastRow="0" w:firstColumn="0" w:lastColumn="0" w:oddVBand="0" w:evenVBand="0" w:oddHBand="1" w:evenHBand="0" w:firstRowFirstColumn="0" w:firstRowLastColumn="0" w:lastRowFirstColumn="0" w:lastRowLastColumn="0"/>
            </w:pPr>
            <w:r>
              <w:t>any change or review of an RMA policy statement or plan not completed by the region’s NBEA date ceases to have effect</w:t>
            </w:r>
          </w:p>
        </w:tc>
      </w:tr>
    </w:tbl>
    <w:p w14:paraId="0C4F1A20" w14:textId="77777777" w:rsidR="00D807B0" w:rsidRDefault="00D807B0" w:rsidP="00D7633F">
      <w:pPr>
        <w:pStyle w:val="BodyText"/>
      </w:pPr>
    </w:p>
    <w:p w14:paraId="67EE7BBD" w14:textId="77777777" w:rsidR="00D7633F" w:rsidRDefault="00D7633F" w:rsidP="00654B40">
      <w:pPr>
        <w:pStyle w:val="Heading2"/>
      </w:pPr>
      <w:r>
        <w:lastRenderedPageBreak/>
        <w:t>When the first NBE plans are ‘effectively operative’</w:t>
      </w:r>
    </w:p>
    <w:p w14:paraId="0ADA936D" w14:textId="77777777" w:rsidR="00D7633F" w:rsidRDefault="00D7633F" w:rsidP="00654B40">
      <w:pPr>
        <w:pStyle w:val="Heading4"/>
      </w:pPr>
      <w:r>
        <w:t xml:space="preserve">Preparing the NBE plan </w:t>
      </w:r>
    </w:p>
    <w:p w14:paraId="7E567DDB" w14:textId="09F85FCF" w:rsidR="00D7633F" w:rsidRDefault="00654B40" w:rsidP="00654B40">
      <w:pPr>
        <w:pStyle w:val="Bullet"/>
        <w:spacing w:before="120"/>
      </w:pPr>
      <w:r>
        <w:t>S</w:t>
      </w:r>
      <w:r w:rsidR="00D7633F">
        <w:t>chedule 6 of the NBA sets out the process for preparing, changing or reviewing an NBE plan</w:t>
      </w:r>
    </w:p>
    <w:p w14:paraId="572742C7" w14:textId="58977E49" w:rsidR="00D7633F" w:rsidRDefault="00D7633F" w:rsidP="00654B40">
      <w:pPr>
        <w:pStyle w:val="Bullet"/>
      </w:pPr>
      <w:r>
        <w:t>Schedule 1 describes how the information and science used to develop RMA plans and policy statements can support and inform an NBE plan</w:t>
      </w:r>
      <w:r w:rsidR="0064309E">
        <w:rPr>
          <w:rStyle w:val="FootnoteReference"/>
        </w:rPr>
        <w:footnoteReference w:id="10"/>
      </w:r>
    </w:p>
    <w:p w14:paraId="1839AED4" w14:textId="1E966048" w:rsidR="00D7633F" w:rsidRDefault="00D7633F" w:rsidP="00654B40">
      <w:pPr>
        <w:pStyle w:val="Bullet"/>
      </w:pPr>
      <w:r>
        <w:t xml:space="preserve">Part 5 of the NBA sets out the matters an NBE plan must and may contain. </w:t>
      </w:r>
    </w:p>
    <w:p w14:paraId="77F4A905" w14:textId="77777777" w:rsidR="00D7633F" w:rsidRDefault="00D7633F" w:rsidP="00654B40">
      <w:pPr>
        <w:pStyle w:val="Heading4"/>
      </w:pPr>
      <w:r>
        <w:t xml:space="preserve">An NBE plan is ‘effectively operative’ from the region’s NBEA date </w:t>
      </w:r>
    </w:p>
    <w:p w14:paraId="000512E4" w14:textId="77777777" w:rsidR="00D7633F" w:rsidRDefault="00D7633F" w:rsidP="00D7633F">
      <w:pPr>
        <w:pStyle w:val="BodyText"/>
      </w:pPr>
      <w:r>
        <w:t xml:space="preserve">RMA plans and policy statements continue to apply in full until a region’s NBEA date. </w:t>
      </w:r>
    </w:p>
    <w:p w14:paraId="5DB261DC" w14:textId="3F461278" w:rsidR="00D7633F" w:rsidRDefault="00D7633F" w:rsidP="00D7633F">
      <w:pPr>
        <w:pStyle w:val="BodyText"/>
      </w:pPr>
      <w:r>
        <w:t>An NBE plan is treated as ‘effectively operative’ from the region’s NBEA date. This does</w:t>
      </w:r>
      <w:r w:rsidR="7DFB6C5E">
        <w:t>n’t</w:t>
      </w:r>
      <w:r w:rsidR="155F663F">
        <w:t xml:space="preserve"> </w:t>
      </w:r>
      <w:r>
        <w:t>affect appeal rights for eligible appeals.</w:t>
      </w:r>
      <w:r w:rsidR="00F07C7C">
        <w:rPr>
          <w:rStyle w:val="FootnoteReference"/>
        </w:rPr>
        <w:footnoteReference w:id="11"/>
      </w:r>
    </w:p>
    <w:p w14:paraId="1F611522" w14:textId="77777777" w:rsidR="00D7633F" w:rsidRDefault="00D7633F" w:rsidP="00654B40">
      <w:pPr>
        <w:pStyle w:val="Heading4"/>
      </w:pPr>
      <w:r>
        <w:t>If a district plan covers two or more regions with different NBEA dates</w:t>
      </w:r>
    </w:p>
    <w:p w14:paraId="6A748361" w14:textId="3D559F50" w:rsidR="00D7633F" w:rsidRDefault="00D7633F" w:rsidP="00D7633F">
      <w:pPr>
        <w:pStyle w:val="BodyText"/>
      </w:pPr>
      <w:r>
        <w:t>For a short period a district may need to administer an ‘effectively operative’ NBE plan in one part of its district, and an operative RMA plan in another part.</w:t>
      </w:r>
      <w:r w:rsidR="00F56FF6">
        <w:rPr>
          <w:rStyle w:val="FootnoteReference"/>
        </w:rPr>
        <w:footnoteReference w:id="12"/>
      </w:r>
    </w:p>
    <w:p w14:paraId="12E10BC3" w14:textId="77777777" w:rsidR="00D7633F" w:rsidRDefault="00D7633F" w:rsidP="00654B40">
      <w:pPr>
        <w:pStyle w:val="Heading2"/>
      </w:pPr>
      <w:r>
        <w:t>When NBE plan rules have legal effect</w:t>
      </w:r>
    </w:p>
    <w:p w14:paraId="62EF48C6" w14:textId="77777777" w:rsidR="00D7633F" w:rsidRDefault="00D7633F" w:rsidP="004C2C6F">
      <w:pPr>
        <w:pStyle w:val="Heading4"/>
      </w:pPr>
      <w:r>
        <w:t>Rules in the first proposed NBE plan</w:t>
      </w:r>
    </w:p>
    <w:p w14:paraId="10C7ADD9" w14:textId="77777777" w:rsidR="00D7633F" w:rsidRDefault="00D7633F" w:rsidP="00D7633F">
      <w:pPr>
        <w:pStyle w:val="BodyText"/>
      </w:pPr>
      <w:r>
        <w:t xml:space="preserve">No rules in the first proposed NBE plan have immediate legal effect on notification. </w:t>
      </w:r>
    </w:p>
    <w:p w14:paraId="5765101C" w14:textId="77777777" w:rsidR="00D7633F" w:rsidRDefault="00D7633F" w:rsidP="004C2C6F">
      <w:pPr>
        <w:pStyle w:val="Heading4"/>
      </w:pPr>
      <w:r>
        <w:t>Rules in the decisions version of the first NBE plan</w:t>
      </w:r>
    </w:p>
    <w:p w14:paraId="5B27D770" w14:textId="5DDAF887" w:rsidR="00D7633F" w:rsidRDefault="00D7633F" w:rsidP="00D7633F">
      <w:pPr>
        <w:pStyle w:val="BodyText"/>
      </w:pPr>
      <w:r>
        <w:t>Rules in the decisions version of the first NBE plan are ‘effectively operative’ from the region’s NBEA date, with the exception of any rule(s):</w:t>
      </w:r>
      <w:r w:rsidR="00A81148">
        <w:rPr>
          <w:rStyle w:val="FootnoteReference"/>
        </w:rPr>
        <w:footnoteReference w:id="13"/>
      </w:r>
    </w:p>
    <w:p w14:paraId="2280D8A7" w14:textId="799B4911" w:rsidR="00D7633F" w:rsidRPr="00AF12E0" w:rsidRDefault="00D7633F" w:rsidP="004C2C6F">
      <w:pPr>
        <w:pStyle w:val="Bullet"/>
        <w:rPr>
          <w:spacing w:val="-2"/>
        </w:rPr>
      </w:pPr>
      <w:r w:rsidRPr="00AF12E0">
        <w:rPr>
          <w:spacing w:val="-2"/>
        </w:rPr>
        <w:t xml:space="preserve">described in section 30(2) of the NBA that require an existing use of land to comply with that rule </w:t>
      </w:r>
    </w:p>
    <w:p w14:paraId="440446E6" w14:textId="33E3CAC4" w:rsidR="00D7633F" w:rsidRDefault="00D7633F" w:rsidP="004C2C6F">
      <w:pPr>
        <w:pStyle w:val="Bullet"/>
      </w:pPr>
      <w:r>
        <w:t xml:space="preserve">relating to the use of the affected application consenting process </w:t>
      </w:r>
    </w:p>
    <w:p w14:paraId="7320C34A" w14:textId="5D94A9A4" w:rsidR="00D7633F" w:rsidRDefault="00D7633F" w:rsidP="004C2C6F">
      <w:pPr>
        <w:pStyle w:val="Bullet"/>
      </w:pPr>
      <w:r>
        <w:t xml:space="preserve">relating to the use of a market-based allocation method. </w:t>
      </w:r>
    </w:p>
    <w:p w14:paraId="4AF0D0A3" w14:textId="77777777" w:rsidR="00D7633F" w:rsidRDefault="00D7633F" w:rsidP="004C2C6F">
      <w:pPr>
        <w:pStyle w:val="Heading4"/>
      </w:pPr>
      <w:r>
        <w:lastRenderedPageBreak/>
        <w:t>Rules in subsequent proposed NBE plans</w:t>
      </w:r>
    </w:p>
    <w:p w14:paraId="1380E6A4" w14:textId="573CEA99" w:rsidR="00D7633F" w:rsidRDefault="00D7633F" w:rsidP="00D7633F">
      <w:pPr>
        <w:pStyle w:val="BodyText"/>
      </w:pPr>
      <w:r>
        <w:t>Some rules in subsequent proposed NBE plans will have immediate legal effect on notification, including those:</w:t>
      </w:r>
      <w:r w:rsidR="00B62B5B">
        <w:rPr>
          <w:rStyle w:val="FootnoteReference"/>
        </w:rPr>
        <w:footnoteReference w:id="14"/>
      </w:r>
    </w:p>
    <w:p w14:paraId="531CEADB" w14:textId="4E6721C3" w:rsidR="00D7633F" w:rsidRDefault="00D7633F" w:rsidP="004C2C6F">
      <w:pPr>
        <w:pStyle w:val="Bullet"/>
      </w:pPr>
      <w:r>
        <w:t xml:space="preserve">managing the protection of water, air, soil, significant indigenous vegetation, significant habitats of indigenous animals, cultural heritage, identified significant trees and aquaculture activities </w:t>
      </w:r>
    </w:p>
    <w:p w14:paraId="176AC620" w14:textId="078E6D9D" w:rsidR="00D7633F" w:rsidRDefault="00D7633F" w:rsidP="004C2C6F">
      <w:pPr>
        <w:pStyle w:val="Bullet"/>
      </w:pPr>
      <w:r>
        <w:t>identifying a place of national importance or highly vulnerable biodiversity.</w:t>
      </w:r>
    </w:p>
    <w:p w14:paraId="7E797FE0" w14:textId="5FEF5A7C" w:rsidR="00D7633F" w:rsidRDefault="00D7633F" w:rsidP="00D7633F">
      <w:pPr>
        <w:pStyle w:val="BodyText"/>
      </w:pPr>
      <w:r>
        <w:t>Otherwise, a rule in a subsequent proposed NBE plan will only have legal effect when a decision is made on its submissions and it</w:t>
      </w:r>
      <w:r w:rsidR="493C3460">
        <w:t>’s</w:t>
      </w:r>
      <w:r w:rsidR="0C040E4D">
        <w:t xml:space="preserve"> </w:t>
      </w:r>
      <w:r>
        <w:t>publicly notified.</w:t>
      </w:r>
      <w:r w:rsidR="00556BE4">
        <w:rPr>
          <w:rStyle w:val="FootnoteReference"/>
        </w:rPr>
        <w:footnoteReference w:id="15"/>
      </w:r>
    </w:p>
    <w:p w14:paraId="075EC14F" w14:textId="77777777" w:rsidR="00DC12E6" w:rsidRDefault="00DC12E6" w:rsidP="00F5746A">
      <w:pPr>
        <w:pStyle w:val="BodyText"/>
      </w:pPr>
    </w:p>
    <w:p w14:paraId="5EDE82E2" w14:textId="195002F4" w:rsidR="00200F07" w:rsidRDefault="00200F07">
      <w:pPr>
        <w:spacing w:before="0" w:after="0" w:line="240" w:lineRule="auto"/>
        <w:jc w:val="left"/>
      </w:pPr>
      <w:r>
        <w:br w:type="page"/>
      </w:r>
    </w:p>
    <w:p w14:paraId="6FC6E505" w14:textId="77777777" w:rsidR="00FA0C86" w:rsidRDefault="006239DF" w:rsidP="00D1660E">
      <w:pPr>
        <w:pStyle w:val="BodyText"/>
      </w:pPr>
      <w:r>
        <w:rPr>
          <w:noProof/>
        </w:rPr>
        <w:lastRenderedPageBreak/>
        <mc:AlternateContent>
          <mc:Choice Requires="wps">
            <w:drawing>
              <wp:anchor distT="0" distB="0" distL="114300" distR="114300" simplePos="0" relativeHeight="251658241" behindDoc="0" locked="1" layoutInCell="1" allowOverlap="1" wp14:anchorId="321757F2" wp14:editId="6057F855">
                <wp:simplePos x="0" y="0"/>
                <wp:positionH relativeFrom="column">
                  <wp:posOffset>-16510</wp:posOffset>
                </wp:positionH>
                <wp:positionV relativeFrom="page">
                  <wp:posOffset>6496050</wp:posOffset>
                </wp:positionV>
                <wp:extent cx="5835650" cy="399415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5835650" cy="3994150"/>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6"/>
                              <w:gridCol w:w="3579"/>
                            </w:tblGrid>
                            <w:tr w:rsidR="006E7652" w14:paraId="6823FB2C" w14:textId="77777777" w:rsidTr="00C83A03">
                              <w:trPr>
                                <w:cnfStyle w:val="100000000000" w:firstRow="1" w:lastRow="0" w:firstColumn="0" w:lastColumn="0" w:oddVBand="0" w:evenVBand="0" w:oddHBand="0" w:evenHBand="0" w:firstRowFirstColumn="0" w:firstRowLastColumn="0" w:lastRowFirstColumn="0" w:lastRowLastColumn="0"/>
                              </w:trPr>
                              <w:tc>
                                <w:tcPr>
                                  <w:tcW w:w="9185" w:type="dxa"/>
                                  <w:gridSpan w:val="2"/>
                                  <w:tcBorders>
                                    <w:bottom w:val="none" w:sz="0" w:space="0" w:color="auto"/>
                                  </w:tcBorders>
                                  <w:shd w:val="clear" w:color="auto" w:fill="FFFFFF" w:themeFill="background1"/>
                                </w:tcPr>
                                <w:p w14:paraId="0B9F1479" w14:textId="77777777" w:rsidR="006E7652" w:rsidRPr="0002270C" w:rsidRDefault="006E7652" w:rsidP="006E7652">
                                  <w:pPr>
                                    <w:pStyle w:val="TableText"/>
                                    <w:rPr>
                                      <w:b/>
                                      <w:bCs/>
                                    </w:rPr>
                                  </w:pPr>
                                  <w:r w:rsidRPr="0002270C">
                                    <w:rPr>
                                      <w:b/>
                                      <w:bCs/>
                                    </w:rPr>
                                    <w:t>Disclaimer</w:t>
                                  </w:r>
                                </w:p>
                                <w:p w14:paraId="70E1263E" w14:textId="77777777" w:rsidR="006E7652" w:rsidRDefault="006E7652" w:rsidP="006E7652">
                                  <w:pPr>
                                    <w:pStyle w:val="TableText"/>
                                  </w:pPr>
                                  <w:r>
                                    <w:t>The information in this publication is, according to the Ministry for the Environment’s best efforts, accurate at the time of publication. The Ministry will make every reasonable effort to keep it current and accurate. However, users of this publication are advised that:</w:t>
                                  </w:r>
                                </w:p>
                                <w:p w14:paraId="088512E3" w14:textId="77777777" w:rsidR="006E7652" w:rsidRDefault="006E7652" w:rsidP="006E7652">
                                  <w:pPr>
                                    <w:pStyle w:val="TableText"/>
                                  </w:pPr>
                                  <w:r>
                                    <w:t>• The information provided has no official status and so does not alter the laws of New Zealand, other official guidelines or requirements.</w:t>
                                  </w:r>
                                </w:p>
                                <w:p w14:paraId="74323367" w14:textId="77777777" w:rsidR="006E7652" w:rsidRDefault="006E7652" w:rsidP="006E7652">
                                  <w:pPr>
                                    <w:pStyle w:val="TableText"/>
                                  </w:pPr>
                                  <w:r>
                                    <w:t>• It does not constitute legal advice, and users should take specific advice from qualified professionals before taking any action as a result of information obtained from this publication.</w:t>
                                  </w:r>
                                </w:p>
                                <w:p w14:paraId="44EAE550" w14:textId="77777777" w:rsidR="006E7652" w:rsidRDefault="006E7652" w:rsidP="006E7652">
                                  <w:pPr>
                                    <w:pStyle w:val="TableText"/>
                                  </w:pPr>
                                  <w:r>
                                    <w:t>• The Ministry for the Environment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provided in this publication.</w:t>
                                  </w:r>
                                </w:p>
                                <w:p w14:paraId="026C0150" w14:textId="77777777" w:rsidR="006E7652" w:rsidRDefault="006E7652" w:rsidP="006E7652">
                                  <w:pPr>
                                    <w:pStyle w:val="TableText"/>
                                  </w:pPr>
                                  <w:r>
                                    <w:t>• All references to websites, organisations or people not within the Ministry for the Environment are provided for convenience only and should not be taken as endorsement of those websites or information contained in those websites nor of organisations or people referred to.</w:t>
                                  </w:r>
                                </w:p>
                                <w:p w14:paraId="1F0A45C9" w14:textId="77777777" w:rsidR="006E7652" w:rsidRDefault="006E7652" w:rsidP="001B6610">
                                  <w:pPr>
                                    <w:pStyle w:val="Footer"/>
                                    <w:rPr>
                                      <w:noProof/>
                                    </w:rPr>
                                  </w:pPr>
                                </w:p>
                              </w:tc>
                            </w:tr>
                            <w:tr w:rsidR="006239DF" w14:paraId="23D3A417" w14:textId="77777777" w:rsidTr="00E85357">
                              <w:tc>
                                <w:tcPr>
                                  <w:tcW w:w="5606" w:type="dxa"/>
                                  <w:tcBorders>
                                    <w:bottom w:val="single" w:sz="6" w:space="0" w:color="auto"/>
                                  </w:tcBorders>
                                  <w:shd w:val="clear" w:color="auto" w:fill="FFFFFF" w:themeFill="background1"/>
                                </w:tcPr>
                                <w:p w14:paraId="3639332A" w14:textId="110F9FDD" w:rsidR="006239DF" w:rsidRDefault="006239DF" w:rsidP="003A6769">
                                  <w:pPr>
                                    <w:pStyle w:val="TableText"/>
                                  </w:pPr>
                                  <w:r w:rsidRPr="006C18C8">
                                    <w:t xml:space="preserve">Published in </w:t>
                                  </w:r>
                                  <w:r w:rsidR="00517855">
                                    <w:t xml:space="preserve">October </w:t>
                                  </w:r>
                                  <w:r w:rsidR="00392B9C">
                                    <w:t>2023</w:t>
                                  </w:r>
                                  <w:r w:rsidRPr="006C18C8">
                                    <w:t xml:space="preserve"> by the </w:t>
                                  </w:r>
                                  <w:r w:rsidRPr="006C18C8">
                                    <w:br/>
                                    <w:t>Ministry for the Environment – Manatū Mō Te Taiao</w:t>
                                  </w:r>
                                  <w:r w:rsidRPr="006C18C8">
                                    <w:br/>
                                    <w:t xml:space="preserve">Publication number: INFO </w:t>
                                  </w:r>
                                  <w:r w:rsidR="00383401">
                                    <w:t>1187</w:t>
                                  </w:r>
                                </w:p>
                              </w:tc>
                              <w:tc>
                                <w:tcPr>
                                  <w:tcW w:w="3579" w:type="dxa"/>
                                  <w:tcBorders>
                                    <w:bottom w:val="single" w:sz="6" w:space="0" w:color="auto"/>
                                  </w:tcBorders>
                                  <w:shd w:val="clear" w:color="auto" w:fill="FFFFFF" w:themeFill="background1"/>
                                  <w:tcMar>
                                    <w:left w:w="0" w:type="dxa"/>
                                    <w:right w:w="0" w:type="dxa"/>
                                  </w:tcMar>
                                  <w:vAlign w:val="bottom"/>
                                </w:tcPr>
                                <w:p w14:paraId="4B6CB11E" w14:textId="77777777" w:rsidR="006239DF" w:rsidRDefault="006239DF" w:rsidP="00E57601">
                                  <w:pPr>
                                    <w:pStyle w:val="Footer"/>
                                    <w:jc w:val="right"/>
                                  </w:pPr>
                                  <w:r>
                                    <w:rPr>
                                      <w:noProof/>
                                    </w:rPr>
                                    <w:drawing>
                                      <wp:inline distT="0" distB="0" distL="0" distR="0" wp14:anchorId="441B26E1" wp14:editId="60AF7109">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4AD82E"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757F2" id="Text Box 1" o:spid="_x0000_s1028" type="#_x0000_t202" style="position:absolute;margin-left:-1.3pt;margin-top:511.5pt;width:459.5pt;height:3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6"/>
                        <w:gridCol w:w="3579"/>
                      </w:tblGrid>
                      <w:tr w:rsidR="006E7652" w14:paraId="6823FB2C" w14:textId="77777777" w:rsidTr="00C83A03">
                        <w:trPr>
                          <w:cnfStyle w:val="100000000000" w:firstRow="1" w:lastRow="0" w:firstColumn="0" w:lastColumn="0" w:oddVBand="0" w:evenVBand="0" w:oddHBand="0" w:evenHBand="0" w:firstRowFirstColumn="0" w:firstRowLastColumn="0" w:lastRowFirstColumn="0" w:lastRowLastColumn="0"/>
                        </w:trPr>
                        <w:tc>
                          <w:tcPr>
                            <w:tcW w:w="9185" w:type="dxa"/>
                            <w:gridSpan w:val="2"/>
                            <w:tcBorders>
                              <w:bottom w:val="none" w:sz="0" w:space="0" w:color="auto"/>
                            </w:tcBorders>
                            <w:shd w:val="clear" w:color="auto" w:fill="FFFFFF" w:themeFill="background1"/>
                          </w:tcPr>
                          <w:p w14:paraId="0B9F1479" w14:textId="77777777" w:rsidR="006E7652" w:rsidRPr="0002270C" w:rsidRDefault="006E7652" w:rsidP="006E7652">
                            <w:pPr>
                              <w:pStyle w:val="TableText"/>
                              <w:rPr>
                                <w:b/>
                                <w:bCs/>
                              </w:rPr>
                            </w:pPr>
                            <w:r w:rsidRPr="0002270C">
                              <w:rPr>
                                <w:b/>
                                <w:bCs/>
                              </w:rPr>
                              <w:t>Disclaimer</w:t>
                            </w:r>
                          </w:p>
                          <w:p w14:paraId="70E1263E" w14:textId="77777777" w:rsidR="006E7652" w:rsidRDefault="006E7652" w:rsidP="006E7652">
                            <w:pPr>
                              <w:pStyle w:val="TableText"/>
                            </w:pPr>
                            <w:r>
                              <w:t>The information in this publication is, according to the Ministry for the Environment’s best efforts, accurate at the time of publication. The Ministry will make every reasonable effort to keep it current and accurate. However, users of this publication are advised that:</w:t>
                            </w:r>
                          </w:p>
                          <w:p w14:paraId="088512E3" w14:textId="77777777" w:rsidR="006E7652" w:rsidRDefault="006E7652" w:rsidP="006E7652">
                            <w:pPr>
                              <w:pStyle w:val="TableText"/>
                            </w:pPr>
                            <w:r>
                              <w:t>• The information provided has no official status and so does not alter the laws of New Zealand, other official guidelines or requirements.</w:t>
                            </w:r>
                          </w:p>
                          <w:p w14:paraId="74323367" w14:textId="77777777" w:rsidR="006E7652" w:rsidRDefault="006E7652" w:rsidP="006E7652">
                            <w:pPr>
                              <w:pStyle w:val="TableText"/>
                            </w:pPr>
                            <w:r>
                              <w:t>• It does not constitute legal advice, and users should take specific advice from qualified professionals before taking any action as a result of information obtained from this publication.</w:t>
                            </w:r>
                          </w:p>
                          <w:p w14:paraId="44EAE550" w14:textId="77777777" w:rsidR="006E7652" w:rsidRDefault="006E7652" w:rsidP="006E7652">
                            <w:pPr>
                              <w:pStyle w:val="TableText"/>
                            </w:pPr>
                            <w:r>
                              <w:t>• The Ministry for the Environment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provided in this publication.</w:t>
                            </w:r>
                          </w:p>
                          <w:p w14:paraId="026C0150" w14:textId="77777777" w:rsidR="006E7652" w:rsidRDefault="006E7652" w:rsidP="006E7652">
                            <w:pPr>
                              <w:pStyle w:val="TableText"/>
                            </w:pPr>
                            <w:r>
                              <w:t>• All references to websites, organisations or people not within the Ministry for the Environment are provided for convenience only and should not be taken as endorsement of those websites or information contained in those websites nor of organisations or people referred to.</w:t>
                            </w:r>
                          </w:p>
                          <w:p w14:paraId="1F0A45C9" w14:textId="77777777" w:rsidR="006E7652" w:rsidRDefault="006E7652" w:rsidP="001B6610">
                            <w:pPr>
                              <w:pStyle w:val="Footer"/>
                              <w:rPr>
                                <w:noProof/>
                              </w:rPr>
                            </w:pPr>
                          </w:p>
                        </w:tc>
                      </w:tr>
                      <w:tr w:rsidR="006239DF" w14:paraId="23D3A417" w14:textId="77777777" w:rsidTr="00E85357">
                        <w:tc>
                          <w:tcPr>
                            <w:tcW w:w="5606" w:type="dxa"/>
                            <w:tcBorders>
                              <w:bottom w:val="single" w:sz="6" w:space="0" w:color="auto"/>
                            </w:tcBorders>
                            <w:shd w:val="clear" w:color="auto" w:fill="FFFFFF" w:themeFill="background1"/>
                          </w:tcPr>
                          <w:p w14:paraId="3639332A" w14:textId="110F9FDD" w:rsidR="006239DF" w:rsidRDefault="006239DF" w:rsidP="003A6769">
                            <w:pPr>
                              <w:pStyle w:val="TableText"/>
                            </w:pPr>
                            <w:r w:rsidRPr="006C18C8">
                              <w:t xml:space="preserve">Published in </w:t>
                            </w:r>
                            <w:r w:rsidR="00517855">
                              <w:t xml:space="preserve">October </w:t>
                            </w:r>
                            <w:r w:rsidR="00392B9C">
                              <w:t>2023</w:t>
                            </w:r>
                            <w:r w:rsidRPr="006C18C8">
                              <w:t xml:space="preserve"> by the </w:t>
                            </w:r>
                            <w:r w:rsidRPr="006C18C8">
                              <w:br/>
                              <w:t>Ministry for the Environment – Manatū Mō Te Taiao</w:t>
                            </w:r>
                            <w:r w:rsidRPr="006C18C8">
                              <w:br/>
                              <w:t xml:space="preserve">Publication number: INFO </w:t>
                            </w:r>
                            <w:r w:rsidR="00383401">
                              <w:t>1187</w:t>
                            </w:r>
                          </w:p>
                        </w:tc>
                        <w:tc>
                          <w:tcPr>
                            <w:tcW w:w="3579" w:type="dxa"/>
                            <w:tcBorders>
                              <w:bottom w:val="single" w:sz="6" w:space="0" w:color="auto"/>
                            </w:tcBorders>
                            <w:shd w:val="clear" w:color="auto" w:fill="FFFFFF" w:themeFill="background1"/>
                            <w:tcMar>
                              <w:left w:w="0" w:type="dxa"/>
                              <w:right w:w="0" w:type="dxa"/>
                            </w:tcMar>
                            <w:vAlign w:val="bottom"/>
                          </w:tcPr>
                          <w:p w14:paraId="4B6CB11E" w14:textId="77777777" w:rsidR="006239DF" w:rsidRDefault="006239DF" w:rsidP="00E57601">
                            <w:pPr>
                              <w:pStyle w:val="Footer"/>
                              <w:jc w:val="right"/>
                            </w:pPr>
                            <w:r>
                              <w:rPr>
                                <w:noProof/>
                              </w:rPr>
                              <w:drawing>
                                <wp:inline distT="0" distB="0" distL="0" distR="0" wp14:anchorId="441B26E1" wp14:editId="60AF7109">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4AD82E"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F55E2E">
      <w:footerReference w:type="first" r:id="rId17"/>
      <w:pgSz w:w="11907" w:h="16840" w:code="9"/>
      <w:pgMar w:top="1134" w:right="1418" w:bottom="1134" w:left="1418" w:header="567" w:footer="7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6B7A" w14:textId="77777777" w:rsidR="00056552" w:rsidRDefault="00056552" w:rsidP="0080531E">
      <w:pPr>
        <w:spacing w:before="0" w:after="0" w:line="240" w:lineRule="auto"/>
      </w:pPr>
      <w:r>
        <w:separator/>
      </w:r>
    </w:p>
    <w:p w14:paraId="150F006A" w14:textId="77777777" w:rsidR="00056552" w:rsidRDefault="00056552"/>
  </w:endnote>
  <w:endnote w:type="continuationSeparator" w:id="0">
    <w:p w14:paraId="4E4E9828" w14:textId="77777777" w:rsidR="00056552" w:rsidRDefault="00056552" w:rsidP="0080531E">
      <w:pPr>
        <w:spacing w:before="0" w:after="0" w:line="240" w:lineRule="auto"/>
      </w:pPr>
      <w:r>
        <w:continuationSeparator/>
      </w:r>
    </w:p>
    <w:p w14:paraId="38302773" w14:textId="77777777" w:rsidR="00056552" w:rsidRDefault="00056552"/>
  </w:endnote>
  <w:endnote w:type="continuationNotice" w:id="1">
    <w:p w14:paraId="2E3FF0CA" w14:textId="77777777" w:rsidR="00056552" w:rsidRDefault="000565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E718" w14:textId="2879FB21"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556BE4" w:rsidRPr="00556BE4">
      <w:t>Resource Management Act plans and policy statements: Moving to the new system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1E4A" w14:textId="248BA121" w:rsidR="006C18C8" w:rsidRPr="005E24DE" w:rsidRDefault="005E24DE" w:rsidP="00556BE4">
    <w:pPr>
      <w:tabs>
        <w:tab w:val="right" w:pos="8505"/>
        <w:tab w:val="right" w:pos="9071"/>
      </w:tabs>
      <w:jc w:val="left"/>
      <w:rPr>
        <w:sz w:val="16"/>
      </w:rPr>
    </w:pPr>
    <w:r w:rsidRPr="005E24DE">
      <w:rPr>
        <w:sz w:val="16"/>
      </w:rPr>
      <w:tab/>
    </w:r>
    <w:r w:rsidR="00556BE4" w:rsidRPr="00556BE4">
      <w:rPr>
        <w:sz w:val="16"/>
      </w:rPr>
      <w:t>Resource Management Act plans and policy statements: Moving to the new system</w:t>
    </w:r>
    <w:r w:rsidRPr="005E24DE">
      <w:rPr>
        <w:sz w:val="16"/>
      </w:rPr>
      <w:tab/>
    </w:r>
    <w:r w:rsidRPr="005E24DE">
      <w:rPr>
        <w:sz w:val="16"/>
      </w:rPr>
      <w:fldChar w:fldCharType="begin"/>
    </w:r>
    <w:r w:rsidRPr="005E24DE">
      <w:rPr>
        <w:sz w:val="16"/>
      </w:rPr>
      <w:instrText xml:space="preserve"> PAGE   \* MERGEFORMAT </w:instrText>
    </w:r>
    <w:r w:rsidRPr="005E24DE">
      <w:rPr>
        <w:sz w:val="16"/>
      </w:rPr>
      <w:fldChar w:fldCharType="separate"/>
    </w:r>
    <w:r w:rsidRPr="005E24DE">
      <w:rPr>
        <w:sz w:val="16"/>
      </w:rPr>
      <w:t>3</w:t>
    </w:r>
    <w:r w:rsidRPr="005E24DE">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A31F" w14:textId="4A18B932" w:rsidR="0085118C" w:rsidRDefault="00501011" w:rsidP="0085118C">
    <w:pPr>
      <w:pStyle w:val="Footerodd"/>
    </w:pPr>
    <w:r w:rsidRPr="00487ED4">
      <w:rPr>
        <w:noProof/>
        <w:sz w:val="20"/>
        <w:szCs w:val="20"/>
      </w:rPr>
      <w:drawing>
        <wp:anchor distT="0" distB="0" distL="114300" distR="114300" simplePos="0" relativeHeight="251658240" behindDoc="1" locked="0" layoutInCell="1" allowOverlap="1" wp14:anchorId="318599F8" wp14:editId="4106170B">
          <wp:simplePos x="0" y="0"/>
          <wp:positionH relativeFrom="column">
            <wp:posOffset>-895350</wp:posOffset>
          </wp:positionH>
          <wp:positionV relativeFrom="paragraph">
            <wp:posOffset>-882015</wp:posOffset>
          </wp:positionV>
          <wp:extent cx="7543800" cy="1646555"/>
          <wp:effectExtent l="0" t="0" r="0" b="0"/>
          <wp:wrapNone/>
          <wp:docPr id="1025200389" name="Picture 1025200389"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3800" cy="1646555"/>
                  </a:xfrm>
                  <a:prstGeom prst="rect">
                    <a:avLst/>
                  </a:prstGeom>
                </pic:spPr>
              </pic:pic>
            </a:graphicData>
          </a:graphic>
          <wp14:sizeRelH relativeFrom="page">
            <wp14:pctWidth>0</wp14:pctWidth>
          </wp14:sizeRelH>
          <wp14:sizeRelV relativeFrom="page">
            <wp14:pctHeight>0</wp14:pctHeight>
          </wp14:sizeRelV>
        </wp:anchor>
      </w:drawing>
    </w:r>
    <w:r w:rsidR="0085118C">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9FD3" w14:textId="015350FF" w:rsidR="00501011" w:rsidRPr="00501011" w:rsidRDefault="00501011" w:rsidP="00501011">
    <w:pPr>
      <w:tabs>
        <w:tab w:val="left" w:pos="567"/>
      </w:tabs>
      <w:rPr>
        <w:sz w:val="16"/>
      </w:rPr>
    </w:pPr>
    <w:r w:rsidRPr="00501011">
      <w:rPr>
        <w:b/>
        <w:sz w:val="16"/>
      </w:rPr>
      <w:fldChar w:fldCharType="begin"/>
    </w:r>
    <w:r w:rsidRPr="00501011">
      <w:rPr>
        <w:sz w:val="16"/>
      </w:rPr>
      <w:instrText xml:space="preserve"> PAGE </w:instrText>
    </w:r>
    <w:r w:rsidRPr="00501011">
      <w:rPr>
        <w:b/>
        <w:sz w:val="16"/>
      </w:rPr>
      <w:fldChar w:fldCharType="separate"/>
    </w:r>
    <w:r w:rsidRPr="00501011">
      <w:rPr>
        <w:b/>
        <w:sz w:val="16"/>
      </w:rPr>
      <w:t>4</w:t>
    </w:r>
    <w:r w:rsidRPr="00501011">
      <w:rPr>
        <w:b/>
        <w:sz w:val="16"/>
      </w:rPr>
      <w:fldChar w:fldCharType="end"/>
    </w:r>
    <w:r w:rsidRPr="00501011">
      <w:rPr>
        <w:sz w:val="16"/>
      </w:rPr>
      <w:tab/>
    </w:r>
    <w:r w:rsidR="00556BE4" w:rsidRPr="00556BE4">
      <w:rPr>
        <w:sz w:val="16"/>
      </w:rPr>
      <w:t>Resource Management Act plans and policy statements: Moving to the new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A62F" w14:textId="77777777" w:rsidR="00056552" w:rsidRDefault="00056552" w:rsidP="00CB5C5F">
      <w:pPr>
        <w:spacing w:before="0" w:after="80" w:line="240" w:lineRule="auto"/>
      </w:pPr>
      <w:bookmarkStart w:id="0" w:name="_Hlk86912439"/>
      <w:bookmarkEnd w:id="0"/>
      <w:r>
        <w:separator/>
      </w:r>
    </w:p>
  </w:footnote>
  <w:footnote w:type="continuationSeparator" w:id="0">
    <w:p w14:paraId="75FEC51F" w14:textId="77777777" w:rsidR="00056552" w:rsidRDefault="00056552" w:rsidP="0080531E">
      <w:pPr>
        <w:spacing w:before="0" w:after="0" w:line="240" w:lineRule="auto"/>
      </w:pPr>
      <w:r>
        <w:continuationSeparator/>
      </w:r>
    </w:p>
    <w:p w14:paraId="49DD1B57" w14:textId="77777777" w:rsidR="00056552" w:rsidRDefault="00056552"/>
  </w:footnote>
  <w:footnote w:type="continuationNotice" w:id="1">
    <w:p w14:paraId="2BF44EC2" w14:textId="77777777" w:rsidR="00056552" w:rsidRDefault="00056552">
      <w:pPr>
        <w:spacing w:before="0" w:after="0" w:line="240" w:lineRule="auto"/>
      </w:pPr>
    </w:p>
  </w:footnote>
  <w:footnote w:id="2">
    <w:p w14:paraId="373CC78E" w14:textId="1189ED32" w:rsidR="0029353B" w:rsidRDefault="0029353B">
      <w:pPr>
        <w:pStyle w:val="FootnoteText"/>
      </w:pPr>
      <w:r>
        <w:rPr>
          <w:rStyle w:val="FootnoteReference"/>
        </w:rPr>
        <w:footnoteRef/>
      </w:r>
      <w:r>
        <w:t xml:space="preserve"> </w:t>
      </w:r>
      <w:r>
        <w:tab/>
      </w:r>
      <w:r w:rsidRPr="00CF01F1">
        <w:rPr>
          <w:sz w:val="20"/>
          <w:szCs w:val="20"/>
        </w:rPr>
        <w:t>The Climate Adaptation Act is also planned</w:t>
      </w:r>
      <w:r>
        <w:rPr>
          <w:sz w:val="20"/>
          <w:szCs w:val="20"/>
        </w:rPr>
        <w:t>, which will</w:t>
      </w:r>
      <w:r w:rsidRPr="00CF01F1">
        <w:rPr>
          <w:sz w:val="20"/>
          <w:szCs w:val="20"/>
        </w:rPr>
        <w:t xml:space="preserve"> address managed retreat, and funding and financing climate adaptation. A date for introduction</w:t>
      </w:r>
      <w:r>
        <w:rPr>
          <w:sz w:val="20"/>
          <w:szCs w:val="20"/>
        </w:rPr>
        <w:t xml:space="preserve"> of the Bill</w:t>
      </w:r>
      <w:r w:rsidRPr="00CF01F1">
        <w:rPr>
          <w:sz w:val="20"/>
          <w:szCs w:val="20"/>
        </w:rPr>
        <w:t xml:space="preserve"> is not yet confirmed.</w:t>
      </w:r>
    </w:p>
  </w:footnote>
  <w:footnote w:id="3">
    <w:p w14:paraId="159CC0D6" w14:textId="58902F9C" w:rsidR="002F6F41" w:rsidRDefault="002F6F41">
      <w:pPr>
        <w:pStyle w:val="FootnoteText"/>
      </w:pPr>
      <w:r>
        <w:rPr>
          <w:rStyle w:val="FootnoteReference"/>
        </w:rPr>
        <w:footnoteRef/>
      </w:r>
      <w:r>
        <w:t xml:space="preserve"> </w:t>
      </w:r>
      <w:r>
        <w:tab/>
        <w:t>Schedule 1, clause 5 of the NBA.</w:t>
      </w:r>
    </w:p>
  </w:footnote>
  <w:footnote w:id="4">
    <w:p w14:paraId="4A20EFEA" w14:textId="13DA877A" w:rsidR="00654B40" w:rsidRDefault="00654B40">
      <w:pPr>
        <w:pStyle w:val="FootnoteText"/>
      </w:pPr>
      <w:r>
        <w:rPr>
          <w:rStyle w:val="FootnoteReference"/>
        </w:rPr>
        <w:footnoteRef/>
      </w:r>
      <w:r>
        <w:t xml:space="preserve"> </w:t>
      </w:r>
      <w:r>
        <w:tab/>
        <w:t>Schedule 1, clause 12 of the NBA.</w:t>
      </w:r>
    </w:p>
  </w:footnote>
  <w:footnote w:id="5">
    <w:p w14:paraId="35F781E6" w14:textId="2D3238D6" w:rsidR="00FF6111" w:rsidRDefault="00FF6111">
      <w:pPr>
        <w:pStyle w:val="FootnoteText"/>
      </w:pPr>
      <w:r>
        <w:rPr>
          <w:rStyle w:val="FootnoteReference"/>
        </w:rPr>
        <w:footnoteRef/>
      </w:r>
      <w:r>
        <w:t xml:space="preserve"> </w:t>
      </w:r>
      <w:r>
        <w:tab/>
        <w:t>Schedule 1, clause 9 of the NBA.</w:t>
      </w:r>
    </w:p>
  </w:footnote>
  <w:footnote w:id="6">
    <w:p w14:paraId="529C9FA5" w14:textId="1F322305" w:rsidR="00693805" w:rsidRDefault="00693805">
      <w:pPr>
        <w:pStyle w:val="FootnoteText"/>
      </w:pPr>
      <w:r>
        <w:rPr>
          <w:rStyle w:val="FootnoteReference"/>
        </w:rPr>
        <w:footnoteRef/>
      </w:r>
      <w:r>
        <w:t xml:space="preserve"> </w:t>
      </w:r>
      <w:r>
        <w:tab/>
        <w:t>Schedule 1, clause 10 of the NBA.</w:t>
      </w:r>
    </w:p>
  </w:footnote>
  <w:footnote w:id="7">
    <w:p w14:paraId="1B9EE68F" w14:textId="1CE84BDD" w:rsidR="00685FED" w:rsidRDefault="00685FED">
      <w:pPr>
        <w:pStyle w:val="FootnoteText"/>
      </w:pPr>
      <w:r>
        <w:rPr>
          <w:rStyle w:val="FootnoteReference"/>
        </w:rPr>
        <w:footnoteRef/>
      </w:r>
      <w:r>
        <w:t xml:space="preserve"> </w:t>
      </w:r>
      <w:r>
        <w:tab/>
        <w:t>Schedule 6, clause 2(1)(b) of the NBA.</w:t>
      </w:r>
    </w:p>
  </w:footnote>
  <w:footnote w:id="8">
    <w:p w14:paraId="12EF1E34" w14:textId="0A4BC489" w:rsidR="00DE6ABB" w:rsidRDefault="00DE6ABB">
      <w:pPr>
        <w:pStyle w:val="FootnoteText"/>
      </w:pPr>
      <w:r>
        <w:rPr>
          <w:rStyle w:val="FootnoteReference"/>
        </w:rPr>
        <w:footnoteRef/>
      </w:r>
      <w:r>
        <w:t xml:space="preserve"> </w:t>
      </w:r>
      <w:r>
        <w:tab/>
        <w:t>Schedule 1, clause 11 of the NBA.</w:t>
      </w:r>
    </w:p>
  </w:footnote>
  <w:footnote w:id="9">
    <w:p w14:paraId="104A6C56" w14:textId="7073C83C" w:rsidR="00D84F16" w:rsidRDefault="00D84F16">
      <w:pPr>
        <w:pStyle w:val="FootnoteText"/>
      </w:pPr>
      <w:r>
        <w:rPr>
          <w:rStyle w:val="FootnoteReference"/>
        </w:rPr>
        <w:footnoteRef/>
      </w:r>
      <w:r>
        <w:t xml:space="preserve"> </w:t>
      </w:r>
      <w:r>
        <w:tab/>
        <w:t>Schedule 1, clause 7 of the NBA.</w:t>
      </w:r>
    </w:p>
  </w:footnote>
  <w:footnote w:id="10">
    <w:p w14:paraId="46D48AD0" w14:textId="68F4EC80" w:rsidR="0064309E" w:rsidRDefault="0064309E">
      <w:pPr>
        <w:pStyle w:val="FootnoteText"/>
      </w:pPr>
      <w:r>
        <w:rPr>
          <w:rStyle w:val="FootnoteReference"/>
        </w:rPr>
        <w:footnoteRef/>
      </w:r>
      <w:r>
        <w:t xml:space="preserve"> </w:t>
      </w:r>
      <w:r>
        <w:tab/>
        <w:t>Schedule 1, clause 6(2) of the NBA.</w:t>
      </w:r>
    </w:p>
  </w:footnote>
  <w:footnote w:id="11">
    <w:p w14:paraId="5BBF3059" w14:textId="35410FFB" w:rsidR="00F07C7C" w:rsidRDefault="00F07C7C">
      <w:pPr>
        <w:pStyle w:val="FootnoteText"/>
      </w:pPr>
      <w:r>
        <w:rPr>
          <w:rStyle w:val="FootnoteReference"/>
        </w:rPr>
        <w:footnoteRef/>
      </w:r>
      <w:r>
        <w:t xml:space="preserve"> </w:t>
      </w:r>
      <w:r>
        <w:tab/>
        <w:t>Schedule 1, clause 6 of the NBA.</w:t>
      </w:r>
    </w:p>
  </w:footnote>
  <w:footnote w:id="12">
    <w:p w14:paraId="18CD9722" w14:textId="7C3BC4A2" w:rsidR="00F56FF6" w:rsidRDefault="00F56FF6">
      <w:pPr>
        <w:pStyle w:val="FootnoteText"/>
      </w:pPr>
      <w:r>
        <w:rPr>
          <w:rStyle w:val="FootnoteReference"/>
        </w:rPr>
        <w:footnoteRef/>
      </w:r>
      <w:r>
        <w:t xml:space="preserve"> </w:t>
      </w:r>
      <w:r>
        <w:tab/>
        <w:t>Schedule 1, clause 5(2) of the NBA.</w:t>
      </w:r>
    </w:p>
  </w:footnote>
  <w:footnote w:id="13">
    <w:p w14:paraId="347D3832" w14:textId="7DB3E9EC" w:rsidR="00A81148" w:rsidRDefault="00A81148">
      <w:pPr>
        <w:pStyle w:val="FootnoteText"/>
      </w:pPr>
      <w:r>
        <w:rPr>
          <w:rStyle w:val="FootnoteReference"/>
        </w:rPr>
        <w:footnoteRef/>
      </w:r>
      <w:r>
        <w:t xml:space="preserve"> </w:t>
      </w:r>
      <w:r>
        <w:tab/>
        <w:t>Schedule 1, clause 6(9) of the NBA.</w:t>
      </w:r>
    </w:p>
  </w:footnote>
  <w:footnote w:id="14">
    <w:p w14:paraId="5700CDD7" w14:textId="0394D6A5" w:rsidR="00B62B5B" w:rsidRDefault="00B62B5B">
      <w:pPr>
        <w:pStyle w:val="FootnoteText"/>
      </w:pPr>
      <w:r>
        <w:rPr>
          <w:rStyle w:val="FootnoteReference"/>
        </w:rPr>
        <w:footnoteRef/>
      </w:r>
      <w:r>
        <w:t xml:space="preserve"> </w:t>
      </w:r>
      <w:r>
        <w:tab/>
        <w:t>Section 198(4) of the NBA.</w:t>
      </w:r>
    </w:p>
  </w:footnote>
  <w:footnote w:id="15">
    <w:p w14:paraId="378CC7B5" w14:textId="7519A5F0" w:rsidR="00556BE4" w:rsidRDefault="00556BE4">
      <w:pPr>
        <w:pStyle w:val="FootnoteText"/>
      </w:pPr>
      <w:r>
        <w:rPr>
          <w:rStyle w:val="FootnoteReference"/>
        </w:rPr>
        <w:footnoteRef/>
      </w:r>
      <w:r>
        <w:t xml:space="preserve"> </w:t>
      </w:r>
      <w:r>
        <w:tab/>
        <w:t>Section 198(1) and Schedule 6, clauses 60 and 128 of the NBA.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3002F1"/>
    <w:multiLevelType w:val="hybridMultilevel"/>
    <w:tmpl w:val="E8E2B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6"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0"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C70A75"/>
    <w:multiLevelType w:val="hybridMultilevel"/>
    <w:tmpl w:val="AB9CFF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C042717"/>
    <w:multiLevelType w:val="multilevel"/>
    <w:tmpl w:val="DCDEB9D0"/>
    <w:numStyleLink w:val="Style1"/>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70EC9"/>
    <w:multiLevelType w:val="hybridMultilevel"/>
    <w:tmpl w:val="C53AF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47790156">
    <w:abstractNumId w:val="15"/>
  </w:num>
  <w:num w:numId="2" w16cid:durableId="1270701948">
    <w:abstractNumId w:val="25"/>
  </w:num>
  <w:num w:numId="3" w16cid:durableId="1676030043">
    <w:abstractNumId w:val="38"/>
  </w:num>
  <w:num w:numId="4" w16cid:durableId="946737636">
    <w:abstractNumId w:val="20"/>
  </w:num>
  <w:num w:numId="5" w16cid:durableId="181937884">
    <w:abstractNumId w:val="13"/>
  </w:num>
  <w:num w:numId="6" w16cid:durableId="1789470371">
    <w:abstractNumId w:val="8"/>
  </w:num>
  <w:num w:numId="7" w16cid:durableId="1751468041">
    <w:abstractNumId w:val="23"/>
  </w:num>
  <w:num w:numId="8" w16cid:durableId="319700520">
    <w:abstractNumId w:val="22"/>
  </w:num>
  <w:num w:numId="9" w16cid:durableId="61634995">
    <w:abstractNumId w:val="36"/>
  </w:num>
  <w:num w:numId="10" w16cid:durableId="1381782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25479">
    <w:abstractNumId w:val="1"/>
  </w:num>
  <w:num w:numId="12" w16cid:durableId="1681812109">
    <w:abstractNumId w:val="29"/>
  </w:num>
  <w:num w:numId="13" w16cid:durableId="2111318697">
    <w:abstractNumId w:val="12"/>
  </w:num>
  <w:num w:numId="14" w16cid:durableId="527908752">
    <w:abstractNumId w:val="32"/>
  </w:num>
  <w:num w:numId="15" w16cid:durableId="1810710488">
    <w:abstractNumId w:val="21"/>
  </w:num>
  <w:num w:numId="16" w16cid:durableId="1832209572">
    <w:abstractNumId w:val="11"/>
  </w:num>
  <w:num w:numId="17" w16cid:durableId="882985350">
    <w:abstractNumId w:val="30"/>
  </w:num>
  <w:num w:numId="18" w16cid:durableId="1414619994">
    <w:abstractNumId w:val="26"/>
  </w:num>
  <w:num w:numId="19" w16cid:durableId="1876043617">
    <w:abstractNumId w:val="33"/>
  </w:num>
  <w:num w:numId="20" w16cid:durableId="1466776422">
    <w:abstractNumId w:val="14"/>
  </w:num>
  <w:num w:numId="21" w16cid:durableId="2058817310">
    <w:abstractNumId w:val="27"/>
  </w:num>
  <w:num w:numId="22" w16cid:durableId="1700279313">
    <w:abstractNumId w:val="5"/>
  </w:num>
  <w:num w:numId="23" w16cid:durableId="2058817359">
    <w:abstractNumId w:val="24"/>
  </w:num>
  <w:num w:numId="24" w16cid:durableId="1654988709">
    <w:abstractNumId w:val="16"/>
  </w:num>
  <w:num w:numId="25" w16cid:durableId="163515585">
    <w:abstractNumId w:val="35"/>
  </w:num>
  <w:num w:numId="26" w16cid:durableId="1923172751">
    <w:abstractNumId w:val="28"/>
  </w:num>
  <w:num w:numId="27" w16cid:durableId="1169712652">
    <w:abstractNumId w:val="0"/>
  </w:num>
  <w:num w:numId="28" w16cid:durableId="318702976">
    <w:abstractNumId w:val="18"/>
  </w:num>
  <w:num w:numId="29" w16cid:durableId="1493326007">
    <w:abstractNumId w:val="9"/>
  </w:num>
  <w:num w:numId="30" w16cid:durableId="148442728">
    <w:abstractNumId w:val="3"/>
  </w:num>
  <w:num w:numId="31" w16cid:durableId="598565880">
    <w:abstractNumId w:val="2"/>
  </w:num>
  <w:num w:numId="32" w16cid:durableId="1547906841">
    <w:abstractNumId w:val="6"/>
  </w:num>
  <w:num w:numId="33" w16cid:durableId="214006165">
    <w:abstractNumId w:val="10"/>
  </w:num>
  <w:num w:numId="34" w16cid:durableId="460806462">
    <w:abstractNumId w:val="19"/>
  </w:num>
  <w:num w:numId="35" w16cid:durableId="351688295">
    <w:abstractNumId w:val="17"/>
  </w:num>
  <w:num w:numId="36" w16cid:durableId="953633058">
    <w:abstractNumId w:val="7"/>
  </w:num>
  <w:num w:numId="37" w16cid:durableId="57486827">
    <w:abstractNumId w:val="34"/>
  </w:num>
  <w:num w:numId="38" w16cid:durableId="416098131">
    <w:abstractNumId w:val="25"/>
  </w:num>
  <w:num w:numId="39" w16cid:durableId="2073501908">
    <w:abstractNumId w:val="7"/>
  </w:num>
  <w:num w:numId="40" w16cid:durableId="1120416703">
    <w:abstractNumId w:val="37"/>
  </w:num>
  <w:num w:numId="41" w16cid:durableId="1912618082">
    <w:abstractNumId w:val="31"/>
  </w:num>
  <w:num w:numId="42" w16cid:durableId="202743568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DateAndTime/>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4C"/>
    <w:rsid w:val="00000792"/>
    <w:rsid w:val="00000F04"/>
    <w:rsid w:val="00003C4F"/>
    <w:rsid w:val="00004E0A"/>
    <w:rsid w:val="00004FD3"/>
    <w:rsid w:val="00006DF5"/>
    <w:rsid w:val="00006F95"/>
    <w:rsid w:val="00007023"/>
    <w:rsid w:val="0000709F"/>
    <w:rsid w:val="000071D6"/>
    <w:rsid w:val="00007F2D"/>
    <w:rsid w:val="00007FAC"/>
    <w:rsid w:val="00010247"/>
    <w:rsid w:val="00010A9C"/>
    <w:rsid w:val="00010ABA"/>
    <w:rsid w:val="00010E15"/>
    <w:rsid w:val="00010F57"/>
    <w:rsid w:val="0001100C"/>
    <w:rsid w:val="00011188"/>
    <w:rsid w:val="00012555"/>
    <w:rsid w:val="00012777"/>
    <w:rsid w:val="00014236"/>
    <w:rsid w:val="000148F6"/>
    <w:rsid w:val="00015217"/>
    <w:rsid w:val="000159D2"/>
    <w:rsid w:val="00015E19"/>
    <w:rsid w:val="00016264"/>
    <w:rsid w:val="00016993"/>
    <w:rsid w:val="00016CAB"/>
    <w:rsid w:val="00016D19"/>
    <w:rsid w:val="00016E5B"/>
    <w:rsid w:val="0001749B"/>
    <w:rsid w:val="00017D75"/>
    <w:rsid w:val="00017FE5"/>
    <w:rsid w:val="0002068C"/>
    <w:rsid w:val="00020EE7"/>
    <w:rsid w:val="00021910"/>
    <w:rsid w:val="0002270C"/>
    <w:rsid w:val="00022E8D"/>
    <w:rsid w:val="0002348A"/>
    <w:rsid w:val="00024708"/>
    <w:rsid w:val="00024DA0"/>
    <w:rsid w:val="00024EE7"/>
    <w:rsid w:val="00025F96"/>
    <w:rsid w:val="00025FAB"/>
    <w:rsid w:val="00026E89"/>
    <w:rsid w:val="000275A3"/>
    <w:rsid w:val="00030405"/>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2C7"/>
    <w:rsid w:val="0005144F"/>
    <w:rsid w:val="00051AF1"/>
    <w:rsid w:val="00051D42"/>
    <w:rsid w:val="000538A1"/>
    <w:rsid w:val="00055375"/>
    <w:rsid w:val="00056319"/>
    <w:rsid w:val="000564E7"/>
    <w:rsid w:val="00056552"/>
    <w:rsid w:val="00056770"/>
    <w:rsid w:val="00057386"/>
    <w:rsid w:val="00057EEF"/>
    <w:rsid w:val="0006130F"/>
    <w:rsid w:val="00061330"/>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1EB5"/>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0B1"/>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330"/>
    <w:rsid w:val="000B1942"/>
    <w:rsid w:val="000B1BED"/>
    <w:rsid w:val="000B2240"/>
    <w:rsid w:val="000B2477"/>
    <w:rsid w:val="000B2600"/>
    <w:rsid w:val="000B36F9"/>
    <w:rsid w:val="000B4074"/>
    <w:rsid w:val="000B41DF"/>
    <w:rsid w:val="000B4732"/>
    <w:rsid w:val="000B4BCD"/>
    <w:rsid w:val="000B5849"/>
    <w:rsid w:val="000B66DC"/>
    <w:rsid w:val="000B6D1F"/>
    <w:rsid w:val="000C062F"/>
    <w:rsid w:val="000C0668"/>
    <w:rsid w:val="000C17E7"/>
    <w:rsid w:val="000C3270"/>
    <w:rsid w:val="000C574D"/>
    <w:rsid w:val="000C577E"/>
    <w:rsid w:val="000C5B87"/>
    <w:rsid w:val="000D04BA"/>
    <w:rsid w:val="000D0B6E"/>
    <w:rsid w:val="000D0D65"/>
    <w:rsid w:val="000D113B"/>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6708"/>
    <w:rsid w:val="000E722C"/>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A4B"/>
    <w:rsid w:val="00107C23"/>
    <w:rsid w:val="00110307"/>
    <w:rsid w:val="00110C7F"/>
    <w:rsid w:val="00110EE2"/>
    <w:rsid w:val="001113DA"/>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1C"/>
    <w:rsid w:val="00131EC2"/>
    <w:rsid w:val="00133E73"/>
    <w:rsid w:val="00133FDB"/>
    <w:rsid w:val="00134C79"/>
    <w:rsid w:val="00134F4A"/>
    <w:rsid w:val="00135E4E"/>
    <w:rsid w:val="00136246"/>
    <w:rsid w:val="001362A1"/>
    <w:rsid w:val="001364D4"/>
    <w:rsid w:val="00136C39"/>
    <w:rsid w:val="001371C8"/>
    <w:rsid w:val="001372ED"/>
    <w:rsid w:val="0014168C"/>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5BF4"/>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0B2"/>
    <w:rsid w:val="001713A7"/>
    <w:rsid w:val="00171449"/>
    <w:rsid w:val="0017199C"/>
    <w:rsid w:val="00171C7E"/>
    <w:rsid w:val="00171F35"/>
    <w:rsid w:val="00172552"/>
    <w:rsid w:val="00172873"/>
    <w:rsid w:val="00172CF7"/>
    <w:rsid w:val="0017319E"/>
    <w:rsid w:val="001734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5044"/>
    <w:rsid w:val="001850DB"/>
    <w:rsid w:val="0018599C"/>
    <w:rsid w:val="00185C24"/>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65D"/>
    <w:rsid w:val="00197564"/>
    <w:rsid w:val="00197EC2"/>
    <w:rsid w:val="00197ECE"/>
    <w:rsid w:val="001A1CED"/>
    <w:rsid w:val="001A1D02"/>
    <w:rsid w:val="001A279B"/>
    <w:rsid w:val="001A2DC3"/>
    <w:rsid w:val="001A2E87"/>
    <w:rsid w:val="001A3869"/>
    <w:rsid w:val="001A38C2"/>
    <w:rsid w:val="001A4581"/>
    <w:rsid w:val="001A65C8"/>
    <w:rsid w:val="001A732E"/>
    <w:rsid w:val="001A7F30"/>
    <w:rsid w:val="001B06E2"/>
    <w:rsid w:val="001B103A"/>
    <w:rsid w:val="001B103D"/>
    <w:rsid w:val="001B1513"/>
    <w:rsid w:val="001B1767"/>
    <w:rsid w:val="001B2453"/>
    <w:rsid w:val="001B3D48"/>
    <w:rsid w:val="001B5AF9"/>
    <w:rsid w:val="001B6600"/>
    <w:rsid w:val="001B6610"/>
    <w:rsid w:val="001B6B9B"/>
    <w:rsid w:val="001B6C27"/>
    <w:rsid w:val="001B7144"/>
    <w:rsid w:val="001B7B8A"/>
    <w:rsid w:val="001B7E91"/>
    <w:rsid w:val="001C0748"/>
    <w:rsid w:val="001C147E"/>
    <w:rsid w:val="001C151B"/>
    <w:rsid w:val="001C19E5"/>
    <w:rsid w:val="001C3800"/>
    <w:rsid w:val="001C3C7B"/>
    <w:rsid w:val="001C4D70"/>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07"/>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0D8E"/>
    <w:rsid w:val="002312BC"/>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DAB"/>
    <w:rsid w:val="00287FB6"/>
    <w:rsid w:val="002900C5"/>
    <w:rsid w:val="002901E0"/>
    <w:rsid w:val="0029075B"/>
    <w:rsid w:val="00290BB1"/>
    <w:rsid w:val="00291BC1"/>
    <w:rsid w:val="002933CA"/>
    <w:rsid w:val="0029353B"/>
    <w:rsid w:val="00293A8F"/>
    <w:rsid w:val="00295155"/>
    <w:rsid w:val="00295D51"/>
    <w:rsid w:val="00296203"/>
    <w:rsid w:val="00296428"/>
    <w:rsid w:val="0029643D"/>
    <w:rsid w:val="00296A94"/>
    <w:rsid w:val="00296F24"/>
    <w:rsid w:val="0029706A"/>
    <w:rsid w:val="0029720C"/>
    <w:rsid w:val="002972EE"/>
    <w:rsid w:val="00297F01"/>
    <w:rsid w:val="002A025D"/>
    <w:rsid w:val="002A052D"/>
    <w:rsid w:val="002A0DF8"/>
    <w:rsid w:val="002A1928"/>
    <w:rsid w:val="002A1F0D"/>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75B2"/>
    <w:rsid w:val="002B79B7"/>
    <w:rsid w:val="002C141D"/>
    <w:rsid w:val="002C19C0"/>
    <w:rsid w:val="002C2485"/>
    <w:rsid w:val="002C2563"/>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3A3"/>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6F41"/>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724"/>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340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2B9C"/>
    <w:rsid w:val="0039456F"/>
    <w:rsid w:val="003945C8"/>
    <w:rsid w:val="0039480D"/>
    <w:rsid w:val="00395446"/>
    <w:rsid w:val="00396725"/>
    <w:rsid w:val="00397A28"/>
    <w:rsid w:val="00397E94"/>
    <w:rsid w:val="00397F05"/>
    <w:rsid w:val="003A0442"/>
    <w:rsid w:val="003A0615"/>
    <w:rsid w:val="003A0899"/>
    <w:rsid w:val="003A1512"/>
    <w:rsid w:val="003A1EB7"/>
    <w:rsid w:val="003A23F3"/>
    <w:rsid w:val="003A2D82"/>
    <w:rsid w:val="003A337C"/>
    <w:rsid w:val="003A36DA"/>
    <w:rsid w:val="003A38F1"/>
    <w:rsid w:val="003A3D1B"/>
    <w:rsid w:val="003A3F39"/>
    <w:rsid w:val="003A4170"/>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2986"/>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0B4"/>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173"/>
    <w:rsid w:val="004255B4"/>
    <w:rsid w:val="00426766"/>
    <w:rsid w:val="004267D0"/>
    <w:rsid w:val="004279CA"/>
    <w:rsid w:val="00427A82"/>
    <w:rsid w:val="00427EA2"/>
    <w:rsid w:val="00430115"/>
    <w:rsid w:val="004303CA"/>
    <w:rsid w:val="00430A4B"/>
    <w:rsid w:val="00431603"/>
    <w:rsid w:val="00431C46"/>
    <w:rsid w:val="004327E6"/>
    <w:rsid w:val="004329DC"/>
    <w:rsid w:val="00432AC6"/>
    <w:rsid w:val="00434C5E"/>
    <w:rsid w:val="00434E0B"/>
    <w:rsid w:val="00435765"/>
    <w:rsid w:val="004360B6"/>
    <w:rsid w:val="004362E5"/>
    <w:rsid w:val="00436356"/>
    <w:rsid w:val="0044041E"/>
    <w:rsid w:val="00440722"/>
    <w:rsid w:val="00440DF5"/>
    <w:rsid w:val="004425D9"/>
    <w:rsid w:val="00443244"/>
    <w:rsid w:val="00444AF6"/>
    <w:rsid w:val="0044519D"/>
    <w:rsid w:val="00445544"/>
    <w:rsid w:val="00445C0B"/>
    <w:rsid w:val="00446068"/>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77BBA"/>
    <w:rsid w:val="00480FA1"/>
    <w:rsid w:val="00481FD7"/>
    <w:rsid w:val="00482DE5"/>
    <w:rsid w:val="00483266"/>
    <w:rsid w:val="0048352E"/>
    <w:rsid w:val="004836A9"/>
    <w:rsid w:val="00483B23"/>
    <w:rsid w:val="004840D7"/>
    <w:rsid w:val="004846F4"/>
    <w:rsid w:val="004847FD"/>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89F"/>
    <w:rsid w:val="004C198D"/>
    <w:rsid w:val="004C1AD6"/>
    <w:rsid w:val="004C1B7D"/>
    <w:rsid w:val="004C1E3C"/>
    <w:rsid w:val="004C25F0"/>
    <w:rsid w:val="004C26DD"/>
    <w:rsid w:val="004C2B5D"/>
    <w:rsid w:val="004C2C6F"/>
    <w:rsid w:val="004C2D68"/>
    <w:rsid w:val="004C2F56"/>
    <w:rsid w:val="004C339D"/>
    <w:rsid w:val="004C33E8"/>
    <w:rsid w:val="004C426D"/>
    <w:rsid w:val="004C4307"/>
    <w:rsid w:val="004C4309"/>
    <w:rsid w:val="004C49E3"/>
    <w:rsid w:val="004C4E8A"/>
    <w:rsid w:val="004C514A"/>
    <w:rsid w:val="004C6572"/>
    <w:rsid w:val="004C6D3E"/>
    <w:rsid w:val="004C6D4F"/>
    <w:rsid w:val="004C7541"/>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873"/>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011"/>
    <w:rsid w:val="005010D6"/>
    <w:rsid w:val="00501144"/>
    <w:rsid w:val="005013EF"/>
    <w:rsid w:val="005019E0"/>
    <w:rsid w:val="005019F1"/>
    <w:rsid w:val="00501CEB"/>
    <w:rsid w:val="0050211F"/>
    <w:rsid w:val="005022E7"/>
    <w:rsid w:val="00502A93"/>
    <w:rsid w:val="005037F9"/>
    <w:rsid w:val="00506083"/>
    <w:rsid w:val="005068D6"/>
    <w:rsid w:val="00506B86"/>
    <w:rsid w:val="00506EEC"/>
    <w:rsid w:val="00506FD4"/>
    <w:rsid w:val="005107FF"/>
    <w:rsid w:val="00510CBC"/>
    <w:rsid w:val="0051102D"/>
    <w:rsid w:val="005112A5"/>
    <w:rsid w:val="00511509"/>
    <w:rsid w:val="00511F48"/>
    <w:rsid w:val="00512334"/>
    <w:rsid w:val="00512448"/>
    <w:rsid w:val="0051253A"/>
    <w:rsid w:val="0051266C"/>
    <w:rsid w:val="00512DB9"/>
    <w:rsid w:val="00513B72"/>
    <w:rsid w:val="005151B5"/>
    <w:rsid w:val="00515277"/>
    <w:rsid w:val="005158C2"/>
    <w:rsid w:val="005169DE"/>
    <w:rsid w:val="0051754D"/>
    <w:rsid w:val="00517855"/>
    <w:rsid w:val="0051785D"/>
    <w:rsid w:val="00517913"/>
    <w:rsid w:val="0052005F"/>
    <w:rsid w:val="00520200"/>
    <w:rsid w:val="00520E2D"/>
    <w:rsid w:val="00520F04"/>
    <w:rsid w:val="00521717"/>
    <w:rsid w:val="005224B2"/>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8AD"/>
    <w:rsid w:val="005370BC"/>
    <w:rsid w:val="00537B35"/>
    <w:rsid w:val="00537DE7"/>
    <w:rsid w:val="00537EC4"/>
    <w:rsid w:val="00537FE4"/>
    <w:rsid w:val="0054027D"/>
    <w:rsid w:val="00541222"/>
    <w:rsid w:val="00541A8D"/>
    <w:rsid w:val="00541D4D"/>
    <w:rsid w:val="0054309B"/>
    <w:rsid w:val="0054335C"/>
    <w:rsid w:val="00544DA0"/>
    <w:rsid w:val="005454BD"/>
    <w:rsid w:val="005457E4"/>
    <w:rsid w:val="00546C49"/>
    <w:rsid w:val="0055010B"/>
    <w:rsid w:val="005502D3"/>
    <w:rsid w:val="00550D59"/>
    <w:rsid w:val="00550D66"/>
    <w:rsid w:val="0055110D"/>
    <w:rsid w:val="00551297"/>
    <w:rsid w:val="00551F81"/>
    <w:rsid w:val="0055210F"/>
    <w:rsid w:val="00552A5B"/>
    <w:rsid w:val="00552CD7"/>
    <w:rsid w:val="005533BE"/>
    <w:rsid w:val="00554B30"/>
    <w:rsid w:val="00554FFB"/>
    <w:rsid w:val="005568DE"/>
    <w:rsid w:val="0055699C"/>
    <w:rsid w:val="00556BE4"/>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30C"/>
    <w:rsid w:val="00565406"/>
    <w:rsid w:val="00565570"/>
    <w:rsid w:val="005657DD"/>
    <w:rsid w:val="00565B29"/>
    <w:rsid w:val="005664CC"/>
    <w:rsid w:val="0056664B"/>
    <w:rsid w:val="00567588"/>
    <w:rsid w:val="00567992"/>
    <w:rsid w:val="00567C3C"/>
    <w:rsid w:val="005702F8"/>
    <w:rsid w:val="00570FC0"/>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34DD"/>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20B"/>
    <w:rsid w:val="005C132F"/>
    <w:rsid w:val="005C1615"/>
    <w:rsid w:val="005C1D98"/>
    <w:rsid w:val="005C1DA5"/>
    <w:rsid w:val="005C2559"/>
    <w:rsid w:val="005C2873"/>
    <w:rsid w:val="005C28AB"/>
    <w:rsid w:val="005C34FC"/>
    <w:rsid w:val="005C3B5C"/>
    <w:rsid w:val="005C3C7F"/>
    <w:rsid w:val="005C5109"/>
    <w:rsid w:val="005C5143"/>
    <w:rsid w:val="005C5639"/>
    <w:rsid w:val="005C5742"/>
    <w:rsid w:val="005C6005"/>
    <w:rsid w:val="005C760E"/>
    <w:rsid w:val="005C7862"/>
    <w:rsid w:val="005C7E9E"/>
    <w:rsid w:val="005D18C9"/>
    <w:rsid w:val="005D1B72"/>
    <w:rsid w:val="005D23BD"/>
    <w:rsid w:val="005D2471"/>
    <w:rsid w:val="005D25A3"/>
    <w:rsid w:val="005D2779"/>
    <w:rsid w:val="005D3242"/>
    <w:rsid w:val="005D610C"/>
    <w:rsid w:val="005D74E7"/>
    <w:rsid w:val="005D7F7B"/>
    <w:rsid w:val="005E24DE"/>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DE6"/>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5505"/>
    <w:rsid w:val="006060C4"/>
    <w:rsid w:val="00607C35"/>
    <w:rsid w:val="00611777"/>
    <w:rsid w:val="0061189F"/>
    <w:rsid w:val="0061219B"/>
    <w:rsid w:val="00612D05"/>
    <w:rsid w:val="00613FB6"/>
    <w:rsid w:val="006140C6"/>
    <w:rsid w:val="00614134"/>
    <w:rsid w:val="00614241"/>
    <w:rsid w:val="0061428D"/>
    <w:rsid w:val="00615046"/>
    <w:rsid w:val="00615411"/>
    <w:rsid w:val="00615776"/>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6F"/>
    <w:rsid w:val="006240C4"/>
    <w:rsid w:val="00625304"/>
    <w:rsid w:val="0062581B"/>
    <w:rsid w:val="006261F4"/>
    <w:rsid w:val="0063164E"/>
    <w:rsid w:val="0063191D"/>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AA1"/>
    <w:rsid w:val="00640F43"/>
    <w:rsid w:val="006412CA"/>
    <w:rsid w:val="00641718"/>
    <w:rsid w:val="006420DA"/>
    <w:rsid w:val="00642A0A"/>
    <w:rsid w:val="0064309E"/>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B40"/>
    <w:rsid w:val="00654F91"/>
    <w:rsid w:val="00655361"/>
    <w:rsid w:val="00656253"/>
    <w:rsid w:val="00656799"/>
    <w:rsid w:val="00656B77"/>
    <w:rsid w:val="00656E72"/>
    <w:rsid w:val="006570B1"/>
    <w:rsid w:val="006578A1"/>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722D"/>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5FED"/>
    <w:rsid w:val="006867C7"/>
    <w:rsid w:val="006871D0"/>
    <w:rsid w:val="0068751F"/>
    <w:rsid w:val="006900D1"/>
    <w:rsid w:val="00690297"/>
    <w:rsid w:val="0069115A"/>
    <w:rsid w:val="006912F1"/>
    <w:rsid w:val="00691387"/>
    <w:rsid w:val="006927F2"/>
    <w:rsid w:val="006931E1"/>
    <w:rsid w:val="00693805"/>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4DD"/>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30E7"/>
    <w:rsid w:val="006D48E7"/>
    <w:rsid w:val="006D4947"/>
    <w:rsid w:val="006D4C4B"/>
    <w:rsid w:val="006D4D7C"/>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E7652"/>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1893"/>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6CF1"/>
    <w:rsid w:val="00727077"/>
    <w:rsid w:val="00730EA6"/>
    <w:rsid w:val="00731C15"/>
    <w:rsid w:val="00732045"/>
    <w:rsid w:val="007322A0"/>
    <w:rsid w:val="00732C1A"/>
    <w:rsid w:val="00733CDC"/>
    <w:rsid w:val="00734B9A"/>
    <w:rsid w:val="00735695"/>
    <w:rsid w:val="00735863"/>
    <w:rsid w:val="007360CB"/>
    <w:rsid w:val="0073653E"/>
    <w:rsid w:val="00737566"/>
    <w:rsid w:val="00740DDA"/>
    <w:rsid w:val="00741BA2"/>
    <w:rsid w:val="00741CF4"/>
    <w:rsid w:val="00741DCC"/>
    <w:rsid w:val="00741DE2"/>
    <w:rsid w:val="007421A1"/>
    <w:rsid w:val="007427FE"/>
    <w:rsid w:val="00742A47"/>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C54"/>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83E"/>
    <w:rsid w:val="007A3A0F"/>
    <w:rsid w:val="007A3E60"/>
    <w:rsid w:val="007A407D"/>
    <w:rsid w:val="007A464F"/>
    <w:rsid w:val="007A5E15"/>
    <w:rsid w:val="007A6196"/>
    <w:rsid w:val="007A63D5"/>
    <w:rsid w:val="007A689A"/>
    <w:rsid w:val="007A68EA"/>
    <w:rsid w:val="007A6B7D"/>
    <w:rsid w:val="007A7629"/>
    <w:rsid w:val="007B1027"/>
    <w:rsid w:val="007B1691"/>
    <w:rsid w:val="007B174F"/>
    <w:rsid w:val="007B1863"/>
    <w:rsid w:val="007B18C5"/>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667"/>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2063"/>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17E"/>
    <w:rsid w:val="008174B2"/>
    <w:rsid w:val="00817CFF"/>
    <w:rsid w:val="0082000D"/>
    <w:rsid w:val="0082037E"/>
    <w:rsid w:val="00820C9C"/>
    <w:rsid w:val="00820F55"/>
    <w:rsid w:val="00821572"/>
    <w:rsid w:val="00821D9C"/>
    <w:rsid w:val="0082207D"/>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4DC7"/>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78D"/>
    <w:rsid w:val="008658AA"/>
    <w:rsid w:val="00865CBD"/>
    <w:rsid w:val="0086665C"/>
    <w:rsid w:val="00866E37"/>
    <w:rsid w:val="00866F9E"/>
    <w:rsid w:val="008672E2"/>
    <w:rsid w:val="0086793D"/>
    <w:rsid w:val="00867B1C"/>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7D9"/>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312C"/>
    <w:rsid w:val="008D427A"/>
    <w:rsid w:val="008D496B"/>
    <w:rsid w:val="008D4DD5"/>
    <w:rsid w:val="008D5657"/>
    <w:rsid w:val="008D5F2F"/>
    <w:rsid w:val="008D6752"/>
    <w:rsid w:val="008D69E7"/>
    <w:rsid w:val="008D6FC1"/>
    <w:rsid w:val="008E0140"/>
    <w:rsid w:val="008E0688"/>
    <w:rsid w:val="008E0BEF"/>
    <w:rsid w:val="008E266D"/>
    <w:rsid w:val="008E2F0C"/>
    <w:rsid w:val="008E3E2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6D10"/>
    <w:rsid w:val="00907656"/>
    <w:rsid w:val="00907785"/>
    <w:rsid w:val="00907E47"/>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2828"/>
    <w:rsid w:val="009333D3"/>
    <w:rsid w:val="009339B6"/>
    <w:rsid w:val="00933B4C"/>
    <w:rsid w:val="00933DC4"/>
    <w:rsid w:val="0093431B"/>
    <w:rsid w:val="009346D6"/>
    <w:rsid w:val="00934743"/>
    <w:rsid w:val="0093487E"/>
    <w:rsid w:val="00934FFE"/>
    <w:rsid w:val="009358EA"/>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CB"/>
    <w:rsid w:val="009548FB"/>
    <w:rsid w:val="0095538B"/>
    <w:rsid w:val="0095695D"/>
    <w:rsid w:val="00957A9E"/>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216F"/>
    <w:rsid w:val="00972180"/>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0CE4"/>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1D38"/>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316"/>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3C1"/>
    <w:rsid w:val="00A10586"/>
    <w:rsid w:val="00A10A48"/>
    <w:rsid w:val="00A110DA"/>
    <w:rsid w:val="00A1132B"/>
    <w:rsid w:val="00A11930"/>
    <w:rsid w:val="00A11B54"/>
    <w:rsid w:val="00A11CDC"/>
    <w:rsid w:val="00A1207B"/>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4749"/>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20BD"/>
    <w:rsid w:val="00A637A0"/>
    <w:rsid w:val="00A63ECD"/>
    <w:rsid w:val="00A64093"/>
    <w:rsid w:val="00A640EB"/>
    <w:rsid w:val="00A6412F"/>
    <w:rsid w:val="00A64815"/>
    <w:rsid w:val="00A65043"/>
    <w:rsid w:val="00A66DF9"/>
    <w:rsid w:val="00A704E4"/>
    <w:rsid w:val="00A706FC"/>
    <w:rsid w:val="00A70BD2"/>
    <w:rsid w:val="00A7136A"/>
    <w:rsid w:val="00A71C44"/>
    <w:rsid w:val="00A7204C"/>
    <w:rsid w:val="00A72296"/>
    <w:rsid w:val="00A73268"/>
    <w:rsid w:val="00A7388E"/>
    <w:rsid w:val="00A74544"/>
    <w:rsid w:val="00A74548"/>
    <w:rsid w:val="00A74DF2"/>
    <w:rsid w:val="00A74E4D"/>
    <w:rsid w:val="00A7592E"/>
    <w:rsid w:val="00A76C1F"/>
    <w:rsid w:val="00A76F18"/>
    <w:rsid w:val="00A803FC"/>
    <w:rsid w:val="00A8071A"/>
    <w:rsid w:val="00A80DD9"/>
    <w:rsid w:val="00A80FCA"/>
    <w:rsid w:val="00A81148"/>
    <w:rsid w:val="00A81CBC"/>
    <w:rsid w:val="00A82506"/>
    <w:rsid w:val="00A837CE"/>
    <w:rsid w:val="00A83DB5"/>
    <w:rsid w:val="00A83FBA"/>
    <w:rsid w:val="00A841FC"/>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08B"/>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A01"/>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4E92"/>
    <w:rsid w:val="00AC520B"/>
    <w:rsid w:val="00AC6C53"/>
    <w:rsid w:val="00AC6E85"/>
    <w:rsid w:val="00AC7284"/>
    <w:rsid w:val="00AC7CE6"/>
    <w:rsid w:val="00AD0828"/>
    <w:rsid w:val="00AD0B13"/>
    <w:rsid w:val="00AD0E69"/>
    <w:rsid w:val="00AD103D"/>
    <w:rsid w:val="00AD159C"/>
    <w:rsid w:val="00AD17FA"/>
    <w:rsid w:val="00AD19EC"/>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2E0"/>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2AE"/>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1CB"/>
    <w:rsid w:val="00B06737"/>
    <w:rsid w:val="00B0784C"/>
    <w:rsid w:val="00B07C46"/>
    <w:rsid w:val="00B07CE9"/>
    <w:rsid w:val="00B101D5"/>
    <w:rsid w:val="00B10633"/>
    <w:rsid w:val="00B10B08"/>
    <w:rsid w:val="00B10D50"/>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2B5B"/>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60E6"/>
    <w:rsid w:val="00B8756E"/>
    <w:rsid w:val="00B87A7D"/>
    <w:rsid w:val="00B87DF9"/>
    <w:rsid w:val="00B91951"/>
    <w:rsid w:val="00B91A58"/>
    <w:rsid w:val="00B91EAD"/>
    <w:rsid w:val="00B920B9"/>
    <w:rsid w:val="00B930D2"/>
    <w:rsid w:val="00B937CD"/>
    <w:rsid w:val="00B938BC"/>
    <w:rsid w:val="00B93997"/>
    <w:rsid w:val="00B93C98"/>
    <w:rsid w:val="00B93DF6"/>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2FEB"/>
    <w:rsid w:val="00BD3924"/>
    <w:rsid w:val="00BD3C33"/>
    <w:rsid w:val="00BD450F"/>
    <w:rsid w:val="00BD4512"/>
    <w:rsid w:val="00BD52AA"/>
    <w:rsid w:val="00BD5E4A"/>
    <w:rsid w:val="00BD6D3E"/>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24D"/>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A03"/>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A11"/>
    <w:rsid w:val="00C96CFA"/>
    <w:rsid w:val="00C96E5A"/>
    <w:rsid w:val="00C96EB5"/>
    <w:rsid w:val="00CA0257"/>
    <w:rsid w:val="00CA0917"/>
    <w:rsid w:val="00CA102B"/>
    <w:rsid w:val="00CA283D"/>
    <w:rsid w:val="00CA2918"/>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1A5"/>
    <w:rsid w:val="00CE54E1"/>
    <w:rsid w:val="00CE55B6"/>
    <w:rsid w:val="00CE5856"/>
    <w:rsid w:val="00CE5BDE"/>
    <w:rsid w:val="00CE6A6D"/>
    <w:rsid w:val="00CE774C"/>
    <w:rsid w:val="00CF012E"/>
    <w:rsid w:val="00CF04D4"/>
    <w:rsid w:val="00CF0B4C"/>
    <w:rsid w:val="00CF1680"/>
    <w:rsid w:val="00CF1780"/>
    <w:rsid w:val="00CF1BD7"/>
    <w:rsid w:val="00CF1E21"/>
    <w:rsid w:val="00CF21A5"/>
    <w:rsid w:val="00CF2518"/>
    <w:rsid w:val="00CF2DDE"/>
    <w:rsid w:val="00CF344A"/>
    <w:rsid w:val="00CF39A0"/>
    <w:rsid w:val="00CF3D1C"/>
    <w:rsid w:val="00CF4713"/>
    <w:rsid w:val="00CF477B"/>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330B"/>
    <w:rsid w:val="00D03BF7"/>
    <w:rsid w:val="00D03F1E"/>
    <w:rsid w:val="00D0428E"/>
    <w:rsid w:val="00D04426"/>
    <w:rsid w:val="00D0482F"/>
    <w:rsid w:val="00D04A33"/>
    <w:rsid w:val="00D05892"/>
    <w:rsid w:val="00D06824"/>
    <w:rsid w:val="00D06C03"/>
    <w:rsid w:val="00D1037A"/>
    <w:rsid w:val="00D10499"/>
    <w:rsid w:val="00D10D09"/>
    <w:rsid w:val="00D1163E"/>
    <w:rsid w:val="00D12362"/>
    <w:rsid w:val="00D12A4F"/>
    <w:rsid w:val="00D14C15"/>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171B"/>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D22"/>
    <w:rsid w:val="00D75DA5"/>
    <w:rsid w:val="00D7633F"/>
    <w:rsid w:val="00D76C58"/>
    <w:rsid w:val="00D76CF2"/>
    <w:rsid w:val="00D76E7C"/>
    <w:rsid w:val="00D77EA1"/>
    <w:rsid w:val="00D807B0"/>
    <w:rsid w:val="00D80B40"/>
    <w:rsid w:val="00D8155B"/>
    <w:rsid w:val="00D81E79"/>
    <w:rsid w:val="00D825A5"/>
    <w:rsid w:val="00D825B7"/>
    <w:rsid w:val="00D8290E"/>
    <w:rsid w:val="00D82A73"/>
    <w:rsid w:val="00D82AD1"/>
    <w:rsid w:val="00D82E6E"/>
    <w:rsid w:val="00D83040"/>
    <w:rsid w:val="00D8323B"/>
    <w:rsid w:val="00D83489"/>
    <w:rsid w:val="00D83D13"/>
    <w:rsid w:val="00D841AC"/>
    <w:rsid w:val="00D84F16"/>
    <w:rsid w:val="00D8589D"/>
    <w:rsid w:val="00D85A81"/>
    <w:rsid w:val="00D86466"/>
    <w:rsid w:val="00D870E8"/>
    <w:rsid w:val="00D87423"/>
    <w:rsid w:val="00D87452"/>
    <w:rsid w:val="00D87485"/>
    <w:rsid w:val="00D87E58"/>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00C"/>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D86"/>
    <w:rsid w:val="00DB6DF5"/>
    <w:rsid w:val="00DB6F45"/>
    <w:rsid w:val="00DB72B7"/>
    <w:rsid w:val="00DB7546"/>
    <w:rsid w:val="00DB7E60"/>
    <w:rsid w:val="00DC0624"/>
    <w:rsid w:val="00DC0FC3"/>
    <w:rsid w:val="00DC12E6"/>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1B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6ABB"/>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145"/>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537"/>
    <w:rsid w:val="00E31B6D"/>
    <w:rsid w:val="00E31C2D"/>
    <w:rsid w:val="00E32432"/>
    <w:rsid w:val="00E33B1E"/>
    <w:rsid w:val="00E34277"/>
    <w:rsid w:val="00E35C6C"/>
    <w:rsid w:val="00E3621B"/>
    <w:rsid w:val="00E36D6F"/>
    <w:rsid w:val="00E36F43"/>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357"/>
    <w:rsid w:val="00E85E56"/>
    <w:rsid w:val="00E860DD"/>
    <w:rsid w:val="00E8713D"/>
    <w:rsid w:val="00E87DAB"/>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B89"/>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0DD"/>
    <w:rsid w:val="00EF1230"/>
    <w:rsid w:val="00EF223B"/>
    <w:rsid w:val="00EF29DE"/>
    <w:rsid w:val="00EF3978"/>
    <w:rsid w:val="00EF3AAC"/>
    <w:rsid w:val="00EF4D42"/>
    <w:rsid w:val="00EF4FD1"/>
    <w:rsid w:val="00EF5318"/>
    <w:rsid w:val="00EF599F"/>
    <w:rsid w:val="00EF708A"/>
    <w:rsid w:val="00EF72C3"/>
    <w:rsid w:val="00EF7768"/>
    <w:rsid w:val="00EF79CE"/>
    <w:rsid w:val="00F00152"/>
    <w:rsid w:val="00F00352"/>
    <w:rsid w:val="00F00997"/>
    <w:rsid w:val="00F00B1B"/>
    <w:rsid w:val="00F00E37"/>
    <w:rsid w:val="00F010EE"/>
    <w:rsid w:val="00F01383"/>
    <w:rsid w:val="00F0167D"/>
    <w:rsid w:val="00F0177A"/>
    <w:rsid w:val="00F019D5"/>
    <w:rsid w:val="00F01E9B"/>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07C7C"/>
    <w:rsid w:val="00F10177"/>
    <w:rsid w:val="00F10D83"/>
    <w:rsid w:val="00F11637"/>
    <w:rsid w:val="00F1196B"/>
    <w:rsid w:val="00F11A6A"/>
    <w:rsid w:val="00F126BD"/>
    <w:rsid w:val="00F13433"/>
    <w:rsid w:val="00F134FC"/>
    <w:rsid w:val="00F1350E"/>
    <w:rsid w:val="00F14419"/>
    <w:rsid w:val="00F1470E"/>
    <w:rsid w:val="00F147A5"/>
    <w:rsid w:val="00F14AA7"/>
    <w:rsid w:val="00F15213"/>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079"/>
    <w:rsid w:val="00F256AE"/>
    <w:rsid w:val="00F25773"/>
    <w:rsid w:val="00F257FA"/>
    <w:rsid w:val="00F26004"/>
    <w:rsid w:val="00F270E8"/>
    <w:rsid w:val="00F27EF5"/>
    <w:rsid w:val="00F27FDB"/>
    <w:rsid w:val="00F30251"/>
    <w:rsid w:val="00F305CC"/>
    <w:rsid w:val="00F3179A"/>
    <w:rsid w:val="00F31D54"/>
    <w:rsid w:val="00F31D8B"/>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1D65"/>
    <w:rsid w:val="00F521DC"/>
    <w:rsid w:val="00F525D9"/>
    <w:rsid w:val="00F53199"/>
    <w:rsid w:val="00F541A1"/>
    <w:rsid w:val="00F54B09"/>
    <w:rsid w:val="00F54BEA"/>
    <w:rsid w:val="00F54E8A"/>
    <w:rsid w:val="00F55386"/>
    <w:rsid w:val="00F559A8"/>
    <w:rsid w:val="00F55C21"/>
    <w:rsid w:val="00F55E2E"/>
    <w:rsid w:val="00F55E5F"/>
    <w:rsid w:val="00F55F6D"/>
    <w:rsid w:val="00F56FF6"/>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87D02"/>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3D56"/>
    <w:rsid w:val="00FF3F6C"/>
    <w:rsid w:val="00FF4603"/>
    <w:rsid w:val="00FF4B07"/>
    <w:rsid w:val="00FF4BFC"/>
    <w:rsid w:val="00FF4C11"/>
    <w:rsid w:val="00FF56B9"/>
    <w:rsid w:val="00FF57E8"/>
    <w:rsid w:val="00FF58C0"/>
    <w:rsid w:val="00FF5948"/>
    <w:rsid w:val="00FF6111"/>
    <w:rsid w:val="00FF6B71"/>
    <w:rsid w:val="00FF6EDF"/>
    <w:rsid w:val="00FF6EEA"/>
    <w:rsid w:val="00FF77DF"/>
    <w:rsid w:val="00FF7ABB"/>
    <w:rsid w:val="00FF7B99"/>
    <w:rsid w:val="0C040E4D"/>
    <w:rsid w:val="14DFA5C7"/>
    <w:rsid w:val="155F663F"/>
    <w:rsid w:val="2048345F"/>
    <w:rsid w:val="254CD35E"/>
    <w:rsid w:val="48B21B00"/>
    <w:rsid w:val="493C3460"/>
    <w:rsid w:val="4954383E"/>
    <w:rsid w:val="52A3B5B1"/>
    <w:rsid w:val="557775AB"/>
    <w:rsid w:val="5CC9ACD5"/>
    <w:rsid w:val="65AFE9E0"/>
    <w:rsid w:val="67D3749A"/>
    <w:rsid w:val="7DFB6C5E"/>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93C9A"/>
  <w15:docId w15:val="{E8274D14-DD21-4EBF-A441-DD1072F7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02"/>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C6005"/>
    <w:pPr>
      <w:keepNext/>
      <w:tabs>
        <w:tab w:val="left" w:pos="851"/>
      </w:tabs>
      <w:spacing w:before="240" w:after="360" w:line="600" w:lineRule="atLeast"/>
      <w:jc w:val="left"/>
      <w:outlineLvl w:val="0"/>
    </w:pPr>
    <w:rPr>
      <w:rFonts w:ascii="Georgia" w:eastAsiaTheme="majorEastAsia" w:hAnsi="Georgia" w:cstheme="majorBidi"/>
      <w:b/>
      <w:bCs/>
      <w:color w:val="1B556B"/>
      <w:sz w:val="40"/>
      <w:szCs w:val="28"/>
    </w:rPr>
  </w:style>
  <w:style w:type="paragraph" w:styleId="Heading2">
    <w:name w:val="heading 2"/>
    <w:basedOn w:val="Normal"/>
    <w:next w:val="BodyText"/>
    <w:link w:val="Heading2Char"/>
    <w:qFormat/>
    <w:rsid w:val="00640AA1"/>
    <w:pPr>
      <w:keepNext/>
      <w:tabs>
        <w:tab w:val="left" w:pos="851"/>
      </w:tabs>
      <w:spacing w:before="360" w:after="0" w:line="440" w:lineRule="atLeast"/>
      <w:jc w:val="left"/>
      <w:outlineLvl w:val="1"/>
    </w:pPr>
    <w:rPr>
      <w:rFonts w:ascii="Georgia" w:eastAsiaTheme="majorEastAsia" w:hAnsi="Georgia" w:cstheme="majorBidi"/>
      <w:b/>
      <w:bCs/>
      <w:color w:val="1B556B"/>
      <w:sz w:val="32"/>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005"/>
    <w:rPr>
      <w:rFonts w:ascii="Georgia" w:eastAsiaTheme="majorEastAsia" w:hAnsi="Georgia" w:cstheme="majorBidi"/>
      <w:b/>
      <w:bCs/>
      <w:color w:val="1B556B"/>
      <w:sz w:val="40"/>
      <w:szCs w:val="28"/>
    </w:rPr>
  </w:style>
  <w:style w:type="character" w:customStyle="1" w:styleId="Heading2Char">
    <w:name w:val="Heading 2 Char"/>
    <w:basedOn w:val="DefaultParagraphFont"/>
    <w:link w:val="Heading2"/>
    <w:rsid w:val="00640AA1"/>
    <w:rPr>
      <w:rFonts w:ascii="Georgia" w:eastAsiaTheme="majorEastAsia" w:hAnsi="Georgia" w:cstheme="majorBidi"/>
      <w:b/>
      <w:bCs/>
      <w:color w:val="1B556B"/>
      <w:sz w:val="32"/>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uiPriority w:val="99"/>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3B2986"/>
    <w:pPr>
      <w:jc w:val="left"/>
    </w:pPr>
    <w:rPr>
      <w:rFonts w:ascii="Georgia" w:hAnsi="Georgia"/>
      <w:b/>
      <w:bCs/>
      <w:color w:val="1B556B" w:themeColor="text2"/>
      <w:sz w:val="56"/>
      <w:szCs w:val="56"/>
    </w:rPr>
  </w:style>
  <w:style w:type="character" w:customStyle="1" w:styleId="TitleChar">
    <w:name w:val="Title Char"/>
    <w:link w:val="Title"/>
    <w:uiPriority w:val="2"/>
    <w:rsid w:val="003B2986"/>
    <w:rPr>
      <w:rFonts w:ascii="Georgia" w:eastAsia="Times New Roman" w:hAnsi="Georgia"/>
      <w:b/>
      <w:bCs/>
      <w:color w:val="1B556B" w:themeColor="text2"/>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6E2E45"/>
    <w:pPr>
      <w:tabs>
        <w:tab w:val="right" w:pos="8505"/>
        <w:tab w:val="right" w:pos="9072"/>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Segoe UI" w:eastAsia="Times New Roman" w:hAnsi="Segoe UI"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Segoe UI" w:eastAsia="Times New Roman" w:hAnsi="Segoe UI"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Segoe UI" w:eastAsia="Times New Roman" w:hAnsi="Segoe UI"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zh-CN"/>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normaltextrun">
    <w:name w:val="normaltextrun"/>
    <w:basedOn w:val="DefaultParagraphFont"/>
    <w:rsid w:val="009548CB"/>
  </w:style>
  <w:style w:type="character" w:customStyle="1" w:styleId="eop">
    <w:name w:val="eop"/>
    <w:basedOn w:val="DefaultParagraphFont"/>
    <w:rsid w:val="009548CB"/>
  </w:style>
  <w:style w:type="paragraph" w:customStyle="1" w:styleId="paragraph">
    <w:name w:val="paragraph"/>
    <w:basedOn w:val="Normal"/>
    <w:rsid w:val="00CF1780"/>
    <w:pPr>
      <w:spacing w:before="100" w:beforeAutospacing="1" w:after="100" w:afterAutospacing="1" w:line="240" w:lineRule="auto"/>
      <w:jc w:val="left"/>
    </w:pPr>
    <w:rPr>
      <w:rFonts w:ascii="Times New Roman" w:hAnsi="Times New Roman"/>
      <w:sz w:val="24"/>
      <w:szCs w:val="24"/>
    </w:rPr>
  </w:style>
  <w:style w:type="paragraph" w:customStyle="1" w:styleId="Headerinfo">
    <w:name w:val="Header info"/>
    <w:basedOn w:val="Title"/>
    <w:qFormat/>
    <w:rsid w:val="00DA500C"/>
    <w:pPr>
      <w:ind w:right="-710"/>
    </w:pPr>
    <w:rPr>
      <w:rFonts w:asciiTheme="minorHAnsi" w:hAnsiTheme="minorHAnsi" w:cstheme="minorHAnsi"/>
      <w:b w:val="0"/>
      <w:color w:val="FFFFFF" w:themeColor="background1"/>
      <w:sz w:val="22"/>
      <w:szCs w:val="22"/>
    </w:rPr>
  </w:style>
  <w:style w:type="paragraph" w:styleId="NormalWeb">
    <w:name w:val="Normal (Web)"/>
    <w:basedOn w:val="Normal"/>
    <w:uiPriority w:val="99"/>
    <w:semiHidden/>
    <w:unhideWhenUsed/>
    <w:rsid w:val="00932828"/>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681861943">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996418032">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88448218">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24835314">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492067194">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596476283">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05446908">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4" ma:contentTypeDescription="Create a new document." ma:contentTypeScope="" ma:versionID="71ca4ff2c816bf98e720b531c5ba270a">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19f05a26c8dc5a9aa0303e2594aee7a9"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ECM-1122293896-103509</_dlc_DocId>
    <_dlc_DocIdUrl xmlns="58a6f171-52cb-4404-b47d-af1c8daf8fd1">
      <Url>https://ministryforenvironment.sharepoint.com/sites/ECM-ER-Comms/_layouts/15/DocIdRedir.aspx?ID=ECM-1122293896-103509</Url>
      <Description>ECM-1122293896-103509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3.xml><?xml version="1.0" encoding="utf-8"?>
<ds:datastoreItem xmlns:ds="http://schemas.openxmlformats.org/officeDocument/2006/customXml" ds:itemID="{CB5952D0-6266-425C-9D9A-925B1CF2B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04A6E-8074-4C04-9208-5A482CE82B3C}">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customXml/itemProps5.xml><?xml version="1.0" encoding="utf-8"?>
<ds:datastoreItem xmlns:ds="http://schemas.openxmlformats.org/officeDocument/2006/customXml" ds:itemID="{43A187C5-E97E-41BE-8AB8-6CF0220FC3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Lisette Du Plessis</cp:lastModifiedBy>
  <cp:revision>3</cp:revision>
  <cp:lastPrinted>2023-10-01T23:04:00Z</cp:lastPrinted>
  <dcterms:created xsi:type="dcterms:W3CDTF">2023-10-01T22:53:00Z</dcterms:created>
  <dcterms:modified xsi:type="dcterms:W3CDTF">2023-10-01T23:13:00Z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Method">
    <vt:lpwstr>Privileged</vt:lpwstr>
  </property>
  <property fmtid="{D5CDD505-2E9C-101B-9397-08002B2CF9AE}" pid="4" name="MSIP_Label_52dda6cc-d61d-4fd2-bf18-9b3017d931cc_Name">
    <vt:lpwstr>[UNCLASSIFIED]</vt:lpwstr>
  </property>
  <property fmtid="{D5CDD505-2E9C-101B-9397-08002B2CF9AE}" pid="5" name="MSIP_Label_52dda6cc-d61d-4fd2-bf18-9b3017d931cc_SiteId">
    <vt:lpwstr>761dd003-d4ff-4049-8a72-8549b20fcbb1</vt:lpwstr>
  </property>
  <property fmtid="{D5CDD505-2E9C-101B-9397-08002B2CF9AE}" pid="6" name="MSIP_Label_52dda6cc-d61d-4fd2-bf18-9b3017d931cc_ContentBits">
    <vt:lpwstr>0</vt:lpwstr>
  </property>
  <property fmtid="{D5CDD505-2E9C-101B-9397-08002B2CF9AE}" pid="7" name="MediaServiceImageTags">
    <vt:lpwstr/>
  </property>
  <property fmtid="{D5CDD505-2E9C-101B-9397-08002B2CF9AE}" pid="8" name="xd_ProgID">
    <vt:lpwstr/>
  </property>
  <property fmtid="{D5CDD505-2E9C-101B-9397-08002B2CF9AE}" pid="9" name="ContentTypeId">
    <vt:lpwstr>0x010100EA5FB0BEBF7DE54D9F252D8A06C053F7</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xd_Signature">
    <vt:bool>false</vt:bool>
  </property>
  <property fmtid="{D5CDD505-2E9C-101B-9397-08002B2CF9AE}" pid="14" name="_dlc_DocIdItemGuid">
    <vt:lpwstr>85cb3c1d-2700-4011-a31b-db3faa800552</vt:lpwstr>
  </property>
  <property fmtid="{D5CDD505-2E9C-101B-9397-08002B2CF9AE}" pid="15" name="TriggerFlowInfo">
    <vt:lpwstr/>
  </property>
  <property fmtid="{D5CDD505-2E9C-101B-9397-08002B2CF9AE}" pid="16" name="Order">
    <vt:r8>9970200</vt:r8>
  </property>
  <property fmtid="{D5CDD505-2E9C-101B-9397-08002B2CF9AE}" pid="17" name="MSIP_Label_52dda6cc-d61d-4fd2-bf18-9b3017d931cc_SetDate">
    <vt:lpwstr>2021-05-25T22:11:25Z</vt:lpwstr>
  </property>
  <property fmtid="{D5CDD505-2E9C-101B-9397-08002B2CF9AE}" pid="18" name="MSIP_Label_52dda6cc-d61d-4fd2-bf18-9b3017d931cc_ActionId">
    <vt:lpwstr>731e7918-3ffb-4c6a-9229-fd7813de85ec</vt:lpwstr>
  </property>
</Properties>
</file>