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31E" w:rsidRPr="00A03684" w:rsidRDefault="005C4C02" w:rsidP="00CF205A">
      <w:pPr>
        <w:pStyle w:val="BodyText"/>
      </w:pPr>
      <w:r>
        <w:rPr>
          <w:noProof/>
        </w:rPr>
        <w:drawing>
          <wp:anchor distT="0" distB="0" distL="114300" distR="114300" simplePos="0" relativeHeight="251660288" behindDoc="0" locked="0" layoutInCell="1" allowOverlap="1" wp14:anchorId="1A997CCE" wp14:editId="440B6C0E">
            <wp:simplePos x="0" y="0"/>
            <wp:positionH relativeFrom="column">
              <wp:posOffset>-930275</wp:posOffset>
            </wp:positionH>
            <wp:positionV relativeFrom="paragraph">
              <wp:posOffset>-3637915</wp:posOffset>
            </wp:positionV>
            <wp:extent cx="7608552" cy="10762678"/>
            <wp:effectExtent l="0" t="0" r="0" b="63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8552" cy="10762678"/>
                    </a:xfrm>
                    <a:prstGeom prst="rect">
                      <a:avLst/>
                    </a:prstGeom>
                  </pic:spPr>
                </pic:pic>
              </a:graphicData>
            </a:graphic>
            <wp14:sizeRelH relativeFrom="margin">
              <wp14:pctWidth>0</wp14:pctWidth>
            </wp14:sizeRelH>
            <wp14:sizeRelV relativeFrom="margin">
              <wp14:pctHeight>0</wp14:pctHeight>
            </wp14:sizeRelV>
          </wp:anchor>
        </w:drawing>
      </w:r>
    </w:p>
    <w:p w:rsidR="00E16473" w:rsidRPr="00A03684" w:rsidRDefault="00E16473" w:rsidP="00CF205A">
      <w:pPr>
        <w:pStyle w:val="BodyText"/>
      </w:pPr>
    </w:p>
    <w:p w:rsidR="0003640E" w:rsidRPr="00A03684" w:rsidRDefault="0003640E" w:rsidP="00CF205A">
      <w:pPr>
        <w:pStyle w:val="BodyText"/>
      </w:pPr>
    </w:p>
    <w:p w:rsidR="0003640E" w:rsidRPr="00A03684" w:rsidRDefault="0003640E" w:rsidP="007611D9">
      <w:pPr>
        <w:jc w:val="center"/>
        <w:rPr>
          <w:color w:val="FF0000"/>
        </w:rPr>
        <w:sectPr w:rsidR="0003640E" w:rsidRPr="00A03684" w:rsidSect="0036151C">
          <w:headerReference w:type="even" r:id="rId9"/>
          <w:headerReference w:type="default" r:id="rId10"/>
          <w:footerReference w:type="even" r:id="rId11"/>
          <w:footerReference w:type="default" r:id="rId12"/>
          <w:headerReference w:type="first" r:id="rId13"/>
          <w:footerReference w:type="first" r:id="rId14"/>
          <w:pgSz w:w="11907" w:h="16840" w:code="9"/>
          <w:pgMar w:top="5670" w:right="1418" w:bottom="1701" w:left="1418" w:header="567" w:footer="1134" w:gutter="0"/>
          <w:cols w:space="720"/>
        </w:sectPr>
      </w:pPr>
    </w:p>
    <w:p w:rsidR="00452EC4" w:rsidRPr="00A03684" w:rsidRDefault="00452EC4" w:rsidP="007611D9">
      <w:pPr>
        <w:pStyle w:val="Imprint"/>
        <w:spacing w:before="0" w:after="0"/>
        <w:rPr>
          <w:b/>
        </w:rPr>
      </w:pPr>
      <w:r w:rsidRPr="00A03684">
        <w:rPr>
          <w:b/>
        </w:rPr>
        <w:t>Disclaimer</w:t>
      </w:r>
    </w:p>
    <w:p w:rsidR="00E873A9" w:rsidRPr="008A09D3" w:rsidRDefault="00E873A9" w:rsidP="00E873A9">
      <w:pPr>
        <w:pStyle w:val="BodyText"/>
      </w:pPr>
      <w:r w:rsidRPr="008F26BC">
        <w:t>The information in this publication is, according to the Ministry for the Environment’s best efforts, accurate at the time of publication. The Ministry will make every reasonable effort to keep it current and accurate. However, users of this publication are advised that:</w:t>
      </w:r>
      <w:r w:rsidRPr="008A09D3">
        <w:t xml:space="preserve"> </w:t>
      </w:r>
    </w:p>
    <w:p w:rsidR="00E873A9" w:rsidRDefault="00E873A9" w:rsidP="00E873A9">
      <w:pPr>
        <w:pStyle w:val="Bullets"/>
      </w:pPr>
      <w:r>
        <w:t xml:space="preserve">The information does not alter the laws of New Zealand, other official guidelines, or requirements. </w:t>
      </w:r>
    </w:p>
    <w:p w:rsidR="00E873A9" w:rsidRDefault="00E873A9" w:rsidP="00E873A9">
      <w:pPr>
        <w:pStyle w:val="Bullets"/>
      </w:pPr>
      <w:r>
        <w:t xml:space="preserve">It does not constitute legal advice, and users should take specific advice from qualified professionals before taking any action based on information in this publication. </w:t>
      </w:r>
    </w:p>
    <w:p w:rsidR="00E873A9" w:rsidRDefault="00E873A9" w:rsidP="00E873A9">
      <w:pPr>
        <w:pStyle w:val="Bullets"/>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rsidR="00452EC4" w:rsidRPr="00A03684" w:rsidRDefault="00E873A9" w:rsidP="007611D9">
      <w:pPr>
        <w:pStyle w:val="Bullets"/>
        <w:spacing w:after="240"/>
      </w:pPr>
      <w:r>
        <w:t>All references to websites, organisations or people not within the Ministry are for convenience only and should not be taken as endorsement of those websites or information contained in those websites nor of organisations or people referred to.</w:t>
      </w:r>
      <w:r w:rsidRPr="008A09D3">
        <w:t xml:space="preserve"> </w:t>
      </w:r>
    </w:p>
    <w:p w:rsidR="002C7747" w:rsidRPr="00A03684" w:rsidRDefault="002C7747" w:rsidP="007611D9">
      <w:pPr>
        <w:pStyle w:val="Imprint"/>
      </w:pPr>
    </w:p>
    <w:p w:rsidR="002C7747" w:rsidRPr="00A03684" w:rsidRDefault="002C7747" w:rsidP="007611D9">
      <w:pPr>
        <w:pStyle w:val="Imprint"/>
      </w:pPr>
    </w:p>
    <w:p w:rsidR="00452EC4" w:rsidRPr="00A03684" w:rsidRDefault="00452EC4" w:rsidP="007611D9">
      <w:pPr>
        <w:pStyle w:val="Imprint"/>
      </w:pPr>
      <w:r w:rsidRPr="00A03684">
        <w:t xml:space="preserve">This </w:t>
      </w:r>
      <w:r w:rsidR="00775F57" w:rsidRPr="00A03684">
        <w:t>document</w:t>
      </w:r>
      <w:r w:rsidRPr="00A03684">
        <w:t xml:space="preserve"> may be cited as:</w:t>
      </w:r>
      <w:r w:rsidR="00775F57" w:rsidRPr="00A03684">
        <w:t xml:space="preserve"> Ministry for the Environment. </w:t>
      </w:r>
      <w:r w:rsidR="002C7747" w:rsidRPr="00A03684">
        <w:t>2021</w:t>
      </w:r>
      <w:r w:rsidR="00775F57" w:rsidRPr="00A03684">
        <w:t xml:space="preserve">. </w:t>
      </w:r>
      <w:r w:rsidR="002C7747" w:rsidRPr="00A03684">
        <w:rPr>
          <w:i/>
        </w:rPr>
        <w:t xml:space="preserve">Reforming industrial allocation </w:t>
      </w:r>
      <w:r w:rsidR="005C4C02">
        <w:rPr>
          <w:i/>
        </w:rPr>
        <w:t xml:space="preserve">in the </w:t>
      </w:r>
      <w:r w:rsidR="002C7747" w:rsidRPr="00A03684">
        <w:rPr>
          <w:i/>
        </w:rPr>
        <w:t>New Zealand</w:t>
      </w:r>
      <w:r w:rsidR="005C4C02">
        <w:rPr>
          <w:i/>
        </w:rPr>
        <w:t xml:space="preserve"> Emissions Trading Scheme</w:t>
      </w:r>
      <w:r w:rsidR="002C7747" w:rsidRPr="00A03684">
        <w:rPr>
          <w:i/>
        </w:rPr>
        <w:t>:</w:t>
      </w:r>
      <w:r w:rsidR="002C7747" w:rsidRPr="00A03684">
        <w:t xml:space="preserve"> </w:t>
      </w:r>
      <w:r w:rsidR="00C43367">
        <w:rPr>
          <w:i/>
        </w:rPr>
        <w:t>Consultation</w:t>
      </w:r>
      <w:r w:rsidR="00C43367" w:rsidRPr="00A03684">
        <w:rPr>
          <w:i/>
        </w:rPr>
        <w:t xml:space="preserve"> </w:t>
      </w:r>
      <w:r w:rsidR="002C7747" w:rsidRPr="00A03684">
        <w:rPr>
          <w:i/>
        </w:rPr>
        <w:t>document</w:t>
      </w:r>
      <w:r w:rsidR="00775F57" w:rsidRPr="00A03684">
        <w:t>. Wellington: Ministry for the Environment.</w:t>
      </w:r>
    </w:p>
    <w:p w:rsidR="0080531E" w:rsidRPr="00A03684" w:rsidRDefault="0080531E" w:rsidP="007611D9">
      <w:pPr>
        <w:pStyle w:val="Imprint"/>
      </w:pPr>
    </w:p>
    <w:p w:rsidR="0080531E" w:rsidRPr="00A03684" w:rsidRDefault="0080531E" w:rsidP="007611D9">
      <w:pPr>
        <w:pStyle w:val="Imprint"/>
      </w:pPr>
    </w:p>
    <w:p w:rsidR="0080531E" w:rsidRPr="00A03684" w:rsidRDefault="0080531E" w:rsidP="007611D9">
      <w:pPr>
        <w:pStyle w:val="Imprint"/>
      </w:pPr>
    </w:p>
    <w:p w:rsidR="0080531E" w:rsidRPr="00A03684" w:rsidRDefault="0080531E" w:rsidP="007611D9">
      <w:pPr>
        <w:pStyle w:val="Imprint"/>
      </w:pPr>
    </w:p>
    <w:p w:rsidR="0080531E" w:rsidRPr="00A03684" w:rsidRDefault="0080531E" w:rsidP="007611D9">
      <w:pPr>
        <w:pStyle w:val="Imprint"/>
      </w:pPr>
    </w:p>
    <w:p w:rsidR="0080531E" w:rsidRPr="00A03684" w:rsidRDefault="0080531E" w:rsidP="007611D9">
      <w:pPr>
        <w:pStyle w:val="Imprint"/>
      </w:pPr>
    </w:p>
    <w:p w:rsidR="00663783" w:rsidRPr="00A03684" w:rsidRDefault="00663783" w:rsidP="007611D9">
      <w:pPr>
        <w:pStyle w:val="Imprint"/>
      </w:pPr>
    </w:p>
    <w:p w:rsidR="00760C00" w:rsidRPr="00A03684" w:rsidRDefault="00760C00" w:rsidP="002C7747">
      <w:pPr>
        <w:pStyle w:val="Imprint"/>
        <w:spacing w:after="0"/>
      </w:pPr>
    </w:p>
    <w:p w:rsidR="0080531E" w:rsidRPr="00A03684" w:rsidRDefault="0080531E" w:rsidP="002C7747">
      <w:pPr>
        <w:pStyle w:val="Imprint"/>
        <w:spacing w:before="0"/>
      </w:pPr>
      <w:r w:rsidRPr="00A03684">
        <w:t xml:space="preserve">Published in </w:t>
      </w:r>
      <w:r w:rsidR="00C43367">
        <w:t xml:space="preserve">July </w:t>
      </w:r>
      <w:r w:rsidR="002C7747" w:rsidRPr="00A03684">
        <w:t>2021</w:t>
      </w:r>
      <w:r w:rsidRPr="00A03684">
        <w:t xml:space="preserve"> by the</w:t>
      </w:r>
      <w:r w:rsidRPr="00A03684">
        <w:br/>
        <w:t xml:space="preserve">Ministry for the Environment </w:t>
      </w:r>
      <w:r w:rsidRPr="00A03684">
        <w:br/>
        <w:t>Manatū Mō Te Taiao</w:t>
      </w:r>
      <w:r w:rsidRPr="00A03684">
        <w:br/>
        <w:t>PO Box 10362, Wellington 6143, New Zealand</w:t>
      </w:r>
    </w:p>
    <w:p w:rsidR="0080531E" w:rsidRPr="007033A6" w:rsidRDefault="0080531E" w:rsidP="007033A6">
      <w:pPr>
        <w:spacing w:before="0" w:after="0" w:line="240" w:lineRule="auto"/>
        <w:jc w:val="left"/>
        <w:rPr>
          <w:rFonts w:eastAsia="Times New Roman" w:cs="Calibri"/>
        </w:rPr>
      </w:pPr>
      <w:r w:rsidRPr="00A03684">
        <w:t>ISBN:</w:t>
      </w:r>
      <w:r w:rsidR="007033A6">
        <w:t xml:space="preserve"> </w:t>
      </w:r>
      <w:r w:rsidR="007033A6" w:rsidRPr="007033A6">
        <w:rPr>
          <w:rFonts w:eastAsia="Times New Roman" w:cs="Calibri"/>
        </w:rPr>
        <w:t>978-1-99-003360-5</w:t>
      </w:r>
      <w:r w:rsidRPr="00A03684">
        <w:t xml:space="preserve"> </w:t>
      </w:r>
      <w:r w:rsidR="00E873A9">
        <w:br/>
      </w:r>
      <w:r w:rsidRPr="00A03684">
        <w:t>Publication number:</w:t>
      </w:r>
      <w:r w:rsidR="007033A6">
        <w:t xml:space="preserve"> ME 1573</w:t>
      </w:r>
      <w:r w:rsidRPr="00A03684">
        <w:t xml:space="preserve"> </w:t>
      </w:r>
    </w:p>
    <w:p w:rsidR="0080531E" w:rsidRPr="00A03684" w:rsidRDefault="0080531E" w:rsidP="007611D9">
      <w:pPr>
        <w:pStyle w:val="Imprint"/>
        <w:spacing w:after="80"/>
      </w:pPr>
      <w:r w:rsidRPr="00A03684">
        <w:t xml:space="preserve">© Crown copyright New Zealand </w:t>
      </w:r>
      <w:r w:rsidR="00104E70" w:rsidRPr="00A03684">
        <w:t>2021</w:t>
      </w:r>
    </w:p>
    <w:p w:rsidR="00C04705" w:rsidRPr="00A03684" w:rsidRDefault="0080531E" w:rsidP="007611D9">
      <w:pPr>
        <w:pStyle w:val="Imprint"/>
        <w:spacing w:before="240" w:after="0"/>
        <w:rPr>
          <w:rStyle w:val="Hyperlink"/>
          <w:color w:val="auto"/>
        </w:rPr>
      </w:pPr>
      <w:r w:rsidRPr="00A03684">
        <w:t>This document is available on the Ministry for</w:t>
      </w:r>
      <w:r w:rsidR="004C4E8A" w:rsidRPr="00A03684">
        <w:t xml:space="preserve"> the Environment </w:t>
      </w:r>
      <w:r w:rsidR="00CB557F" w:rsidRPr="00A03684">
        <w:t>website</w:t>
      </w:r>
      <w:r w:rsidRPr="00A03684">
        <w:t xml:space="preserve">: </w:t>
      </w:r>
      <w:hyperlink r:id="rId15" w:history="1">
        <w:r w:rsidR="00E873A9" w:rsidRPr="003B1910">
          <w:rPr>
            <w:rStyle w:val="Hyperlink"/>
            <w:color w:val="1C556C"/>
          </w:rPr>
          <w:t>environment</w:t>
        </w:r>
        <w:r w:rsidRPr="003B1910">
          <w:rPr>
            <w:rStyle w:val="Hyperlink"/>
            <w:color w:val="1C556C"/>
          </w:rPr>
          <w:t>.govt.nz</w:t>
        </w:r>
      </w:hyperlink>
      <w:r w:rsidR="00B51610" w:rsidRPr="00A03684">
        <w:rPr>
          <w:rStyle w:val="Hyperlink"/>
          <w:color w:val="auto"/>
        </w:rPr>
        <w:t>.</w:t>
      </w:r>
    </w:p>
    <w:p w:rsidR="0080531E" w:rsidRPr="00A03684" w:rsidRDefault="0080531E" w:rsidP="006D664D">
      <w:pPr>
        <w:pStyle w:val="Imprint"/>
        <w:spacing w:before="240" w:after="0"/>
        <w:sectPr w:rsidR="0080531E" w:rsidRPr="00A03684" w:rsidSect="00FC3388">
          <w:headerReference w:type="even" r:id="rId16"/>
          <w:headerReference w:type="default" r:id="rId17"/>
          <w:footerReference w:type="even" r:id="rId18"/>
          <w:footerReference w:type="default" r:id="rId19"/>
          <w:pgSz w:w="11907" w:h="16840" w:code="9"/>
          <w:pgMar w:top="1134" w:right="1701" w:bottom="1134" w:left="1701" w:header="567" w:footer="567" w:gutter="0"/>
          <w:pgNumType w:fmt="lowerRoman"/>
          <w:cols w:space="720"/>
        </w:sectPr>
      </w:pPr>
    </w:p>
    <w:p w:rsidR="0080531E" w:rsidRPr="00A03684" w:rsidRDefault="0080531E" w:rsidP="002C7747">
      <w:pPr>
        <w:pStyle w:val="Heading"/>
      </w:pPr>
      <w:r w:rsidRPr="00A03684">
        <w:t>Contents</w:t>
      </w:r>
    </w:p>
    <w:bookmarkStart w:id="0" w:name="_Hlk74230019"/>
    <w:p w:rsidR="00236130" w:rsidRDefault="00775F57">
      <w:pPr>
        <w:pStyle w:val="TOC1"/>
        <w:rPr>
          <w:rFonts w:asciiTheme="minorHAnsi" w:hAnsiTheme="minorHAnsi"/>
          <w:noProof/>
        </w:rPr>
      </w:pPr>
      <w:r w:rsidRPr="00A03684">
        <w:rPr>
          <w:color w:val="0092CF"/>
        </w:rPr>
        <w:fldChar w:fldCharType="begin"/>
      </w:r>
      <w:r w:rsidRPr="00A03684">
        <w:rPr>
          <w:color w:val="0092CF"/>
        </w:rPr>
        <w:instrText xml:space="preserve"> TOC \h \z \t "Heading 1,1,Heading 2,2" </w:instrText>
      </w:r>
      <w:r w:rsidRPr="00A03684">
        <w:rPr>
          <w:color w:val="0092CF"/>
        </w:rPr>
        <w:fldChar w:fldCharType="separate"/>
      </w:r>
      <w:hyperlink w:anchor="_Toc75336443" w:history="1">
        <w:r w:rsidR="00236130" w:rsidRPr="00337DC6">
          <w:rPr>
            <w:rStyle w:val="Hyperlink"/>
            <w:noProof/>
          </w:rPr>
          <w:t>Message from the Minister</w:t>
        </w:r>
        <w:r w:rsidR="00236130">
          <w:rPr>
            <w:noProof/>
            <w:webHidden/>
          </w:rPr>
          <w:tab/>
        </w:r>
        <w:r w:rsidR="00236130">
          <w:rPr>
            <w:noProof/>
            <w:webHidden/>
          </w:rPr>
          <w:fldChar w:fldCharType="begin"/>
        </w:r>
        <w:r w:rsidR="00236130">
          <w:rPr>
            <w:noProof/>
            <w:webHidden/>
          </w:rPr>
          <w:instrText xml:space="preserve"> PAGEREF _Toc75336443 \h </w:instrText>
        </w:r>
        <w:r w:rsidR="00236130">
          <w:rPr>
            <w:noProof/>
            <w:webHidden/>
          </w:rPr>
        </w:r>
        <w:r w:rsidR="00236130">
          <w:rPr>
            <w:noProof/>
            <w:webHidden/>
          </w:rPr>
          <w:fldChar w:fldCharType="separate"/>
        </w:r>
        <w:r w:rsidR="00881FF0">
          <w:rPr>
            <w:noProof/>
            <w:webHidden/>
          </w:rPr>
          <w:t>6</w:t>
        </w:r>
        <w:r w:rsidR="00236130">
          <w:rPr>
            <w:noProof/>
            <w:webHidden/>
          </w:rPr>
          <w:fldChar w:fldCharType="end"/>
        </w:r>
      </w:hyperlink>
    </w:p>
    <w:p w:rsidR="00236130" w:rsidRDefault="00976FAC">
      <w:pPr>
        <w:pStyle w:val="TOC1"/>
        <w:rPr>
          <w:rFonts w:asciiTheme="minorHAnsi" w:hAnsiTheme="minorHAnsi"/>
          <w:noProof/>
        </w:rPr>
      </w:pPr>
      <w:hyperlink w:anchor="_Toc75336444" w:history="1">
        <w:r w:rsidR="00236130" w:rsidRPr="00337DC6">
          <w:rPr>
            <w:rStyle w:val="Hyperlink"/>
            <w:noProof/>
          </w:rPr>
          <w:t>About this consultation</w:t>
        </w:r>
        <w:r w:rsidR="00236130">
          <w:rPr>
            <w:noProof/>
            <w:webHidden/>
          </w:rPr>
          <w:tab/>
        </w:r>
        <w:r w:rsidR="00236130">
          <w:rPr>
            <w:noProof/>
            <w:webHidden/>
          </w:rPr>
          <w:fldChar w:fldCharType="begin"/>
        </w:r>
        <w:r w:rsidR="00236130">
          <w:rPr>
            <w:noProof/>
            <w:webHidden/>
          </w:rPr>
          <w:instrText xml:space="preserve"> PAGEREF _Toc75336444 \h </w:instrText>
        </w:r>
        <w:r w:rsidR="00236130">
          <w:rPr>
            <w:noProof/>
            <w:webHidden/>
          </w:rPr>
        </w:r>
        <w:r w:rsidR="00236130">
          <w:rPr>
            <w:noProof/>
            <w:webHidden/>
          </w:rPr>
          <w:fldChar w:fldCharType="separate"/>
        </w:r>
        <w:r w:rsidR="00881FF0">
          <w:rPr>
            <w:noProof/>
            <w:webHidden/>
          </w:rPr>
          <w:t>7</w:t>
        </w:r>
        <w:r w:rsidR="00236130">
          <w:rPr>
            <w:noProof/>
            <w:webHidden/>
          </w:rPr>
          <w:fldChar w:fldCharType="end"/>
        </w:r>
      </w:hyperlink>
    </w:p>
    <w:p w:rsidR="00236130" w:rsidRDefault="00976FAC">
      <w:pPr>
        <w:pStyle w:val="TOC2"/>
        <w:rPr>
          <w:rFonts w:asciiTheme="minorHAnsi" w:hAnsiTheme="minorHAnsi"/>
          <w:noProof/>
        </w:rPr>
      </w:pPr>
      <w:hyperlink w:anchor="_Toc75336445" w:history="1">
        <w:r w:rsidR="00236130" w:rsidRPr="00337DC6">
          <w:rPr>
            <w:rStyle w:val="Hyperlink"/>
            <w:noProof/>
          </w:rPr>
          <w:t>We are seeking your feedback for a review of industrial allocation</w:t>
        </w:r>
        <w:r w:rsidR="00236130">
          <w:rPr>
            <w:noProof/>
            <w:webHidden/>
          </w:rPr>
          <w:tab/>
        </w:r>
        <w:r w:rsidR="00236130">
          <w:rPr>
            <w:noProof/>
            <w:webHidden/>
          </w:rPr>
          <w:fldChar w:fldCharType="begin"/>
        </w:r>
        <w:r w:rsidR="00236130">
          <w:rPr>
            <w:noProof/>
            <w:webHidden/>
          </w:rPr>
          <w:instrText xml:space="preserve"> PAGEREF _Toc75336445 \h </w:instrText>
        </w:r>
        <w:r w:rsidR="00236130">
          <w:rPr>
            <w:noProof/>
            <w:webHidden/>
          </w:rPr>
        </w:r>
        <w:r w:rsidR="00236130">
          <w:rPr>
            <w:noProof/>
            <w:webHidden/>
          </w:rPr>
          <w:fldChar w:fldCharType="separate"/>
        </w:r>
        <w:r w:rsidR="00881FF0">
          <w:rPr>
            <w:noProof/>
            <w:webHidden/>
          </w:rPr>
          <w:t>7</w:t>
        </w:r>
        <w:r w:rsidR="00236130">
          <w:rPr>
            <w:noProof/>
            <w:webHidden/>
          </w:rPr>
          <w:fldChar w:fldCharType="end"/>
        </w:r>
      </w:hyperlink>
    </w:p>
    <w:p w:rsidR="00236130" w:rsidRDefault="00976FAC">
      <w:pPr>
        <w:pStyle w:val="TOC2"/>
        <w:rPr>
          <w:rFonts w:asciiTheme="minorHAnsi" w:hAnsiTheme="minorHAnsi"/>
          <w:noProof/>
        </w:rPr>
      </w:pPr>
      <w:hyperlink w:anchor="_Toc75336446" w:history="1">
        <w:r w:rsidR="00236130" w:rsidRPr="00337DC6">
          <w:rPr>
            <w:rStyle w:val="Hyperlink"/>
            <w:noProof/>
          </w:rPr>
          <w:t>What this consultation document covers</w:t>
        </w:r>
        <w:r w:rsidR="00236130">
          <w:rPr>
            <w:noProof/>
            <w:webHidden/>
          </w:rPr>
          <w:tab/>
        </w:r>
        <w:r w:rsidR="00236130">
          <w:rPr>
            <w:noProof/>
            <w:webHidden/>
          </w:rPr>
          <w:fldChar w:fldCharType="begin"/>
        </w:r>
        <w:r w:rsidR="00236130">
          <w:rPr>
            <w:noProof/>
            <w:webHidden/>
          </w:rPr>
          <w:instrText xml:space="preserve"> PAGEREF _Toc75336446 \h </w:instrText>
        </w:r>
        <w:r w:rsidR="00236130">
          <w:rPr>
            <w:noProof/>
            <w:webHidden/>
          </w:rPr>
        </w:r>
        <w:r w:rsidR="00236130">
          <w:rPr>
            <w:noProof/>
            <w:webHidden/>
          </w:rPr>
          <w:fldChar w:fldCharType="separate"/>
        </w:r>
        <w:r w:rsidR="00881FF0">
          <w:rPr>
            <w:noProof/>
            <w:webHidden/>
          </w:rPr>
          <w:t>8</w:t>
        </w:r>
        <w:r w:rsidR="00236130">
          <w:rPr>
            <w:noProof/>
            <w:webHidden/>
          </w:rPr>
          <w:fldChar w:fldCharType="end"/>
        </w:r>
      </w:hyperlink>
    </w:p>
    <w:p w:rsidR="00236130" w:rsidRDefault="00976FAC">
      <w:pPr>
        <w:pStyle w:val="TOC2"/>
        <w:rPr>
          <w:rFonts w:asciiTheme="minorHAnsi" w:hAnsiTheme="minorHAnsi"/>
          <w:noProof/>
        </w:rPr>
      </w:pPr>
      <w:hyperlink w:anchor="_Toc75336447" w:history="1">
        <w:r w:rsidR="00236130" w:rsidRPr="00337DC6">
          <w:rPr>
            <w:rStyle w:val="Hyperlink"/>
            <w:noProof/>
          </w:rPr>
          <w:t>What it doesn’t cover</w:t>
        </w:r>
        <w:r w:rsidR="00236130">
          <w:rPr>
            <w:noProof/>
            <w:webHidden/>
          </w:rPr>
          <w:tab/>
        </w:r>
        <w:r w:rsidR="00236130">
          <w:rPr>
            <w:noProof/>
            <w:webHidden/>
          </w:rPr>
          <w:fldChar w:fldCharType="begin"/>
        </w:r>
        <w:r w:rsidR="00236130">
          <w:rPr>
            <w:noProof/>
            <w:webHidden/>
          </w:rPr>
          <w:instrText xml:space="preserve"> PAGEREF _Toc75336447 \h </w:instrText>
        </w:r>
        <w:r w:rsidR="00236130">
          <w:rPr>
            <w:noProof/>
            <w:webHidden/>
          </w:rPr>
        </w:r>
        <w:r w:rsidR="00236130">
          <w:rPr>
            <w:noProof/>
            <w:webHidden/>
          </w:rPr>
          <w:fldChar w:fldCharType="separate"/>
        </w:r>
        <w:r w:rsidR="00881FF0">
          <w:rPr>
            <w:noProof/>
            <w:webHidden/>
          </w:rPr>
          <w:t>8</w:t>
        </w:r>
        <w:r w:rsidR="00236130">
          <w:rPr>
            <w:noProof/>
            <w:webHidden/>
          </w:rPr>
          <w:fldChar w:fldCharType="end"/>
        </w:r>
      </w:hyperlink>
    </w:p>
    <w:p w:rsidR="00236130" w:rsidRDefault="00976FAC">
      <w:pPr>
        <w:pStyle w:val="TOC2"/>
        <w:rPr>
          <w:rFonts w:asciiTheme="minorHAnsi" w:hAnsiTheme="minorHAnsi"/>
          <w:noProof/>
        </w:rPr>
      </w:pPr>
      <w:hyperlink w:anchor="_Toc75336448" w:history="1">
        <w:r w:rsidR="00236130" w:rsidRPr="00337DC6">
          <w:rPr>
            <w:rStyle w:val="Hyperlink"/>
            <w:noProof/>
          </w:rPr>
          <w:t>Consultation on NZ ETS market governance</w:t>
        </w:r>
        <w:r w:rsidR="00236130">
          <w:rPr>
            <w:noProof/>
            <w:webHidden/>
          </w:rPr>
          <w:tab/>
        </w:r>
        <w:r w:rsidR="00236130">
          <w:rPr>
            <w:noProof/>
            <w:webHidden/>
          </w:rPr>
          <w:fldChar w:fldCharType="begin"/>
        </w:r>
        <w:r w:rsidR="00236130">
          <w:rPr>
            <w:noProof/>
            <w:webHidden/>
          </w:rPr>
          <w:instrText xml:space="preserve"> PAGEREF _Toc75336448 \h </w:instrText>
        </w:r>
        <w:r w:rsidR="00236130">
          <w:rPr>
            <w:noProof/>
            <w:webHidden/>
          </w:rPr>
        </w:r>
        <w:r w:rsidR="00236130">
          <w:rPr>
            <w:noProof/>
            <w:webHidden/>
          </w:rPr>
          <w:fldChar w:fldCharType="separate"/>
        </w:r>
        <w:r w:rsidR="00881FF0">
          <w:rPr>
            <w:noProof/>
            <w:webHidden/>
          </w:rPr>
          <w:t>9</w:t>
        </w:r>
        <w:r w:rsidR="00236130">
          <w:rPr>
            <w:noProof/>
            <w:webHidden/>
          </w:rPr>
          <w:fldChar w:fldCharType="end"/>
        </w:r>
      </w:hyperlink>
    </w:p>
    <w:p w:rsidR="00236130" w:rsidRDefault="00976FAC">
      <w:pPr>
        <w:pStyle w:val="TOC2"/>
        <w:rPr>
          <w:rFonts w:asciiTheme="minorHAnsi" w:hAnsiTheme="minorHAnsi"/>
          <w:noProof/>
        </w:rPr>
      </w:pPr>
      <w:hyperlink w:anchor="_Toc75336449" w:history="1">
        <w:r w:rsidR="00236130" w:rsidRPr="00337DC6">
          <w:rPr>
            <w:rStyle w:val="Hyperlink"/>
            <w:noProof/>
          </w:rPr>
          <w:t>Next steps</w:t>
        </w:r>
        <w:r w:rsidR="00236130">
          <w:rPr>
            <w:noProof/>
            <w:webHidden/>
          </w:rPr>
          <w:tab/>
        </w:r>
        <w:r w:rsidR="00236130">
          <w:rPr>
            <w:noProof/>
            <w:webHidden/>
          </w:rPr>
          <w:fldChar w:fldCharType="begin"/>
        </w:r>
        <w:r w:rsidR="00236130">
          <w:rPr>
            <w:noProof/>
            <w:webHidden/>
          </w:rPr>
          <w:instrText xml:space="preserve"> PAGEREF _Toc75336449 \h </w:instrText>
        </w:r>
        <w:r w:rsidR="00236130">
          <w:rPr>
            <w:noProof/>
            <w:webHidden/>
          </w:rPr>
        </w:r>
        <w:r w:rsidR="00236130">
          <w:rPr>
            <w:noProof/>
            <w:webHidden/>
          </w:rPr>
          <w:fldChar w:fldCharType="separate"/>
        </w:r>
        <w:r w:rsidR="00881FF0">
          <w:rPr>
            <w:noProof/>
            <w:webHidden/>
          </w:rPr>
          <w:t>9</w:t>
        </w:r>
        <w:r w:rsidR="00236130">
          <w:rPr>
            <w:noProof/>
            <w:webHidden/>
          </w:rPr>
          <w:fldChar w:fldCharType="end"/>
        </w:r>
      </w:hyperlink>
    </w:p>
    <w:p w:rsidR="00236130" w:rsidRDefault="00976FAC">
      <w:pPr>
        <w:pStyle w:val="TOC2"/>
        <w:rPr>
          <w:rFonts w:asciiTheme="minorHAnsi" w:hAnsiTheme="minorHAnsi"/>
          <w:noProof/>
        </w:rPr>
      </w:pPr>
      <w:hyperlink w:anchor="_Toc75336450" w:history="1">
        <w:r w:rsidR="00236130" w:rsidRPr="00337DC6">
          <w:rPr>
            <w:rStyle w:val="Hyperlink"/>
            <w:noProof/>
          </w:rPr>
          <w:t>More information</w:t>
        </w:r>
        <w:r w:rsidR="00236130">
          <w:rPr>
            <w:noProof/>
            <w:webHidden/>
          </w:rPr>
          <w:tab/>
        </w:r>
        <w:r w:rsidR="00236130">
          <w:rPr>
            <w:noProof/>
            <w:webHidden/>
          </w:rPr>
          <w:fldChar w:fldCharType="begin"/>
        </w:r>
        <w:r w:rsidR="00236130">
          <w:rPr>
            <w:noProof/>
            <w:webHidden/>
          </w:rPr>
          <w:instrText xml:space="preserve"> PAGEREF _Toc75336450 \h </w:instrText>
        </w:r>
        <w:r w:rsidR="00236130">
          <w:rPr>
            <w:noProof/>
            <w:webHidden/>
          </w:rPr>
        </w:r>
        <w:r w:rsidR="00236130">
          <w:rPr>
            <w:noProof/>
            <w:webHidden/>
          </w:rPr>
          <w:fldChar w:fldCharType="separate"/>
        </w:r>
        <w:r w:rsidR="00881FF0">
          <w:rPr>
            <w:noProof/>
            <w:webHidden/>
          </w:rPr>
          <w:t>9</w:t>
        </w:r>
        <w:r w:rsidR="00236130">
          <w:rPr>
            <w:noProof/>
            <w:webHidden/>
          </w:rPr>
          <w:fldChar w:fldCharType="end"/>
        </w:r>
      </w:hyperlink>
    </w:p>
    <w:p w:rsidR="00236130" w:rsidRDefault="00976FAC">
      <w:pPr>
        <w:pStyle w:val="TOC2"/>
        <w:rPr>
          <w:rFonts w:asciiTheme="minorHAnsi" w:hAnsiTheme="minorHAnsi"/>
          <w:noProof/>
        </w:rPr>
      </w:pPr>
      <w:hyperlink w:anchor="_Toc75336451" w:history="1">
        <w:r w:rsidR="00236130" w:rsidRPr="00337DC6">
          <w:rPr>
            <w:rStyle w:val="Hyperlink"/>
            <w:noProof/>
          </w:rPr>
          <w:t>Summary of proposals</w:t>
        </w:r>
        <w:r w:rsidR="00236130">
          <w:rPr>
            <w:noProof/>
            <w:webHidden/>
          </w:rPr>
          <w:tab/>
        </w:r>
        <w:r w:rsidR="00236130">
          <w:rPr>
            <w:noProof/>
            <w:webHidden/>
          </w:rPr>
          <w:fldChar w:fldCharType="begin"/>
        </w:r>
        <w:r w:rsidR="00236130">
          <w:rPr>
            <w:noProof/>
            <w:webHidden/>
          </w:rPr>
          <w:instrText xml:space="preserve"> PAGEREF _Toc75336451 \h </w:instrText>
        </w:r>
        <w:r w:rsidR="00236130">
          <w:rPr>
            <w:noProof/>
            <w:webHidden/>
          </w:rPr>
        </w:r>
        <w:r w:rsidR="00236130">
          <w:rPr>
            <w:noProof/>
            <w:webHidden/>
          </w:rPr>
          <w:fldChar w:fldCharType="separate"/>
        </w:r>
        <w:r w:rsidR="00881FF0">
          <w:rPr>
            <w:noProof/>
            <w:webHidden/>
          </w:rPr>
          <w:t>10</w:t>
        </w:r>
        <w:r w:rsidR="00236130">
          <w:rPr>
            <w:noProof/>
            <w:webHidden/>
          </w:rPr>
          <w:fldChar w:fldCharType="end"/>
        </w:r>
      </w:hyperlink>
    </w:p>
    <w:p w:rsidR="00236130" w:rsidRDefault="00976FAC">
      <w:pPr>
        <w:pStyle w:val="TOC1"/>
        <w:rPr>
          <w:rFonts w:asciiTheme="minorHAnsi" w:hAnsiTheme="minorHAnsi"/>
          <w:noProof/>
        </w:rPr>
      </w:pPr>
      <w:hyperlink w:anchor="_Toc75336452" w:history="1">
        <w:r w:rsidR="00236130" w:rsidRPr="00337DC6">
          <w:rPr>
            <w:rStyle w:val="Hyperlink"/>
            <w:noProof/>
          </w:rPr>
          <w:t>Section 1: Introduction and context</w:t>
        </w:r>
        <w:r w:rsidR="00236130">
          <w:rPr>
            <w:noProof/>
            <w:webHidden/>
          </w:rPr>
          <w:tab/>
        </w:r>
        <w:r w:rsidR="00236130">
          <w:rPr>
            <w:noProof/>
            <w:webHidden/>
          </w:rPr>
          <w:fldChar w:fldCharType="begin"/>
        </w:r>
        <w:r w:rsidR="00236130">
          <w:rPr>
            <w:noProof/>
            <w:webHidden/>
          </w:rPr>
          <w:instrText xml:space="preserve"> PAGEREF _Toc75336452 \h </w:instrText>
        </w:r>
        <w:r w:rsidR="00236130">
          <w:rPr>
            <w:noProof/>
            <w:webHidden/>
          </w:rPr>
        </w:r>
        <w:r w:rsidR="00236130">
          <w:rPr>
            <w:noProof/>
            <w:webHidden/>
          </w:rPr>
          <w:fldChar w:fldCharType="separate"/>
        </w:r>
        <w:r w:rsidR="00881FF0">
          <w:rPr>
            <w:noProof/>
            <w:webHidden/>
          </w:rPr>
          <w:t>11</w:t>
        </w:r>
        <w:r w:rsidR="00236130">
          <w:rPr>
            <w:noProof/>
            <w:webHidden/>
          </w:rPr>
          <w:fldChar w:fldCharType="end"/>
        </w:r>
      </w:hyperlink>
    </w:p>
    <w:p w:rsidR="00236130" w:rsidRDefault="00976FAC">
      <w:pPr>
        <w:pStyle w:val="TOC2"/>
        <w:rPr>
          <w:rFonts w:asciiTheme="minorHAnsi" w:hAnsiTheme="minorHAnsi"/>
          <w:noProof/>
        </w:rPr>
      </w:pPr>
      <w:hyperlink w:anchor="_Toc75336453" w:history="1">
        <w:r w:rsidR="00236130" w:rsidRPr="00337DC6">
          <w:rPr>
            <w:rStyle w:val="Hyperlink"/>
            <w:noProof/>
          </w:rPr>
          <w:t>The risk of emissions leakage</w:t>
        </w:r>
        <w:r w:rsidR="00236130">
          <w:rPr>
            <w:noProof/>
            <w:webHidden/>
          </w:rPr>
          <w:tab/>
        </w:r>
        <w:r w:rsidR="00236130">
          <w:rPr>
            <w:noProof/>
            <w:webHidden/>
          </w:rPr>
          <w:fldChar w:fldCharType="begin"/>
        </w:r>
        <w:r w:rsidR="00236130">
          <w:rPr>
            <w:noProof/>
            <w:webHidden/>
          </w:rPr>
          <w:instrText xml:space="preserve"> PAGEREF _Toc75336453 \h </w:instrText>
        </w:r>
        <w:r w:rsidR="00236130">
          <w:rPr>
            <w:noProof/>
            <w:webHidden/>
          </w:rPr>
        </w:r>
        <w:r w:rsidR="00236130">
          <w:rPr>
            <w:noProof/>
            <w:webHidden/>
          </w:rPr>
          <w:fldChar w:fldCharType="separate"/>
        </w:r>
        <w:r w:rsidR="00881FF0">
          <w:rPr>
            <w:noProof/>
            <w:webHidden/>
          </w:rPr>
          <w:t>11</w:t>
        </w:r>
        <w:r w:rsidR="00236130">
          <w:rPr>
            <w:noProof/>
            <w:webHidden/>
          </w:rPr>
          <w:fldChar w:fldCharType="end"/>
        </w:r>
      </w:hyperlink>
    </w:p>
    <w:p w:rsidR="00236130" w:rsidRDefault="00976FAC">
      <w:pPr>
        <w:pStyle w:val="TOC2"/>
        <w:rPr>
          <w:rFonts w:asciiTheme="minorHAnsi" w:hAnsiTheme="minorHAnsi"/>
          <w:noProof/>
        </w:rPr>
      </w:pPr>
      <w:hyperlink w:anchor="_Toc75336454" w:history="1">
        <w:r w:rsidR="00236130" w:rsidRPr="00337DC6">
          <w:rPr>
            <w:rStyle w:val="Hyperlink"/>
            <w:noProof/>
          </w:rPr>
          <w:t>The current industrial allocation system</w:t>
        </w:r>
        <w:r w:rsidR="00236130">
          <w:rPr>
            <w:noProof/>
            <w:webHidden/>
          </w:rPr>
          <w:tab/>
        </w:r>
        <w:r w:rsidR="00236130">
          <w:rPr>
            <w:noProof/>
            <w:webHidden/>
          </w:rPr>
          <w:fldChar w:fldCharType="begin"/>
        </w:r>
        <w:r w:rsidR="00236130">
          <w:rPr>
            <w:noProof/>
            <w:webHidden/>
          </w:rPr>
          <w:instrText xml:space="preserve"> PAGEREF _Toc75336454 \h </w:instrText>
        </w:r>
        <w:r w:rsidR="00236130">
          <w:rPr>
            <w:noProof/>
            <w:webHidden/>
          </w:rPr>
        </w:r>
        <w:r w:rsidR="00236130">
          <w:rPr>
            <w:noProof/>
            <w:webHidden/>
          </w:rPr>
          <w:fldChar w:fldCharType="separate"/>
        </w:r>
        <w:r w:rsidR="00881FF0">
          <w:rPr>
            <w:noProof/>
            <w:webHidden/>
          </w:rPr>
          <w:t>12</w:t>
        </w:r>
        <w:r w:rsidR="00236130">
          <w:rPr>
            <w:noProof/>
            <w:webHidden/>
          </w:rPr>
          <w:fldChar w:fldCharType="end"/>
        </w:r>
      </w:hyperlink>
    </w:p>
    <w:p w:rsidR="00236130" w:rsidRDefault="00976FAC">
      <w:pPr>
        <w:pStyle w:val="TOC1"/>
        <w:rPr>
          <w:rFonts w:asciiTheme="minorHAnsi" w:hAnsiTheme="minorHAnsi"/>
          <w:noProof/>
        </w:rPr>
      </w:pPr>
      <w:hyperlink w:anchor="_Toc75336455" w:history="1">
        <w:r w:rsidR="00236130" w:rsidRPr="00337DC6">
          <w:rPr>
            <w:rStyle w:val="Hyperlink"/>
            <w:noProof/>
          </w:rPr>
          <w:t>Section 2: Problem definition and objectives</w:t>
        </w:r>
        <w:r w:rsidR="00236130">
          <w:rPr>
            <w:noProof/>
            <w:webHidden/>
          </w:rPr>
          <w:tab/>
        </w:r>
        <w:r w:rsidR="00236130">
          <w:rPr>
            <w:noProof/>
            <w:webHidden/>
          </w:rPr>
          <w:fldChar w:fldCharType="begin"/>
        </w:r>
        <w:r w:rsidR="00236130">
          <w:rPr>
            <w:noProof/>
            <w:webHidden/>
          </w:rPr>
          <w:instrText xml:space="preserve"> PAGEREF _Toc75336455 \h </w:instrText>
        </w:r>
        <w:r w:rsidR="00236130">
          <w:rPr>
            <w:noProof/>
            <w:webHidden/>
          </w:rPr>
        </w:r>
        <w:r w:rsidR="00236130">
          <w:rPr>
            <w:noProof/>
            <w:webHidden/>
          </w:rPr>
          <w:fldChar w:fldCharType="separate"/>
        </w:r>
        <w:r w:rsidR="00881FF0">
          <w:rPr>
            <w:noProof/>
            <w:webHidden/>
          </w:rPr>
          <w:t>16</w:t>
        </w:r>
        <w:r w:rsidR="00236130">
          <w:rPr>
            <w:noProof/>
            <w:webHidden/>
          </w:rPr>
          <w:fldChar w:fldCharType="end"/>
        </w:r>
      </w:hyperlink>
    </w:p>
    <w:p w:rsidR="00236130" w:rsidRDefault="00976FAC">
      <w:pPr>
        <w:pStyle w:val="TOC2"/>
        <w:rPr>
          <w:rFonts w:asciiTheme="minorHAnsi" w:hAnsiTheme="minorHAnsi"/>
          <w:noProof/>
        </w:rPr>
      </w:pPr>
      <w:hyperlink w:anchor="_Toc75336456" w:history="1">
        <w:r w:rsidR="00236130" w:rsidRPr="00337DC6">
          <w:rPr>
            <w:rStyle w:val="Hyperlink"/>
            <w:noProof/>
          </w:rPr>
          <w:t>Over-allocation and inconsistency with climate targets</w:t>
        </w:r>
        <w:r w:rsidR="00236130">
          <w:rPr>
            <w:noProof/>
            <w:webHidden/>
          </w:rPr>
          <w:tab/>
        </w:r>
        <w:r w:rsidR="00236130">
          <w:rPr>
            <w:noProof/>
            <w:webHidden/>
          </w:rPr>
          <w:fldChar w:fldCharType="begin"/>
        </w:r>
        <w:r w:rsidR="00236130">
          <w:rPr>
            <w:noProof/>
            <w:webHidden/>
          </w:rPr>
          <w:instrText xml:space="preserve"> PAGEREF _Toc75336456 \h </w:instrText>
        </w:r>
        <w:r w:rsidR="00236130">
          <w:rPr>
            <w:noProof/>
            <w:webHidden/>
          </w:rPr>
        </w:r>
        <w:r w:rsidR="00236130">
          <w:rPr>
            <w:noProof/>
            <w:webHidden/>
          </w:rPr>
          <w:fldChar w:fldCharType="separate"/>
        </w:r>
        <w:r w:rsidR="00881FF0">
          <w:rPr>
            <w:noProof/>
            <w:webHidden/>
          </w:rPr>
          <w:t>16</w:t>
        </w:r>
        <w:r w:rsidR="00236130">
          <w:rPr>
            <w:noProof/>
            <w:webHidden/>
          </w:rPr>
          <w:fldChar w:fldCharType="end"/>
        </w:r>
      </w:hyperlink>
    </w:p>
    <w:p w:rsidR="00236130" w:rsidRDefault="00976FAC">
      <w:pPr>
        <w:pStyle w:val="TOC2"/>
        <w:rPr>
          <w:rFonts w:asciiTheme="minorHAnsi" w:hAnsiTheme="minorHAnsi"/>
          <w:noProof/>
        </w:rPr>
      </w:pPr>
      <w:hyperlink w:anchor="_Toc75336457" w:history="1">
        <w:r w:rsidR="00236130" w:rsidRPr="00337DC6">
          <w:rPr>
            <w:rStyle w:val="Hyperlink"/>
            <w:noProof/>
          </w:rPr>
          <w:t>The objectives of industrial allocation</w:t>
        </w:r>
        <w:r w:rsidR="00236130">
          <w:rPr>
            <w:noProof/>
            <w:webHidden/>
          </w:rPr>
          <w:tab/>
        </w:r>
        <w:r w:rsidR="00236130">
          <w:rPr>
            <w:noProof/>
            <w:webHidden/>
          </w:rPr>
          <w:fldChar w:fldCharType="begin"/>
        </w:r>
        <w:r w:rsidR="00236130">
          <w:rPr>
            <w:noProof/>
            <w:webHidden/>
          </w:rPr>
          <w:instrText xml:space="preserve"> PAGEREF _Toc75336457 \h </w:instrText>
        </w:r>
        <w:r w:rsidR="00236130">
          <w:rPr>
            <w:noProof/>
            <w:webHidden/>
          </w:rPr>
        </w:r>
        <w:r w:rsidR="00236130">
          <w:rPr>
            <w:noProof/>
            <w:webHidden/>
          </w:rPr>
          <w:fldChar w:fldCharType="separate"/>
        </w:r>
        <w:r w:rsidR="00881FF0">
          <w:rPr>
            <w:noProof/>
            <w:webHidden/>
          </w:rPr>
          <w:t>19</w:t>
        </w:r>
        <w:r w:rsidR="00236130">
          <w:rPr>
            <w:noProof/>
            <w:webHidden/>
          </w:rPr>
          <w:fldChar w:fldCharType="end"/>
        </w:r>
      </w:hyperlink>
    </w:p>
    <w:p w:rsidR="00236130" w:rsidRDefault="00976FAC">
      <w:pPr>
        <w:pStyle w:val="TOC1"/>
        <w:rPr>
          <w:rFonts w:asciiTheme="minorHAnsi" w:hAnsiTheme="minorHAnsi"/>
          <w:noProof/>
        </w:rPr>
      </w:pPr>
      <w:hyperlink w:anchor="_Toc75336458" w:history="1">
        <w:r w:rsidR="00236130" w:rsidRPr="00337DC6">
          <w:rPr>
            <w:rStyle w:val="Hyperlink"/>
            <w:noProof/>
          </w:rPr>
          <w:t>Section 3: Options to reform allocation calculations</w:t>
        </w:r>
        <w:r w:rsidR="00236130">
          <w:rPr>
            <w:noProof/>
            <w:webHidden/>
          </w:rPr>
          <w:tab/>
        </w:r>
        <w:r w:rsidR="00236130">
          <w:rPr>
            <w:noProof/>
            <w:webHidden/>
          </w:rPr>
          <w:fldChar w:fldCharType="begin"/>
        </w:r>
        <w:r w:rsidR="00236130">
          <w:rPr>
            <w:noProof/>
            <w:webHidden/>
          </w:rPr>
          <w:instrText xml:space="preserve"> PAGEREF _Toc75336458 \h </w:instrText>
        </w:r>
        <w:r w:rsidR="00236130">
          <w:rPr>
            <w:noProof/>
            <w:webHidden/>
          </w:rPr>
        </w:r>
        <w:r w:rsidR="00236130">
          <w:rPr>
            <w:noProof/>
            <w:webHidden/>
          </w:rPr>
          <w:fldChar w:fldCharType="separate"/>
        </w:r>
        <w:r w:rsidR="00881FF0">
          <w:rPr>
            <w:noProof/>
            <w:webHidden/>
          </w:rPr>
          <w:t>22</w:t>
        </w:r>
        <w:r w:rsidR="00236130">
          <w:rPr>
            <w:noProof/>
            <w:webHidden/>
          </w:rPr>
          <w:fldChar w:fldCharType="end"/>
        </w:r>
      </w:hyperlink>
    </w:p>
    <w:p w:rsidR="00236130" w:rsidRDefault="00976FAC">
      <w:pPr>
        <w:pStyle w:val="TOC2"/>
        <w:rPr>
          <w:rFonts w:asciiTheme="minorHAnsi" w:hAnsiTheme="minorHAnsi"/>
          <w:noProof/>
        </w:rPr>
      </w:pPr>
      <w:hyperlink w:anchor="_Toc75336459" w:history="1">
        <w:r w:rsidR="00236130" w:rsidRPr="00337DC6">
          <w:rPr>
            <w:rStyle w:val="Hyperlink"/>
            <w:noProof/>
          </w:rPr>
          <w:t>Updating baselines using new base years</w:t>
        </w:r>
        <w:r w:rsidR="00236130">
          <w:rPr>
            <w:noProof/>
            <w:webHidden/>
          </w:rPr>
          <w:tab/>
        </w:r>
        <w:r w:rsidR="00236130">
          <w:rPr>
            <w:noProof/>
            <w:webHidden/>
          </w:rPr>
          <w:fldChar w:fldCharType="begin"/>
        </w:r>
        <w:r w:rsidR="00236130">
          <w:rPr>
            <w:noProof/>
            <w:webHidden/>
          </w:rPr>
          <w:instrText xml:space="preserve"> PAGEREF _Toc75336459 \h </w:instrText>
        </w:r>
        <w:r w:rsidR="00236130">
          <w:rPr>
            <w:noProof/>
            <w:webHidden/>
          </w:rPr>
        </w:r>
        <w:r w:rsidR="00236130">
          <w:rPr>
            <w:noProof/>
            <w:webHidden/>
          </w:rPr>
          <w:fldChar w:fldCharType="separate"/>
        </w:r>
        <w:r w:rsidR="00881FF0">
          <w:rPr>
            <w:noProof/>
            <w:webHidden/>
          </w:rPr>
          <w:t>22</w:t>
        </w:r>
        <w:r w:rsidR="00236130">
          <w:rPr>
            <w:noProof/>
            <w:webHidden/>
          </w:rPr>
          <w:fldChar w:fldCharType="end"/>
        </w:r>
      </w:hyperlink>
    </w:p>
    <w:p w:rsidR="00236130" w:rsidRDefault="00976FAC">
      <w:pPr>
        <w:pStyle w:val="TOC2"/>
        <w:rPr>
          <w:rFonts w:asciiTheme="minorHAnsi" w:hAnsiTheme="minorHAnsi"/>
          <w:noProof/>
        </w:rPr>
      </w:pPr>
      <w:hyperlink w:anchor="_Toc75336460" w:history="1">
        <w:r w:rsidR="00236130" w:rsidRPr="00337DC6">
          <w:rPr>
            <w:rStyle w:val="Hyperlink"/>
            <w:noProof/>
          </w:rPr>
          <w:t>Which new base years should be used?</w:t>
        </w:r>
        <w:r w:rsidR="00236130">
          <w:rPr>
            <w:noProof/>
            <w:webHidden/>
          </w:rPr>
          <w:tab/>
        </w:r>
        <w:r w:rsidR="00236130">
          <w:rPr>
            <w:noProof/>
            <w:webHidden/>
          </w:rPr>
          <w:fldChar w:fldCharType="begin"/>
        </w:r>
        <w:r w:rsidR="00236130">
          <w:rPr>
            <w:noProof/>
            <w:webHidden/>
          </w:rPr>
          <w:instrText xml:space="preserve"> PAGEREF _Toc75336460 \h </w:instrText>
        </w:r>
        <w:r w:rsidR="00236130">
          <w:rPr>
            <w:noProof/>
            <w:webHidden/>
          </w:rPr>
        </w:r>
        <w:r w:rsidR="00236130">
          <w:rPr>
            <w:noProof/>
            <w:webHidden/>
          </w:rPr>
          <w:fldChar w:fldCharType="separate"/>
        </w:r>
        <w:r w:rsidR="00881FF0">
          <w:rPr>
            <w:noProof/>
            <w:webHidden/>
          </w:rPr>
          <w:t>25</w:t>
        </w:r>
        <w:r w:rsidR="00236130">
          <w:rPr>
            <w:noProof/>
            <w:webHidden/>
          </w:rPr>
          <w:fldChar w:fldCharType="end"/>
        </w:r>
      </w:hyperlink>
    </w:p>
    <w:p w:rsidR="00236130" w:rsidRDefault="00976FAC">
      <w:pPr>
        <w:pStyle w:val="TOC1"/>
        <w:rPr>
          <w:rFonts w:asciiTheme="minorHAnsi" w:hAnsiTheme="minorHAnsi"/>
          <w:noProof/>
        </w:rPr>
      </w:pPr>
      <w:hyperlink w:anchor="_Toc75336461" w:history="1">
        <w:r w:rsidR="00236130" w:rsidRPr="00337DC6">
          <w:rPr>
            <w:rStyle w:val="Hyperlink"/>
            <w:noProof/>
          </w:rPr>
          <w:t>Section 4: Options to reform eligibility for industrial allocation</w:t>
        </w:r>
        <w:r w:rsidR="00236130">
          <w:rPr>
            <w:noProof/>
            <w:webHidden/>
          </w:rPr>
          <w:tab/>
        </w:r>
        <w:r w:rsidR="00236130">
          <w:rPr>
            <w:noProof/>
            <w:webHidden/>
          </w:rPr>
          <w:fldChar w:fldCharType="begin"/>
        </w:r>
        <w:r w:rsidR="00236130">
          <w:rPr>
            <w:noProof/>
            <w:webHidden/>
          </w:rPr>
          <w:instrText xml:space="preserve"> PAGEREF _Toc75336461 \h </w:instrText>
        </w:r>
        <w:r w:rsidR="00236130">
          <w:rPr>
            <w:noProof/>
            <w:webHidden/>
          </w:rPr>
        </w:r>
        <w:r w:rsidR="00236130">
          <w:rPr>
            <w:noProof/>
            <w:webHidden/>
          </w:rPr>
          <w:fldChar w:fldCharType="separate"/>
        </w:r>
        <w:r w:rsidR="00881FF0">
          <w:rPr>
            <w:noProof/>
            <w:webHidden/>
          </w:rPr>
          <w:t>26</w:t>
        </w:r>
        <w:r w:rsidR="00236130">
          <w:rPr>
            <w:noProof/>
            <w:webHidden/>
          </w:rPr>
          <w:fldChar w:fldCharType="end"/>
        </w:r>
      </w:hyperlink>
    </w:p>
    <w:p w:rsidR="00236130" w:rsidRDefault="00976FAC">
      <w:pPr>
        <w:pStyle w:val="TOC2"/>
        <w:rPr>
          <w:rFonts w:asciiTheme="minorHAnsi" w:hAnsiTheme="minorHAnsi"/>
          <w:noProof/>
        </w:rPr>
      </w:pPr>
      <w:hyperlink w:anchor="_Toc75336462" w:history="1">
        <w:r w:rsidR="00236130" w:rsidRPr="00337DC6">
          <w:rPr>
            <w:rStyle w:val="Hyperlink"/>
            <w:noProof/>
          </w:rPr>
          <w:t>Reassessment of eligibility using new base years</w:t>
        </w:r>
        <w:r w:rsidR="00236130">
          <w:rPr>
            <w:noProof/>
            <w:webHidden/>
          </w:rPr>
          <w:tab/>
        </w:r>
        <w:r w:rsidR="00236130">
          <w:rPr>
            <w:noProof/>
            <w:webHidden/>
          </w:rPr>
          <w:fldChar w:fldCharType="begin"/>
        </w:r>
        <w:r w:rsidR="00236130">
          <w:rPr>
            <w:noProof/>
            <w:webHidden/>
          </w:rPr>
          <w:instrText xml:space="preserve"> PAGEREF _Toc75336462 \h </w:instrText>
        </w:r>
        <w:r w:rsidR="00236130">
          <w:rPr>
            <w:noProof/>
            <w:webHidden/>
          </w:rPr>
        </w:r>
        <w:r w:rsidR="00236130">
          <w:rPr>
            <w:noProof/>
            <w:webHidden/>
          </w:rPr>
          <w:fldChar w:fldCharType="separate"/>
        </w:r>
        <w:r w:rsidR="00881FF0">
          <w:rPr>
            <w:noProof/>
            <w:webHidden/>
          </w:rPr>
          <w:t>26</w:t>
        </w:r>
        <w:r w:rsidR="00236130">
          <w:rPr>
            <w:noProof/>
            <w:webHidden/>
          </w:rPr>
          <w:fldChar w:fldCharType="end"/>
        </w:r>
      </w:hyperlink>
    </w:p>
    <w:p w:rsidR="00236130" w:rsidRDefault="00976FAC">
      <w:pPr>
        <w:pStyle w:val="TOC2"/>
        <w:rPr>
          <w:rFonts w:asciiTheme="minorHAnsi" w:hAnsiTheme="minorHAnsi"/>
          <w:noProof/>
        </w:rPr>
      </w:pPr>
      <w:hyperlink w:anchor="_Toc75336463" w:history="1">
        <w:r w:rsidR="00236130" w:rsidRPr="00337DC6">
          <w:rPr>
            <w:rStyle w:val="Hyperlink"/>
            <w:noProof/>
          </w:rPr>
          <w:t>Other options for reassessing eligibility</w:t>
        </w:r>
        <w:r w:rsidR="00236130">
          <w:rPr>
            <w:noProof/>
            <w:webHidden/>
          </w:rPr>
          <w:tab/>
        </w:r>
        <w:r w:rsidR="00236130">
          <w:rPr>
            <w:noProof/>
            <w:webHidden/>
          </w:rPr>
          <w:fldChar w:fldCharType="begin"/>
        </w:r>
        <w:r w:rsidR="00236130">
          <w:rPr>
            <w:noProof/>
            <w:webHidden/>
          </w:rPr>
          <w:instrText xml:space="preserve"> PAGEREF _Toc75336463 \h </w:instrText>
        </w:r>
        <w:r w:rsidR="00236130">
          <w:rPr>
            <w:noProof/>
            <w:webHidden/>
          </w:rPr>
        </w:r>
        <w:r w:rsidR="00236130">
          <w:rPr>
            <w:noProof/>
            <w:webHidden/>
          </w:rPr>
          <w:fldChar w:fldCharType="separate"/>
        </w:r>
        <w:r w:rsidR="00881FF0">
          <w:rPr>
            <w:noProof/>
            <w:webHidden/>
          </w:rPr>
          <w:t>27</w:t>
        </w:r>
        <w:r w:rsidR="00236130">
          <w:rPr>
            <w:noProof/>
            <w:webHidden/>
          </w:rPr>
          <w:fldChar w:fldCharType="end"/>
        </w:r>
      </w:hyperlink>
    </w:p>
    <w:p w:rsidR="00236130" w:rsidRDefault="00976FAC">
      <w:pPr>
        <w:pStyle w:val="TOC1"/>
        <w:rPr>
          <w:rFonts w:asciiTheme="minorHAnsi" w:hAnsiTheme="minorHAnsi"/>
          <w:noProof/>
        </w:rPr>
      </w:pPr>
      <w:hyperlink w:anchor="_Toc75336464" w:history="1">
        <w:r w:rsidR="00236130" w:rsidRPr="00337DC6">
          <w:rPr>
            <w:rStyle w:val="Hyperlink"/>
            <w:noProof/>
          </w:rPr>
          <w:t>Section 5: Other options to reform industrial allocation</w:t>
        </w:r>
        <w:r w:rsidR="00236130">
          <w:rPr>
            <w:noProof/>
            <w:webHidden/>
          </w:rPr>
          <w:tab/>
        </w:r>
        <w:r w:rsidR="00236130">
          <w:rPr>
            <w:noProof/>
            <w:webHidden/>
          </w:rPr>
          <w:fldChar w:fldCharType="begin"/>
        </w:r>
        <w:r w:rsidR="00236130">
          <w:rPr>
            <w:noProof/>
            <w:webHidden/>
          </w:rPr>
          <w:instrText xml:space="preserve"> PAGEREF _Toc75336464 \h </w:instrText>
        </w:r>
        <w:r w:rsidR="00236130">
          <w:rPr>
            <w:noProof/>
            <w:webHidden/>
          </w:rPr>
        </w:r>
        <w:r w:rsidR="00236130">
          <w:rPr>
            <w:noProof/>
            <w:webHidden/>
          </w:rPr>
          <w:fldChar w:fldCharType="separate"/>
        </w:r>
        <w:r w:rsidR="00881FF0">
          <w:rPr>
            <w:noProof/>
            <w:webHidden/>
          </w:rPr>
          <w:t>32</w:t>
        </w:r>
        <w:r w:rsidR="00236130">
          <w:rPr>
            <w:noProof/>
            <w:webHidden/>
          </w:rPr>
          <w:fldChar w:fldCharType="end"/>
        </w:r>
      </w:hyperlink>
    </w:p>
    <w:p w:rsidR="00236130" w:rsidRDefault="00976FAC">
      <w:pPr>
        <w:pStyle w:val="TOC2"/>
        <w:rPr>
          <w:rFonts w:asciiTheme="minorHAnsi" w:hAnsiTheme="minorHAnsi"/>
          <w:noProof/>
        </w:rPr>
      </w:pPr>
      <w:hyperlink w:anchor="_Toc75336465" w:history="1">
        <w:r w:rsidR="00236130" w:rsidRPr="00337DC6">
          <w:rPr>
            <w:rStyle w:val="Hyperlink"/>
            <w:noProof/>
          </w:rPr>
          <w:t>Streamline updates to allocative baselines</w:t>
        </w:r>
        <w:r w:rsidR="00236130">
          <w:rPr>
            <w:noProof/>
            <w:webHidden/>
          </w:rPr>
          <w:tab/>
        </w:r>
        <w:r w:rsidR="00236130">
          <w:rPr>
            <w:noProof/>
            <w:webHidden/>
          </w:rPr>
          <w:fldChar w:fldCharType="begin"/>
        </w:r>
        <w:r w:rsidR="00236130">
          <w:rPr>
            <w:noProof/>
            <w:webHidden/>
          </w:rPr>
          <w:instrText xml:space="preserve"> PAGEREF _Toc75336465 \h </w:instrText>
        </w:r>
        <w:r w:rsidR="00236130">
          <w:rPr>
            <w:noProof/>
            <w:webHidden/>
          </w:rPr>
        </w:r>
        <w:r w:rsidR="00236130">
          <w:rPr>
            <w:noProof/>
            <w:webHidden/>
          </w:rPr>
          <w:fldChar w:fldCharType="separate"/>
        </w:r>
        <w:r w:rsidR="00881FF0">
          <w:rPr>
            <w:noProof/>
            <w:webHidden/>
          </w:rPr>
          <w:t>32</w:t>
        </w:r>
        <w:r w:rsidR="00236130">
          <w:rPr>
            <w:noProof/>
            <w:webHidden/>
          </w:rPr>
          <w:fldChar w:fldCharType="end"/>
        </w:r>
      </w:hyperlink>
    </w:p>
    <w:p w:rsidR="00236130" w:rsidRDefault="00976FAC">
      <w:pPr>
        <w:pStyle w:val="TOC2"/>
        <w:rPr>
          <w:rFonts w:asciiTheme="minorHAnsi" w:hAnsiTheme="minorHAnsi"/>
          <w:noProof/>
        </w:rPr>
      </w:pPr>
      <w:hyperlink w:anchor="_Toc75336466" w:history="1">
        <w:r w:rsidR="00236130" w:rsidRPr="00337DC6">
          <w:rPr>
            <w:rStyle w:val="Hyperlink"/>
            <w:noProof/>
          </w:rPr>
          <w:t>Allocations for new activities</w:t>
        </w:r>
        <w:r w:rsidR="00236130">
          <w:rPr>
            <w:noProof/>
            <w:webHidden/>
          </w:rPr>
          <w:tab/>
        </w:r>
        <w:r w:rsidR="00236130">
          <w:rPr>
            <w:noProof/>
            <w:webHidden/>
          </w:rPr>
          <w:fldChar w:fldCharType="begin"/>
        </w:r>
        <w:r w:rsidR="00236130">
          <w:rPr>
            <w:noProof/>
            <w:webHidden/>
          </w:rPr>
          <w:instrText xml:space="preserve"> PAGEREF _Toc75336466 \h </w:instrText>
        </w:r>
        <w:r w:rsidR="00236130">
          <w:rPr>
            <w:noProof/>
            <w:webHidden/>
          </w:rPr>
        </w:r>
        <w:r w:rsidR="00236130">
          <w:rPr>
            <w:noProof/>
            <w:webHidden/>
          </w:rPr>
          <w:fldChar w:fldCharType="separate"/>
        </w:r>
        <w:r w:rsidR="00881FF0">
          <w:rPr>
            <w:noProof/>
            <w:webHidden/>
          </w:rPr>
          <w:t>34</w:t>
        </w:r>
        <w:r w:rsidR="00236130">
          <w:rPr>
            <w:noProof/>
            <w:webHidden/>
          </w:rPr>
          <w:fldChar w:fldCharType="end"/>
        </w:r>
      </w:hyperlink>
    </w:p>
    <w:p w:rsidR="00236130" w:rsidRDefault="00976FAC">
      <w:pPr>
        <w:pStyle w:val="TOC2"/>
        <w:rPr>
          <w:rFonts w:asciiTheme="minorHAnsi" w:hAnsiTheme="minorHAnsi"/>
          <w:noProof/>
        </w:rPr>
      </w:pPr>
      <w:hyperlink w:anchor="_Toc75336467" w:history="1">
        <w:r w:rsidR="00236130" w:rsidRPr="00337DC6">
          <w:rPr>
            <w:rStyle w:val="Hyperlink"/>
            <w:noProof/>
          </w:rPr>
          <w:t>Reporting emissions, production and revenue data</w:t>
        </w:r>
        <w:r w:rsidR="00236130">
          <w:rPr>
            <w:noProof/>
            <w:webHidden/>
          </w:rPr>
          <w:tab/>
        </w:r>
        <w:r w:rsidR="00236130">
          <w:rPr>
            <w:noProof/>
            <w:webHidden/>
          </w:rPr>
          <w:fldChar w:fldCharType="begin"/>
        </w:r>
        <w:r w:rsidR="00236130">
          <w:rPr>
            <w:noProof/>
            <w:webHidden/>
          </w:rPr>
          <w:instrText xml:space="preserve"> PAGEREF _Toc75336467 \h </w:instrText>
        </w:r>
        <w:r w:rsidR="00236130">
          <w:rPr>
            <w:noProof/>
            <w:webHidden/>
          </w:rPr>
        </w:r>
        <w:r w:rsidR="00236130">
          <w:rPr>
            <w:noProof/>
            <w:webHidden/>
          </w:rPr>
          <w:fldChar w:fldCharType="separate"/>
        </w:r>
        <w:r w:rsidR="00881FF0">
          <w:rPr>
            <w:noProof/>
            <w:webHidden/>
          </w:rPr>
          <w:t>37</w:t>
        </w:r>
        <w:r w:rsidR="00236130">
          <w:rPr>
            <w:noProof/>
            <w:webHidden/>
          </w:rPr>
          <w:fldChar w:fldCharType="end"/>
        </w:r>
      </w:hyperlink>
    </w:p>
    <w:p w:rsidR="00236130" w:rsidRDefault="00976FAC">
      <w:pPr>
        <w:pStyle w:val="TOC2"/>
        <w:rPr>
          <w:rFonts w:asciiTheme="minorHAnsi" w:hAnsiTheme="minorHAnsi"/>
          <w:noProof/>
        </w:rPr>
      </w:pPr>
      <w:hyperlink w:anchor="_Toc75336468" w:history="1">
        <w:r w:rsidR="00236130" w:rsidRPr="00337DC6">
          <w:rPr>
            <w:rStyle w:val="Hyperlink"/>
            <w:noProof/>
          </w:rPr>
          <w:t>Transition period for changes to eligibility</w:t>
        </w:r>
        <w:r w:rsidR="00236130">
          <w:rPr>
            <w:noProof/>
            <w:webHidden/>
          </w:rPr>
          <w:tab/>
        </w:r>
        <w:r w:rsidR="00236130">
          <w:rPr>
            <w:noProof/>
            <w:webHidden/>
          </w:rPr>
          <w:fldChar w:fldCharType="begin"/>
        </w:r>
        <w:r w:rsidR="00236130">
          <w:rPr>
            <w:noProof/>
            <w:webHidden/>
          </w:rPr>
          <w:instrText xml:space="preserve"> PAGEREF _Toc75336468 \h </w:instrText>
        </w:r>
        <w:r w:rsidR="00236130">
          <w:rPr>
            <w:noProof/>
            <w:webHidden/>
          </w:rPr>
        </w:r>
        <w:r w:rsidR="00236130">
          <w:rPr>
            <w:noProof/>
            <w:webHidden/>
          </w:rPr>
          <w:fldChar w:fldCharType="separate"/>
        </w:r>
        <w:r w:rsidR="00881FF0">
          <w:rPr>
            <w:noProof/>
            <w:webHidden/>
          </w:rPr>
          <w:t>38</w:t>
        </w:r>
        <w:r w:rsidR="00236130">
          <w:rPr>
            <w:noProof/>
            <w:webHidden/>
          </w:rPr>
          <w:fldChar w:fldCharType="end"/>
        </w:r>
      </w:hyperlink>
    </w:p>
    <w:p w:rsidR="00236130" w:rsidRDefault="00976FAC">
      <w:pPr>
        <w:pStyle w:val="TOC1"/>
        <w:rPr>
          <w:rFonts w:asciiTheme="minorHAnsi" w:hAnsiTheme="minorHAnsi"/>
          <w:noProof/>
        </w:rPr>
      </w:pPr>
      <w:hyperlink w:anchor="_Toc75336469" w:history="1">
        <w:r w:rsidR="00236130" w:rsidRPr="00337DC6">
          <w:rPr>
            <w:rStyle w:val="Hyperlink"/>
            <w:noProof/>
          </w:rPr>
          <w:t>Section 6: Future of industrial allocation policy</w:t>
        </w:r>
        <w:r w:rsidR="00236130">
          <w:rPr>
            <w:noProof/>
            <w:webHidden/>
          </w:rPr>
          <w:tab/>
        </w:r>
        <w:r w:rsidR="00236130">
          <w:rPr>
            <w:noProof/>
            <w:webHidden/>
          </w:rPr>
          <w:fldChar w:fldCharType="begin"/>
        </w:r>
        <w:r w:rsidR="00236130">
          <w:rPr>
            <w:noProof/>
            <w:webHidden/>
          </w:rPr>
          <w:instrText xml:space="preserve"> PAGEREF _Toc75336469 \h </w:instrText>
        </w:r>
        <w:r w:rsidR="00236130">
          <w:rPr>
            <w:noProof/>
            <w:webHidden/>
          </w:rPr>
        </w:r>
        <w:r w:rsidR="00236130">
          <w:rPr>
            <w:noProof/>
            <w:webHidden/>
          </w:rPr>
          <w:fldChar w:fldCharType="separate"/>
        </w:r>
        <w:r w:rsidR="00881FF0">
          <w:rPr>
            <w:noProof/>
            <w:webHidden/>
          </w:rPr>
          <w:t>41</w:t>
        </w:r>
        <w:r w:rsidR="00236130">
          <w:rPr>
            <w:noProof/>
            <w:webHidden/>
          </w:rPr>
          <w:fldChar w:fldCharType="end"/>
        </w:r>
      </w:hyperlink>
    </w:p>
    <w:p w:rsidR="00236130" w:rsidRDefault="00976FAC">
      <w:pPr>
        <w:pStyle w:val="TOC2"/>
        <w:rPr>
          <w:rFonts w:asciiTheme="minorHAnsi" w:hAnsiTheme="minorHAnsi"/>
          <w:noProof/>
        </w:rPr>
      </w:pPr>
      <w:hyperlink w:anchor="_Toc75336470" w:history="1">
        <w:r w:rsidR="00236130" w:rsidRPr="00337DC6">
          <w:rPr>
            <w:rStyle w:val="Hyperlink"/>
            <w:noProof/>
          </w:rPr>
          <w:t>Alternative mechanisms to reduce emissions leakage</w:t>
        </w:r>
        <w:r w:rsidR="00236130">
          <w:rPr>
            <w:noProof/>
            <w:webHidden/>
          </w:rPr>
          <w:tab/>
        </w:r>
        <w:r w:rsidR="00236130">
          <w:rPr>
            <w:noProof/>
            <w:webHidden/>
          </w:rPr>
          <w:fldChar w:fldCharType="begin"/>
        </w:r>
        <w:r w:rsidR="00236130">
          <w:rPr>
            <w:noProof/>
            <w:webHidden/>
          </w:rPr>
          <w:instrText xml:space="preserve"> PAGEREF _Toc75336470 \h </w:instrText>
        </w:r>
        <w:r w:rsidR="00236130">
          <w:rPr>
            <w:noProof/>
            <w:webHidden/>
          </w:rPr>
        </w:r>
        <w:r w:rsidR="00236130">
          <w:rPr>
            <w:noProof/>
            <w:webHidden/>
          </w:rPr>
          <w:fldChar w:fldCharType="separate"/>
        </w:r>
        <w:r w:rsidR="00881FF0">
          <w:rPr>
            <w:noProof/>
            <w:webHidden/>
          </w:rPr>
          <w:t>41</w:t>
        </w:r>
        <w:r w:rsidR="00236130">
          <w:rPr>
            <w:noProof/>
            <w:webHidden/>
          </w:rPr>
          <w:fldChar w:fldCharType="end"/>
        </w:r>
      </w:hyperlink>
    </w:p>
    <w:p w:rsidR="00236130" w:rsidRDefault="00976FAC">
      <w:pPr>
        <w:pStyle w:val="TOC2"/>
        <w:rPr>
          <w:rFonts w:asciiTheme="minorHAnsi" w:hAnsiTheme="minorHAnsi"/>
          <w:noProof/>
        </w:rPr>
      </w:pPr>
      <w:hyperlink w:anchor="_Toc75336471" w:history="1">
        <w:r w:rsidR="00236130" w:rsidRPr="00337DC6">
          <w:rPr>
            <w:rStyle w:val="Hyperlink"/>
            <w:noProof/>
          </w:rPr>
          <w:t>Explicitly supporting emissions reductions</w:t>
        </w:r>
        <w:r w:rsidR="00236130">
          <w:rPr>
            <w:noProof/>
            <w:webHidden/>
          </w:rPr>
          <w:tab/>
        </w:r>
        <w:r w:rsidR="00236130">
          <w:rPr>
            <w:noProof/>
            <w:webHidden/>
          </w:rPr>
          <w:fldChar w:fldCharType="begin"/>
        </w:r>
        <w:r w:rsidR="00236130">
          <w:rPr>
            <w:noProof/>
            <w:webHidden/>
          </w:rPr>
          <w:instrText xml:space="preserve"> PAGEREF _Toc75336471 \h </w:instrText>
        </w:r>
        <w:r w:rsidR="00236130">
          <w:rPr>
            <w:noProof/>
            <w:webHidden/>
          </w:rPr>
        </w:r>
        <w:r w:rsidR="00236130">
          <w:rPr>
            <w:noProof/>
            <w:webHidden/>
          </w:rPr>
          <w:fldChar w:fldCharType="separate"/>
        </w:r>
        <w:r w:rsidR="00881FF0">
          <w:rPr>
            <w:noProof/>
            <w:webHidden/>
          </w:rPr>
          <w:t>43</w:t>
        </w:r>
        <w:r w:rsidR="00236130">
          <w:rPr>
            <w:noProof/>
            <w:webHidden/>
          </w:rPr>
          <w:fldChar w:fldCharType="end"/>
        </w:r>
      </w:hyperlink>
    </w:p>
    <w:p w:rsidR="00236130" w:rsidRDefault="00976FAC">
      <w:pPr>
        <w:pStyle w:val="TOC2"/>
        <w:rPr>
          <w:rFonts w:asciiTheme="minorHAnsi" w:hAnsiTheme="minorHAnsi"/>
          <w:noProof/>
        </w:rPr>
      </w:pPr>
      <w:hyperlink w:anchor="_Toc75336472" w:history="1">
        <w:r w:rsidR="00236130" w:rsidRPr="00337DC6">
          <w:rPr>
            <w:rStyle w:val="Hyperlink"/>
            <w:noProof/>
          </w:rPr>
          <w:t>Incorporating other considerations into policy</w:t>
        </w:r>
        <w:r w:rsidR="00236130">
          <w:rPr>
            <w:noProof/>
            <w:webHidden/>
          </w:rPr>
          <w:tab/>
        </w:r>
        <w:r w:rsidR="00236130">
          <w:rPr>
            <w:noProof/>
            <w:webHidden/>
          </w:rPr>
          <w:fldChar w:fldCharType="begin"/>
        </w:r>
        <w:r w:rsidR="00236130">
          <w:rPr>
            <w:noProof/>
            <w:webHidden/>
          </w:rPr>
          <w:instrText xml:space="preserve"> PAGEREF _Toc75336472 \h </w:instrText>
        </w:r>
        <w:r w:rsidR="00236130">
          <w:rPr>
            <w:noProof/>
            <w:webHidden/>
          </w:rPr>
        </w:r>
        <w:r w:rsidR="00236130">
          <w:rPr>
            <w:noProof/>
            <w:webHidden/>
          </w:rPr>
          <w:fldChar w:fldCharType="separate"/>
        </w:r>
        <w:r w:rsidR="00881FF0">
          <w:rPr>
            <w:noProof/>
            <w:webHidden/>
          </w:rPr>
          <w:t>43</w:t>
        </w:r>
        <w:r w:rsidR="00236130">
          <w:rPr>
            <w:noProof/>
            <w:webHidden/>
          </w:rPr>
          <w:fldChar w:fldCharType="end"/>
        </w:r>
      </w:hyperlink>
    </w:p>
    <w:p w:rsidR="00236130" w:rsidRDefault="00976FAC">
      <w:pPr>
        <w:pStyle w:val="TOC1"/>
        <w:rPr>
          <w:rFonts w:asciiTheme="minorHAnsi" w:hAnsiTheme="minorHAnsi"/>
          <w:noProof/>
        </w:rPr>
      </w:pPr>
      <w:hyperlink w:anchor="_Toc75336473" w:history="1">
        <w:r w:rsidR="00236130" w:rsidRPr="00337DC6">
          <w:rPr>
            <w:rStyle w:val="Hyperlink"/>
            <w:noProof/>
          </w:rPr>
          <w:t>Section 7: Impacts of updating baselines and reassessing eligibility</w:t>
        </w:r>
        <w:r w:rsidR="00236130">
          <w:rPr>
            <w:noProof/>
            <w:webHidden/>
          </w:rPr>
          <w:tab/>
        </w:r>
        <w:r w:rsidR="00236130">
          <w:rPr>
            <w:noProof/>
            <w:webHidden/>
          </w:rPr>
          <w:fldChar w:fldCharType="begin"/>
        </w:r>
        <w:r w:rsidR="00236130">
          <w:rPr>
            <w:noProof/>
            <w:webHidden/>
          </w:rPr>
          <w:instrText xml:space="preserve"> PAGEREF _Toc75336473 \h </w:instrText>
        </w:r>
        <w:r w:rsidR="00236130">
          <w:rPr>
            <w:noProof/>
            <w:webHidden/>
          </w:rPr>
        </w:r>
        <w:r w:rsidR="00236130">
          <w:rPr>
            <w:noProof/>
            <w:webHidden/>
          </w:rPr>
          <w:fldChar w:fldCharType="separate"/>
        </w:r>
        <w:r w:rsidR="00881FF0">
          <w:rPr>
            <w:noProof/>
            <w:webHidden/>
          </w:rPr>
          <w:t>44</w:t>
        </w:r>
        <w:r w:rsidR="00236130">
          <w:rPr>
            <w:noProof/>
            <w:webHidden/>
          </w:rPr>
          <w:fldChar w:fldCharType="end"/>
        </w:r>
      </w:hyperlink>
    </w:p>
    <w:p w:rsidR="00236130" w:rsidRDefault="00976FAC">
      <w:pPr>
        <w:pStyle w:val="TOC2"/>
        <w:rPr>
          <w:rFonts w:asciiTheme="minorHAnsi" w:hAnsiTheme="minorHAnsi"/>
          <w:noProof/>
        </w:rPr>
      </w:pPr>
      <w:hyperlink w:anchor="_Toc75336474" w:history="1">
        <w:r w:rsidR="00236130" w:rsidRPr="00337DC6">
          <w:rPr>
            <w:rStyle w:val="Hyperlink"/>
            <w:noProof/>
          </w:rPr>
          <w:t>About this analysis</w:t>
        </w:r>
        <w:r w:rsidR="00236130">
          <w:rPr>
            <w:noProof/>
            <w:webHidden/>
          </w:rPr>
          <w:tab/>
        </w:r>
        <w:r w:rsidR="00236130">
          <w:rPr>
            <w:noProof/>
            <w:webHidden/>
          </w:rPr>
          <w:fldChar w:fldCharType="begin"/>
        </w:r>
        <w:r w:rsidR="00236130">
          <w:rPr>
            <w:noProof/>
            <w:webHidden/>
          </w:rPr>
          <w:instrText xml:space="preserve"> PAGEREF _Toc75336474 \h </w:instrText>
        </w:r>
        <w:r w:rsidR="00236130">
          <w:rPr>
            <w:noProof/>
            <w:webHidden/>
          </w:rPr>
        </w:r>
        <w:r w:rsidR="00236130">
          <w:rPr>
            <w:noProof/>
            <w:webHidden/>
          </w:rPr>
          <w:fldChar w:fldCharType="separate"/>
        </w:r>
        <w:r w:rsidR="00881FF0">
          <w:rPr>
            <w:noProof/>
            <w:webHidden/>
          </w:rPr>
          <w:t>44</w:t>
        </w:r>
        <w:r w:rsidR="00236130">
          <w:rPr>
            <w:noProof/>
            <w:webHidden/>
          </w:rPr>
          <w:fldChar w:fldCharType="end"/>
        </w:r>
      </w:hyperlink>
    </w:p>
    <w:p w:rsidR="00236130" w:rsidRDefault="00976FAC">
      <w:pPr>
        <w:pStyle w:val="TOC2"/>
        <w:rPr>
          <w:rFonts w:asciiTheme="minorHAnsi" w:hAnsiTheme="minorHAnsi"/>
          <w:noProof/>
        </w:rPr>
      </w:pPr>
      <w:hyperlink w:anchor="_Toc75336475" w:history="1">
        <w:r w:rsidR="00236130" w:rsidRPr="00337DC6">
          <w:rPr>
            <w:rStyle w:val="Hyperlink"/>
            <w:noProof/>
          </w:rPr>
          <w:t>EITE firms</w:t>
        </w:r>
        <w:r w:rsidR="00236130">
          <w:rPr>
            <w:noProof/>
            <w:webHidden/>
          </w:rPr>
          <w:tab/>
        </w:r>
        <w:r w:rsidR="00236130">
          <w:rPr>
            <w:noProof/>
            <w:webHidden/>
          </w:rPr>
          <w:fldChar w:fldCharType="begin"/>
        </w:r>
        <w:r w:rsidR="00236130">
          <w:rPr>
            <w:noProof/>
            <w:webHidden/>
          </w:rPr>
          <w:instrText xml:space="preserve"> PAGEREF _Toc75336475 \h </w:instrText>
        </w:r>
        <w:r w:rsidR="00236130">
          <w:rPr>
            <w:noProof/>
            <w:webHidden/>
          </w:rPr>
        </w:r>
        <w:r w:rsidR="00236130">
          <w:rPr>
            <w:noProof/>
            <w:webHidden/>
          </w:rPr>
          <w:fldChar w:fldCharType="separate"/>
        </w:r>
        <w:r w:rsidR="00881FF0">
          <w:rPr>
            <w:noProof/>
            <w:webHidden/>
          </w:rPr>
          <w:t>46</w:t>
        </w:r>
        <w:r w:rsidR="00236130">
          <w:rPr>
            <w:noProof/>
            <w:webHidden/>
          </w:rPr>
          <w:fldChar w:fldCharType="end"/>
        </w:r>
      </w:hyperlink>
    </w:p>
    <w:p w:rsidR="00236130" w:rsidRDefault="00976FAC">
      <w:pPr>
        <w:pStyle w:val="TOC2"/>
        <w:rPr>
          <w:rFonts w:asciiTheme="minorHAnsi" w:hAnsiTheme="minorHAnsi"/>
          <w:noProof/>
        </w:rPr>
      </w:pPr>
      <w:hyperlink w:anchor="_Toc75336476" w:history="1">
        <w:r w:rsidR="00236130" w:rsidRPr="00337DC6">
          <w:rPr>
            <w:rStyle w:val="Hyperlink"/>
            <w:noProof/>
          </w:rPr>
          <w:t>The Government</w:t>
        </w:r>
        <w:r w:rsidR="00236130">
          <w:rPr>
            <w:noProof/>
            <w:webHidden/>
          </w:rPr>
          <w:tab/>
        </w:r>
        <w:r w:rsidR="00236130">
          <w:rPr>
            <w:noProof/>
            <w:webHidden/>
          </w:rPr>
          <w:fldChar w:fldCharType="begin"/>
        </w:r>
        <w:r w:rsidR="00236130">
          <w:rPr>
            <w:noProof/>
            <w:webHidden/>
          </w:rPr>
          <w:instrText xml:space="preserve"> PAGEREF _Toc75336476 \h </w:instrText>
        </w:r>
        <w:r w:rsidR="00236130">
          <w:rPr>
            <w:noProof/>
            <w:webHidden/>
          </w:rPr>
        </w:r>
        <w:r w:rsidR="00236130">
          <w:rPr>
            <w:noProof/>
            <w:webHidden/>
          </w:rPr>
          <w:fldChar w:fldCharType="separate"/>
        </w:r>
        <w:r w:rsidR="00881FF0">
          <w:rPr>
            <w:noProof/>
            <w:webHidden/>
          </w:rPr>
          <w:t>47</w:t>
        </w:r>
        <w:r w:rsidR="00236130">
          <w:rPr>
            <w:noProof/>
            <w:webHidden/>
          </w:rPr>
          <w:fldChar w:fldCharType="end"/>
        </w:r>
      </w:hyperlink>
    </w:p>
    <w:p w:rsidR="00236130" w:rsidRDefault="00976FAC">
      <w:pPr>
        <w:pStyle w:val="TOC2"/>
        <w:rPr>
          <w:rFonts w:asciiTheme="minorHAnsi" w:hAnsiTheme="minorHAnsi"/>
          <w:noProof/>
        </w:rPr>
      </w:pPr>
      <w:hyperlink w:anchor="_Toc75336477" w:history="1">
        <w:r w:rsidR="00236130" w:rsidRPr="00337DC6">
          <w:rPr>
            <w:rStyle w:val="Hyperlink"/>
            <w:noProof/>
          </w:rPr>
          <w:t>Regional economies</w:t>
        </w:r>
        <w:r w:rsidR="00236130">
          <w:rPr>
            <w:noProof/>
            <w:webHidden/>
          </w:rPr>
          <w:tab/>
        </w:r>
        <w:r w:rsidR="00236130">
          <w:rPr>
            <w:noProof/>
            <w:webHidden/>
          </w:rPr>
          <w:fldChar w:fldCharType="begin"/>
        </w:r>
        <w:r w:rsidR="00236130">
          <w:rPr>
            <w:noProof/>
            <w:webHidden/>
          </w:rPr>
          <w:instrText xml:space="preserve"> PAGEREF _Toc75336477 \h </w:instrText>
        </w:r>
        <w:r w:rsidR="00236130">
          <w:rPr>
            <w:noProof/>
            <w:webHidden/>
          </w:rPr>
        </w:r>
        <w:r w:rsidR="00236130">
          <w:rPr>
            <w:noProof/>
            <w:webHidden/>
          </w:rPr>
          <w:fldChar w:fldCharType="separate"/>
        </w:r>
        <w:r w:rsidR="00881FF0">
          <w:rPr>
            <w:noProof/>
            <w:webHidden/>
          </w:rPr>
          <w:t>48</w:t>
        </w:r>
        <w:r w:rsidR="00236130">
          <w:rPr>
            <w:noProof/>
            <w:webHidden/>
          </w:rPr>
          <w:fldChar w:fldCharType="end"/>
        </w:r>
      </w:hyperlink>
    </w:p>
    <w:p w:rsidR="00236130" w:rsidRDefault="00976FAC">
      <w:pPr>
        <w:pStyle w:val="TOC2"/>
        <w:rPr>
          <w:rFonts w:asciiTheme="minorHAnsi" w:hAnsiTheme="minorHAnsi"/>
          <w:noProof/>
        </w:rPr>
      </w:pPr>
      <w:hyperlink w:anchor="_Toc75336478" w:history="1">
        <w:r w:rsidR="00236130" w:rsidRPr="00337DC6">
          <w:rPr>
            <w:rStyle w:val="Hyperlink"/>
            <w:noProof/>
          </w:rPr>
          <w:t>Māori and Te Tiriti o Waitangi implications</w:t>
        </w:r>
        <w:r w:rsidR="00236130">
          <w:rPr>
            <w:noProof/>
            <w:webHidden/>
          </w:rPr>
          <w:tab/>
        </w:r>
        <w:r w:rsidR="00236130">
          <w:rPr>
            <w:noProof/>
            <w:webHidden/>
          </w:rPr>
          <w:fldChar w:fldCharType="begin"/>
        </w:r>
        <w:r w:rsidR="00236130">
          <w:rPr>
            <w:noProof/>
            <w:webHidden/>
          </w:rPr>
          <w:instrText xml:space="preserve"> PAGEREF _Toc75336478 \h </w:instrText>
        </w:r>
        <w:r w:rsidR="00236130">
          <w:rPr>
            <w:noProof/>
            <w:webHidden/>
          </w:rPr>
        </w:r>
        <w:r w:rsidR="00236130">
          <w:rPr>
            <w:noProof/>
            <w:webHidden/>
          </w:rPr>
          <w:fldChar w:fldCharType="separate"/>
        </w:r>
        <w:r w:rsidR="00881FF0">
          <w:rPr>
            <w:noProof/>
            <w:webHidden/>
          </w:rPr>
          <w:t>48</w:t>
        </w:r>
        <w:r w:rsidR="00236130">
          <w:rPr>
            <w:noProof/>
            <w:webHidden/>
          </w:rPr>
          <w:fldChar w:fldCharType="end"/>
        </w:r>
      </w:hyperlink>
    </w:p>
    <w:p w:rsidR="00236130" w:rsidRDefault="00976FAC">
      <w:pPr>
        <w:pStyle w:val="TOC1"/>
        <w:rPr>
          <w:rFonts w:asciiTheme="minorHAnsi" w:hAnsiTheme="minorHAnsi"/>
          <w:noProof/>
        </w:rPr>
      </w:pPr>
      <w:hyperlink w:anchor="_Toc75336479" w:history="1">
        <w:r w:rsidR="00236130" w:rsidRPr="00337DC6">
          <w:rPr>
            <w:rStyle w:val="Hyperlink"/>
            <w:noProof/>
          </w:rPr>
          <w:t>Section 8: How to have your say</w:t>
        </w:r>
        <w:r w:rsidR="00236130">
          <w:rPr>
            <w:noProof/>
            <w:webHidden/>
          </w:rPr>
          <w:tab/>
        </w:r>
        <w:r w:rsidR="00236130">
          <w:rPr>
            <w:noProof/>
            <w:webHidden/>
          </w:rPr>
          <w:fldChar w:fldCharType="begin"/>
        </w:r>
        <w:r w:rsidR="00236130">
          <w:rPr>
            <w:noProof/>
            <w:webHidden/>
          </w:rPr>
          <w:instrText xml:space="preserve"> PAGEREF _Toc75336479 \h </w:instrText>
        </w:r>
        <w:r w:rsidR="00236130">
          <w:rPr>
            <w:noProof/>
            <w:webHidden/>
          </w:rPr>
        </w:r>
        <w:r w:rsidR="00236130">
          <w:rPr>
            <w:noProof/>
            <w:webHidden/>
          </w:rPr>
          <w:fldChar w:fldCharType="separate"/>
        </w:r>
        <w:r w:rsidR="00881FF0">
          <w:rPr>
            <w:noProof/>
            <w:webHidden/>
          </w:rPr>
          <w:t>50</w:t>
        </w:r>
        <w:r w:rsidR="00236130">
          <w:rPr>
            <w:noProof/>
            <w:webHidden/>
          </w:rPr>
          <w:fldChar w:fldCharType="end"/>
        </w:r>
      </w:hyperlink>
    </w:p>
    <w:p w:rsidR="00236130" w:rsidRDefault="00976FAC">
      <w:pPr>
        <w:pStyle w:val="TOC2"/>
        <w:rPr>
          <w:rFonts w:asciiTheme="minorHAnsi" w:hAnsiTheme="minorHAnsi"/>
          <w:noProof/>
        </w:rPr>
      </w:pPr>
      <w:hyperlink w:anchor="_Toc75336480" w:history="1">
        <w:r w:rsidR="00236130" w:rsidRPr="00337DC6">
          <w:rPr>
            <w:rStyle w:val="Hyperlink"/>
            <w:noProof/>
          </w:rPr>
          <w:t>Timeframes</w:t>
        </w:r>
        <w:r w:rsidR="00236130">
          <w:rPr>
            <w:noProof/>
            <w:webHidden/>
          </w:rPr>
          <w:tab/>
        </w:r>
        <w:r w:rsidR="00236130">
          <w:rPr>
            <w:noProof/>
            <w:webHidden/>
          </w:rPr>
          <w:fldChar w:fldCharType="begin"/>
        </w:r>
        <w:r w:rsidR="00236130">
          <w:rPr>
            <w:noProof/>
            <w:webHidden/>
          </w:rPr>
          <w:instrText xml:space="preserve"> PAGEREF _Toc75336480 \h </w:instrText>
        </w:r>
        <w:r w:rsidR="00236130">
          <w:rPr>
            <w:noProof/>
            <w:webHidden/>
          </w:rPr>
        </w:r>
        <w:r w:rsidR="00236130">
          <w:rPr>
            <w:noProof/>
            <w:webHidden/>
          </w:rPr>
          <w:fldChar w:fldCharType="separate"/>
        </w:r>
        <w:r w:rsidR="00881FF0">
          <w:rPr>
            <w:noProof/>
            <w:webHidden/>
          </w:rPr>
          <w:t>50</w:t>
        </w:r>
        <w:r w:rsidR="00236130">
          <w:rPr>
            <w:noProof/>
            <w:webHidden/>
          </w:rPr>
          <w:fldChar w:fldCharType="end"/>
        </w:r>
      </w:hyperlink>
    </w:p>
    <w:p w:rsidR="00236130" w:rsidRDefault="00976FAC">
      <w:pPr>
        <w:pStyle w:val="TOC2"/>
        <w:rPr>
          <w:rFonts w:asciiTheme="minorHAnsi" w:hAnsiTheme="minorHAnsi"/>
          <w:noProof/>
        </w:rPr>
      </w:pPr>
      <w:hyperlink w:anchor="_Toc75336481" w:history="1">
        <w:r w:rsidR="00236130" w:rsidRPr="00337DC6">
          <w:rPr>
            <w:rStyle w:val="Hyperlink"/>
            <w:noProof/>
          </w:rPr>
          <w:t>How to provide feedback</w:t>
        </w:r>
        <w:r w:rsidR="00236130">
          <w:rPr>
            <w:noProof/>
            <w:webHidden/>
          </w:rPr>
          <w:tab/>
        </w:r>
        <w:r w:rsidR="00236130">
          <w:rPr>
            <w:noProof/>
            <w:webHidden/>
          </w:rPr>
          <w:fldChar w:fldCharType="begin"/>
        </w:r>
        <w:r w:rsidR="00236130">
          <w:rPr>
            <w:noProof/>
            <w:webHidden/>
          </w:rPr>
          <w:instrText xml:space="preserve"> PAGEREF _Toc75336481 \h </w:instrText>
        </w:r>
        <w:r w:rsidR="00236130">
          <w:rPr>
            <w:noProof/>
            <w:webHidden/>
          </w:rPr>
        </w:r>
        <w:r w:rsidR="00236130">
          <w:rPr>
            <w:noProof/>
            <w:webHidden/>
          </w:rPr>
          <w:fldChar w:fldCharType="separate"/>
        </w:r>
        <w:r w:rsidR="00881FF0">
          <w:rPr>
            <w:noProof/>
            <w:webHidden/>
          </w:rPr>
          <w:t>50</w:t>
        </w:r>
        <w:r w:rsidR="00236130">
          <w:rPr>
            <w:noProof/>
            <w:webHidden/>
          </w:rPr>
          <w:fldChar w:fldCharType="end"/>
        </w:r>
      </w:hyperlink>
    </w:p>
    <w:p w:rsidR="00236130" w:rsidRDefault="00976FAC">
      <w:pPr>
        <w:pStyle w:val="TOC2"/>
        <w:rPr>
          <w:rFonts w:asciiTheme="minorHAnsi" w:hAnsiTheme="minorHAnsi"/>
          <w:noProof/>
        </w:rPr>
      </w:pPr>
      <w:hyperlink w:anchor="_Toc75336482" w:history="1">
        <w:r w:rsidR="00236130" w:rsidRPr="00337DC6">
          <w:rPr>
            <w:rStyle w:val="Hyperlink"/>
            <w:noProof/>
          </w:rPr>
          <w:t>More information</w:t>
        </w:r>
        <w:r w:rsidR="00236130">
          <w:rPr>
            <w:noProof/>
            <w:webHidden/>
          </w:rPr>
          <w:tab/>
        </w:r>
        <w:r w:rsidR="00236130">
          <w:rPr>
            <w:noProof/>
            <w:webHidden/>
          </w:rPr>
          <w:fldChar w:fldCharType="begin"/>
        </w:r>
        <w:r w:rsidR="00236130">
          <w:rPr>
            <w:noProof/>
            <w:webHidden/>
          </w:rPr>
          <w:instrText xml:space="preserve"> PAGEREF _Toc75336482 \h </w:instrText>
        </w:r>
        <w:r w:rsidR="00236130">
          <w:rPr>
            <w:noProof/>
            <w:webHidden/>
          </w:rPr>
        </w:r>
        <w:r w:rsidR="00236130">
          <w:rPr>
            <w:noProof/>
            <w:webHidden/>
          </w:rPr>
          <w:fldChar w:fldCharType="separate"/>
        </w:r>
        <w:r w:rsidR="00881FF0">
          <w:rPr>
            <w:noProof/>
            <w:webHidden/>
          </w:rPr>
          <w:t>51</w:t>
        </w:r>
        <w:r w:rsidR="00236130">
          <w:rPr>
            <w:noProof/>
            <w:webHidden/>
          </w:rPr>
          <w:fldChar w:fldCharType="end"/>
        </w:r>
      </w:hyperlink>
    </w:p>
    <w:p w:rsidR="00236130" w:rsidRDefault="00976FAC">
      <w:pPr>
        <w:pStyle w:val="TOC2"/>
        <w:rPr>
          <w:rFonts w:asciiTheme="minorHAnsi" w:hAnsiTheme="minorHAnsi"/>
          <w:noProof/>
        </w:rPr>
      </w:pPr>
      <w:hyperlink w:anchor="_Toc75336483" w:history="1">
        <w:r w:rsidR="00236130" w:rsidRPr="00337DC6">
          <w:rPr>
            <w:rStyle w:val="Hyperlink"/>
            <w:noProof/>
          </w:rPr>
          <w:t>Publishing and releasing submissions</w:t>
        </w:r>
        <w:r w:rsidR="00236130">
          <w:rPr>
            <w:noProof/>
            <w:webHidden/>
          </w:rPr>
          <w:tab/>
        </w:r>
        <w:r w:rsidR="00236130">
          <w:rPr>
            <w:noProof/>
            <w:webHidden/>
          </w:rPr>
          <w:fldChar w:fldCharType="begin"/>
        </w:r>
        <w:r w:rsidR="00236130">
          <w:rPr>
            <w:noProof/>
            <w:webHidden/>
          </w:rPr>
          <w:instrText xml:space="preserve"> PAGEREF _Toc75336483 \h </w:instrText>
        </w:r>
        <w:r w:rsidR="00236130">
          <w:rPr>
            <w:noProof/>
            <w:webHidden/>
          </w:rPr>
        </w:r>
        <w:r w:rsidR="00236130">
          <w:rPr>
            <w:noProof/>
            <w:webHidden/>
          </w:rPr>
          <w:fldChar w:fldCharType="separate"/>
        </w:r>
        <w:r w:rsidR="00881FF0">
          <w:rPr>
            <w:noProof/>
            <w:webHidden/>
          </w:rPr>
          <w:t>51</w:t>
        </w:r>
        <w:r w:rsidR="00236130">
          <w:rPr>
            <w:noProof/>
            <w:webHidden/>
          </w:rPr>
          <w:fldChar w:fldCharType="end"/>
        </w:r>
      </w:hyperlink>
    </w:p>
    <w:p w:rsidR="00236130" w:rsidRDefault="00976FAC">
      <w:pPr>
        <w:pStyle w:val="TOC1"/>
        <w:rPr>
          <w:rFonts w:asciiTheme="minorHAnsi" w:hAnsiTheme="minorHAnsi"/>
          <w:noProof/>
        </w:rPr>
      </w:pPr>
      <w:hyperlink w:anchor="_Toc75336484" w:history="1">
        <w:r w:rsidR="00236130" w:rsidRPr="00337DC6">
          <w:rPr>
            <w:rStyle w:val="Hyperlink"/>
            <w:noProof/>
          </w:rPr>
          <w:t>Section 9: Consultation questions</w:t>
        </w:r>
        <w:r w:rsidR="00236130">
          <w:rPr>
            <w:noProof/>
            <w:webHidden/>
          </w:rPr>
          <w:tab/>
        </w:r>
        <w:r w:rsidR="00236130">
          <w:rPr>
            <w:noProof/>
            <w:webHidden/>
          </w:rPr>
          <w:fldChar w:fldCharType="begin"/>
        </w:r>
        <w:r w:rsidR="00236130">
          <w:rPr>
            <w:noProof/>
            <w:webHidden/>
          </w:rPr>
          <w:instrText xml:space="preserve"> PAGEREF _Toc75336484 \h </w:instrText>
        </w:r>
        <w:r w:rsidR="00236130">
          <w:rPr>
            <w:noProof/>
            <w:webHidden/>
          </w:rPr>
        </w:r>
        <w:r w:rsidR="00236130">
          <w:rPr>
            <w:noProof/>
            <w:webHidden/>
          </w:rPr>
          <w:fldChar w:fldCharType="separate"/>
        </w:r>
        <w:r w:rsidR="00881FF0">
          <w:rPr>
            <w:noProof/>
            <w:webHidden/>
          </w:rPr>
          <w:t>52</w:t>
        </w:r>
        <w:r w:rsidR="00236130">
          <w:rPr>
            <w:noProof/>
            <w:webHidden/>
          </w:rPr>
          <w:fldChar w:fldCharType="end"/>
        </w:r>
      </w:hyperlink>
    </w:p>
    <w:p w:rsidR="00236130" w:rsidRDefault="00976FAC">
      <w:pPr>
        <w:pStyle w:val="TOC1"/>
        <w:rPr>
          <w:rFonts w:asciiTheme="minorHAnsi" w:hAnsiTheme="minorHAnsi"/>
          <w:noProof/>
        </w:rPr>
      </w:pPr>
      <w:hyperlink w:anchor="_Toc75336485" w:history="1">
        <w:r w:rsidR="00236130" w:rsidRPr="00337DC6">
          <w:rPr>
            <w:rStyle w:val="Hyperlink"/>
            <w:rFonts w:cs="Calibri"/>
            <w:noProof/>
          </w:rPr>
          <w:t xml:space="preserve">Appendix 1: </w:t>
        </w:r>
        <w:r w:rsidR="00236130" w:rsidRPr="00337DC6">
          <w:rPr>
            <w:rStyle w:val="Hyperlink"/>
            <w:noProof/>
          </w:rPr>
          <w:t>Industrial Allocation TAG position on consultation questions</w:t>
        </w:r>
        <w:r w:rsidR="00236130">
          <w:rPr>
            <w:noProof/>
            <w:webHidden/>
          </w:rPr>
          <w:tab/>
        </w:r>
        <w:r w:rsidR="00236130">
          <w:rPr>
            <w:noProof/>
            <w:webHidden/>
          </w:rPr>
          <w:fldChar w:fldCharType="begin"/>
        </w:r>
        <w:r w:rsidR="00236130">
          <w:rPr>
            <w:noProof/>
            <w:webHidden/>
          </w:rPr>
          <w:instrText xml:space="preserve"> PAGEREF _Toc75336485 \h </w:instrText>
        </w:r>
        <w:r w:rsidR="00236130">
          <w:rPr>
            <w:noProof/>
            <w:webHidden/>
          </w:rPr>
        </w:r>
        <w:r w:rsidR="00236130">
          <w:rPr>
            <w:noProof/>
            <w:webHidden/>
          </w:rPr>
          <w:fldChar w:fldCharType="separate"/>
        </w:r>
        <w:r w:rsidR="00881FF0">
          <w:rPr>
            <w:noProof/>
            <w:webHidden/>
          </w:rPr>
          <w:t>54</w:t>
        </w:r>
        <w:r w:rsidR="00236130">
          <w:rPr>
            <w:noProof/>
            <w:webHidden/>
          </w:rPr>
          <w:fldChar w:fldCharType="end"/>
        </w:r>
      </w:hyperlink>
    </w:p>
    <w:p w:rsidR="00236130" w:rsidRDefault="00976FAC">
      <w:pPr>
        <w:pStyle w:val="TOC1"/>
        <w:rPr>
          <w:rFonts w:asciiTheme="minorHAnsi" w:hAnsiTheme="minorHAnsi"/>
          <w:noProof/>
        </w:rPr>
      </w:pPr>
      <w:hyperlink w:anchor="_Toc75336486" w:history="1">
        <w:r w:rsidR="00236130" w:rsidRPr="00337DC6">
          <w:rPr>
            <w:rStyle w:val="Hyperlink"/>
            <w:rFonts w:cs="Calibri"/>
            <w:noProof/>
          </w:rPr>
          <w:t xml:space="preserve">Appendix 2: </w:t>
        </w:r>
        <w:r w:rsidR="00236130" w:rsidRPr="00337DC6">
          <w:rPr>
            <w:rStyle w:val="Hyperlink"/>
            <w:noProof/>
          </w:rPr>
          <w:t>Table of emissions-intensive and trade-exposed activities</w:t>
        </w:r>
        <w:r w:rsidR="00236130">
          <w:rPr>
            <w:noProof/>
            <w:webHidden/>
          </w:rPr>
          <w:tab/>
        </w:r>
        <w:r w:rsidR="00236130">
          <w:rPr>
            <w:noProof/>
            <w:webHidden/>
          </w:rPr>
          <w:fldChar w:fldCharType="begin"/>
        </w:r>
        <w:r w:rsidR="00236130">
          <w:rPr>
            <w:noProof/>
            <w:webHidden/>
          </w:rPr>
          <w:instrText xml:space="preserve"> PAGEREF _Toc75336486 \h </w:instrText>
        </w:r>
        <w:r w:rsidR="00236130">
          <w:rPr>
            <w:noProof/>
            <w:webHidden/>
          </w:rPr>
        </w:r>
        <w:r w:rsidR="00236130">
          <w:rPr>
            <w:noProof/>
            <w:webHidden/>
          </w:rPr>
          <w:fldChar w:fldCharType="separate"/>
        </w:r>
        <w:r w:rsidR="00881FF0">
          <w:rPr>
            <w:noProof/>
            <w:webHidden/>
          </w:rPr>
          <w:t>56</w:t>
        </w:r>
        <w:r w:rsidR="00236130">
          <w:rPr>
            <w:noProof/>
            <w:webHidden/>
          </w:rPr>
          <w:fldChar w:fldCharType="end"/>
        </w:r>
      </w:hyperlink>
    </w:p>
    <w:p w:rsidR="00236130" w:rsidRDefault="00976FAC">
      <w:pPr>
        <w:pStyle w:val="TOC1"/>
        <w:rPr>
          <w:rFonts w:asciiTheme="minorHAnsi" w:hAnsiTheme="minorHAnsi"/>
          <w:noProof/>
        </w:rPr>
      </w:pPr>
      <w:hyperlink w:anchor="_Toc75336487" w:history="1">
        <w:r w:rsidR="00236130" w:rsidRPr="00337DC6">
          <w:rPr>
            <w:rStyle w:val="Hyperlink"/>
            <w:noProof/>
          </w:rPr>
          <w:t>References</w:t>
        </w:r>
        <w:r w:rsidR="00236130">
          <w:rPr>
            <w:noProof/>
            <w:webHidden/>
          </w:rPr>
          <w:tab/>
        </w:r>
        <w:r w:rsidR="00236130">
          <w:rPr>
            <w:noProof/>
            <w:webHidden/>
          </w:rPr>
          <w:fldChar w:fldCharType="begin"/>
        </w:r>
        <w:r w:rsidR="00236130">
          <w:rPr>
            <w:noProof/>
            <w:webHidden/>
          </w:rPr>
          <w:instrText xml:space="preserve"> PAGEREF _Toc75336487 \h </w:instrText>
        </w:r>
        <w:r w:rsidR="00236130">
          <w:rPr>
            <w:noProof/>
            <w:webHidden/>
          </w:rPr>
        </w:r>
        <w:r w:rsidR="00236130">
          <w:rPr>
            <w:noProof/>
            <w:webHidden/>
          </w:rPr>
          <w:fldChar w:fldCharType="separate"/>
        </w:r>
        <w:r w:rsidR="00881FF0">
          <w:rPr>
            <w:noProof/>
            <w:webHidden/>
          </w:rPr>
          <w:t>57</w:t>
        </w:r>
        <w:r w:rsidR="00236130">
          <w:rPr>
            <w:noProof/>
            <w:webHidden/>
          </w:rPr>
          <w:fldChar w:fldCharType="end"/>
        </w:r>
      </w:hyperlink>
    </w:p>
    <w:p w:rsidR="0080531E" w:rsidRPr="00A03684" w:rsidRDefault="00775F57" w:rsidP="007611D9">
      <w:pPr>
        <w:pStyle w:val="Glossary"/>
      </w:pPr>
      <w:r w:rsidRPr="00A03684">
        <w:rPr>
          <w:color w:val="0092CF"/>
        </w:rPr>
        <w:fldChar w:fldCharType="end"/>
      </w:r>
    </w:p>
    <w:p w:rsidR="00796A6F" w:rsidRPr="00A03684" w:rsidRDefault="00796A6F" w:rsidP="007611D9">
      <w:pPr>
        <w:jc w:val="left"/>
      </w:pPr>
      <w:r w:rsidRPr="00A03684">
        <w:br w:type="page"/>
      </w:r>
      <w:bookmarkEnd w:id="0"/>
    </w:p>
    <w:p w:rsidR="00532334" w:rsidRPr="00A03684" w:rsidRDefault="00532334" w:rsidP="007611D9">
      <w:pPr>
        <w:pStyle w:val="Heading"/>
      </w:pPr>
      <w:r w:rsidRPr="00A03684">
        <w:t>Tables</w:t>
      </w:r>
    </w:p>
    <w:bookmarkStart w:id="1" w:name="_Hlk74238899"/>
    <w:p w:rsidR="00B75C8F" w:rsidRDefault="004943C2">
      <w:pPr>
        <w:pStyle w:val="TableofFigures"/>
        <w:tabs>
          <w:tab w:val="right" w:pos="8495"/>
        </w:tabs>
        <w:rPr>
          <w:rFonts w:asciiTheme="minorHAnsi" w:hAnsiTheme="minorHAnsi"/>
          <w:noProof/>
        </w:rPr>
      </w:pPr>
      <w:r w:rsidRPr="00A03684">
        <w:fldChar w:fldCharType="begin"/>
      </w:r>
      <w:r w:rsidRPr="00A03684">
        <w:instrText xml:space="preserve"> TOC \h \z \t "Table heading" \c </w:instrText>
      </w:r>
      <w:r w:rsidRPr="00A03684">
        <w:fldChar w:fldCharType="separate"/>
      </w:r>
      <w:hyperlink w:anchor="_Toc75262170" w:history="1">
        <w:r w:rsidR="00B75C8F" w:rsidRPr="00CD2A6F">
          <w:rPr>
            <w:rStyle w:val="Hyperlink"/>
            <w:noProof/>
          </w:rPr>
          <w:t xml:space="preserve">Table 1: </w:t>
        </w:r>
        <w:r w:rsidR="00B75C8F">
          <w:rPr>
            <w:rFonts w:asciiTheme="minorHAnsi" w:hAnsiTheme="minorHAnsi"/>
            <w:noProof/>
          </w:rPr>
          <w:tab/>
        </w:r>
        <w:r w:rsidR="00B75C8F" w:rsidRPr="00CD2A6F">
          <w:rPr>
            <w:rStyle w:val="Hyperlink"/>
            <w:noProof/>
          </w:rPr>
          <w:t>Estimated carbon prices at which four activities are at risk of emissions leakage</w:t>
        </w:r>
        <w:r w:rsidR="00B75C8F">
          <w:rPr>
            <w:noProof/>
            <w:webHidden/>
          </w:rPr>
          <w:tab/>
        </w:r>
        <w:r w:rsidR="00B75C8F">
          <w:rPr>
            <w:noProof/>
            <w:webHidden/>
          </w:rPr>
          <w:fldChar w:fldCharType="begin"/>
        </w:r>
        <w:r w:rsidR="00B75C8F">
          <w:rPr>
            <w:noProof/>
            <w:webHidden/>
          </w:rPr>
          <w:instrText xml:space="preserve"> PAGEREF _Toc75262170 \h </w:instrText>
        </w:r>
        <w:r w:rsidR="00B75C8F">
          <w:rPr>
            <w:noProof/>
            <w:webHidden/>
          </w:rPr>
        </w:r>
        <w:r w:rsidR="00B75C8F">
          <w:rPr>
            <w:noProof/>
            <w:webHidden/>
          </w:rPr>
          <w:fldChar w:fldCharType="separate"/>
        </w:r>
        <w:r w:rsidR="00881FF0">
          <w:rPr>
            <w:noProof/>
            <w:webHidden/>
          </w:rPr>
          <w:t>11</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71" w:history="1">
        <w:r w:rsidR="00B75C8F" w:rsidRPr="00CD2A6F">
          <w:rPr>
            <w:rStyle w:val="Hyperlink"/>
            <w:noProof/>
          </w:rPr>
          <w:t xml:space="preserve">Table 2: </w:t>
        </w:r>
        <w:r w:rsidR="00B75C8F">
          <w:rPr>
            <w:rFonts w:asciiTheme="minorHAnsi" w:hAnsiTheme="minorHAnsi"/>
            <w:noProof/>
          </w:rPr>
          <w:tab/>
        </w:r>
        <w:r w:rsidR="00B75C8F" w:rsidRPr="00CD2A6F">
          <w:rPr>
            <w:rStyle w:val="Hyperlink"/>
            <w:noProof/>
          </w:rPr>
          <w:t>Eligibility and threshold categories</w:t>
        </w:r>
        <w:r w:rsidR="00B75C8F">
          <w:rPr>
            <w:noProof/>
            <w:webHidden/>
          </w:rPr>
          <w:tab/>
        </w:r>
        <w:r w:rsidR="00B75C8F">
          <w:rPr>
            <w:noProof/>
            <w:webHidden/>
          </w:rPr>
          <w:fldChar w:fldCharType="begin"/>
        </w:r>
        <w:r w:rsidR="00B75C8F">
          <w:rPr>
            <w:noProof/>
            <w:webHidden/>
          </w:rPr>
          <w:instrText xml:space="preserve"> PAGEREF _Toc75262171 \h </w:instrText>
        </w:r>
        <w:r w:rsidR="00B75C8F">
          <w:rPr>
            <w:noProof/>
            <w:webHidden/>
          </w:rPr>
        </w:r>
        <w:r w:rsidR="00B75C8F">
          <w:rPr>
            <w:noProof/>
            <w:webHidden/>
          </w:rPr>
          <w:fldChar w:fldCharType="separate"/>
        </w:r>
        <w:r w:rsidR="00881FF0">
          <w:rPr>
            <w:noProof/>
            <w:webHidden/>
          </w:rPr>
          <w:t>13</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72" w:history="1">
        <w:r w:rsidR="00B75C8F" w:rsidRPr="00CD2A6F">
          <w:rPr>
            <w:rStyle w:val="Hyperlink"/>
            <w:noProof/>
          </w:rPr>
          <w:t xml:space="preserve">Table 3: </w:t>
        </w:r>
        <w:r w:rsidR="00B75C8F">
          <w:rPr>
            <w:rFonts w:asciiTheme="minorHAnsi" w:hAnsiTheme="minorHAnsi"/>
            <w:noProof/>
          </w:rPr>
          <w:tab/>
        </w:r>
        <w:r w:rsidR="00B75C8F" w:rsidRPr="00CD2A6F">
          <w:rPr>
            <w:rStyle w:val="Hyperlink"/>
            <w:noProof/>
          </w:rPr>
          <w:t>Impact of over-allocation from a highly emissions-intensive activity</w:t>
        </w:r>
        <w:r w:rsidR="00B75C8F">
          <w:rPr>
            <w:noProof/>
            <w:webHidden/>
          </w:rPr>
          <w:tab/>
        </w:r>
        <w:r w:rsidR="00B75C8F">
          <w:rPr>
            <w:noProof/>
            <w:webHidden/>
          </w:rPr>
          <w:fldChar w:fldCharType="begin"/>
        </w:r>
        <w:r w:rsidR="00B75C8F">
          <w:rPr>
            <w:noProof/>
            <w:webHidden/>
          </w:rPr>
          <w:instrText xml:space="preserve"> PAGEREF _Toc75262172 \h </w:instrText>
        </w:r>
        <w:r w:rsidR="00B75C8F">
          <w:rPr>
            <w:noProof/>
            <w:webHidden/>
          </w:rPr>
        </w:r>
        <w:r w:rsidR="00B75C8F">
          <w:rPr>
            <w:noProof/>
            <w:webHidden/>
          </w:rPr>
          <w:fldChar w:fldCharType="separate"/>
        </w:r>
        <w:r w:rsidR="00881FF0">
          <w:rPr>
            <w:noProof/>
            <w:webHidden/>
          </w:rPr>
          <w:t>17</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73" w:history="1">
        <w:r w:rsidR="00B75C8F" w:rsidRPr="00CD2A6F">
          <w:rPr>
            <w:rStyle w:val="Hyperlink"/>
            <w:rFonts w:eastAsia="Times New Roman"/>
            <w:noProof/>
          </w:rPr>
          <w:t xml:space="preserve">Table 4: </w:t>
        </w:r>
        <w:r w:rsidR="00B75C8F">
          <w:rPr>
            <w:rFonts w:asciiTheme="minorHAnsi" w:hAnsiTheme="minorHAnsi"/>
            <w:noProof/>
          </w:rPr>
          <w:tab/>
        </w:r>
        <w:r w:rsidR="00B75C8F" w:rsidRPr="00CD2A6F">
          <w:rPr>
            <w:rStyle w:val="Hyperlink"/>
            <w:rFonts w:eastAsia="Times New Roman"/>
            <w:noProof/>
          </w:rPr>
          <w:t>Change in emissions intensity and estimated actual level of assistance for four industrial activities</w:t>
        </w:r>
        <w:r w:rsidR="00B75C8F">
          <w:rPr>
            <w:noProof/>
            <w:webHidden/>
          </w:rPr>
          <w:tab/>
        </w:r>
        <w:r w:rsidR="00B75C8F">
          <w:rPr>
            <w:noProof/>
            <w:webHidden/>
          </w:rPr>
          <w:fldChar w:fldCharType="begin"/>
        </w:r>
        <w:r w:rsidR="00B75C8F">
          <w:rPr>
            <w:noProof/>
            <w:webHidden/>
          </w:rPr>
          <w:instrText xml:space="preserve"> PAGEREF _Toc75262173 \h </w:instrText>
        </w:r>
        <w:r w:rsidR="00B75C8F">
          <w:rPr>
            <w:noProof/>
            <w:webHidden/>
          </w:rPr>
        </w:r>
        <w:r w:rsidR="00B75C8F">
          <w:rPr>
            <w:noProof/>
            <w:webHidden/>
          </w:rPr>
          <w:fldChar w:fldCharType="separate"/>
        </w:r>
        <w:r w:rsidR="00881FF0">
          <w:rPr>
            <w:noProof/>
            <w:webHidden/>
          </w:rPr>
          <w:t>18</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74" w:history="1">
        <w:r w:rsidR="00B75C8F" w:rsidRPr="00CD2A6F">
          <w:rPr>
            <w:rStyle w:val="Hyperlink"/>
            <w:rFonts w:eastAsia="Times New Roman"/>
            <w:noProof/>
          </w:rPr>
          <w:t xml:space="preserve">Table 5: </w:t>
        </w:r>
        <w:r w:rsidR="00B75C8F">
          <w:rPr>
            <w:rFonts w:asciiTheme="minorHAnsi" w:hAnsiTheme="minorHAnsi"/>
            <w:noProof/>
          </w:rPr>
          <w:tab/>
        </w:r>
        <w:r w:rsidR="00B75C8F" w:rsidRPr="00CD2A6F">
          <w:rPr>
            <w:rStyle w:val="Hyperlink"/>
            <w:noProof/>
          </w:rPr>
          <w:t>Impact</w:t>
        </w:r>
        <w:r w:rsidR="00B75C8F" w:rsidRPr="00CD2A6F">
          <w:rPr>
            <w:rStyle w:val="Hyperlink"/>
            <w:rFonts w:eastAsia="Times New Roman"/>
            <w:noProof/>
          </w:rPr>
          <w:t xml:space="preserve"> analysis notation</w:t>
        </w:r>
        <w:r w:rsidR="00B75C8F">
          <w:rPr>
            <w:noProof/>
            <w:webHidden/>
          </w:rPr>
          <w:tab/>
        </w:r>
        <w:r w:rsidR="00B75C8F">
          <w:rPr>
            <w:noProof/>
            <w:webHidden/>
          </w:rPr>
          <w:fldChar w:fldCharType="begin"/>
        </w:r>
        <w:r w:rsidR="00B75C8F">
          <w:rPr>
            <w:noProof/>
            <w:webHidden/>
          </w:rPr>
          <w:instrText xml:space="preserve"> PAGEREF _Toc75262174 \h </w:instrText>
        </w:r>
        <w:r w:rsidR="00B75C8F">
          <w:rPr>
            <w:noProof/>
            <w:webHidden/>
          </w:rPr>
        </w:r>
        <w:r w:rsidR="00B75C8F">
          <w:rPr>
            <w:noProof/>
            <w:webHidden/>
          </w:rPr>
          <w:fldChar w:fldCharType="separate"/>
        </w:r>
        <w:r w:rsidR="00881FF0">
          <w:rPr>
            <w:noProof/>
            <w:webHidden/>
          </w:rPr>
          <w:t>20</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75" w:history="1">
        <w:r w:rsidR="00B75C8F" w:rsidRPr="00CD2A6F">
          <w:rPr>
            <w:rStyle w:val="Hyperlink"/>
            <w:noProof/>
          </w:rPr>
          <w:t>Table 6:</w:t>
        </w:r>
        <w:r w:rsidR="00B75C8F">
          <w:rPr>
            <w:rFonts w:asciiTheme="minorHAnsi" w:hAnsiTheme="minorHAnsi"/>
            <w:noProof/>
          </w:rPr>
          <w:tab/>
        </w:r>
        <w:r w:rsidR="00B75C8F" w:rsidRPr="00CD2A6F">
          <w:rPr>
            <w:rStyle w:val="Hyperlink"/>
            <w:noProof/>
          </w:rPr>
          <w:t>Assessment of option to update allocative baselines</w:t>
        </w:r>
        <w:r w:rsidR="00B75C8F">
          <w:rPr>
            <w:noProof/>
            <w:webHidden/>
          </w:rPr>
          <w:tab/>
        </w:r>
        <w:r w:rsidR="00B75C8F">
          <w:rPr>
            <w:noProof/>
            <w:webHidden/>
          </w:rPr>
          <w:fldChar w:fldCharType="begin"/>
        </w:r>
        <w:r w:rsidR="00B75C8F">
          <w:rPr>
            <w:noProof/>
            <w:webHidden/>
          </w:rPr>
          <w:instrText xml:space="preserve"> PAGEREF _Toc75262175 \h </w:instrText>
        </w:r>
        <w:r w:rsidR="00B75C8F">
          <w:rPr>
            <w:noProof/>
            <w:webHidden/>
          </w:rPr>
        </w:r>
        <w:r w:rsidR="00B75C8F">
          <w:rPr>
            <w:noProof/>
            <w:webHidden/>
          </w:rPr>
          <w:fldChar w:fldCharType="separate"/>
        </w:r>
        <w:r w:rsidR="00881FF0">
          <w:rPr>
            <w:noProof/>
            <w:webHidden/>
          </w:rPr>
          <w:t>24</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76" w:history="1">
        <w:r w:rsidR="00B75C8F" w:rsidRPr="00CD2A6F">
          <w:rPr>
            <w:rStyle w:val="Hyperlink"/>
            <w:noProof/>
          </w:rPr>
          <w:t>Table 7:</w:t>
        </w:r>
        <w:r w:rsidR="00B75C8F">
          <w:rPr>
            <w:rFonts w:asciiTheme="minorHAnsi" w:hAnsiTheme="minorHAnsi"/>
            <w:noProof/>
          </w:rPr>
          <w:tab/>
        </w:r>
        <w:r w:rsidR="00B75C8F" w:rsidRPr="00CD2A6F">
          <w:rPr>
            <w:rStyle w:val="Hyperlink"/>
            <w:noProof/>
          </w:rPr>
          <w:t>Assessment of option to reassess eligibility</w:t>
        </w:r>
        <w:r w:rsidR="00B75C8F">
          <w:rPr>
            <w:noProof/>
            <w:webHidden/>
          </w:rPr>
          <w:tab/>
        </w:r>
        <w:r w:rsidR="00B75C8F">
          <w:rPr>
            <w:noProof/>
            <w:webHidden/>
          </w:rPr>
          <w:fldChar w:fldCharType="begin"/>
        </w:r>
        <w:r w:rsidR="00B75C8F">
          <w:rPr>
            <w:noProof/>
            <w:webHidden/>
          </w:rPr>
          <w:instrText xml:space="preserve"> PAGEREF _Toc75262176 \h </w:instrText>
        </w:r>
        <w:r w:rsidR="00B75C8F">
          <w:rPr>
            <w:noProof/>
            <w:webHidden/>
          </w:rPr>
        </w:r>
        <w:r w:rsidR="00B75C8F">
          <w:rPr>
            <w:noProof/>
            <w:webHidden/>
          </w:rPr>
          <w:fldChar w:fldCharType="separate"/>
        </w:r>
        <w:r w:rsidR="00881FF0">
          <w:rPr>
            <w:noProof/>
            <w:webHidden/>
          </w:rPr>
          <w:t>26</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77" w:history="1">
        <w:r w:rsidR="00B75C8F" w:rsidRPr="00CD2A6F">
          <w:rPr>
            <w:rStyle w:val="Hyperlink"/>
            <w:noProof/>
          </w:rPr>
          <w:t>Table 8:</w:t>
        </w:r>
        <w:r w:rsidR="00B75C8F">
          <w:rPr>
            <w:rFonts w:asciiTheme="minorHAnsi" w:hAnsiTheme="minorHAnsi"/>
            <w:noProof/>
          </w:rPr>
          <w:tab/>
        </w:r>
        <w:r w:rsidR="00B75C8F" w:rsidRPr="00CD2A6F">
          <w:rPr>
            <w:rStyle w:val="Hyperlink"/>
            <w:noProof/>
          </w:rPr>
          <w:t>Assessment of New Zealand-specific thresholds</w:t>
        </w:r>
        <w:r w:rsidR="00B75C8F">
          <w:rPr>
            <w:noProof/>
            <w:webHidden/>
          </w:rPr>
          <w:tab/>
        </w:r>
        <w:r w:rsidR="00B75C8F">
          <w:rPr>
            <w:noProof/>
            <w:webHidden/>
          </w:rPr>
          <w:fldChar w:fldCharType="begin"/>
        </w:r>
        <w:r w:rsidR="00B75C8F">
          <w:rPr>
            <w:noProof/>
            <w:webHidden/>
          </w:rPr>
          <w:instrText xml:space="preserve"> PAGEREF _Toc75262177 \h </w:instrText>
        </w:r>
        <w:r w:rsidR="00B75C8F">
          <w:rPr>
            <w:noProof/>
            <w:webHidden/>
          </w:rPr>
        </w:r>
        <w:r w:rsidR="00B75C8F">
          <w:rPr>
            <w:noProof/>
            <w:webHidden/>
          </w:rPr>
          <w:fldChar w:fldCharType="separate"/>
        </w:r>
        <w:r w:rsidR="00881FF0">
          <w:rPr>
            <w:noProof/>
            <w:webHidden/>
          </w:rPr>
          <w:t>28</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78" w:history="1">
        <w:r w:rsidR="00B75C8F" w:rsidRPr="00CD2A6F">
          <w:rPr>
            <w:rStyle w:val="Hyperlink"/>
            <w:noProof/>
          </w:rPr>
          <w:t>Table 9:</w:t>
        </w:r>
        <w:r w:rsidR="00B75C8F">
          <w:rPr>
            <w:rFonts w:asciiTheme="minorHAnsi" w:hAnsiTheme="minorHAnsi"/>
            <w:noProof/>
          </w:rPr>
          <w:tab/>
        </w:r>
        <w:r w:rsidR="00B75C8F" w:rsidRPr="00CD2A6F">
          <w:rPr>
            <w:rStyle w:val="Hyperlink"/>
            <w:noProof/>
          </w:rPr>
          <w:t>Assessment of using the New Zealand EAF to assess eligibility</w:t>
        </w:r>
        <w:r w:rsidR="00B75C8F">
          <w:rPr>
            <w:noProof/>
            <w:webHidden/>
          </w:rPr>
          <w:tab/>
        </w:r>
        <w:r w:rsidR="00B75C8F">
          <w:rPr>
            <w:noProof/>
            <w:webHidden/>
          </w:rPr>
          <w:fldChar w:fldCharType="begin"/>
        </w:r>
        <w:r w:rsidR="00B75C8F">
          <w:rPr>
            <w:noProof/>
            <w:webHidden/>
          </w:rPr>
          <w:instrText xml:space="preserve"> PAGEREF _Toc75262178 \h </w:instrText>
        </w:r>
        <w:r w:rsidR="00B75C8F">
          <w:rPr>
            <w:noProof/>
            <w:webHidden/>
          </w:rPr>
        </w:r>
        <w:r w:rsidR="00B75C8F">
          <w:rPr>
            <w:noProof/>
            <w:webHidden/>
          </w:rPr>
          <w:fldChar w:fldCharType="separate"/>
        </w:r>
        <w:r w:rsidR="00881FF0">
          <w:rPr>
            <w:noProof/>
            <w:webHidden/>
          </w:rPr>
          <w:t>29</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79" w:history="1">
        <w:r w:rsidR="00B75C8F" w:rsidRPr="00CD2A6F">
          <w:rPr>
            <w:rStyle w:val="Hyperlink"/>
            <w:noProof/>
          </w:rPr>
          <w:t>Table 10:</w:t>
        </w:r>
        <w:r w:rsidR="00B75C8F">
          <w:rPr>
            <w:rFonts w:asciiTheme="minorHAnsi" w:hAnsiTheme="minorHAnsi"/>
            <w:noProof/>
          </w:rPr>
          <w:tab/>
        </w:r>
        <w:r w:rsidR="00B75C8F" w:rsidRPr="00CD2A6F">
          <w:rPr>
            <w:rStyle w:val="Hyperlink"/>
            <w:noProof/>
          </w:rPr>
          <w:t>Assessment of changing the trade exposure test</w:t>
        </w:r>
        <w:r w:rsidR="00B75C8F">
          <w:rPr>
            <w:noProof/>
            <w:webHidden/>
          </w:rPr>
          <w:tab/>
        </w:r>
        <w:r w:rsidR="00B75C8F">
          <w:rPr>
            <w:noProof/>
            <w:webHidden/>
          </w:rPr>
          <w:fldChar w:fldCharType="begin"/>
        </w:r>
        <w:r w:rsidR="00B75C8F">
          <w:rPr>
            <w:noProof/>
            <w:webHidden/>
          </w:rPr>
          <w:instrText xml:space="preserve"> PAGEREF _Toc75262179 \h </w:instrText>
        </w:r>
        <w:r w:rsidR="00B75C8F">
          <w:rPr>
            <w:noProof/>
            <w:webHidden/>
          </w:rPr>
        </w:r>
        <w:r w:rsidR="00B75C8F">
          <w:rPr>
            <w:noProof/>
            <w:webHidden/>
          </w:rPr>
          <w:fldChar w:fldCharType="separate"/>
        </w:r>
        <w:r w:rsidR="00881FF0">
          <w:rPr>
            <w:noProof/>
            <w:webHidden/>
          </w:rPr>
          <w:t>31</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80" w:history="1">
        <w:r w:rsidR="00B75C8F" w:rsidRPr="00CD2A6F">
          <w:rPr>
            <w:rStyle w:val="Hyperlink"/>
            <w:noProof/>
          </w:rPr>
          <w:t>Table 11:</w:t>
        </w:r>
        <w:r w:rsidR="00B75C8F">
          <w:rPr>
            <w:rFonts w:asciiTheme="minorHAnsi" w:hAnsiTheme="minorHAnsi"/>
            <w:noProof/>
          </w:rPr>
          <w:tab/>
        </w:r>
        <w:r w:rsidR="00B75C8F" w:rsidRPr="00CD2A6F">
          <w:rPr>
            <w:rStyle w:val="Hyperlink"/>
            <w:noProof/>
          </w:rPr>
          <w:t>Assessment of updating baselines due to methodology change</w:t>
        </w:r>
        <w:r w:rsidR="00B75C8F">
          <w:rPr>
            <w:noProof/>
            <w:webHidden/>
          </w:rPr>
          <w:tab/>
        </w:r>
        <w:r w:rsidR="00B75C8F">
          <w:rPr>
            <w:noProof/>
            <w:webHidden/>
          </w:rPr>
          <w:fldChar w:fldCharType="begin"/>
        </w:r>
        <w:r w:rsidR="00B75C8F">
          <w:rPr>
            <w:noProof/>
            <w:webHidden/>
          </w:rPr>
          <w:instrText xml:space="preserve"> PAGEREF _Toc75262180 \h </w:instrText>
        </w:r>
        <w:r w:rsidR="00B75C8F">
          <w:rPr>
            <w:noProof/>
            <w:webHidden/>
          </w:rPr>
        </w:r>
        <w:r w:rsidR="00B75C8F">
          <w:rPr>
            <w:noProof/>
            <w:webHidden/>
          </w:rPr>
          <w:fldChar w:fldCharType="separate"/>
        </w:r>
        <w:r w:rsidR="00881FF0">
          <w:rPr>
            <w:noProof/>
            <w:webHidden/>
          </w:rPr>
          <w:t>33</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81" w:history="1">
        <w:r w:rsidR="00B75C8F" w:rsidRPr="00CD2A6F">
          <w:rPr>
            <w:rStyle w:val="Hyperlink"/>
            <w:noProof/>
          </w:rPr>
          <w:t>Table 12:</w:t>
        </w:r>
        <w:r w:rsidR="00B75C8F">
          <w:rPr>
            <w:rFonts w:asciiTheme="minorHAnsi" w:hAnsiTheme="minorHAnsi"/>
            <w:noProof/>
          </w:rPr>
          <w:tab/>
        </w:r>
        <w:r w:rsidR="00B75C8F" w:rsidRPr="00CD2A6F">
          <w:rPr>
            <w:rStyle w:val="Hyperlink"/>
            <w:noProof/>
          </w:rPr>
          <w:t>Assessment of limiting new activities from seeking eligibility</w:t>
        </w:r>
        <w:r w:rsidR="00B75C8F">
          <w:rPr>
            <w:noProof/>
            <w:webHidden/>
          </w:rPr>
          <w:tab/>
        </w:r>
        <w:r w:rsidR="00B75C8F">
          <w:rPr>
            <w:noProof/>
            <w:webHidden/>
          </w:rPr>
          <w:fldChar w:fldCharType="begin"/>
        </w:r>
        <w:r w:rsidR="00B75C8F">
          <w:rPr>
            <w:noProof/>
            <w:webHidden/>
          </w:rPr>
          <w:instrText xml:space="preserve"> PAGEREF _Toc75262181 \h </w:instrText>
        </w:r>
        <w:r w:rsidR="00B75C8F">
          <w:rPr>
            <w:noProof/>
            <w:webHidden/>
          </w:rPr>
        </w:r>
        <w:r w:rsidR="00B75C8F">
          <w:rPr>
            <w:noProof/>
            <w:webHidden/>
          </w:rPr>
          <w:fldChar w:fldCharType="separate"/>
        </w:r>
        <w:r w:rsidR="00881FF0">
          <w:rPr>
            <w:noProof/>
            <w:webHidden/>
          </w:rPr>
          <w:t>36</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82" w:history="1">
        <w:r w:rsidR="00B75C8F" w:rsidRPr="00CD2A6F">
          <w:rPr>
            <w:rStyle w:val="Hyperlink"/>
            <w:noProof/>
          </w:rPr>
          <w:t>Table 13:</w:t>
        </w:r>
        <w:r w:rsidR="00B75C8F">
          <w:rPr>
            <w:rFonts w:asciiTheme="minorHAnsi" w:hAnsiTheme="minorHAnsi"/>
            <w:noProof/>
          </w:rPr>
          <w:tab/>
        </w:r>
        <w:r w:rsidR="00B75C8F" w:rsidRPr="00CD2A6F">
          <w:rPr>
            <w:rStyle w:val="Hyperlink"/>
            <w:noProof/>
          </w:rPr>
          <w:t>Assessment of mandatory and voluntary reporting</w:t>
        </w:r>
        <w:r w:rsidR="00B75C8F">
          <w:rPr>
            <w:noProof/>
            <w:webHidden/>
          </w:rPr>
          <w:tab/>
        </w:r>
        <w:r w:rsidR="00B75C8F">
          <w:rPr>
            <w:noProof/>
            <w:webHidden/>
          </w:rPr>
          <w:fldChar w:fldCharType="begin"/>
        </w:r>
        <w:r w:rsidR="00B75C8F">
          <w:rPr>
            <w:noProof/>
            <w:webHidden/>
          </w:rPr>
          <w:instrText xml:space="preserve"> PAGEREF _Toc75262182 \h </w:instrText>
        </w:r>
        <w:r w:rsidR="00B75C8F">
          <w:rPr>
            <w:noProof/>
            <w:webHidden/>
          </w:rPr>
        </w:r>
        <w:r w:rsidR="00B75C8F">
          <w:rPr>
            <w:noProof/>
            <w:webHidden/>
          </w:rPr>
          <w:fldChar w:fldCharType="separate"/>
        </w:r>
        <w:r w:rsidR="00881FF0">
          <w:rPr>
            <w:noProof/>
            <w:webHidden/>
          </w:rPr>
          <w:t>38</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83" w:history="1">
        <w:r w:rsidR="00B75C8F" w:rsidRPr="00CD2A6F">
          <w:rPr>
            <w:rStyle w:val="Hyperlink"/>
            <w:noProof/>
          </w:rPr>
          <w:t>Table 14:</w:t>
        </w:r>
        <w:r w:rsidR="00B75C8F">
          <w:rPr>
            <w:rFonts w:asciiTheme="minorHAnsi" w:hAnsiTheme="minorHAnsi"/>
            <w:noProof/>
          </w:rPr>
          <w:tab/>
        </w:r>
        <w:r w:rsidR="00B75C8F" w:rsidRPr="00CD2A6F">
          <w:rPr>
            <w:rStyle w:val="Hyperlink"/>
            <w:noProof/>
          </w:rPr>
          <w:t>Assessment of eligibility transition periods</w:t>
        </w:r>
        <w:r w:rsidR="00B75C8F">
          <w:rPr>
            <w:noProof/>
            <w:webHidden/>
          </w:rPr>
          <w:tab/>
        </w:r>
        <w:r w:rsidR="00B75C8F">
          <w:rPr>
            <w:noProof/>
            <w:webHidden/>
          </w:rPr>
          <w:fldChar w:fldCharType="begin"/>
        </w:r>
        <w:r w:rsidR="00B75C8F">
          <w:rPr>
            <w:noProof/>
            <w:webHidden/>
          </w:rPr>
          <w:instrText xml:space="preserve"> PAGEREF _Toc75262183 \h </w:instrText>
        </w:r>
        <w:r w:rsidR="00B75C8F">
          <w:rPr>
            <w:noProof/>
            <w:webHidden/>
          </w:rPr>
        </w:r>
        <w:r w:rsidR="00B75C8F">
          <w:rPr>
            <w:noProof/>
            <w:webHidden/>
          </w:rPr>
          <w:fldChar w:fldCharType="separate"/>
        </w:r>
        <w:r w:rsidR="00881FF0">
          <w:rPr>
            <w:noProof/>
            <w:webHidden/>
          </w:rPr>
          <w:t>40</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84" w:history="1">
        <w:r w:rsidR="00B75C8F" w:rsidRPr="00CD2A6F">
          <w:rPr>
            <w:rStyle w:val="Hyperlink"/>
            <w:noProof/>
          </w:rPr>
          <w:t xml:space="preserve">Table 15: </w:t>
        </w:r>
        <w:r w:rsidR="00B75C8F">
          <w:rPr>
            <w:rFonts w:asciiTheme="minorHAnsi" w:hAnsiTheme="minorHAnsi"/>
            <w:noProof/>
          </w:rPr>
          <w:tab/>
        </w:r>
        <w:r w:rsidR="00B75C8F" w:rsidRPr="00CD2A6F">
          <w:rPr>
            <w:rStyle w:val="Hyperlink"/>
            <w:noProof/>
          </w:rPr>
          <w:t>Summary of costs and benefits of updating baselines and reassessing eligibility</w:t>
        </w:r>
        <w:r w:rsidR="00B75C8F">
          <w:rPr>
            <w:noProof/>
            <w:webHidden/>
          </w:rPr>
          <w:tab/>
        </w:r>
        <w:r w:rsidR="00B75C8F">
          <w:rPr>
            <w:noProof/>
            <w:webHidden/>
          </w:rPr>
          <w:fldChar w:fldCharType="begin"/>
        </w:r>
        <w:r w:rsidR="00B75C8F">
          <w:rPr>
            <w:noProof/>
            <w:webHidden/>
          </w:rPr>
          <w:instrText xml:space="preserve"> PAGEREF _Toc75262184 \h </w:instrText>
        </w:r>
        <w:r w:rsidR="00B75C8F">
          <w:rPr>
            <w:noProof/>
            <w:webHidden/>
          </w:rPr>
        </w:r>
        <w:r w:rsidR="00B75C8F">
          <w:rPr>
            <w:noProof/>
            <w:webHidden/>
          </w:rPr>
          <w:fldChar w:fldCharType="separate"/>
        </w:r>
        <w:r w:rsidR="00881FF0">
          <w:rPr>
            <w:noProof/>
            <w:webHidden/>
          </w:rPr>
          <w:t>45</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85" w:history="1">
        <w:r w:rsidR="00B75C8F" w:rsidRPr="00CD2A6F">
          <w:rPr>
            <w:rStyle w:val="Hyperlink"/>
            <w:noProof/>
          </w:rPr>
          <w:t xml:space="preserve">Table 16: </w:t>
        </w:r>
        <w:r w:rsidR="00B75C8F">
          <w:rPr>
            <w:rFonts w:asciiTheme="minorHAnsi" w:hAnsiTheme="minorHAnsi"/>
            <w:noProof/>
          </w:rPr>
          <w:tab/>
        </w:r>
        <w:r w:rsidR="00B75C8F" w:rsidRPr="00CD2A6F">
          <w:rPr>
            <w:rStyle w:val="Hyperlink"/>
            <w:noProof/>
          </w:rPr>
          <w:t>TAG position on consultation questions</w:t>
        </w:r>
        <w:r w:rsidR="00B75C8F">
          <w:rPr>
            <w:noProof/>
            <w:webHidden/>
          </w:rPr>
          <w:tab/>
        </w:r>
        <w:r w:rsidR="00B75C8F">
          <w:rPr>
            <w:noProof/>
            <w:webHidden/>
          </w:rPr>
          <w:fldChar w:fldCharType="begin"/>
        </w:r>
        <w:r w:rsidR="00B75C8F">
          <w:rPr>
            <w:noProof/>
            <w:webHidden/>
          </w:rPr>
          <w:instrText xml:space="preserve"> PAGEREF _Toc75262185 \h </w:instrText>
        </w:r>
        <w:r w:rsidR="00B75C8F">
          <w:rPr>
            <w:noProof/>
            <w:webHidden/>
          </w:rPr>
        </w:r>
        <w:r w:rsidR="00B75C8F">
          <w:rPr>
            <w:noProof/>
            <w:webHidden/>
          </w:rPr>
          <w:fldChar w:fldCharType="separate"/>
        </w:r>
        <w:r w:rsidR="00881FF0">
          <w:rPr>
            <w:noProof/>
            <w:webHidden/>
          </w:rPr>
          <w:t>54</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86" w:history="1">
        <w:r w:rsidR="00B75C8F" w:rsidRPr="00CD2A6F">
          <w:rPr>
            <w:rStyle w:val="Hyperlink"/>
            <w:noProof/>
          </w:rPr>
          <w:t xml:space="preserve">Table 17: </w:t>
        </w:r>
        <w:r w:rsidR="00B75C8F">
          <w:rPr>
            <w:rFonts w:asciiTheme="minorHAnsi" w:hAnsiTheme="minorHAnsi"/>
            <w:noProof/>
          </w:rPr>
          <w:tab/>
        </w:r>
        <w:r w:rsidR="00B75C8F" w:rsidRPr="00CD2A6F">
          <w:rPr>
            <w:rStyle w:val="Hyperlink"/>
            <w:noProof/>
          </w:rPr>
          <w:t>Emissions-intensive and trade-exposed activities</w:t>
        </w:r>
        <w:r w:rsidR="00B75C8F">
          <w:rPr>
            <w:noProof/>
            <w:webHidden/>
          </w:rPr>
          <w:tab/>
        </w:r>
        <w:r w:rsidR="00B75C8F">
          <w:rPr>
            <w:noProof/>
            <w:webHidden/>
          </w:rPr>
          <w:fldChar w:fldCharType="begin"/>
        </w:r>
        <w:r w:rsidR="00B75C8F">
          <w:rPr>
            <w:noProof/>
            <w:webHidden/>
          </w:rPr>
          <w:instrText xml:space="preserve"> PAGEREF _Toc75262186 \h </w:instrText>
        </w:r>
        <w:r w:rsidR="00B75C8F">
          <w:rPr>
            <w:noProof/>
            <w:webHidden/>
          </w:rPr>
        </w:r>
        <w:r w:rsidR="00B75C8F">
          <w:rPr>
            <w:noProof/>
            <w:webHidden/>
          </w:rPr>
          <w:fldChar w:fldCharType="separate"/>
        </w:r>
        <w:r w:rsidR="00881FF0">
          <w:rPr>
            <w:noProof/>
            <w:webHidden/>
          </w:rPr>
          <w:t>56</w:t>
        </w:r>
        <w:r w:rsidR="00B75C8F">
          <w:rPr>
            <w:noProof/>
            <w:webHidden/>
          </w:rPr>
          <w:fldChar w:fldCharType="end"/>
        </w:r>
      </w:hyperlink>
    </w:p>
    <w:p w:rsidR="00532334" w:rsidRPr="00A03684" w:rsidRDefault="004943C2" w:rsidP="008C370E">
      <w:pPr>
        <w:pStyle w:val="BodyText"/>
      </w:pPr>
      <w:r w:rsidRPr="00A03684">
        <w:fldChar w:fldCharType="end"/>
      </w:r>
    </w:p>
    <w:p w:rsidR="00A03684" w:rsidRPr="00A03684" w:rsidRDefault="00A03684" w:rsidP="008C370E">
      <w:pPr>
        <w:pStyle w:val="BodyText"/>
      </w:pPr>
    </w:p>
    <w:p w:rsidR="00A03684" w:rsidRPr="00A03684" w:rsidRDefault="00A03684" w:rsidP="008C370E">
      <w:pPr>
        <w:pStyle w:val="BodyText"/>
      </w:pPr>
    </w:p>
    <w:p w:rsidR="00532334" w:rsidRPr="00A03684" w:rsidRDefault="00B51610" w:rsidP="007611D9">
      <w:pPr>
        <w:pStyle w:val="Heading"/>
      </w:pPr>
      <w:r w:rsidRPr="00A03684">
        <w:t>Figure</w:t>
      </w:r>
      <w:r w:rsidR="00532334" w:rsidRPr="00A03684">
        <w:t>s</w:t>
      </w:r>
    </w:p>
    <w:p w:rsidR="00B75C8F" w:rsidRDefault="004943C2">
      <w:pPr>
        <w:pStyle w:val="TableofFigures"/>
        <w:tabs>
          <w:tab w:val="right" w:pos="8495"/>
        </w:tabs>
        <w:rPr>
          <w:rFonts w:asciiTheme="minorHAnsi" w:hAnsiTheme="minorHAnsi"/>
          <w:noProof/>
        </w:rPr>
      </w:pPr>
      <w:r w:rsidRPr="00A03684">
        <w:fldChar w:fldCharType="begin"/>
      </w:r>
      <w:r w:rsidRPr="00A03684">
        <w:instrText xml:space="preserve"> TOC \h \z \t "Figure heading" \c </w:instrText>
      </w:r>
      <w:r w:rsidRPr="00A03684">
        <w:fldChar w:fldCharType="separate"/>
      </w:r>
      <w:hyperlink w:anchor="_Toc75262197" w:history="1">
        <w:r w:rsidR="00B75C8F" w:rsidRPr="00F75050">
          <w:rPr>
            <w:rStyle w:val="Hyperlink"/>
            <w:noProof/>
          </w:rPr>
          <w:t xml:space="preserve">Figure 1: </w:t>
        </w:r>
        <w:r w:rsidR="00B75C8F">
          <w:rPr>
            <w:rFonts w:asciiTheme="minorHAnsi" w:hAnsiTheme="minorHAnsi"/>
            <w:noProof/>
          </w:rPr>
          <w:tab/>
        </w:r>
        <w:r w:rsidR="00B75C8F" w:rsidRPr="00F75050">
          <w:rPr>
            <w:rStyle w:val="Hyperlink"/>
            <w:noProof/>
          </w:rPr>
          <w:t>Phase-out of the level of assistance for moderately and highly  emissions-intensive activities</w:t>
        </w:r>
        <w:r w:rsidR="00B75C8F">
          <w:rPr>
            <w:noProof/>
            <w:webHidden/>
          </w:rPr>
          <w:tab/>
        </w:r>
        <w:r w:rsidR="00B75C8F">
          <w:rPr>
            <w:noProof/>
            <w:webHidden/>
          </w:rPr>
          <w:fldChar w:fldCharType="begin"/>
        </w:r>
        <w:r w:rsidR="00B75C8F">
          <w:rPr>
            <w:noProof/>
            <w:webHidden/>
          </w:rPr>
          <w:instrText xml:space="preserve"> PAGEREF _Toc75262197 \h </w:instrText>
        </w:r>
        <w:r w:rsidR="00B75C8F">
          <w:rPr>
            <w:noProof/>
            <w:webHidden/>
          </w:rPr>
        </w:r>
        <w:r w:rsidR="00B75C8F">
          <w:rPr>
            <w:noProof/>
            <w:webHidden/>
          </w:rPr>
          <w:fldChar w:fldCharType="separate"/>
        </w:r>
        <w:r w:rsidR="00881FF0">
          <w:rPr>
            <w:noProof/>
            <w:webHidden/>
          </w:rPr>
          <w:t>14</w:t>
        </w:r>
        <w:r w:rsidR="00B75C8F">
          <w:rPr>
            <w:noProof/>
            <w:webHidden/>
          </w:rPr>
          <w:fldChar w:fldCharType="end"/>
        </w:r>
      </w:hyperlink>
    </w:p>
    <w:p w:rsidR="00B75C8F" w:rsidRDefault="00976FAC">
      <w:pPr>
        <w:pStyle w:val="TableofFigures"/>
        <w:tabs>
          <w:tab w:val="right" w:pos="8495"/>
        </w:tabs>
        <w:rPr>
          <w:rFonts w:asciiTheme="minorHAnsi" w:hAnsiTheme="minorHAnsi"/>
          <w:noProof/>
        </w:rPr>
      </w:pPr>
      <w:hyperlink w:anchor="_Toc75262198" w:history="1">
        <w:r w:rsidR="00B75C8F" w:rsidRPr="00F75050">
          <w:rPr>
            <w:rStyle w:val="Hyperlink"/>
            <w:noProof/>
          </w:rPr>
          <w:t xml:space="preserve">Figure 2: </w:t>
        </w:r>
        <w:r w:rsidR="00B75C8F">
          <w:rPr>
            <w:rFonts w:asciiTheme="minorHAnsi" w:hAnsiTheme="minorHAnsi"/>
            <w:noProof/>
          </w:rPr>
          <w:tab/>
        </w:r>
        <w:r w:rsidR="00B75C8F" w:rsidRPr="00F75050">
          <w:rPr>
            <w:rStyle w:val="Hyperlink"/>
            <w:noProof/>
          </w:rPr>
          <w:t>Breakdown of New Zealand’s provisional emissions budget</w:t>
        </w:r>
        <w:r w:rsidR="00B75C8F">
          <w:rPr>
            <w:noProof/>
            <w:webHidden/>
          </w:rPr>
          <w:tab/>
        </w:r>
        <w:r w:rsidR="00B75C8F">
          <w:rPr>
            <w:noProof/>
            <w:webHidden/>
          </w:rPr>
          <w:fldChar w:fldCharType="begin"/>
        </w:r>
        <w:r w:rsidR="00B75C8F">
          <w:rPr>
            <w:noProof/>
            <w:webHidden/>
          </w:rPr>
          <w:instrText xml:space="preserve"> PAGEREF _Toc75262198 \h </w:instrText>
        </w:r>
        <w:r w:rsidR="00B75C8F">
          <w:rPr>
            <w:noProof/>
            <w:webHidden/>
          </w:rPr>
        </w:r>
        <w:r w:rsidR="00B75C8F">
          <w:rPr>
            <w:noProof/>
            <w:webHidden/>
          </w:rPr>
          <w:fldChar w:fldCharType="separate"/>
        </w:r>
        <w:r w:rsidR="00881FF0">
          <w:rPr>
            <w:noProof/>
            <w:webHidden/>
          </w:rPr>
          <w:t>19</w:t>
        </w:r>
        <w:r w:rsidR="00B75C8F">
          <w:rPr>
            <w:noProof/>
            <w:webHidden/>
          </w:rPr>
          <w:fldChar w:fldCharType="end"/>
        </w:r>
      </w:hyperlink>
    </w:p>
    <w:p w:rsidR="00796A6F" w:rsidRPr="00A03684" w:rsidRDefault="004943C2" w:rsidP="008C370E">
      <w:pPr>
        <w:pStyle w:val="BodyText"/>
      </w:pPr>
      <w:r w:rsidRPr="00A03684">
        <w:fldChar w:fldCharType="end"/>
      </w:r>
      <w:bookmarkStart w:id="2" w:name="_Toc215561202"/>
      <w:r w:rsidR="00796A6F" w:rsidRPr="00A03684">
        <w:br w:type="page"/>
      </w:r>
    </w:p>
    <w:p w:rsidR="00E47018" w:rsidRPr="00A03684" w:rsidRDefault="00F663EC" w:rsidP="003B36EE">
      <w:pPr>
        <w:pStyle w:val="Heading1"/>
      </w:pPr>
      <w:bookmarkStart w:id="3" w:name="_Toc75336443"/>
      <w:bookmarkStart w:id="4" w:name="_Toc345760336"/>
      <w:bookmarkEnd w:id="1"/>
      <w:bookmarkEnd w:id="2"/>
      <w:r w:rsidRPr="00A03684">
        <w:t>Message from the Minister</w:t>
      </w:r>
      <w:bookmarkEnd w:id="3"/>
    </w:p>
    <w:p w:rsidR="00710528" w:rsidRDefault="00230D73" w:rsidP="003B36EE">
      <w:pPr>
        <w:pStyle w:val="BodyText"/>
      </w:pPr>
      <w:r w:rsidRPr="00230D73">
        <w:rPr>
          <w:noProof/>
        </w:rPr>
        <w:drawing>
          <wp:anchor distT="0" distB="0" distL="114300" distR="114300" simplePos="0" relativeHeight="251659264" behindDoc="1" locked="0" layoutInCell="1" allowOverlap="1" wp14:anchorId="2918AB92" wp14:editId="7BAF825A">
            <wp:simplePos x="0" y="0"/>
            <wp:positionH relativeFrom="column">
              <wp:posOffset>3255645</wp:posOffset>
            </wp:positionH>
            <wp:positionV relativeFrom="paragraph">
              <wp:posOffset>136525</wp:posOffset>
            </wp:positionV>
            <wp:extent cx="2112645" cy="2190750"/>
            <wp:effectExtent l="0" t="0" r="1905" b="0"/>
            <wp:wrapTight wrapText="bothSides">
              <wp:wrapPolygon edited="0">
                <wp:start x="0" y="0"/>
                <wp:lineTo x="0" y="21412"/>
                <wp:lineTo x="21425" y="21412"/>
                <wp:lineTo x="2142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2645"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1F7" w:rsidRPr="00A03684">
        <w:t>Over the past four years, New Zealand has made progress towards developing the institutional and governance framework necessary to reduce greenhouse gas emissions and adapt to the impacts of climate change.</w:t>
      </w:r>
      <w:r>
        <w:t xml:space="preserve"> </w:t>
      </w:r>
    </w:p>
    <w:p w:rsidR="002D2BD2" w:rsidRPr="00A03684" w:rsidRDefault="00D761F7" w:rsidP="003B36EE">
      <w:pPr>
        <w:pStyle w:val="BodyText"/>
      </w:pPr>
      <w:r w:rsidRPr="00A03684">
        <w:t>The New Zealand Emissions Trading Scheme (NZ ETS) is an important part of this framework</w:t>
      </w:r>
      <w:r w:rsidR="00A018B9" w:rsidRPr="00A03684">
        <w:t>.</w:t>
      </w:r>
      <w:r w:rsidRPr="00A03684">
        <w:t xml:space="preserve"> </w:t>
      </w:r>
      <w:r w:rsidR="00A018B9" w:rsidRPr="00A03684">
        <w:t>T</w:t>
      </w:r>
      <w:r w:rsidRPr="00A03684">
        <w:t xml:space="preserve">he recent </w:t>
      </w:r>
      <w:r w:rsidR="000C0A61" w:rsidRPr="00A03684">
        <w:t>legislat</w:t>
      </w:r>
      <w:r w:rsidR="00B31A54" w:rsidRPr="00A03684">
        <w:t>ive</w:t>
      </w:r>
      <w:r w:rsidR="000C0A61" w:rsidRPr="00A03684">
        <w:t xml:space="preserve"> reforms </w:t>
      </w:r>
      <w:r w:rsidRPr="00A03684">
        <w:t xml:space="preserve">will </w:t>
      </w:r>
      <w:r w:rsidR="00A018B9" w:rsidRPr="00A03684">
        <w:t>help reduce</w:t>
      </w:r>
      <w:r w:rsidRPr="00A03684">
        <w:t xml:space="preserve"> emissions and </w:t>
      </w:r>
      <w:r w:rsidR="00A018B9" w:rsidRPr="00A03684">
        <w:t xml:space="preserve">move </w:t>
      </w:r>
      <w:r w:rsidRPr="00A03684">
        <w:t>to a low-emissions economy. A ke</w:t>
      </w:r>
      <w:r w:rsidR="001E41C3" w:rsidRPr="00A03684">
        <w:t xml:space="preserve">y </w:t>
      </w:r>
      <w:r w:rsidR="00A018B9" w:rsidRPr="00A03684">
        <w:t xml:space="preserve">part </w:t>
      </w:r>
      <w:r w:rsidR="001E41C3" w:rsidRPr="00A03684">
        <w:t xml:space="preserve">of these reforms </w:t>
      </w:r>
      <w:r w:rsidR="00B31A54" w:rsidRPr="00A03684">
        <w:t xml:space="preserve">was </w:t>
      </w:r>
      <w:r w:rsidR="00ED4B95" w:rsidRPr="00A03684">
        <w:t xml:space="preserve">the </w:t>
      </w:r>
      <w:r w:rsidRPr="00A03684">
        <w:t>changes to industrial allocation</w:t>
      </w:r>
      <w:r w:rsidR="00ED4B95" w:rsidRPr="00A03684">
        <w:t>, in order</w:t>
      </w:r>
      <w:r w:rsidRPr="00A03684">
        <w:t xml:space="preserve"> to begin</w:t>
      </w:r>
      <w:r w:rsidR="00A03684" w:rsidRPr="00A03684">
        <w:t> </w:t>
      </w:r>
      <w:r w:rsidRPr="00A03684">
        <w:t>phasing</w:t>
      </w:r>
      <w:r w:rsidR="00B31A54" w:rsidRPr="00A03684">
        <w:t xml:space="preserve"> </w:t>
      </w:r>
      <w:r w:rsidRPr="00A03684">
        <w:t xml:space="preserve">out assistance to emissions-intensive and trade-exposed industries. </w:t>
      </w:r>
    </w:p>
    <w:p w:rsidR="00E75167" w:rsidRPr="00A03684" w:rsidRDefault="000C0A61" w:rsidP="003B36EE">
      <w:pPr>
        <w:pStyle w:val="BodyText"/>
      </w:pPr>
      <w:r w:rsidRPr="00A03684">
        <w:t>I</w:t>
      </w:r>
      <w:r w:rsidR="00E75167" w:rsidRPr="00A03684">
        <w:t>ndustrial allocation</w:t>
      </w:r>
      <w:r w:rsidRPr="00A03684">
        <w:t xml:space="preserve"> helps to</w:t>
      </w:r>
      <w:r w:rsidR="006D664D" w:rsidRPr="00A03684">
        <w:t xml:space="preserve"> </w:t>
      </w:r>
      <w:r w:rsidR="00E75167" w:rsidRPr="00A03684">
        <w:t xml:space="preserve">manage the </w:t>
      </w:r>
      <w:r w:rsidR="00A018B9" w:rsidRPr="00A03684">
        <w:t xml:space="preserve">impact </w:t>
      </w:r>
      <w:r w:rsidR="00FD24E6" w:rsidRPr="00A03684">
        <w:t xml:space="preserve">of </w:t>
      </w:r>
      <w:r w:rsidR="00ED4B95" w:rsidRPr="00A03684">
        <w:t>the</w:t>
      </w:r>
      <w:r w:rsidR="00FD24E6" w:rsidRPr="00A03684">
        <w:t xml:space="preserve"> emissions price </w:t>
      </w:r>
      <w:r w:rsidR="00E75167" w:rsidRPr="00A03684">
        <w:t xml:space="preserve">on industry. This is important to avoid the loss of international competitiveness for trade-exposed </w:t>
      </w:r>
      <w:r w:rsidR="00B31A54" w:rsidRPr="00A03684">
        <w:t>firms</w:t>
      </w:r>
      <w:r w:rsidR="00A018B9" w:rsidRPr="00A03684">
        <w:t>,</w:t>
      </w:r>
      <w:r w:rsidR="00B31A54" w:rsidRPr="00A03684">
        <w:t xml:space="preserve"> and</w:t>
      </w:r>
      <w:r w:rsidR="00E75167" w:rsidRPr="00A03684">
        <w:t xml:space="preserve"> reduce the risk of the NZ ETS driving emissions overseas, rather than mitigating them.</w:t>
      </w:r>
      <w:r w:rsidR="00A03684" w:rsidRPr="00A03684">
        <w:t xml:space="preserve"> </w:t>
      </w:r>
    </w:p>
    <w:p w:rsidR="00D761F7" w:rsidRPr="00A03684" w:rsidRDefault="00E75167" w:rsidP="003B36EE">
      <w:pPr>
        <w:pStyle w:val="BodyText"/>
      </w:pPr>
      <w:r w:rsidRPr="00A03684">
        <w:t xml:space="preserve">This review </w:t>
      </w:r>
      <w:r w:rsidR="00FD24E6" w:rsidRPr="00A03684">
        <w:t xml:space="preserve">is </w:t>
      </w:r>
      <w:r w:rsidR="00D761F7" w:rsidRPr="00A03684">
        <w:t xml:space="preserve">an opportunity for </w:t>
      </w:r>
      <w:r w:rsidR="009029D9" w:rsidRPr="00A03684">
        <w:t>the G</w:t>
      </w:r>
      <w:r w:rsidR="00D761F7" w:rsidRPr="00A03684">
        <w:t>overnment, industry and the public to consider the future of industrial allocation. In the short</w:t>
      </w:r>
      <w:r w:rsidR="00B31A54" w:rsidRPr="00A03684">
        <w:t xml:space="preserve"> </w:t>
      </w:r>
      <w:r w:rsidR="00D761F7" w:rsidRPr="00A03684">
        <w:t xml:space="preserve">term, </w:t>
      </w:r>
      <w:r w:rsidR="00FD24E6" w:rsidRPr="00A03684">
        <w:t>we must urgently</w:t>
      </w:r>
      <w:r w:rsidR="00D761F7" w:rsidRPr="00A03684">
        <w:t xml:space="preserve"> address over-allocation. There is evidence that </w:t>
      </w:r>
      <w:r w:rsidR="007020D0" w:rsidRPr="00A03684">
        <w:t>some industries</w:t>
      </w:r>
      <w:r w:rsidR="00D761F7" w:rsidRPr="00A03684">
        <w:t xml:space="preserve"> are receivin</w:t>
      </w:r>
      <w:r w:rsidR="001E41C3" w:rsidRPr="00A03684">
        <w:t>g more support than</w:t>
      </w:r>
      <w:r w:rsidR="00D761F7" w:rsidRPr="00A03684">
        <w:t xml:space="preserve"> intended under the Climate Change Response Act 2002. This </w:t>
      </w:r>
      <w:r w:rsidR="002D2BD2" w:rsidRPr="00A03684">
        <w:t xml:space="preserve">is </w:t>
      </w:r>
      <w:r w:rsidR="00FD24E6" w:rsidRPr="00A03684">
        <w:t xml:space="preserve">because </w:t>
      </w:r>
      <w:r w:rsidR="002D2BD2" w:rsidRPr="00A03684">
        <w:t xml:space="preserve">some </w:t>
      </w:r>
      <w:r w:rsidR="00D761F7" w:rsidRPr="00A03684">
        <w:t xml:space="preserve">eligibility and allocation settings </w:t>
      </w:r>
      <w:r w:rsidR="00FD24E6" w:rsidRPr="00A03684">
        <w:t>are</w:t>
      </w:r>
      <w:r w:rsidR="00D761F7" w:rsidRPr="00A03684">
        <w:t xml:space="preserve"> out</w:t>
      </w:r>
      <w:r w:rsidR="00FD24E6" w:rsidRPr="00A03684">
        <w:t xml:space="preserve"> </w:t>
      </w:r>
      <w:r w:rsidR="00D761F7" w:rsidRPr="00A03684">
        <w:t>of</w:t>
      </w:r>
      <w:r w:rsidR="00FD24E6" w:rsidRPr="00A03684">
        <w:t xml:space="preserve"> </w:t>
      </w:r>
      <w:r w:rsidR="00D761F7" w:rsidRPr="00A03684">
        <w:t xml:space="preserve">date and </w:t>
      </w:r>
      <w:r w:rsidR="00FD24E6" w:rsidRPr="00A03684">
        <w:t xml:space="preserve">do </w:t>
      </w:r>
      <w:r w:rsidR="00D761F7" w:rsidRPr="00A03684">
        <w:t>not reflect recent improvements in the emi</w:t>
      </w:r>
      <w:r w:rsidR="00481DC5" w:rsidRPr="00A03684">
        <w:t>ssions intensities of industry</w:t>
      </w:r>
      <w:r w:rsidR="00D761F7" w:rsidRPr="00A03684">
        <w:t xml:space="preserve">. Over-allocation is a pressing problem, as it will make it </w:t>
      </w:r>
      <w:r w:rsidRPr="00A03684">
        <w:t xml:space="preserve">much </w:t>
      </w:r>
      <w:r w:rsidR="00D761F7" w:rsidRPr="00A03684">
        <w:t xml:space="preserve">harder and unnecessarily costly for New Zealand to reduce emissions and meet climate </w:t>
      </w:r>
      <w:r w:rsidR="00824ED8" w:rsidRPr="00A03684">
        <w:t xml:space="preserve">change </w:t>
      </w:r>
      <w:r w:rsidR="00D761F7" w:rsidRPr="00A03684">
        <w:t>targets.</w:t>
      </w:r>
    </w:p>
    <w:p w:rsidR="00D761F7" w:rsidRPr="00A03684" w:rsidRDefault="00D761F7" w:rsidP="003B36EE">
      <w:pPr>
        <w:pStyle w:val="BodyText"/>
      </w:pPr>
      <w:r w:rsidRPr="00A03684">
        <w:t>There are also questions a</w:t>
      </w:r>
      <w:r w:rsidR="00FD24E6" w:rsidRPr="00A03684">
        <w:t>bout</w:t>
      </w:r>
      <w:r w:rsidRPr="00A03684">
        <w:t xml:space="preserve"> the long-term direction </w:t>
      </w:r>
      <w:r w:rsidR="00E75167" w:rsidRPr="00A03684">
        <w:t>of industrial allocation</w:t>
      </w:r>
      <w:r w:rsidR="00481DC5" w:rsidRPr="00A03684">
        <w:t xml:space="preserve">. </w:t>
      </w:r>
      <w:r w:rsidR="00E75167" w:rsidRPr="00A03684">
        <w:t>O</w:t>
      </w:r>
      <w:r w:rsidR="00481DC5" w:rsidRPr="00A03684">
        <w:t xml:space="preserve">ther policies could protect the competitiveness of </w:t>
      </w:r>
      <w:r w:rsidR="007020D0" w:rsidRPr="00A03684">
        <w:t>industries</w:t>
      </w:r>
      <w:r w:rsidR="00481DC5" w:rsidRPr="00A03684">
        <w:t xml:space="preserve">, but maintain a stronger incentive </w:t>
      </w:r>
      <w:r w:rsidR="00FD24E6" w:rsidRPr="00A03684">
        <w:t xml:space="preserve">to </w:t>
      </w:r>
      <w:r w:rsidR="00F57414" w:rsidRPr="00A03684">
        <w:t>reduce domestic</w:t>
      </w:r>
      <w:r w:rsidR="00481DC5" w:rsidRPr="00A03684">
        <w:t xml:space="preserve"> emissions. Th</w:t>
      </w:r>
      <w:r w:rsidR="00983588">
        <w:t xml:space="preserve">is </w:t>
      </w:r>
      <w:r w:rsidR="003B1910">
        <w:t xml:space="preserve">consultation </w:t>
      </w:r>
      <w:r w:rsidR="00983588">
        <w:t>document</w:t>
      </w:r>
      <w:r w:rsidR="00481DC5" w:rsidRPr="00A03684">
        <w:t xml:space="preserve"> will start a public conversation on alternative measures, such as carbon border adjustment mechanisms, which could</w:t>
      </w:r>
      <w:r w:rsidR="00824ED8" w:rsidRPr="00A03684">
        <w:t xml:space="preserve"> be</w:t>
      </w:r>
      <w:r w:rsidR="00481DC5" w:rsidRPr="00A03684">
        <w:t xml:space="preserve"> introduced sometime in the future.</w:t>
      </w:r>
    </w:p>
    <w:p w:rsidR="00481DC5" w:rsidRPr="00A03684" w:rsidRDefault="00481DC5" w:rsidP="00710528">
      <w:pPr>
        <w:pStyle w:val="BodyText"/>
      </w:pPr>
      <w:r w:rsidRPr="00A03684">
        <w:t>Th</w:t>
      </w:r>
      <w:r w:rsidR="009029D9" w:rsidRPr="00A03684">
        <w:t>is</w:t>
      </w:r>
      <w:r w:rsidRPr="00A03684">
        <w:t xml:space="preserve"> </w:t>
      </w:r>
      <w:r w:rsidR="00C43367">
        <w:t>consultation</w:t>
      </w:r>
      <w:r w:rsidR="00C43367" w:rsidRPr="00A03684">
        <w:t xml:space="preserve"> </w:t>
      </w:r>
      <w:r w:rsidRPr="00A03684">
        <w:t>document includes proposals to improve industrial policy and support effective emissions pricing</w:t>
      </w:r>
      <w:r w:rsidR="009029D9" w:rsidRPr="00A03684">
        <w:t>, in order</w:t>
      </w:r>
      <w:r w:rsidRPr="00A03684">
        <w:t xml:space="preserve"> to </w:t>
      </w:r>
      <w:r w:rsidR="00FD24E6" w:rsidRPr="00A03684">
        <w:t xml:space="preserve">encourage </w:t>
      </w:r>
      <w:r w:rsidRPr="00A03684">
        <w:t xml:space="preserve">businesses to reduce emissions, innovate and invest in low-emissions </w:t>
      </w:r>
      <w:r w:rsidR="00FD24E6" w:rsidRPr="00A03684">
        <w:t>practices.</w:t>
      </w:r>
      <w:r w:rsidRPr="00A03684">
        <w:t xml:space="preserve"> </w:t>
      </w:r>
      <w:r w:rsidR="00FD24E6" w:rsidRPr="00A03684">
        <w:t>To ensure technical accuracy, a technical advisory group helped to develop t</w:t>
      </w:r>
      <w:r w:rsidRPr="00A03684">
        <w:t>he proposals and analysis</w:t>
      </w:r>
      <w:r w:rsidR="00FD24E6" w:rsidRPr="00A03684">
        <w:t>.</w:t>
      </w:r>
      <w:r w:rsidR="00A03684" w:rsidRPr="00A03684">
        <w:t xml:space="preserve"> </w:t>
      </w:r>
    </w:p>
    <w:p w:rsidR="00481DC5" w:rsidRDefault="002D2BD2" w:rsidP="002D2BD2">
      <w:pPr>
        <w:pStyle w:val="BodyText"/>
      </w:pPr>
      <w:r w:rsidRPr="00A03684">
        <w:t xml:space="preserve">Your feedback on the proposals in this document will shape any legislative changes required to </w:t>
      </w:r>
      <w:r w:rsidR="00ED4B95" w:rsidRPr="00A03684">
        <w:t xml:space="preserve">set up a better </w:t>
      </w:r>
      <w:r w:rsidRPr="00A03684">
        <w:t xml:space="preserve">framework. </w:t>
      </w:r>
    </w:p>
    <w:p w:rsidR="00E04D33" w:rsidRDefault="00702241" w:rsidP="00230D73">
      <w:pPr>
        <w:pStyle w:val="BodyText"/>
      </w:pPr>
      <w:r w:rsidRPr="00702241">
        <w:rPr>
          <w:noProof/>
        </w:rPr>
        <w:drawing>
          <wp:inline distT="0" distB="0" distL="0" distR="0" wp14:anchorId="05A02F5B" wp14:editId="69DA5FC3">
            <wp:extent cx="2008054" cy="804672"/>
            <wp:effectExtent l="0" t="0" r="0" b="0"/>
            <wp:docPr id="4" name="Picture 4" descr="\\PSVMFS06\MyDocs$\NESBITL\Desktop\Useful + Templates\E-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VMFS06\MyDocs$\NESBITL\Desktop\Useful + Templates\E-Signature.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9596" cy="813304"/>
                    </a:xfrm>
                    <a:prstGeom prst="rect">
                      <a:avLst/>
                    </a:prstGeom>
                    <a:noFill/>
                    <a:ln>
                      <a:noFill/>
                    </a:ln>
                  </pic:spPr>
                </pic:pic>
              </a:graphicData>
            </a:graphic>
          </wp:inline>
        </w:drawing>
      </w:r>
    </w:p>
    <w:p w:rsidR="00230D73" w:rsidRPr="00230D73" w:rsidRDefault="00230D73" w:rsidP="00230D73">
      <w:pPr>
        <w:pStyle w:val="BodyText"/>
      </w:pPr>
      <w:r w:rsidRPr="00230D73">
        <w:t>Hon James Shaw</w:t>
      </w:r>
      <w:r w:rsidR="00CD0E92">
        <w:br/>
      </w:r>
      <w:r w:rsidRPr="00230D73">
        <w:t xml:space="preserve">Minister of Climate Change </w:t>
      </w:r>
    </w:p>
    <w:p w:rsidR="00E47018" w:rsidRPr="00A03684" w:rsidRDefault="00E47018" w:rsidP="003B36EE">
      <w:pPr>
        <w:pStyle w:val="BodyText"/>
      </w:pPr>
      <w:r w:rsidRPr="00A03684">
        <w:br w:type="page"/>
      </w:r>
    </w:p>
    <w:p w:rsidR="00F663EC" w:rsidRPr="00A03684" w:rsidRDefault="00F663EC" w:rsidP="00533428">
      <w:pPr>
        <w:pStyle w:val="Heading1"/>
      </w:pPr>
      <w:bookmarkStart w:id="5" w:name="_Toc75336444"/>
      <w:r w:rsidRPr="00A03684">
        <w:t>About this consultation</w:t>
      </w:r>
      <w:bookmarkEnd w:id="5"/>
    </w:p>
    <w:p w:rsidR="006509EF" w:rsidRPr="00A03684" w:rsidRDefault="00ED4B95" w:rsidP="00236130">
      <w:pPr>
        <w:pStyle w:val="Heading2"/>
        <w:spacing w:before="0"/>
      </w:pPr>
      <w:bookmarkStart w:id="6" w:name="_Toc75336445"/>
      <w:r w:rsidRPr="00A03684">
        <w:t>We are seeking</w:t>
      </w:r>
      <w:r w:rsidR="006509EF" w:rsidRPr="00A03684">
        <w:t xml:space="preserve"> your feedback for a review</w:t>
      </w:r>
      <w:r w:rsidR="00231122" w:rsidRPr="00A03684">
        <w:t xml:space="preserve"> of</w:t>
      </w:r>
      <w:r w:rsidR="00533428" w:rsidRPr="00A03684">
        <w:t> </w:t>
      </w:r>
      <w:r w:rsidR="00231122" w:rsidRPr="00A03684">
        <w:t>industrial</w:t>
      </w:r>
      <w:r w:rsidR="00533428" w:rsidRPr="00A03684">
        <w:t> </w:t>
      </w:r>
      <w:r w:rsidR="00231122" w:rsidRPr="00A03684">
        <w:t>allocation</w:t>
      </w:r>
      <w:bookmarkEnd w:id="6"/>
      <w:r w:rsidR="00231122" w:rsidRPr="00A03684">
        <w:t xml:space="preserve"> </w:t>
      </w:r>
    </w:p>
    <w:p w:rsidR="00ED4B95" w:rsidRPr="00A03684" w:rsidRDefault="006509EF" w:rsidP="008D1A38">
      <w:pPr>
        <w:pStyle w:val="BodyText"/>
        <w:spacing w:before="100" w:after="100"/>
      </w:pPr>
      <w:r w:rsidRPr="00A03684">
        <w:t xml:space="preserve">The Government is </w:t>
      </w:r>
      <w:r w:rsidR="00ED4B95" w:rsidRPr="00A03684">
        <w:t>reviewing</w:t>
      </w:r>
      <w:r w:rsidRPr="00A03684">
        <w:t xml:space="preserve"> industrial </w:t>
      </w:r>
      <w:r w:rsidR="0024554B" w:rsidRPr="00A03684">
        <w:t>allocation</w:t>
      </w:r>
      <w:r w:rsidR="00CB4430" w:rsidRPr="00A03684">
        <w:t xml:space="preserve"> (also known as free allocation)</w:t>
      </w:r>
      <w:r w:rsidRPr="00A03684">
        <w:t xml:space="preserve"> in the New</w:t>
      </w:r>
      <w:r w:rsidR="00533428" w:rsidRPr="00A03684">
        <w:t> </w:t>
      </w:r>
      <w:r w:rsidRPr="00A03684">
        <w:t>Z</w:t>
      </w:r>
      <w:r w:rsidR="00207010" w:rsidRPr="00A03684">
        <w:t>ealand Emissions Trading Scheme (NZ ETS).</w:t>
      </w:r>
      <w:r w:rsidR="001E35B4" w:rsidRPr="001E35B4">
        <w:t xml:space="preserve"> This </w:t>
      </w:r>
      <w:r w:rsidR="00C43367">
        <w:t>consultation</w:t>
      </w:r>
      <w:r w:rsidR="001E35B4" w:rsidRPr="001E35B4">
        <w:t xml:space="preserve"> document seeks feedback on </w:t>
      </w:r>
      <w:r w:rsidR="00C34A25">
        <w:t>options</w:t>
      </w:r>
      <w:r w:rsidR="001E35B4" w:rsidRPr="001E35B4">
        <w:t xml:space="preserve"> that will inform proposed regulatory changes to industrial allocation through an amendment to the Climate Change Response Act 2002.</w:t>
      </w:r>
    </w:p>
    <w:p w:rsidR="00ED4B95" w:rsidRPr="00A03684" w:rsidRDefault="00ED4B95" w:rsidP="00236130">
      <w:pPr>
        <w:pStyle w:val="Heading3"/>
      </w:pPr>
      <w:r w:rsidRPr="00A03684">
        <w:t>What is industrial allocation?</w:t>
      </w:r>
    </w:p>
    <w:p w:rsidR="009C6960" w:rsidRPr="00A03684" w:rsidRDefault="000632C6" w:rsidP="008D1A38">
      <w:pPr>
        <w:pStyle w:val="BodyText"/>
        <w:spacing w:before="100" w:after="100"/>
      </w:pPr>
      <w:r w:rsidRPr="00A03684">
        <w:t>Industrial allocation is the</w:t>
      </w:r>
      <w:r w:rsidR="006509EF" w:rsidRPr="00A03684">
        <w:t xml:space="preserve"> provision of</w:t>
      </w:r>
      <w:r w:rsidRPr="00A03684">
        <w:t xml:space="preserve"> free</w:t>
      </w:r>
      <w:r w:rsidR="006509EF" w:rsidRPr="00A03684">
        <w:t xml:space="preserve"> </w:t>
      </w:r>
      <w:r w:rsidRPr="00A03684">
        <w:t xml:space="preserve">emissions units (New Zealand Units or NZUs) to industries </w:t>
      </w:r>
      <w:r w:rsidR="000335F3" w:rsidRPr="00A03684">
        <w:t>considered</w:t>
      </w:r>
      <w:r w:rsidR="006509EF" w:rsidRPr="00A03684">
        <w:t xml:space="preserve"> emissions-</w:t>
      </w:r>
      <w:r w:rsidR="003971DC" w:rsidRPr="00A03684">
        <w:t>intensive</w:t>
      </w:r>
      <w:r w:rsidR="006509EF" w:rsidRPr="00A03684">
        <w:t xml:space="preserve"> and trade</w:t>
      </w:r>
      <w:r w:rsidR="001E482F" w:rsidRPr="00A03684">
        <w:t>-</w:t>
      </w:r>
      <w:r w:rsidR="006509EF" w:rsidRPr="00A03684">
        <w:t xml:space="preserve">exposed (EITE). </w:t>
      </w:r>
    </w:p>
    <w:p w:rsidR="009C6960" w:rsidRPr="00A03684" w:rsidRDefault="000632C6" w:rsidP="008D1A38">
      <w:pPr>
        <w:pStyle w:val="BodyText"/>
        <w:spacing w:before="100" w:after="100"/>
      </w:pPr>
      <w:r w:rsidRPr="00A03684">
        <w:t>I</w:t>
      </w:r>
      <w:r w:rsidR="009C6960" w:rsidRPr="00A03684">
        <w:t>ndustrial allocation reduce</w:t>
      </w:r>
      <w:r w:rsidRPr="00A03684">
        <w:t>s</w:t>
      </w:r>
      <w:r w:rsidR="009C6960" w:rsidRPr="00A03684">
        <w:t xml:space="preserve"> the </w:t>
      </w:r>
      <w:r w:rsidRPr="00A03684">
        <w:t xml:space="preserve">cost of the NZ ETS </w:t>
      </w:r>
      <w:r w:rsidR="00723856" w:rsidRPr="00A03684">
        <w:t>for</w:t>
      </w:r>
      <w:r w:rsidRPr="00A03684">
        <w:t xml:space="preserve"> industry</w:t>
      </w:r>
      <w:r w:rsidR="006324DF" w:rsidRPr="00A03684">
        <w:t>. The purpose</w:t>
      </w:r>
      <w:r w:rsidR="005D61CD" w:rsidRPr="00A03684">
        <w:t xml:space="preserve"> is</w:t>
      </w:r>
      <w:r w:rsidRPr="00A03684">
        <w:t xml:space="preserve"> to </w:t>
      </w:r>
      <w:r w:rsidR="00263627" w:rsidRPr="00A03684">
        <w:t>reduce</w:t>
      </w:r>
      <w:r w:rsidRPr="00A03684">
        <w:t xml:space="preserve"> the</w:t>
      </w:r>
      <w:r w:rsidR="008D1A38">
        <w:t> </w:t>
      </w:r>
      <w:r w:rsidRPr="00A03684">
        <w:t>risk of the</w:t>
      </w:r>
      <w:r w:rsidR="00357B39" w:rsidRPr="00A03684">
        <w:t xml:space="preserve"> </w:t>
      </w:r>
      <w:r w:rsidR="0032791B" w:rsidRPr="00A03684">
        <w:t>emissions</w:t>
      </w:r>
      <w:r w:rsidR="009C6960" w:rsidRPr="00A03684">
        <w:t xml:space="preserve"> price driving EITE </w:t>
      </w:r>
      <w:r w:rsidR="000335F3" w:rsidRPr="00A03684">
        <w:t>firms</w:t>
      </w:r>
      <w:r w:rsidR="001E482F" w:rsidRPr="00A03684">
        <w:t xml:space="preserve">, </w:t>
      </w:r>
      <w:r w:rsidR="00263627" w:rsidRPr="00A03684">
        <w:t>production and the associated emissions</w:t>
      </w:r>
      <w:r w:rsidR="000335F3" w:rsidRPr="00A03684">
        <w:t xml:space="preserve"> </w:t>
      </w:r>
      <w:r w:rsidR="009C6960" w:rsidRPr="00A03684">
        <w:t xml:space="preserve">overseas, </w:t>
      </w:r>
      <w:r w:rsidR="001E482F" w:rsidRPr="00A03684">
        <w:t xml:space="preserve">which could </w:t>
      </w:r>
      <w:r w:rsidR="007020D0" w:rsidRPr="00A03684">
        <w:t>increase</w:t>
      </w:r>
      <w:r w:rsidR="001E482F" w:rsidRPr="00A03684">
        <w:t xml:space="preserve"> </w:t>
      </w:r>
      <w:r w:rsidR="007020D0" w:rsidRPr="00A03684">
        <w:t xml:space="preserve">global </w:t>
      </w:r>
      <w:r w:rsidR="001E482F" w:rsidRPr="00A03684">
        <w:t xml:space="preserve">emissions. </w:t>
      </w:r>
      <w:r w:rsidR="00357B39" w:rsidRPr="00A03684">
        <w:t xml:space="preserve">This risk is </w:t>
      </w:r>
      <w:r w:rsidR="005D61CD" w:rsidRPr="00A03684">
        <w:t xml:space="preserve">known </w:t>
      </w:r>
      <w:r w:rsidR="00357B39" w:rsidRPr="00A03684">
        <w:t xml:space="preserve">as </w:t>
      </w:r>
      <w:r w:rsidR="00357B39" w:rsidRPr="00A03684">
        <w:rPr>
          <w:b/>
          <w:bCs/>
        </w:rPr>
        <w:t>emissions leakage</w:t>
      </w:r>
      <w:r w:rsidR="00357B39" w:rsidRPr="00A03684">
        <w:t>.</w:t>
      </w:r>
    </w:p>
    <w:p w:rsidR="005D61CD" w:rsidRPr="00A03684" w:rsidRDefault="005D61CD" w:rsidP="00236130">
      <w:pPr>
        <w:pStyle w:val="Heading3"/>
      </w:pPr>
      <w:r w:rsidRPr="00A03684">
        <w:t>Why review industrial allocation?</w:t>
      </w:r>
    </w:p>
    <w:p w:rsidR="00023C29" w:rsidRPr="00A03684" w:rsidRDefault="005D61CD" w:rsidP="008D1A38">
      <w:pPr>
        <w:pStyle w:val="BodyText"/>
        <w:spacing w:before="100" w:after="100"/>
      </w:pPr>
      <w:r w:rsidRPr="00A03684">
        <w:t>I</w:t>
      </w:r>
      <w:r w:rsidR="00357B39" w:rsidRPr="00A03684">
        <w:t xml:space="preserve">ndustrial allocation policy sits within a set of </w:t>
      </w:r>
      <w:r w:rsidR="00023C29" w:rsidRPr="00A03684">
        <w:t xml:space="preserve">broader </w:t>
      </w:r>
      <w:r w:rsidR="00357B39" w:rsidRPr="00A03684">
        <w:t>climate change objectives for New</w:t>
      </w:r>
      <w:r w:rsidR="00EE6AE0">
        <w:t> </w:t>
      </w:r>
      <w:r w:rsidR="00357B39" w:rsidRPr="00A03684">
        <w:t>Zealand</w:t>
      </w:r>
      <w:r w:rsidR="001B7EC0" w:rsidRPr="00A03684">
        <w:t xml:space="preserve">. </w:t>
      </w:r>
      <w:r w:rsidR="00357B39" w:rsidRPr="00A03684">
        <w:t xml:space="preserve">The Government has committed to reducing emissions to </w:t>
      </w:r>
      <w:r w:rsidR="00F64655" w:rsidRPr="00A03684">
        <w:t>meet</w:t>
      </w:r>
      <w:r w:rsidR="00357B39" w:rsidRPr="00A03684">
        <w:t xml:space="preserve"> domestic and</w:t>
      </w:r>
      <w:r w:rsidR="00EE6AE0">
        <w:t> </w:t>
      </w:r>
      <w:r w:rsidR="00357B39" w:rsidRPr="00A03684">
        <w:t xml:space="preserve">international climate targets. </w:t>
      </w:r>
      <w:r w:rsidR="006509EF" w:rsidRPr="00A03684">
        <w:t xml:space="preserve">Current levels </w:t>
      </w:r>
      <w:r w:rsidR="0024554B" w:rsidRPr="00A03684">
        <w:t>of industrial allocation are</w:t>
      </w:r>
      <w:r w:rsidR="006509EF" w:rsidRPr="00A03684">
        <w:t xml:space="preserve"> likely </w:t>
      </w:r>
      <w:r w:rsidR="0024554B" w:rsidRPr="00A03684">
        <w:t>un</w:t>
      </w:r>
      <w:r w:rsidR="006509EF" w:rsidRPr="00A03684">
        <w:t>sustainable</w:t>
      </w:r>
      <w:r w:rsidR="00EE6AE0">
        <w:t> </w:t>
      </w:r>
      <w:r w:rsidR="006509EF" w:rsidRPr="00A03684">
        <w:t>in the context of New Zealand’s future emission budgets.</w:t>
      </w:r>
    </w:p>
    <w:p w:rsidR="00F64655" w:rsidRPr="00A03684" w:rsidRDefault="001B7EC0" w:rsidP="008D1A38">
      <w:pPr>
        <w:pStyle w:val="BodyText"/>
        <w:spacing w:before="100" w:after="100"/>
      </w:pPr>
      <w:r w:rsidRPr="00A03684">
        <w:t xml:space="preserve">There are clear tensions between </w:t>
      </w:r>
      <w:r w:rsidR="004A405F" w:rsidRPr="00A03684">
        <w:t xml:space="preserve">the </w:t>
      </w:r>
      <w:r w:rsidR="003F6E52" w:rsidRPr="00A03684">
        <w:t>purpose</w:t>
      </w:r>
      <w:r w:rsidR="004A405F" w:rsidRPr="00A03684">
        <w:t xml:space="preserve"> of industrial allocation and New Zealand’s other</w:t>
      </w:r>
      <w:r w:rsidR="00EE6AE0">
        <w:t> </w:t>
      </w:r>
      <w:r w:rsidR="00F64655" w:rsidRPr="00A03684">
        <w:t xml:space="preserve">climate objectives. </w:t>
      </w:r>
      <w:r w:rsidR="007D095B" w:rsidRPr="00A03684">
        <w:t>We may need t</w:t>
      </w:r>
      <w:r w:rsidR="004A405F" w:rsidRPr="00A03684">
        <w:t>rade-offs</w:t>
      </w:r>
      <w:r w:rsidR="00F64655" w:rsidRPr="00A03684">
        <w:t xml:space="preserve"> between support</w:t>
      </w:r>
      <w:r w:rsidR="007D095B" w:rsidRPr="00A03684">
        <w:t>ing</w:t>
      </w:r>
      <w:r w:rsidR="00F64655" w:rsidRPr="00A03684">
        <w:t xml:space="preserve"> industry and meeting increasingly ambitious emissions budget</w:t>
      </w:r>
      <w:r w:rsidR="000632C6" w:rsidRPr="00A03684">
        <w:t>s</w:t>
      </w:r>
      <w:r w:rsidR="004A405F" w:rsidRPr="00A03684">
        <w:t xml:space="preserve">. </w:t>
      </w:r>
      <w:r w:rsidR="007D095B" w:rsidRPr="00A03684">
        <w:t>T</w:t>
      </w:r>
      <w:r w:rsidR="00F64655" w:rsidRPr="00A03684">
        <w:t>he</w:t>
      </w:r>
      <w:r w:rsidR="00023C29" w:rsidRPr="00A03684">
        <w:t xml:space="preserve"> Government</w:t>
      </w:r>
      <w:r w:rsidRPr="00A03684">
        <w:t xml:space="preserve"> </w:t>
      </w:r>
      <w:r w:rsidR="00023C29" w:rsidRPr="00A03684">
        <w:t>considers</w:t>
      </w:r>
      <w:r w:rsidR="00D672FF" w:rsidRPr="00A03684">
        <w:t xml:space="preserve"> </w:t>
      </w:r>
      <w:r w:rsidR="00AD0910" w:rsidRPr="00A03684">
        <w:t>it appropriate</w:t>
      </w:r>
      <w:r w:rsidR="00023C29" w:rsidRPr="00A03684">
        <w:t xml:space="preserve"> to </w:t>
      </w:r>
      <w:r w:rsidR="00F64655" w:rsidRPr="00A03684">
        <w:t>review</w:t>
      </w:r>
      <w:r w:rsidR="00023C29" w:rsidRPr="00A03684">
        <w:t xml:space="preserve"> </w:t>
      </w:r>
      <w:r w:rsidR="00DC1C3C" w:rsidRPr="00A03684">
        <w:t>the</w:t>
      </w:r>
      <w:r w:rsidR="00AD0910" w:rsidRPr="00A03684">
        <w:t xml:space="preserve"> </w:t>
      </w:r>
      <w:r w:rsidR="00B92972" w:rsidRPr="00A03684">
        <w:t xml:space="preserve">current industrial allocation settings, as well as the </w:t>
      </w:r>
      <w:r w:rsidR="00217BB0" w:rsidRPr="00A03684">
        <w:t>longer-term</w:t>
      </w:r>
      <w:r w:rsidR="00B92972" w:rsidRPr="00A03684">
        <w:t xml:space="preserve"> direction</w:t>
      </w:r>
      <w:r w:rsidR="007D095B" w:rsidRPr="00A03684">
        <w:t xml:space="preserve"> of the policy</w:t>
      </w:r>
      <w:r w:rsidR="00B92972" w:rsidRPr="00A03684">
        <w:t>.</w:t>
      </w:r>
      <w:r w:rsidR="00F64655" w:rsidRPr="00A03684">
        <w:t xml:space="preserve"> </w:t>
      </w:r>
    </w:p>
    <w:p w:rsidR="007D095B" w:rsidRPr="00A03684" w:rsidRDefault="007D095B" w:rsidP="00236130">
      <w:pPr>
        <w:pStyle w:val="Heading3"/>
      </w:pPr>
      <w:r w:rsidRPr="00A03684">
        <w:t>What does the review address?</w:t>
      </w:r>
    </w:p>
    <w:p w:rsidR="007D095B" w:rsidRPr="00A03684" w:rsidRDefault="00F64655" w:rsidP="008D1A38">
      <w:pPr>
        <w:pStyle w:val="BodyText"/>
        <w:spacing w:before="100" w:after="100"/>
      </w:pPr>
      <w:r w:rsidRPr="00A03684">
        <w:t>The purpose of the review is to</w:t>
      </w:r>
      <w:r w:rsidR="007D095B" w:rsidRPr="00A03684">
        <w:t>:</w:t>
      </w:r>
    </w:p>
    <w:p w:rsidR="007D095B" w:rsidRPr="00A03684" w:rsidRDefault="00F64655" w:rsidP="008D1A38">
      <w:pPr>
        <w:pStyle w:val="Bullet"/>
        <w:spacing w:after="100"/>
      </w:pPr>
      <w:r w:rsidRPr="00A03684">
        <w:t>assess New Zealand’s industrial allocation policy</w:t>
      </w:r>
    </w:p>
    <w:p w:rsidR="007D095B" w:rsidRPr="00A03684" w:rsidRDefault="00F64655" w:rsidP="008D1A38">
      <w:pPr>
        <w:pStyle w:val="Bullet"/>
        <w:spacing w:after="100"/>
      </w:pPr>
      <w:r w:rsidRPr="00A03684">
        <w:t>ensure it manages any ongoing risk of emissions leakage</w:t>
      </w:r>
    </w:p>
    <w:p w:rsidR="000335F3" w:rsidRPr="00A03684" w:rsidRDefault="00F64655" w:rsidP="00533428">
      <w:pPr>
        <w:pStyle w:val="Bullet"/>
      </w:pPr>
      <w:r w:rsidRPr="00A03684">
        <w:t>ensur</w:t>
      </w:r>
      <w:r w:rsidR="007D095B" w:rsidRPr="00A03684">
        <w:t>e</w:t>
      </w:r>
      <w:r w:rsidRPr="00A03684">
        <w:t xml:space="preserve"> </w:t>
      </w:r>
      <w:r w:rsidR="001E482F" w:rsidRPr="00A03684">
        <w:t>consistency</w:t>
      </w:r>
      <w:r w:rsidRPr="00A03684">
        <w:t xml:space="preserve"> with </w:t>
      </w:r>
      <w:r w:rsidR="007D095B" w:rsidRPr="00A03684">
        <w:t>our</w:t>
      </w:r>
      <w:r w:rsidRPr="00A03684">
        <w:t xml:space="preserve"> climate change commitments. </w:t>
      </w:r>
    </w:p>
    <w:p w:rsidR="006509EF" w:rsidRDefault="00F64655" w:rsidP="008D1A38">
      <w:pPr>
        <w:pStyle w:val="BodyText"/>
        <w:spacing w:before="100" w:after="100"/>
      </w:pPr>
      <w:r w:rsidRPr="00A03684">
        <w:t xml:space="preserve">The review is particularly concerned with addressing </w:t>
      </w:r>
      <w:r w:rsidRPr="00A03684">
        <w:rPr>
          <w:b/>
          <w:bCs/>
        </w:rPr>
        <w:t>over-allocation</w:t>
      </w:r>
      <w:r w:rsidRPr="00A03684">
        <w:t>.</w:t>
      </w:r>
      <w:r w:rsidR="000335F3" w:rsidRPr="00A03684">
        <w:t xml:space="preserve"> The</w:t>
      </w:r>
      <w:r w:rsidR="00263627" w:rsidRPr="00A03684">
        <w:t>re is</w:t>
      </w:r>
      <w:r w:rsidR="000335F3" w:rsidRPr="00A03684">
        <w:t xml:space="preserve"> </w:t>
      </w:r>
      <w:r w:rsidR="00263627" w:rsidRPr="00A03684">
        <w:t>evidence that</w:t>
      </w:r>
      <w:r w:rsidR="00EE6AE0">
        <w:t> </w:t>
      </w:r>
      <w:r w:rsidR="00263627" w:rsidRPr="00A03684">
        <w:t>some industries</w:t>
      </w:r>
      <w:r w:rsidR="000335F3" w:rsidRPr="00A03684">
        <w:t xml:space="preserve"> are rece</w:t>
      </w:r>
      <w:r w:rsidR="00141BED" w:rsidRPr="00A03684">
        <w:t xml:space="preserve">iving allocations greater than </w:t>
      </w:r>
      <w:r w:rsidR="000C0A61" w:rsidRPr="00A03684">
        <w:t xml:space="preserve">intended </w:t>
      </w:r>
      <w:r w:rsidR="000335F3" w:rsidRPr="00A03684">
        <w:t xml:space="preserve">to </w:t>
      </w:r>
      <w:r w:rsidR="00E556E1" w:rsidRPr="00A03684">
        <w:t>address</w:t>
      </w:r>
      <w:r w:rsidR="000632C6" w:rsidRPr="00A03684">
        <w:t xml:space="preserve"> leakage. Over</w:t>
      </w:r>
      <w:r w:rsidR="00EE6AE0">
        <w:noBreakHyphen/>
      </w:r>
      <w:r w:rsidR="000632C6" w:rsidRPr="00A03684">
        <w:t xml:space="preserve">allocation </w:t>
      </w:r>
      <w:r w:rsidR="000335F3" w:rsidRPr="00A03684">
        <w:t>make</w:t>
      </w:r>
      <w:r w:rsidR="007D095B" w:rsidRPr="00A03684">
        <w:t>s</w:t>
      </w:r>
      <w:r w:rsidR="000335F3" w:rsidRPr="00A03684">
        <w:t xml:space="preserve"> it harder to meet futur</w:t>
      </w:r>
      <w:r w:rsidR="00601CD7" w:rsidRPr="00A03684">
        <w:t xml:space="preserve">e climate change targets, </w:t>
      </w:r>
      <w:r w:rsidR="001E482F" w:rsidRPr="00A03684">
        <w:t>put</w:t>
      </w:r>
      <w:r w:rsidR="007D095B" w:rsidRPr="00A03684">
        <w:t>s</w:t>
      </w:r>
      <w:r w:rsidR="001E482F" w:rsidRPr="00A03684">
        <w:t xml:space="preserve"> unnecessary pressure on other sectors</w:t>
      </w:r>
      <w:r w:rsidR="006D664D" w:rsidRPr="00A03684">
        <w:t xml:space="preserve"> to reduce emissions</w:t>
      </w:r>
      <w:r w:rsidR="001E482F" w:rsidRPr="00A03684">
        <w:t xml:space="preserve">, </w:t>
      </w:r>
      <w:r w:rsidR="00601CD7" w:rsidRPr="00A03684">
        <w:t>and is</w:t>
      </w:r>
      <w:r w:rsidR="000335F3" w:rsidRPr="00A03684">
        <w:t xml:space="preserve"> an ongoing fiscal cost. </w:t>
      </w:r>
    </w:p>
    <w:p w:rsidR="003A244F" w:rsidRDefault="003A244F" w:rsidP="00236130">
      <w:pPr>
        <w:pStyle w:val="Heading3"/>
        <w:spacing w:before="280"/>
      </w:pPr>
      <w:r w:rsidRPr="00557C82">
        <w:t>Where does this consultation fit within the review</w:t>
      </w:r>
      <w:r w:rsidRPr="00EF0A94">
        <w:t>?</w:t>
      </w:r>
    </w:p>
    <w:p w:rsidR="003A244F" w:rsidRPr="00A03684" w:rsidRDefault="003A244F" w:rsidP="008D1A38">
      <w:pPr>
        <w:pStyle w:val="BodyText"/>
        <w:spacing w:before="100" w:after="100"/>
      </w:pPr>
      <w:r>
        <w:t xml:space="preserve">This consultation </w:t>
      </w:r>
      <w:r w:rsidR="00557C82">
        <w:t xml:space="preserve">forms the public facing </w:t>
      </w:r>
      <w:r>
        <w:t xml:space="preserve">part of the review </w:t>
      </w:r>
      <w:r w:rsidR="00557C82">
        <w:t>and</w:t>
      </w:r>
      <w:r>
        <w:t xml:space="preserve"> seeks </w:t>
      </w:r>
      <w:r w:rsidR="00983588">
        <w:t>feedback on policy options to address problems with industrial allocation</w:t>
      </w:r>
      <w:r>
        <w:t xml:space="preserve">. </w:t>
      </w:r>
      <w:r w:rsidR="00983588">
        <w:t>The Ministry</w:t>
      </w:r>
      <w:r w:rsidR="000D7300">
        <w:t xml:space="preserve"> for the Environment </w:t>
      </w:r>
      <w:r w:rsidR="0062537B">
        <w:t>will</w:t>
      </w:r>
      <w:r w:rsidR="00983588">
        <w:t xml:space="preserve"> use the f</w:t>
      </w:r>
      <w:r w:rsidR="0062537B">
        <w:t xml:space="preserve">eedback </w:t>
      </w:r>
      <w:r w:rsidR="00983588">
        <w:t xml:space="preserve">to </w:t>
      </w:r>
      <w:r w:rsidR="0062537B">
        <w:t xml:space="preserve">consider </w:t>
      </w:r>
      <w:r w:rsidR="00557C82">
        <w:t xml:space="preserve">revisions to </w:t>
      </w:r>
      <w:r w:rsidR="00983588">
        <w:t xml:space="preserve">the policy proposals. </w:t>
      </w:r>
      <w:r w:rsidR="003B1910">
        <w:t>F</w:t>
      </w:r>
      <w:r>
        <w:t xml:space="preserve">inal policy recommendations </w:t>
      </w:r>
      <w:r w:rsidR="003B1910">
        <w:t xml:space="preserve">will be </w:t>
      </w:r>
      <w:r>
        <w:t xml:space="preserve">provided to the Government in 2022. </w:t>
      </w:r>
    </w:p>
    <w:p w:rsidR="007D095B" w:rsidRPr="00A03684" w:rsidRDefault="007D095B" w:rsidP="00236130">
      <w:pPr>
        <w:pStyle w:val="Heading3"/>
      </w:pPr>
      <w:r w:rsidRPr="00A03684">
        <w:t>Your views</w:t>
      </w:r>
    </w:p>
    <w:p w:rsidR="007D095B" w:rsidRPr="00A03684" w:rsidRDefault="006509EF" w:rsidP="008D1A38">
      <w:pPr>
        <w:pStyle w:val="BodyText"/>
        <w:spacing w:before="100" w:after="100"/>
      </w:pPr>
      <w:r w:rsidRPr="00A03684">
        <w:t>We would l</w:t>
      </w:r>
      <w:r w:rsidR="00E148A9" w:rsidRPr="00A03684">
        <w:t xml:space="preserve">ike your input </w:t>
      </w:r>
      <w:r w:rsidR="007D095B" w:rsidRPr="00A03684">
        <w:t>for</w:t>
      </w:r>
      <w:r w:rsidR="00E148A9" w:rsidRPr="00A03684">
        <w:t xml:space="preserve"> this</w:t>
      </w:r>
      <w:r w:rsidRPr="00A03684">
        <w:t xml:space="preserve"> review. This </w:t>
      </w:r>
      <w:r w:rsidR="00C43367">
        <w:t>consultation</w:t>
      </w:r>
      <w:r w:rsidR="00C43367" w:rsidRPr="00A03684">
        <w:t xml:space="preserve"> </w:t>
      </w:r>
      <w:r w:rsidRPr="00A03684">
        <w:t>document includes</w:t>
      </w:r>
      <w:r w:rsidR="007D095B" w:rsidRPr="00A03684">
        <w:t>:</w:t>
      </w:r>
    </w:p>
    <w:p w:rsidR="007D095B" w:rsidRPr="00A03684" w:rsidRDefault="006509EF" w:rsidP="008D1A38">
      <w:pPr>
        <w:pStyle w:val="Bullet"/>
        <w:spacing w:after="100"/>
      </w:pPr>
      <w:r w:rsidRPr="00A03684">
        <w:t xml:space="preserve">proposals to </w:t>
      </w:r>
      <w:r w:rsidR="003971DC" w:rsidRPr="00A03684">
        <w:t>realign</w:t>
      </w:r>
      <w:r w:rsidRPr="00A03684">
        <w:t xml:space="preserve"> current industrial allocation settings </w:t>
      </w:r>
    </w:p>
    <w:p w:rsidR="007D095B" w:rsidRPr="00A03684" w:rsidRDefault="006509EF" w:rsidP="008D1A38">
      <w:pPr>
        <w:pStyle w:val="Bullet"/>
        <w:spacing w:after="100"/>
      </w:pPr>
      <w:r w:rsidRPr="00A03684">
        <w:t>alternative measures</w:t>
      </w:r>
      <w:r w:rsidR="00837A2A" w:rsidRPr="00A03684">
        <w:t xml:space="preserve"> to address leakage</w:t>
      </w:r>
      <w:r w:rsidRPr="00A03684">
        <w:t xml:space="preserve"> that may better support New Zealand’s climate change commitments.</w:t>
      </w:r>
      <w:r w:rsidR="009F3997" w:rsidRPr="00A03684">
        <w:t xml:space="preserve"> </w:t>
      </w:r>
    </w:p>
    <w:p w:rsidR="005B240E" w:rsidRPr="00A03684" w:rsidRDefault="009F3997" w:rsidP="007611D9">
      <w:pPr>
        <w:pStyle w:val="BodyText"/>
      </w:pPr>
      <w:r w:rsidRPr="00A03684">
        <w:t xml:space="preserve">Feedback on these proposals will inform </w:t>
      </w:r>
      <w:r w:rsidR="00EF0A94">
        <w:t>G</w:t>
      </w:r>
      <w:r w:rsidRPr="00A03684">
        <w:t xml:space="preserve">overnment </w:t>
      </w:r>
      <w:r w:rsidR="00462F41" w:rsidRPr="00A03684">
        <w:t xml:space="preserve">decisions on short-term changes to industrial allocation, and the longer-term direction of the policy. </w:t>
      </w:r>
    </w:p>
    <w:p w:rsidR="005B240E" w:rsidRPr="00A03684" w:rsidRDefault="005B240E" w:rsidP="00620E9B">
      <w:pPr>
        <w:pStyle w:val="Heading2"/>
      </w:pPr>
      <w:bookmarkStart w:id="7" w:name="_Toc75336446"/>
      <w:r w:rsidRPr="00A03684">
        <w:t xml:space="preserve">What this </w:t>
      </w:r>
      <w:r w:rsidR="00C43367">
        <w:t>consultation</w:t>
      </w:r>
      <w:r w:rsidR="00C43367" w:rsidRPr="00A03684">
        <w:t xml:space="preserve"> </w:t>
      </w:r>
      <w:r w:rsidR="00184DD2" w:rsidRPr="00A03684">
        <w:t>document covers</w:t>
      </w:r>
      <w:bookmarkEnd w:id="7"/>
    </w:p>
    <w:p w:rsidR="000D6CB5" w:rsidRPr="00A03684" w:rsidRDefault="007D095B" w:rsidP="00620E9B">
      <w:pPr>
        <w:pStyle w:val="BodyText"/>
      </w:pPr>
      <w:r w:rsidRPr="00A03684">
        <w:t>Section 1</w:t>
      </w:r>
      <w:r w:rsidR="000D6CB5" w:rsidRPr="00A03684">
        <w:t xml:space="preserve"> </w:t>
      </w:r>
      <w:r w:rsidR="001E482F" w:rsidRPr="00A03684">
        <w:t>explains the rational</w:t>
      </w:r>
      <w:r w:rsidR="00263627" w:rsidRPr="00A03684">
        <w:t>e</w:t>
      </w:r>
      <w:r w:rsidR="001E482F" w:rsidRPr="00A03684">
        <w:t xml:space="preserve"> </w:t>
      </w:r>
      <w:r w:rsidR="00B31A54" w:rsidRPr="00A03684">
        <w:t xml:space="preserve">behind </w:t>
      </w:r>
      <w:r w:rsidR="000D6CB5" w:rsidRPr="00A03684">
        <w:t xml:space="preserve">industrial allocation policy and </w:t>
      </w:r>
      <w:r w:rsidR="00552573" w:rsidRPr="00A03684">
        <w:t xml:space="preserve">sets out </w:t>
      </w:r>
      <w:r w:rsidR="000D6CB5" w:rsidRPr="00A03684">
        <w:t xml:space="preserve">the context for the </w:t>
      </w:r>
      <w:r w:rsidR="00F64655" w:rsidRPr="00A03684">
        <w:t>r</w:t>
      </w:r>
      <w:r w:rsidR="000D6CB5" w:rsidRPr="00A03684">
        <w:t xml:space="preserve">eview. </w:t>
      </w:r>
      <w:r w:rsidR="00552573" w:rsidRPr="00A03684">
        <w:t>It defines e</w:t>
      </w:r>
      <w:r w:rsidR="000D6CB5" w:rsidRPr="00A03684">
        <w:t xml:space="preserve">missions leakage and </w:t>
      </w:r>
      <w:r w:rsidR="00552573" w:rsidRPr="00A03684">
        <w:t xml:space="preserve">explains </w:t>
      </w:r>
      <w:r w:rsidR="000D6CB5" w:rsidRPr="00A03684">
        <w:t xml:space="preserve">current eligibility and allocation settings. </w:t>
      </w:r>
    </w:p>
    <w:p w:rsidR="0094574D" w:rsidRPr="00A03684" w:rsidRDefault="000D6CB5" w:rsidP="00620E9B">
      <w:pPr>
        <w:pStyle w:val="BodyText"/>
      </w:pPr>
      <w:r w:rsidRPr="00A03684">
        <w:t xml:space="preserve">Section 2 describes the purpose of the </w:t>
      </w:r>
      <w:r w:rsidR="00F64655" w:rsidRPr="00A03684">
        <w:t>r</w:t>
      </w:r>
      <w:r w:rsidRPr="00A03684">
        <w:t>eview, the problems with current industrial allocation policy, and the criteria and objectives to assess different proposal</w:t>
      </w:r>
      <w:r w:rsidR="004C4685" w:rsidRPr="00A03684">
        <w:t>s</w:t>
      </w:r>
      <w:r w:rsidRPr="00A03684">
        <w:t>.</w:t>
      </w:r>
    </w:p>
    <w:p w:rsidR="000D6CB5" w:rsidRPr="00A03684" w:rsidRDefault="0094574D" w:rsidP="00620E9B">
      <w:pPr>
        <w:pStyle w:val="BodyText"/>
      </w:pPr>
      <w:r w:rsidRPr="00A03684">
        <w:t xml:space="preserve">Sections 3, 4 and 5 outline the proposals </w:t>
      </w:r>
      <w:r w:rsidR="00552573" w:rsidRPr="00A03684">
        <w:t>we are</w:t>
      </w:r>
      <w:r w:rsidRPr="00A03684">
        <w:t xml:space="preserve"> consulting on. Section 3 looks at options to</w:t>
      </w:r>
      <w:r w:rsidR="00A24F6D">
        <w:t> </w:t>
      </w:r>
      <w:r w:rsidRPr="00A03684">
        <w:t xml:space="preserve">improve the </w:t>
      </w:r>
      <w:r w:rsidR="005C248D" w:rsidRPr="00A03684">
        <w:t xml:space="preserve">current </w:t>
      </w:r>
      <w:r w:rsidRPr="00A03684">
        <w:t>allocation calculation settings</w:t>
      </w:r>
      <w:r w:rsidR="005C248D" w:rsidRPr="00A03684">
        <w:t xml:space="preserve"> to address over-allocation</w:t>
      </w:r>
      <w:r w:rsidR="00552573" w:rsidRPr="00A03684">
        <w:t>. S</w:t>
      </w:r>
      <w:r w:rsidRPr="00A03684">
        <w:t xml:space="preserve">ection 4 proposes reassessing </w:t>
      </w:r>
      <w:r w:rsidR="00462F41" w:rsidRPr="00A03684">
        <w:t xml:space="preserve">the </w:t>
      </w:r>
      <w:r w:rsidRPr="00A03684">
        <w:t>eligibility</w:t>
      </w:r>
      <w:r w:rsidR="005C248D" w:rsidRPr="00A03684">
        <w:t xml:space="preserve"> of </w:t>
      </w:r>
      <w:r w:rsidR="00462F41" w:rsidRPr="00A03684">
        <w:t xml:space="preserve">industrial activities </w:t>
      </w:r>
      <w:r w:rsidRPr="00A03684">
        <w:t xml:space="preserve">and options to improve the current eligibility tests. </w:t>
      </w:r>
      <w:r w:rsidR="009029D9" w:rsidRPr="00A03684">
        <w:t>S</w:t>
      </w:r>
      <w:r w:rsidRPr="00A03684">
        <w:t xml:space="preserve">ection 5 considers other options </w:t>
      </w:r>
      <w:r w:rsidR="00552573" w:rsidRPr="00A03684">
        <w:t xml:space="preserve">for reform, </w:t>
      </w:r>
      <w:r w:rsidR="00462F41" w:rsidRPr="00A03684">
        <w:t>and address</w:t>
      </w:r>
      <w:r w:rsidR="00552573" w:rsidRPr="00A03684">
        <w:t>es</w:t>
      </w:r>
      <w:r w:rsidR="00462F41" w:rsidRPr="00A03684">
        <w:t xml:space="preserve"> technical issues </w:t>
      </w:r>
      <w:r w:rsidR="005C248D" w:rsidRPr="00A03684">
        <w:t>with the policy</w:t>
      </w:r>
      <w:r w:rsidR="00462F41" w:rsidRPr="00A03684">
        <w:t>.</w:t>
      </w:r>
      <w:r w:rsidR="00A03684" w:rsidRPr="00A03684">
        <w:t xml:space="preserve"> </w:t>
      </w:r>
    </w:p>
    <w:p w:rsidR="000D6CB5" w:rsidRPr="00A03684" w:rsidRDefault="000D6CB5" w:rsidP="00620E9B">
      <w:pPr>
        <w:pStyle w:val="BodyText"/>
      </w:pPr>
      <w:r w:rsidRPr="00A03684">
        <w:t>Section 6 considers alternativ</w:t>
      </w:r>
      <w:r w:rsidR="005C248D" w:rsidRPr="00A03684">
        <w:t xml:space="preserve">e measures to address </w:t>
      </w:r>
      <w:r w:rsidR="00B31A54" w:rsidRPr="00A03684">
        <w:t xml:space="preserve">emissions </w:t>
      </w:r>
      <w:r w:rsidR="005C248D" w:rsidRPr="00A03684">
        <w:t>leakage</w:t>
      </w:r>
      <w:r w:rsidR="0094574D" w:rsidRPr="00A03684">
        <w:t>.</w:t>
      </w:r>
      <w:r w:rsidR="00A03684" w:rsidRPr="00A03684">
        <w:t xml:space="preserve"> </w:t>
      </w:r>
    </w:p>
    <w:p w:rsidR="0094574D" w:rsidRPr="00A03684" w:rsidRDefault="0094574D" w:rsidP="00620E9B">
      <w:pPr>
        <w:pStyle w:val="BodyText"/>
      </w:pPr>
      <w:r w:rsidRPr="00A03684">
        <w:t xml:space="preserve">Section 7 </w:t>
      </w:r>
      <w:r w:rsidR="00552573" w:rsidRPr="00A03684">
        <w:t xml:space="preserve">is </w:t>
      </w:r>
      <w:r w:rsidR="00E558D9" w:rsidRPr="00A03684">
        <w:t>an</w:t>
      </w:r>
      <w:r w:rsidRPr="00A03684">
        <w:t xml:space="preserve"> initial assessment of the impact of changes to allocations and eligibility on</w:t>
      </w:r>
      <w:r w:rsidR="00E556E1" w:rsidRPr="00A03684">
        <w:t xml:space="preserve"> EITE</w:t>
      </w:r>
      <w:r w:rsidR="00A24F6D">
        <w:t> </w:t>
      </w:r>
      <w:r w:rsidR="00E556E1" w:rsidRPr="00A03684">
        <w:t xml:space="preserve">firms, the </w:t>
      </w:r>
      <w:r w:rsidR="0012517D" w:rsidRPr="00A03684">
        <w:t>G</w:t>
      </w:r>
      <w:r w:rsidR="00E556E1" w:rsidRPr="00A03684">
        <w:t>overnment,</w:t>
      </w:r>
      <w:r w:rsidRPr="00A03684">
        <w:t xml:space="preserve"> regional economies</w:t>
      </w:r>
      <w:r w:rsidR="00E556E1" w:rsidRPr="00A03684">
        <w:t xml:space="preserve"> and Māori. </w:t>
      </w:r>
    </w:p>
    <w:p w:rsidR="00184DD2" w:rsidRPr="00A03684" w:rsidRDefault="00184DD2" w:rsidP="007611D9">
      <w:pPr>
        <w:pStyle w:val="Heading2"/>
      </w:pPr>
      <w:bookmarkStart w:id="8" w:name="_Toc75336447"/>
      <w:r w:rsidRPr="00A03684">
        <w:t xml:space="preserve">What </w:t>
      </w:r>
      <w:r w:rsidR="00552573" w:rsidRPr="00A03684">
        <w:t>it doesn’t cover</w:t>
      </w:r>
      <w:bookmarkEnd w:id="8"/>
      <w:r w:rsidRPr="00A03684">
        <w:t xml:space="preserve"> </w:t>
      </w:r>
    </w:p>
    <w:p w:rsidR="00184DD2" w:rsidRPr="00A03684" w:rsidRDefault="00552573" w:rsidP="007611D9">
      <w:pPr>
        <w:pStyle w:val="BodyText"/>
      </w:pPr>
      <w:r w:rsidRPr="00A03684">
        <w:t>S</w:t>
      </w:r>
      <w:r w:rsidR="009D3C40" w:rsidRPr="00A03684">
        <w:t xml:space="preserve">everal matters </w:t>
      </w:r>
      <w:r w:rsidR="00462F41" w:rsidRPr="00A03684">
        <w:t>are not part of the r</w:t>
      </w:r>
      <w:r w:rsidR="009D3C40" w:rsidRPr="00A03684">
        <w:t>eview. These include:</w:t>
      </w:r>
    </w:p>
    <w:p w:rsidR="009D3C40" w:rsidRPr="00A03684" w:rsidRDefault="009D3C40" w:rsidP="00620E9B">
      <w:pPr>
        <w:pStyle w:val="Bullet"/>
      </w:pPr>
      <w:r w:rsidRPr="00A03684">
        <w:rPr>
          <w:b/>
          <w:bCs/>
        </w:rPr>
        <w:t>The phase-out of industrial allocation</w:t>
      </w:r>
      <w:r w:rsidRPr="00A03684">
        <w:t xml:space="preserve"> introduced in 2020 through the Climate Change Response (Emissions Trading Reform) Amendment Act. This setting was recently reviewed, decided and implemented.</w:t>
      </w:r>
      <w:r w:rsidR="00FB62B1" w:rsidRPr="00A03684">
        <w:t xml:space="preserve"> </w:t>
      </w:r>
      <w:r w:rsidR="00A26CA5" w:rsidRPr="00A03684">
        <w:t>However, t</w:t>
      </w:r>
      <w:r w:rsidR="00FB62B1" w:rsidRPr="00A03684">
        <w:t>he impacts of the phase-out on po</w:t>
      </w:r>
      <w:r w:rsidR="00A26CA5" w:rsidRPr="00A03684">
        <w:t xml:space="preserve">licy options are discussed </w:t>
      </w:r>
      <w:r w:rsidR="005C248D" w:rsidRPr="00A03684">
        <w:t>in the context of</w:t>
      </w:r>
      <w:r w:rsidR="00FB62B1" w:rsidRPr="00A03684">
        <w:t xml:space="preserve"> broader changes </w:t>
      </w:r>
      <w:r w:rsidR="00A26CA5" w:rsidRPr="00A03684">
        <w:t xml:space="preserve">to </w:t>
      </w:r>
      <w:r w:rsidR="00552573" w:rsidRPr="00A03684">
        <w:t>the</w:t>
      </w:r>
      <w:r w:rsidR="00A26CA5" w:rsidRPr="00A03684">
        <w:t xml:space="preserve"> policy.</w:t>
      </w:r>
      <w:r w:rsidR="00FB62B1" w:rsidRPr="00A03684">
        <w:t xml:space="preserve"> </w:t>
      </w:r>
    </w:p>
    <w:p w:rsidR="009D3C40" w:rsidRPr="00A03684" w:rsidRDefault="00207010" w:rsidP="00620E9B">
      <w:pPr>
        <w:pStyle w:val="Bullet"/>
      </w:pPr>
      <w:r w:rsidRPr="00A03684">
        <w:rPr>
          <w:b/>
          <w:bCs/>
        </w:rPr>
        <w:t>Updating the</w:t>
      </w:r>
      <w:r w:rsidRPr="00A03684">
        <w:t xml:space="preserve"> </w:t>
      </w:r>
      <w:r w:rsidR="009D3C40" w:rsidRPr="00A03684">
        <w:rPr>
          <w:b/>
          <w:bCs/>
        </w:rPr>
        <w:t>Electricity Allocation Factor (EAF)</w:t>
      </w:r>
      <w:r w:rsidR="00D672FF" w:rsidRPr="00A03684">
        <w:t xml:space="preserve"> value and modelling methodology</w:t>
      </w:r>
      <w:r w:rsidR="009D3C40" w:rsidRPr="00A03684">
        <w:t>. The EAF is an important industrial allocation s</w:t>
      </w:r>
      <w:r w:rsidR="005C248D" w:rsidRPr="00A03684">
        <w:t xml:space="preserve">etting used to measure the </w:t>
      </w:r>
      <w:r w:rsidR="009D3C40" w:rsidRPr="00A03684">
        <w:t>impact of the NZ ETS on electricity prices. A revie</w:t>
      </w:r>
      <w:r w:rsidR="00231122" w:rsidRPr="00A03684">
        <w:t>w of the EAF began in late 2019 and p</w:t>
      </w:r>
      <w:r w:rsidR="00011D6D" w:rsidRPr="00A03684">
        <w:t xml:space="preserve">ublic consultation </w:t>
      </w:r>
      <w:r w:rsidR="00552573" w:rsidRPr="00A03684">
        <w:t xml:space="preserve">has recently concluded </w:t>
      </w:r>
      <w:r w:rsidR="00011D6D" w:rsidRPr="00A03684">
        <w:t>on updating the</w:t>
      </w:r>
      <w:r w:rsidRPr="00A03684">
        <w:t xml:space="preserve"> </w:t>
      </w:r>
      <w:r w:rsidR="00011D6D" w:rsidRPr="00A03684">
        <w:t>EAF</w:t>
      </w:r>
      <w:r w:rsidRPr="00A03684">
        <w:t xml:space="preserve"> and modelling methodology</w:t>
      </w:r>
      <w:r w:rsidR="00011D6D" w:rsidRPr="00A03684">
        <w:t>.</w:t>
      </w:r>
      <w:r w:rsidR="00D672FF" w:rsidRPr="00A03684">
        <w:t xml:space="preserve"> </w:t>
      </w:r>
      <w:r w:rsidR="00D27A90" w:rsidRPr="00A03684">
        <w:t>T</w:t>
      </w:r>
      <w:r w:rsidR="00D672FF" w:rsidRPr="00A03684">
        <w:t xml:space="preserve">he </w:t>
      </w:r>
      <w:r w:rsidR="00B56C7F" w:rsidRPr="00A03684">
        <w:t xml:space="preserve">industrial allocation </w:t>
      </w:r>
      <w:r w:rsidR="00D672FF" w:rsidRPr="00A03684">
        <w:t xml:space="preserve">review does consider proposals </w:t>
      </w:r>
      <w:r w:rsidR="001B7EC0" w:rsidRPr="00A03684">
        <w:t>where the EAF is a compone</w:t>
      </w:r>
      <w:r w:rsidR="00B56C7F" w:rsidRPr="00A03684">
        <w:t xml:space="preserve">nt of the </w:t>
      </w:r>
      <w:r w:rsidR="001B7EC0" w:rsidRPr="00A03684">
        <w:t>eligibility settings</w:t>
      </w:r>
      <w:r w:rsidR="005C248D" w:rsidRPr="00A03684">
        <w:t xml:space="preserve"> – but not the </w:t>
      </w:r>
      <w:r w:rsidR="001E482F" w:rsidRPr="00A03684">
        <w:t>EAF calculation methodology or value</w:t>
      </w:r>
      <w:r w:rsidR="005C248D" w:rsidRPr="00A03684">
        <w:t xml:space="preserve">. </w:t>
      </w:r>
    </w:p>
    <w:p w:rsidR="00875EC3" w:rsidRPr="00A03684" w:rsidRDefault="00875EC3" w:rsidP="00620E9B">
      <w:pPr>
        <w:pStyle w:val="Bullet"/>
      </w:pPr>
      <w:r w:rsidRPr="00A03684">
        <w:rPr>
          <w:b/>
          <w:bCs/>
        </w:rPr>
        <w:t>Agricultural free allocation policy</w:t>
      </w:r>
      <w:r w:rsidRPr="00A03684">
        <w:t xml:space="preserve"> is outside the scope of the review. This is currently being considered in the He Waka Eke Noa – Primary Sector Climate Action Partnership work programme.</w:t>
      </w:r>
    </w:p>
    <w:p w:rsidR="005C12BC" w:rsidRPr="00A03684" w:rsidRDefault="00011D6D" w:rsidP="00620E9B">
      <w:pPr>
        <w:pStyle w:val="Bullet"/>
      </w:pPr>
      <w:r w:rsidRPr="00A03684">
        <w:t xml:space="preserve">How the </w:t>
      </w:r>
      <w:r w:rsidRPr="00A03684">
        <w:rPr>
          <w:b/>
          <w:bCs/>
        </w:rPr>
        <w:t>methodology for NZ ETS unit supply settings</w:t>
      </w:r>
      <w:r w:rsidR="00552573" w:rsidRPr="00A03684">
        <w:t xml:space="preserve"> accounts for industrial allocation</w:t>
      </w:r>
      <w:r w:rsidRPr="00A03684">
        <w:t xml:space="preserve">. </w:t>
      </w:r>
    </w:p>
    <w:p w:rsidR="002E026A" w:rsidRPr="00A03684" w:rsidRDefault="00672C04" w:rsidP="007611D9">
      <w:pPr>
        <w:keepNext/>
        <w:tabs>
          <w:tab w:val="left" w:pos="851"/>
        </w:tabs>
        <w:spacing w:before="360" w:after="0" w:line="240" w:lineRule="auto"/>
        <w:jc w:val="left"/>
        <w:outlineLvl w:val="1"/>
        <w:rPr>
          <w:rFonts w:eastAsiaTheme="majorEastAsia" w:cstheme="majorBidi"/>
          <w:b/>
          <w:bCs/>
          <w:color w:val="0F7B7D"/>
          <w:sz w:val="36"/>
          <w:szCs w:val="26"/>
        </w:rPr>
      </w:pPr>
      <w:bookmarkStart w:id="9" w:name="_Toc71184014"/>
      <w:r w:rsidRPr="00A03684">
        <w:rPr>
          <w:rFonts w:eastAsiaTheme="majorEastAsia" w:cstheme="majorBidi"/>
          <w:b/>
          <w:bCs/>
          <w:color w:val="0F7B7D"/>
          <w:sz w:val="36"/>
          <w:szCs w:val="26"/>
        </w:rPr>
        <w:t>T</w:t>
      </w:r>
      <w:r w:rsidR="001E41C3" w:rsidRPr="00A03684">
        <w:rPr>
          <w:rFonts w:eastAsiaTheme="majorEastAsia" w:cstheme="majorBidi"/>
          <w:b/>
          <w:bCs/>
          <w:color w:val="0F7B7D"/>
          <w:sz w:val="36"/>
          <w:szCs w:val="26"/>
        </w:rPr>
        <w:t>he Industrial Allocation R</w:t>
      </w:r>
      <w:r w:rsidR="007020D0" w:rsidRPr="00A03684">
        <w:rPr>
          <w:rFonts w:eastAsiaTheme="majorEastAsia" w:cstheme="majorBidi"/>
          <w:b/>
          <w:bCs/>
          <w:color w:val="0F7B7D"/>
          <w:sz w:val="36"/>
          <w:szCs w:val="26"/>
        </w:rPr>
        <w:t>eview Technical Advisory</w:t>
      </w:r>
      <w:r w:rsidR="00620E9B" w:rsidRPr="00A03684">
        <w:rPr>
          <w:rFonts w:eastAsiaTheme="majorEastAsia" w:cstheme="majorBidi"/>
          <w:b/>
          <w:bCs/>
          <w:color w:val="0F7B7D"/>
          <w:sz w:val="36"/>
          <w:szCs w:val="26"/>
        </w:rPr>
        <w:t> </w:t>
      </w:r>
      <w:r w:rsidR="007020D0" w:rsidRPr="00A03684">
        <w:rPr>
          <w:rFonts w:eastAsiaTheme="majorEastAsia" w:cstheme="majorBidi"/>
          <w:b/>
          <w:bCs/>
          <w:color w:val="0F7B7D"/>
          <w:sz w:val="36"/>
          <w:szCs w:val="26"/>
        </w:rPr>
        <w:t>G</w:t>
      </w:r>
      <w:r w:rsidR="002E026A" w:rsidRPr="00A03684">
        <w:rPr>
          <w:rFonts w:eastAsiaTheme="majorEastAsia" w:cstheme="majorBidi"/>
          <w:b/>
          <w:bCs/>
          <w:color w:val="0F7B7D"/>
          <w:sz w:val="36"/>
          <w:szCs w:val="26"/>
        </w:rPr>
        <w:t>roup</w:t>
      </w:r>
    </w:p>
    <w:p w:rsidR="002E026A" w:rsidRPr="00A03684" w:rsidRDefault="00C95A86" w:rsidP="00620E9B">
      <w:pPr>
        <w:pStyle w:val="BodyText"/>
        <w:rPr>
          <w:rFonts w:eastAsiaTheme="majorEastAsia"/>
        </w:rPr>
      </w:pPr>
      <w:r>
        <w:rPr>
          <w:rFonts w:eastAsiaTheme="majorEastAsia"/>
        </w:rPr>
        <w:t>We</w:t>
      </w:r>
      <w:r w:rsidR="001E41C3" w:rsidRPr="00A03684">
        <w:rPr>
          <w:rFonts w:eastAsiaTheme="majorEastAsia"/>
        </w:rPr>
        <w:t xml:space="preserve"> established a Technical Advisory G</w:t>
      </w:r>
      <w:r w:rsidR="00672C04" w:rsidRPr="00A03684">
        <w:rPr>
          <w:rFonts w:eastAsiaTheme="majorEastAsia"/>
        </w:rPr>
        <w:t xml:space="preserve">roup (TAG) </w:t>
      </w:r>
      <w:r w:rsidR="005C248D" w:rsidRPr="00A03684">
        <w:rPr>
          <w:rFonts w:eastAsiaTheme="majorEastAsia"/>
        </w:rPr>
        <w:t>to provide independent</w:t>
      </w:r>
      <w:r w:rsidR="00672C04" w:rsidRPr="00A03684">
        <w:rPr>
          <w:rFonts w:eastAsiaTheme="majorEastAsia"/>
        </w:rPr>
        <w:t xml:space="preserve"> expertise </w:t>
      </w:r>
      <w:r w:rsidR="00012386" w:rsidRPr="00A03684">
        <w:rPr>
          <w:rFonts w:eastAsiaTheme="majorEastAsia"/>
        </w:rPr>
        <w:t>on</w:t>
      </w:r>
      <w:r w:rsidR="00672C04" w:rsidRPr="00A03684">
        <w:rPr>
          <w:rFonts w:eastAsiaTheme="majorEastAsia"/>
        </w:rPr>
        <w:t xml:space="preserve"> industrial allocation, trade, economics and climate policy to support the review.</w:t>
      </w:r>
      <w:r w:rsidR="00620E9B" w:rsidRPr="00A03684">
        <w:rPr>
          <w:rFonts w:eastAsiaTheme="majorEastAsia"/>
        </w:rPr>
        <w:t> </w:t>
      </w:r>
      <w:r w:rsidR="00672C04" w:rsidRPr="00A03684">
        <w:rPr>
          <w:rFonts w:eastAsiaTheme="majorEastAsia"/>
        </w:rPr>
        <w:t>The TAG was asked to test evidence, analysis and policy options</w:t>
      </w:r>
      <w:r w:rsidR="00552573" w:rsidRPr="00A03684">
        <w:rPr>
          <w:rFonts w:eastAsiaTheme="majorEastAsia"/>
        </w:rPr>
        <w:t>,</w:t>
      </w:r>
      <w:r w:rsidR="00672C04" w:rsidRPr="00A03684">
        <w:rPr>
          <w:rFonts w:eastAsiaTheme="majorEastAsia"/>
        </w:rPr>
        <w:t xml:space="preserve"> to help </w:t>
      </w:r>
      <w:r w:rsidR="00552573" w:rsidRPr="00A03684">
        <w:rPr>
          <w:rFonts w:eastAsiaTheme="majorEastAsia"/>
        </w:rPr>
        <w:t xml:space="preserve">draft </w:t>
      </w:r>
      <w:r w:rsidR="00672C04" w:rsidRPr="00A03684">
        <w:rPr>
          <w:rFonts w:eastAsiaTheme="majorEastAsia"/>
        </w:rPr>
        <w:t xml:space="preserve">the </w:t>
      </w:r>
      <w:r w:rsidR="00C43367">
        <w:rPr>
          <w:rFonts w:eastAsiaTheme="majorEastAsia"/>
        </w:rPr>
        <w:t>consultation</w:t>
      </w:r>
      <w:r w:rsidR="00C43367" w:rsidRPr="00A03684">
        <w:rPr>
          <w:rFonts w:eastAsiaTheme="majorEastAsia"/>
        </w:rPr>
        <w:t> </w:t>
      </w:r>
      <w:r w:rsidR="00672C04" w:rsidRPr="00A03684">
        <w:rPr>
          <w:rFonts w:eastAsiaTheme="majorEastAsia"/>
        </w:rPr>
        <w:t>document.</w:t>
      </w:r>
    </w:p>
    <w:p w:rsidR="00672C04" w:rsidRPr="00A03684" w:rsidRDefault="00AD0910" w:rsidP="00620E9B">
      <w:pPr>
        <w:pStyle w:val="BodyText"/>
        <w:rPr>
          <w:rFonts w:eastAsiaTheme="majorEastAsia"/>
        </w:rPr>
      </w:pPr>
      <w:r w:rsidRPr="00A03684">
        <w:rPr>
          <w:rFonts w:eastAsiaTheme="majorEastAsia"/>
        </w:rPr>
        <w:t xml:space="preserve">The TAG met three times and reviewed the </w:t>
      </w:r>
      <w:r w:rsidR="00C43367">
        <w:rPr>
          <w:rFonts w:eastAsiaTheme="majorEastAsia"/>
        </w:rPr>
        <w:t>consultation</w:t>
      </w:r>
      <w:r w:rsidR="00C43367" w:rsidRPr="00A03684">
        <w:rPr>
          <w:rFonts w:eastAsiaTheme="majorEastAsia"/>
        </w:rPr>
        <w:t xml:space="preserve"> </w:t>
      </w:r>
      <w:r w:rsidRPr="00A03684">
        <w:rPr>
          <w:rFonts w:eastAsiaTheme="majorEastAsia"/>
        </w:rPr>
        <w:t>document at each stage of its drafting. Its recommendations have informed the proposals to be consulted on, as well as the impact</w:t>
      </w:r>
      <w:r w:rsidR="00620E9B" w:rsidRPr="00A03684">
        <w:rPr>
          <w:rFonts w:eastAsiaTheme="majorEastAsia"/>
        </w:rPr>
        <w:t> </w:t>
      </w:r>
      <w:r w:rsidRPr="00A03684">
        <w:rPr>
          <w:rFonts w:eastAsiaTheme="majorEastAsia"/>
        </w:rPr>
        <w:t>analysis.</w:t>
      </w:r>
      <w:r w:rsidR="00012386" w:rsidRPr="00A03684">
        <w:rPr>
          <w:rFonts w:eastAsiaTheme="majorEastAsia"/>
        </w:rPr>
        <w:t xml:space="preserve"> </w:t>
      </w:r>
    </w:p>
    <w:p w:rsidR="00AD0910" w:rsidRPr="00A03684" w:rsidRDefault="00AD0910" w:rsidP="00620E9B">
      <w:pPr>
        <w:pStyle w:val="BodyText"/>
        <w:rPr>
          <w:rFonts w:eastAsiaTheme="majorEastAsia"/>
        </w:rPr>
      </w:pPr>
      <w:r w:rsidRPr="00A03684">
        <w:rPr>
          <w:rFonts w:eastAsiaTheme="majorEastAsia"/>
        </w:rPr>
        <w:t xml:space="preserve">The </w:t>
      </w:r>
      <w:r w:rsidR="00C43367">
        <w:rPr>
          <w:rFonts w:eastAsiaTheme="majorEastAsia"/>
        </w:rPr>
        <w:t>consultation</w:t>
      </w:r>
      <w:r w:rsidR="00C43367" w:rsidRPr="00A03684">
        <w:rPr>
          <w:rFonts w:eastAsiaTheme="majorEastAsia"/>
        </w:rPr>
        <w:t xml:space="preserve"> </w:t>
      </w:r>
      <w:r w:rsidRPr="00A03684">
        <w:rPr>
          <w:rFonts w:eastAsiaTheme="majorEastAsia"/>
        </w:rPr>
        <w:t xml:space="preserve">document presents the TAG’s recommendations, where consensus was </w:t>
      </w:r>
      <w:r w:rsidR="00552573" w:rsidRPr="00A03684">
        <w:rPr>
          <w:rFonts w:eastAsiaTheme="majorEastAsia"/>
        </w:rPr>
        <w:t xml:space="preserve">reached </w:t>
      </w:r>
      <w:r w:rsidRPr="00A03684">
        <w:rPr>
          <w:rFonts w:eastAsiaTheme="majorEastAsia"/>
        </w:rPr>
        <w:t xml:space="preserve">on specific proposals. </w:t>
      </w:r>
      <w:r w:rsidR="00DC1C3C" w:rsidRPr="00A03684">
        <w:rPr>
          <w:rFonts w:eastAsiaTheme="majorEastAsia"/>
        </w:rPr>
        <w:t>Appendix 1 outlines</w:t>
      </w:r>
      <w:r w:rsidR="003B1910">
        <w:rPr>
          <w:rFonts w:eastAsiaTheme="majorEastAsia"/>
        </w:rPr>
        <w:t xml:space="preserve"> the</w:t>
      </w:r>
      <w:r w:rsidR="00DC1C3C" w:rsidRPr="00A03684">
        <w:rPr>
          <w:rFonts w:eastAsiaTheme="majorEastAsia"/>
        </w:rPr>
        <w:t xml:space="preserve"> TAG’s positions on the consultation questions.</w:t>
      </w:r>
    </w:p>
    <w:p w:rsidR="00011D6D" w:rsidRPr="00A03684" w:rsidRDefault="00552573" w:rsidP="00620E9B">
      <w:pPr>
        <w:pStyle w:val="Heading2"/>
      </w:pPr>
      <w:bookmarkStart w:id="10" w:name="_Toc75336448"/>
      <w:r w:rsidRPr="00A03684">
        <w:t xml:space="preserve">Consultation on </w:t>
      </w:r>
      <w:r w:rsidR="00011D6D" w:rsidRPr="00A03684">
        <w:t>NZ ETS market governance</w:t>
      </w:r>
      <w:bookmarkEnd w:id="10"/>
      <w:r w:rsidR="00011D6D" w:rsidRPr="00A03684">
        <w:t xml:space="preserve"> </w:t>
      </w:r>
    </w:p>
    <w:p w:rsidR="00011D6D" w:rsidRPr="00A03684" w:rsidRDefault="00011D6D" w:rsidP="00620E9B">
      <w:pPr>
        <w:pStyle w:val="BodyText"/>
        <w:rPr>
          <w:rFonts w:eastAsiaTheme="majorEastAsia"/>
        </w:rPr>
      </w:pPr>
      <w:r w:rsidRPr="00A03684">
        <w:rPr>
          <w:rFonts w:eastAsiaTheme="majorEastAsia"/>
        </w:rPr>
        <w:t xml:space="preserve">A parallel consultation is </w:t>
      </w:r>
      <w:r w:rsidR="00552573" w:rsidRPr="00A03684">
        <w:rPr>
          <w:rFonts w:eastAsiaTheme="majorEastAsia"/>
        </w:rPr>
        <w:t>addressing</w:t>
      </w:r>
      <w:r w:rsidRPr="00A03684">
        <w:rPr>
          <w:rFonts w:eastAsiaTheme="majorEastAsia"/>
        </w:rPr>
        <w:t xml:space="preserve"> </w:t>
      </w:r>
      <w:r w:rsidR="009D77AB" w:rsidRPr="00A03684">
        <w:rPr>
          <w:rFonts w:eastAsiaTheme="majorEastAsia"/>
        </w:rPr>
        <w:t xml:space="preserve">changes to the market governance </w:t>
      </w:r>
      <w:r w:rsidR="001E482F" w:rsidRPr="00A03684">
        <w:rPr>
          <w:rFonts w:eastAsiaTheme="majorEastAsia"/>
        </w:rPr>
        <w:t>in the NZ ETS</w:t>
      </w:r>
      <w:r w:rsidR="00DD04ED" w:rsidRPr="00A03684">
        <w:rPr>
          <w:rFonts w:eastAsiaTheme="majorEastAsia"/>
        </w:rPr>
        <w:t>.</w:t>
      </w:r>
      <w:r w:rsidR="009D77AB" w:rsidRPr="00A03684">
        <w:rPr>
          <w:rFonts w:eastAsiaTheme="majorEastAsia"/>
        </w:rPr>
        <w:t xml:space="preserve"> Market governance refers to the processes, policies and rules to manage </w:t>
      </w:r>
      <w:r w:rsidR="00B80070" w:rsidRPr="00A03684">
        <w:rPr>
          <w:rFonts w:eastAsiaTheme="majorEastAsia"/>
        </w:rPr>
        <w:t xml:space="preserve">the </w:t>
      </w:r>
      <w:r w:rsidR="009D77AB" w:rsidRPr="00A03684">
        <w:rPr>
          <w:rFonts w:eastAsiaTheme="majorEastAsia"/>
        </w:rPr>
        <w:t xml:space="preserve">risk of misconduct in the NZ ETS primary, secondary or derivatives market. </w:t>
      </w:r>
      <w:r w:rsidR="005C248D" w:rsidRPr="00A03684">
        <w:rPr>
          <w:rFonts w:eastAsiaTheme="majorEastAsia"/>
        </w:rPr>
        <w:t>C</w:t>
      </w:r>
      <w:r w:rsidR="009D70F3" w:rsidRPr="00A03684">
        <w:rPr>
          <w:rFonts w:eastAsiaTheme="majorEastAsia"/>
        </w:rPr>
        <w:t>urrent market governance arrangements are</w:t>
      </w:r>
      <w:r w:rsidR="008D0E72" w:rsidRPr="00A03684">
        <w:rPr>
          <w:rFonts w:eastAsiaTheme="majorEastAsia"/>
        </w:rPr>
        <w:t xml:space="preserve"> not fit for purpose and </w:t>
      </w:r>
      <w:r w:rsidR="00466368" w:rsidRPr="00A03684">
        <w:rPr>
          <w:rFonts w:eastAsiaTheme="majorEastAsia"/>
        </w:rPr>
        <w:t>are unable to address a</w:t>
      </w:r>
      <w:r w:rsidR="008D0E72" w:rsidRPr="00A03684">
        <w:rPr>
          <w:rFonts w:eastAsiaTheme="majorEastAsia"/>
        </w:rPr>
        <w:t xml:space="preserve"> variety of market risks. </w:t>
      </w:r>
    </w:p>
    <w:p w:rsidR="00B80070" w:rsidRPr="00A03684" w:rsidRDefault="009D77AB" w:rsidP="00620E9B">
      <w:pPr>
        <w:pStyle w:val="BodyText"/>
        <w:rPr>
          <w:rFonts w:eastAsiaTheme="majorEastAsia"/>
        </w:rPr>
      </w:pPr>
      <w:r w:rsidRPr="00A03684">
        <w:rPr>
          <w:rFonts w:eastAsiaTheme="majorEastAsia"/>
        </w:rPr>
        <w:t xml:space="preserve">The market governance consultation will be of interest to industrial allocation </w:t>
      </w:r>
      <w:r w:rsidR="00217BB0" w:rsidRPr="00A03684">
        <w:rPr>
          <w:rFonts w:eastAsiaTheme="majorEastAsia"/>
        </w:rPr>
        <w:t>recipients,</w:t>
      </w:r>
      <w:r w:rsidRPr="00A03684">
        <w:rPr>
          <w:rFonts w:eastAsiaTheme="majorEastAsia"/>
        </w:rPr>
        <w:t xml:space="preserve"> as it will directly affect the future rules and operation of New Zealand’s carbon market.</w:t>
      </w:r>
    </w:p>
    <w:p w:rsidR="009D77AB" w:rsidRPr="00A03684" w:rsidRDefault="009D77AB" w:rsidP="00620E9B">
      <w:pPr>
        <w:pStyle w:val="BodyText"/>
        <w:rPr>
          <w:rFonts w:eastAsiaTheme="majorEastAsia"/>
        </w:rPr>
      </w:pPr>
      <w:r w:rsidRPr="00A03684">
        <w:rPr>
          <w:rFonts w:eastAsiaTheme="majorEastAsia"/>
        </w:rPr>
        <w:t>You can f</w:t>
      </w:r>
      <w:r w:rsidR="00201601" w:rsidRPr="00A03684">
        <w:rPr>
          <w:rFonts w:eastAsiaTheme="majorEastAsia"/>
        </w:rPr>
        <w:t xml:space="preserve">ind out more </w:t>
      </w:r>
      <w:r w:rsidR="007033A6">
        <w:rPr>
          <w:rFonts w:eastAsiaTheme="majorEastAsia"/>
        </w:rPr>
        <w:t xml:space="preserve">by visiting the </w:t>
      </w:r>
      <w:hyperlink r:id="rId22" w:history="1">
        <w:r w:rsidR="007033A6" w:rsidRPr="007033A6">
          <w:rPr>
            <w:rStyle w:val="Hyperlink"/>
            <w:rFonts w:eastAsiaTheme="majorEastAsia"/>
          </w:rPr>
          <w:t xml:space="preserve">market governance </w:t>
        </w:r>
        <w:r w:rsidR="00201601" w:rsidRPr="007033A6">
          <w:rPr>
            <w:rStyle w:val="Hyperlink"/>
            <w:rFonts w:eastAsiaTheme="majorEastAsia"/>
          </w:rPr>
          <w:t xml:space="preserve">consultation </w:t>
        </w:r>
        <w:r w:rsidR="007033A6" w:rsidRPr="007033A6">
          <w:rPr>
            <w:rStyle w:val="Hyperlink"/>
            <w:rFonts w:eastAsiaTheme="majorEastAsia"/>
          </w:rPr>
          <w:t>page</w:t>
        </w:r>
      </w:hyperlink>
      <w:r w:rsidR="00F17165">
        <w:rPr>
          <w:rFonts w:eastAsiaTheme="majorEastAsia"/>
        </w:rPr>
        <w:t>.</w:t>
      </w:r>
    </w:p>
    <w:p w:rsidR="00B50979" w:rsidRPr="00A03684" w:rsidRDefault="006509EF" w:rsidP="00620E9B">
      <w:pPr>
        <w:pStyle w:val="Heading2"/>
      </w:pPr>
      <w:bookmarkStart w:id="11" w:name="_Toc75336449"/>
      <w:r w:rsidRPr="00A03684">
        <w:t>Next steps</w:t>
      </w:r>
      <w:bookmarkEnd w:id="9"/>
      <w:bookmarkEnd w:id="11"/>
    </w:p>
    <w:p w:rsidR="006509EF" w:rsidRPr="00A03684" w:rsidRDefault="006509EF" w:rsidP="00620E9B">
      <w:pPr>
        <w:pStyle w:val="BodyText"/>
      </w:pPr>
      <w:r w:rsidRPr="00A03684">
        <w:t xml:space="preserve">This consultation will run </w:t>
      </w:r>
      <w:r w:rsidR="00104E70" w:rsidRPr="00A03684">
        <w:t xml:space="preserve">from </w:t>
      </w:r>
      <w:r w:rsidR="00AA116D">
        <w:t>Thursday</w:t>
      </w:r>
      <w:r w:rsidR="00104E70" w:rsidRPr="00A03684">
        <w:t xml:space="preserve"> 8 July to </w:t>
      </w:r>
      <w:r w:rsidR="00AA116D">
        <w:t>Friday</w:t>
      </w:r>
      <w:r w:rsidR="00104E70" w:rsidRPr="00A03684">
        <w:t xml:space="preserve"> 17 September</w:t>
      </w:r>
      <w:r w:rsidR="00125F78" w:rsidRPr="00A03684">
        <w:t xml:space="preserve"> 2021</w:t>
      </w:r>
      <w:r w:rsidRPr="00A03684">
        <w:t xml:space="preserve">. To find out how to participate and make a submission see </w:t>
      </w:r>
      <w:r w:rsidR="00465A60" w:rsidRPr="00A03684">
        <w:t>section 8 of th</w:t>
      </w:r>
      <w:r w:rsidR="00A31C96" w:rsidRPr="00A03684">
        <w:t>is</w:t>
      </w:r>
      <w:r w:rsidR="00465A60" w:rsidRPr="00A03684">
        <w:t xml:space="preserve"> document</w:t>
      </w:r>
      <w:r w:rsidRPr="00A03684">
        <w:t xml:space="preserve">. </w:t>
      </w:r>
    </w:p>
    <w:p w:rsidR="006509EF" w:rsidRPr="00A03684" w:rsidRDefault="006509EF" w:rsidP="00620E9B">
      <w:pPr>
        <w:pStyle w:val="BodyText"/>
      </w:pPr>
      <w:r w:rsidRPr="00A03684">
        <w:t xml:space="preserve">We will include your </w:t>
      </w:r>
      <w:r w:rsidR="00B80070" w:rsidRPr="00A03684">
        <w:t xml:space="preserve">feedback </w:t>
      </w:r>
      <w:r w:rsidRPr="00A03684">
        <w:t xml:space="preserve">in a summary of submissions </w:t>
      </w:r>
      <w:r w:rsidR="00B80070" w:rsidRPr="00A03684">
        <w:t>to be</w:t>
      </w:r>
      <w:r w:rsidR="0012517D" w:rsidRPr="00A03684">
        <w:t xml:space="preserve"> </w:t>
      </w:r>
      <w:r w:rsidRPr="00A03684">
        <w:t xml:space="preserve">published in </w:t>
      </w:r>
      <w:r w:rsidR="00FB1C00" w:rsidRPr="00A03684">
        <w:t>late 2021</w:t>
      </w:r>
      <w:r w:rsidRPr="00A03684">
        <w:t>. The</w:t>
      </w:r>
      <w:r w:rsidR="00581238" w:rsidRPr="00A03684">
        <w:t> </w:t>
      </w:r>
      <w:r w:rsidRPr="00A03684">
        <w:t xml:space="preserve">results from this consultation, alongside further policy analysis, will inform advice to Ministers about </w:t>
      </w:r>
      <w:r w:rsidR="009F3997" w:rsidRPr="00A03684">
        <w:t>policy changes to industrial allocation</w:t>
      </w:r>
      <w:r w:rsidRPr="00A03684">
        <w:t xml:space="preserve">. </w:t>
      </w:r>
      <w:r w:rsidR="00B80070" w:rsidRPr="00A03684">
        <w:t xml:space="preserve">These </w:t>
      </w:r>
      <w:r w:rsidR="009F3997" w:rsidRPr="00A03684">
        <w:t>changes are likely to be progressed through an amendment to the Climate Change</w:t>
      </w:r>
      <w:r w:rsidR="005C248D" w:rsidRPr="00A03684">
        <w:t xml:space="preserve"> Response Act introduced in</w:t>
      </w:r>
      <w:r w:rsidR="009F3997" w:rsidRPr="00A03684">
        <w:t xml:space="preserve"> 2022,</w:t>
      </w:r>
      <w:r w:rsidR="006D4EE9">
        <w:t> </w:t>
      </w:r>
      <w:r w:rsidR="009F3997" w:rsidRPr="00A03684">
        <w:t xml:space="preserve">and later through changes to the industrial allocation regulations. </w:t>
      </w:r>
    </w:p>
    <w:p w:rsidR="006509EF" w:rsidRPr="00A03684" w:rsidRDefault="009F3997" w:rsidP="00620E9B">
      <w:pPr>
        <w:pStyle w:val="BodyText"/>
      </w:pPr>
      <w:r w:rsidRPr="00A03684">
        <w:t>Any actual changes to allocations or eligibility are</w:t>
      </w:r>
      <w:r w:rsidR="005C248D" w:rsidRPr="00A03684">
        <w:t xml:space="preserve"> unlikely to take effect until 2024</w:t>
      </w:r>
      <w:r w:rsidRPr="00A03684">
        <w:t xml:space="preserve">. </w:t>
      </w:r>
    </w:p>
    <w:p w:rsidR="006509EF" w:rsidRPr="00A03684" w:rsidRDefault="00B80070" w:rsidP="00236130">
      <w:pPr>
        <w:pStyle w:val="Heading2"/>
      </w:pPr>
      <w:bookmarkStart w:id="12" w:name="_Toc75336450"/>
      <w:r w:rsidRPr="00A03684">
        <w:t>More information</w:t>
      </w:r>
      <w:bookmarkEnd w:id="12"/>
    </w:p>
    <w:p w:rsidR="006509EF" w:rsidRPr="00A03684" w:rsidRDefault="006509EF" w:rsidP="00620E9B">
      <w:pPr>
        <w:pStyle w:val="Numberedparagraph"/>
        <w:spacing w:before="120"/>
        <w:rPr>
          <w:rFonts w:eastAsia="Times New Roman"/>
        </w:rPr>
      </w:pPr>
      <w:r w:rsidRPr="00A03684">
        <w:rPr>
          <w:rFonts w:eastAsia="Times New Roman"/>
        </w:rPr>
        <w:t xml:space="preserve">Visit the website </w:t>
      </w:r>
      <w:hyperlink r:id="rId23" w:history="1">
        <w:r w:rsidR="007033A6" w:rsidRPr="00EE5D9B">
          <w:rPr>
            <w:rStyle w:val="Hyperlink"/>
          </w:rPr>
          <w:t>https://consult.environment.govt.nz/climate/reforming-industrial-allocation-in-the-nz-ets</w:t>
        </w:r>
      </w:hyperlink>
      <w:r w:rsidR="007033A6">
        <w:rPr>
          <w:rStyle w:val="Hyperlink"/>
          <w:color w:val="1C556C"/>
        </w:rPr>
        <w:t>.</w:t>
      </w:r>
    </w:p>
    <w:p w:rsidR="006509EF" w:rsidRPr="00A03684" w:rsidRDefault="006509EF" w:rsidP="00620E9B">
      <w:pPr>
        <w:pStyle w:val="Numberedparagraph"/>
        <w:rPr>
          <w:rFonts w:eastAsia="Times New Roman"/>
        </w:rPr>
      </w:pPr>
      <w:r w:rsidRPr="00A03684">
        <w:rPr>
          <w:rFonts w:eastAsia="Times New Roman"/>
        </w:rPr>
        <w:t xml:space="preserve">Ask the NZ ETS team at </w:t>
      </w:r>
      <w:hyperlink r:id="rId24" w:history="1">
        <w:r w:rsidRPr="003B1910">
          <w:rPr>
            <w:rStyle w:val="Hyperlink"/>
            <w:rFonts w:eastAsia="Times New Roman"/>
            <w:color w:val="1C556C"/>
          </w:rPr>
          <w:t>etsconsultation@mfe.govt.nz</w:t>
        </w:r>
      </w:hyperlink>
      <w:r w:rsidRPr="00A03684">
        <w:rPr>
          <w:rFonts w:eastAsia="Times New Roman"/>
        </w:rPr>
        <w:t xml:space="preserve">. </w:t>
      </w:r>
    </w:p>
    <w:p w:rsidR="00011D6D" w:rsidRPr="00A03684" w:rsidRDefault="00011D6D" w:rsidP="00620E9B">
      <w:pPr>
        <w:pStyle w:val="BodyText"/>
      </w:pPr>
    </w:p>
    <w:p w:rsidR="00F663EC" w:rsidRPr="00A03684" w:rsidRDefault="00F663EC" w:rsidP="00581238">
      <w:pPr>
        <w:pStyle w:val="Heading2"/>
        <w:spacing w:after="240"/>
      </w:pPr>
      <w:bookmarkStart w:id="13" w:name="_Toc75336451"/>
      <w:bookmarkStart w:id="14" w:name="_Hlk71642123"/>
      <w:r w:rsidRPr="00A03684">
        <w:t xml:space="preserve">Summary of </w:t>
      </w:r>
      <w:r w:rsidR="00B50979" w:rsidRPr="00A03684">
        <w:t>proposals</w:t>
      </w:r>
      <w:bookmarkEnd w:id="13"/>
      <w:r w:rsidR="00B50979" w:rsidRPr="00A03684">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8F9"/>
        <w:tblCellMar>
          <w:top w:w="57" w:type="dxa"/>
        </w:tblCellMar>
        <w:tblLook w:val="04A0" w:firstRow="1" w:lastRow="0" w:firstColumn="1" w:lastColumn="0" w:noHBand="0" w:noVBand="1"/>
      </w:tblPr>
      <w:tblGrid>
        <w:gridCol w:w="8505"/>
      </w:tblGrid>
      <w:tr w:rsidR="00672C04" w:rsidRPr="00A03684" w:rsidDel="00D5390D" w:rsidTr="001D062C">
        <w:tc>
          <w:tcPr>
            <w:tcW w:w="0" w:type="auto"/>
            <w:tcBorders>
              <w:top w:val="single" w:sz="4" w:space="0" w:color="0F7B7D"/>
              <w:left w:val="single" w:sz="4" w:space="0" w:color="0F7B7D"/>
              <w:bottom w:val="nil"/>
              <w:right w:val="single" w:sz="4" w:space="0" w:color="0F7B7D"/>
            </w:tcBorders>
            <w:shd w:val="clear" w:color="auto" w:fill="0F7B7D"/>
          </w:tcPr>
          <w:p w:rsidR="00672C04" w:rsidRPr="00A03684" w:rsidDel="00D5390D" w:rsidRDefault="00672C04" w:rsidP="00EA7163">
            <w:pPr>
              <w:pStyle w:val="Casestudyheading"/>
              <w:spacing w:before="80" w:after="80"/>
              <w:rPr>
                <w:rFonts w:eastAsia="Times New Roman"/>
              </w:rPr>
            </w:pPr>
            <w:r w:rsidRPr="00A03684">
              <w:rPr>
                <w:rFonts w:eastAsia="Times New Roman"/>
              </w:rPr>
              <w:t xml:space="preserve">Proposals to reform allocation calculations </w:t>
            </w:r>
          </w:p>
        </w:tc>
      </w:tr>
      <w:tr w:rsidR="00672C04" w:rsidRPr="00A03684" w:rsidTr="001D062C">
        <w:tc>
          <w:tcPr>
            <w:tcW w:w="0" w:type="auto"/>
            <w:tcBorders>
              <w:top w:val="nil"/>
              <w:left w:val="single" w:sz="4" w:space="0" w:color="CFE5E5"/>
              <w:bottom w:val="single" w:sz="4" w:space="0" w:color="CFE5E5"/>
              <w:right w:val="single" w:sz="4" w:space="0" w:color="CFE5E5"/>
            </w:tcBorders>
            <w:shd w:val="clear" w:color="auto" w:fill="CFE5E5"/>
          </w:tcPr>
          <w:p w:rsidR="000C0A61" w:rsidRPr="00A03684" w:rsidRDefault="000C0A61" w:rsidP="00EA7163">
            <w:pPr>
              <w:pStyle w:val="Greenheading-casestudytables"/>
              <w:spacing w:before="120" w:after="120"/>
            </w:pPr>
            <w:r w:rsidRPr="00A03684">
              <w:t>Allocative baselines are out of date and contribut</w:t>
            </w:r>
            <w:r w:rsidR="00CA5A46" w:rsidRPr="00A03684">
              <w:t>e</w:t>
            </w:r>
            <w:r w:rsidRPr="00A03684">
              <w:t xml:space="preserve"> to over-allocation.</w:t>
            </w:r>
          </w:p>
          <w:p w:rsidR="00672C04" w:rsidRPr="00A03684" w:rsidRDefault="00672C04" w:rsidP="001D062C">
            <w:pPr>
              <w:pStyle w:val="Greenbullet-casestudytables"/>
            </w:pPr>
            <w:r w:rsidRPr="00A03684">
              <w:t xml:space="preserve">The </w:t>
            </w:r>
            <w:r w:rsidRPr="001D062C">
              <w:t>Government</w:t>
            </w:r>
            <w:r w:rsidRPr="00A03684">
              <w:t xml:space="preserve"> proposes </w:t>
            </w:r>
            <w:r w:rsidR="00CA5A46" w:rsidRPr="00A03684">
              <w:t xml:space="preserve">to </w:t>
            </w:r>
            <w:r w:rsidRPr="00A03684">
              <w:t>updat</w:t>
            </w:r>
            <w:r w:rsidR="00CA5A46" w:rsidRPr="00A03684">
              <w:t>e</w:t>
            </w:r>
            <w:r w:rsidRPr="00A03684">
              <w:t xml:space="preserve"> all allocative baselines immediately with activity data from new</w:t>
            </w:r>
            <w:r w:rsidR="00263627" w:rsidRPr="00A03684">
              <w:t>, more recent</w:t>
            </w:r>
            <w:r w:rsidRPr="00A03684">
              <w:t xml:space="preserve"> base years.</w:t>
            </w:r>
          </w:p>
          <w:p w:rsidR="00672C04" w:rsidRPr="00A03684" w:rsidRDefault="00672C04" w:rsidP="001D062C">
            <w:pPr>
              <w:pStyle w:val="Greenbullet-casestudytables"/>
            </w:pPr>
            <w:r w:rsidRPr="00A03684">
              <w:t xml:space="preserve">There are options </w:t>
            </w:r>
            <w:r w:rsidR="00DD04ED" w:rsidRPr="00A03684">
              <w:t>for</w:t>
            </w:r>
            <w:r w:rsidRPr="00A03684">
              <w:t xml:space="preserve"> how often </w:t>
            </w:r>
            <w:r w:rsidR="00CA5A46" w:rsidRPr="00A03684">
              <w:t xml:space="preserve">to update </w:t>
            </w:r>
            <w:r w:rsidRPr="00A03684">
              <w:t>allocative baselines after this. We would like your views on</w:t>
            </w:r>
            <w:r w:rsidR="00CA5A46" w:rsidRPr="00A03684">
              <w:t>:</w:t>
            </w:r>
            <w:r w:rsidRPr="00A03684">
              <w:t xml:space="preserve"> a one-off update, or updates every </w:t>
            </w:r>
            <w:r w:rsidR="003E37CE" w:rsidRPr="00A03684">
              <w:t xml:space="preserve">year, or every </w:t>
            </w:r>
            <w:r w:rsidRPr="00A03684">
              <w:t xml:space="preserve">5 </w:t>
            </w:r>
            <w:r w:rsidR="00E30FB7" w:rsidRPr="00A03684">
              <w:t>or 10 years.</w:t>
            </w:r>
          </w:p>
          <w:p w:rsidR="00672C04" w:rsidRPr="00A03684" w:rsidRDefault="00672C04" w:rsidP="001D062C">
            <w:pPr>
              <w:pStyle w:val="Greenbullet-casestudytables"/>
              <w:spacing w:after="160"/>
            </w:pPr>
            <w:r w:rsidRPr="00A03684">
              <w:t xml:space="preserve">The TAG’s preferred option is to update </w:t>
            </w:r>
            <w:r w:rsidR="00CA5A46" w:rsidRPr="00A03684">
              <w:t xml:space="preserve">the </w:t>
            </w:r>
            <w:r w:rsidR="00CD3F65" w:rsidRPr="00A03684">
              <w:t xml:space="preserve">baselines every 10 </w:t>
            </w:r>
            <w:r w:rsidRPr="00A03684">
              <w:t xml:space="preserve">years. </w:t>
            </w:r>
          </w:p>
        </w:tc>
      </w:tr>
      <w:tr w:rsidR="00672C04" w:rsidRPr="00A03684" w:rsidDel="00D5390D" w:rsidTr="001D062C">
        <w:tc>
          <w:tcPr>
            <w:tcW w:w="0" w:type="auto"/>
            <w:tcBorders>
              <w:top w:val="single" w:sz="4" w:space="0" w:color="0F7B7D"/>
              <w:left w:val="single" w:sz="4" w:space="0" w:color="0F7B7D"/>
              <w:bottom w:val="nil"/>
              <w:right w:val="single" w:sz="4" w:space="0" w:color="0F7B7D"/>
            </w:tcBorders>
            <w:shd w:val="clear" w:color="auto" w:fill="0F7B7D"/>
          </w:tcPr>
          <w:p w:rsidR="00672C04" w:rsidRPr="00A03684" w:rsidDel="00D5390D" w:rsidRDefault="00672C04" w:rsidP="00EA7163">
            <w:pPr>
              <w:pStyle w:val="Casestudyheading"/>
              <w:spacing w:before="80" w:after="80"/>
              <w:rPr>
                <w:rFonts w:eastAsia="Times New Roman"/>
                <w:caps/>
              </w:rPr>
            </w:pPr>
            <w:r w:rsidRPr="00A03684">
              <w:rPr>
                <w:rFonts w:eastAsia="Times New Roman"/>
              </w:rPr>
              <w:t xml:space="preserve">Proposals to reform eligibility for industrial allocation </w:t>
            </w:r>
          </w:p>
        </w:tc>
      </w:tr>
      <w:tr w:rsidR="00672C04" w:rsidRPr="00A03684" w:rsidTr="001D062C">
        <w:tc>
          <w:tcPr>
            <w:tcW w:w="0" w:type="auto"/>
            <w:tcBorders>
              <w:top w:val="nil"/>
              <w:left w:val="single" w:sz="4" w:space="0" w:color="CFE5E5"/>
              <w:bottom w:val="single" w:sz="4" w:space="0" w:color="CFE5E5"/>
              <w:right w:val="single" w:sz="4" w:space="0" w:color="CFE5E5"/>
            </w:tcBorders>
            <w:shd w:val="clear" w:color="auto" w:fill="CFE5E5"/>
          </w:tcPr>
          <w:p w:rsidR="00BC18FB" w:rsidRPr="00A03684" w:rsidRDefault="00B80070" w:rsidP="00EA7163">
            <w:pPr>
              <w:pStyle w:val="Greenheading-casestudytables"/>
              <w:spacing w:before="120" w:after="120"/>
            </w:pPr>
            <w:r w:rsidRPr="00A03684">
              <w:t>E</w:t>
            </w:r>
            <w:r w:rsidR="00BC18FB" w:rsidRPr="00A03684">
              <w:t>ligibility d</w:t>
            </w:r>
            <w:r w:rsidR="00E44EE2" w:rsidRPr="00A03684">
              <w:t>ecisions</w:t>
            </w:r>
            <w:r w:rsidR="00BC18FB" w:rsidRPr="00A03684">
              <w:t xml:space="preserve"> are out</w:t>
            </w:r>
            <w:r w:rsidRPr="00A03684">
              <w:t xml:space="preserve"> </w:t>
            </w:r>
            <w:r w:rsidR="00BC18FB" w:rsidRPr="00A03684">
              <w:t>of</w:t>
            </w:r>
            <w:r w:rsidRPr="00A03684">
              <w:t xml:space="preserve"> </w:t>
            </w:r>
            <w:r w:rsidR="00BC18FB" w:rsidRPr="00A03684">
              <w:t>date and contribut</w:t>
            </w:r>
            <w:r w:rsidR="00CA5A46" w:rsidRPr="00A03684">
              <w:t>e</w:t>
            </w:r>
            <w:r w:rsidR="00BC18FB" w:rsidRPr="00A03684">
              <w:t xml:space="preserve"> to over-allocation.</w:t>
            </w:r>
          </w:p>
          <w:p w:rsidR="00BC18FB" w:rsidRPr="00A03684" w:rsidRDefault="003B011A" w:rsidP="001D062C">
            <w:pPr>
              <w:pStyle w:val="Greenbullet-casestudytables"/>
            </w:pPr>
            <w:r w:rsidRPr="00A03684">
              <w:t>T</w:t>
            </w:r>
            <w:r w:rsidR="00BC18FB" w:rsidRPr="00A03684">
              <w:t>he Government is considering retesting the eligibility of all activities</w:t>
            </w:r>
            <w:r w:rsidR="00CA5A46" w:rsidRPr="00A03684">
              <w:t>,</w:t>
            </w:r>
            <w:r w:rsidR="005E748A" w:rsidRPr="00A03684">
              <w:t xml:space="preserve"> using data from recent base years</w:t>
            </w:r>
            <w:r w:rsidR="00A85A2C" w:rsidRPr="00A03684">
              <w:t xml:space="preserve">. </w:t>
            </w:r>
            <w:r w:rsidR="00E44EE2" w:rsidRPr="00A03684">
              <w:t>Th</w:t>
            </w:r>
            <w:r w:rsidR="00CA5A46" w:rsidRPr="00A03684">
              <w:t>e TAG supports this</w:t>
            </w:r>
            <w:r w:rsidR="00B56C7F" w:rsidRPr="00A03684">
              <w:t xml:space="preserve">. </w:t>
            </w:r>
          </w:p>
          <w:p w:rsidR="003B011A" w:rsidRPr="00A03684" w:rsidRDefault="00A85A2C" w:rsidP="001D062C">
            <w:pPr>
              <w:pStyle w:val="Greenbullet-casestudytables"/>
            </w:pPr>
            <w:r w:rsidRPr="00A03684">
              <w:t>There are also</w:t>
            </w:r>
            <w:r w:rsidR="001E653B" w:rsidRPr="00A03684">
              <w:t xml:space="preserve"> </w:t>
            </w:r>
            <w:r w:rsidR="0022627E" w:rsidRPr="00A03684">
              <w:t xml:space="preserve">other </w:t>
            </w:r>
            <w:r w:rsidR="001E653B" w:rsidRPr="00A03684">
              <w:t xml:space="preserve">options to improve the eligibility </w:t>
            </w:r>
            <w:r w:rsidR="004D08C1" w:rsidRPr="00A03684">
              <w:t>criteria if</w:t>
            </w:r>
            <w:r w:rsidR="001E653B" w:rsidRPr="00A03684">
              <w:t xml:space="preserve"> eligibility is reassessed:</w:t>
            </w:r>
          </w:p>
          <w:p w:rsidR="001E653B" w:rsidRPr="00A03684" w:rsidRDefault="00832EDA" w:rsidP="00EA7163">
            <w:pPr>
              <w:pStyle w:val="Greensub-bullet-casestudytables"/>
              <w:rPr>
                <w:rFonts w:eastAsia="Times New Roman" w:cs="Times New Roman"/>
              </w:rPr>
            </w:pPr>
            <w:r>
              <w:rPr>
                <w:rFonts w:eastAsia="Times New Roman"/>
              </w:rPr>
              <w:t>d</w:t>
            </w:r>
            <w:r w:rsidR="001E653B" w:rsidRPr="00A03684">
              <w:rPr>
                <w:rFonts w:eastAsia="Times New Roman"/>
              </w:rPr>
              <w:t>eveloping New Zealand</w:t>
            </w:r>
            <w:r w:rsidR="00D06A7C" w:rsidRPr="00A03684">
              <w:rPr>
                <w:rFonts w:eastAsia="Times New Roman"/>
              </w:rPr>
              <w:t>-</w:t>
            </w:r>
            <w:r w:rsidR="001E653B" w:rsidRPr="00A03684">
              <w:rPr>
                <w:rFonts w:eastAsia="Times New Roman"/>
              </w:rPr>
              <w:t>specific emissions intensity thresholds</w:t>
            </w:r>
          </w:p>
          <w:p w:rsidR="001E653B" w:rsidRPr="00A03684" w:rsidRDefault="00832EDA" w:rsidP="00EA7163">
            <w:pPr>
              <w:pStyle w:val="Greensub-bullet-casestudytables"/>
              <w:rPr>
                <w:rFonts w:eastAsia="Times New Roman" w:cs="Times New Roman"/>
              </w:rPr>
            </w:pPr>
            <w:r>
              <w:rPr>
                <w:rFonts w:eastAsia="Times New Roman"/>
              </w:rPr>
              <w:t>u</w:t>
            </w:r>
            <w:r w:rsidR="00263627" w:rsidRPr="00A03684">
              <w:rPr>
                <w:rFonts w:eastAsia="Times New Roman"/>
              </w:rPr>
              <w:t>sing New Zealand’s Electricity Allocation Factor (EAF)</w:t>
            </w:r>
            <w:r w:rsidR="00FB0437" w:rsidRPr="00A03684">
              <w:rPr>
                <w:rFonts w:eastAsia="Times New Roman"/>
              </w:rPr>
              <w:t xml:space="preserve"> to assess eligibility, rather than an Australian EAF</w:t>
            </w:r>
            <w:r w:rsidR="00263627" w:rsidRPr="00A03684">
              <w:rPr>
                <w:rFonts w:eastAsia="Times New Roman"/>
              </w:rPr>
              <w:t xml:space="preserve"> </w:t>
            </w:r>
            <w:r w:rsidR="00994581" w:rsidRPr="00A03684">
              <w:rPr>
                <w:rFonts w:eastAsia="Times New Roman"/>
              </w:rPr>
              <w:t>(</w:t>
            </w:r>
            <w:r w:rsidR="00263627" w:rsidRPr="00A03684">
              <w:rPr>
                <w:rFonts w:eastAsia="Times New Roman"/>
              </w:rPr>
              <w:t>as currently</w:t>
            </w:r>
            <w:r w:rsidR="00994581" w:rsidRPr="00A03684">
              <w:rPr>
                <w:rFonts w:eastAsia="Times New Roman"/>
              </w:rPr>
              <w:t>)</w:t>
            </w:r>
          </w:p>
          <w:p w:rsidR="001E653B" w:rsidRPr="00A03684" w:rsidRDefault="00832EDA" w:rsidP="001D062C">
            <w:pPr>
              <w:pStyle w:val="Greensub-bullet-casestudytables"/>
              <w:spacing w:after="160"/>
              <w:rPr>
                <w:rFonts w:eastAsia="Times New Roman"/>
              </w:rPr>
            </w:pPr>
            <w:r>
              <w:rPr>
                <w:rFonts w:eastAsia="Times New Roman"/>
              </w:rPr>
              <w:t>i</w:t>
            </w:r>
            <w:r w:rsidR="00106EB7" w:rsidRPr="00A03684">
              <w:rPr>
                <w:rFonts w:eastAsia="Times New Roman"/>
              </w:rPr>
              <w:t>mproving</w:t>
            </w:r>
            <w:r w:rsidR="00E44EE2" w:rsidRPr="00A03684">
              <w:rPr>
                <w:rFonts w:eastAsia="Times New Roman"/>
              </w:rPr>
              <w:t xml:space="preserve"> the </w:t>
            </w:r>
            <w:r w:rsidR="001E653B" w:rsidRPr="00A03684">
              <w:rPr>
                <w:rFonts w:eastAsia="Times New Roman"/>
              </w:rPr>
              <w:t xml:space="preserve">trade exposure </w:t>
            </w:r>
            <w:r w:rsidR="003E3E03" w:rsidRPr="00A03684">
              <w:rPr>
                <w:rFonts w:eastAsia="Times New Roman"/>
              </w:rPr>
              <w:t xml:space="preserve">test. </w:t>
            </w:r>
          </w:p>
        </w:tc>
      </w:tr>
      <w:tr w:rsidR="00672C04" w:rsidRPr="00A03684" w:rsidDel="00D5390D" w:rsidTr="001D062C">
        <w:tc>
          <w:tcPr>
            <w:tcW w:w="0" w:type="auto"/>
            <w:tcBorders>
              <w:top w:val="nil"/>
              <w:left w:val="single" w:sz="4" w:space="0" w:color="CFE5E5"/>
              <w:bottom w:val="single" w:sz="4" w:space="0" w:color="CFE5E5"/>
              <w:right w:val="single" w:sz="4" w:space="0" w:color="CFE5E5"/>
            </w:tcBorders>
            <w:shd w:val="clear" w:color="auto" w:fill="0F7B7D"/>
          </w:tcPr>
          <w:p w:rsidR="00672C04" w:rsidRPr="00A03684" w:rsidDel="00D5390D" w:rsidRDefault="00672C04" w:rsidP="00EA7163">
            <w:pPr>
              <w:pStyle w:val="Casestudyheading"/>
              <w:spacing w:before="80" w:after="80"/>
              <w:rPr>
                <w:rFonts w:eastAsia="Times New Roman"/>
              </w:rPr>
            </w:pPr>
            <w:r w:rsidRPr="00A03684">
              <w:rPr>
                <w:rFonts w:eastAsia="Times New Roman"/>
              </w:rPr>
              <w:t xml:space="preserve">Other options to improve industrial allocation </w:t>
            </w:r>
          </w:p>
        </w:tc>
      </w:tr>
      <w:tr w:rsidR="00672C04" w:rsidRPr="00A03684" w:rsidTr="001D062C">
        <w:tc>
          <w:tcPr>
            <w:tcW w:w="0" w:type="auto"/>
            <w:tcBorders>
              <w:top w:val="nil"/>
              <w:left w:val="single" w:sz="4" w:space="0" w:color="CFE5E5"/>
              <w:bottom w:val="single" w:sz="4" w:space="0" w:color="CFE5E5"/>
              <w:right w:val="single" w:sz="4" w:space="0" w:color="CFE5E5"/>
            </w:tcBorders>
            <w:shd w:val="clear" w:color="auto" w:fill="CFE5E5"/>
          </w:tcPr>
          <w:p w:rsidR="00672C04" w:rsidRPr="00A03684" w:rsidRDefault="003E3E03" w:rsidP="00EA7163">
            <w:pPr>
              <w:pStyle w:val="Greenheading-casestudytables"/>
              <w:spacing w:before="120" w:after="120"/>
            </w:pPr>
            <w:r w:rsidRPr="00A03684">
              <w:t>O</w:t>
            </w:r>
            <w:r w:rsidR="00405B78" w:rsidRPr="00A03684">
              <w:t>ther proposals address technical issues.</w:t>
            </w:r>
          </w:p>
          <w:p w:rsidR="00405B78" w:rsidRPr="00A03684" w:rsidRDefault="00405B78" w:rsidP="001D062C">
            <w:pPr>
              <w:pStyle w:val="Greenbullet-casestudytables"/>
            </w:pPr>
            <w:r w:rsidRPr="00A03684">
              <w:t>The consultation seeks feedback on:</w:t>
            </w:r>
          </w:p>
          <w:p w:rsidR="00FB0437" w:rsidRPr="00A03684" w:rsidRDefault="00832EDA" w:rsidP="00EA7163">
            <w:pPr>
              <w:pStyle w:val="Greensub-bullet-casestudytables"/>
              <w:rPr>
                <w:rFonts w:eastAsia="Times New Roman"/>
              </w:rPr>
            </w:pPr>
            <w:r>
              <w:rPr>
                <w:rFonts w:eastAsia="Times New Roman"/>
              </w:rPr>
              <w:t>s</w:t>
            </w:r>
            <w:r w:rsidR="00E44EE2" w:rsidRPr="00A03684">
              <w:rPr>
                <w:rFonts w:eastAsia="Times New Roman"/>
              </w:rPr>
              <w:t>treamlining</w:t>
            </w:r>
            <w:r w:rsidR="00FB0437" w:rsidRPr="00A03684">
              <w:rPr>
                <w:rFonts w:eastAsia="Times New Roman"/>
              </w:rPr>
              <w:t xml:space="preserve"> the process to update allocative baselines when emissions factors and the </w:t>
            </w:r>
            <w:r w:rsidR="00994581" w:rsidRPr="00A03684">
              <w:rPr>
                <w:rFonts w:eastAsia="Times New Roman"/>
              </w:rPr>
              <w:t>EAF</w:t>
            </w:r>
            <w:r w:rsidR="00FB0437" w:rsidRPr="00A03684">
              <w:rPr>
                <w:rFonts w:eastAsia="Times New Roman"/>
              </w:rPr>
              <w:t xml:space="preserve"> are changed</w:t>
            </w:r>
          </w:p>
          <w:p w:rsidR="00405B78" w:rsidRPr="00A03684" w:rsidRDefault="00832EDA" w:rsidP="00EA7163">
            <w:pPr>
              <w:pStyle w:val="Greensub-bullet-casestudytables"/>
              <w:rPr>
                <w:rFonts w:eastAsia="Times New Roman"/>
              </w:rPr>
            </w:pPr>
            <w:r>
              <w:rPr>
                <w:rFonts w:eastAsia="Times New Roman"/>
              </w:rPr>
              <w:t>i</w:t>
            </w:r>
            <w:r w:rsidR="00405B78" w:rsidRPr="00A03684">
              <w:rPr>
                <w:rFonts w:eastAsia="Times New Roman"/>
              </w:rPr>
              <w:t>mpr</w:t>
            </w:r>
            <w:r w:rsidR="00106EB7" w:rsidRPr="00A03684">
              <w:rPr>
                <w:rFonts w:eastAsia="Times New Roman"/>
              </w:rPr>
              <w:t>oving</w:t>
            </w:r>
            <w:r w:rsidR="00405B78" w:rsidRPr="00A03684">
              <w:rPr>
                <w:rFonts w:eastAsia="Times New Roman"/>
              </w:rPr>
              <w:t xml:space="preserve"> the process for new activities to seek eligibility for industrial allocation</w:t>
            </w:r>
          </w:p>
          <w:p w:rsidR="00405B78" w:rsidRPr="00A03684" w:rsidRDefault="00832EDA" w:rsidP="00EA7163">
            <w:pPr>
              <w:pStyle w:val="Greensub-bullet-casestudytables"/>
              <w:rPr>
                <w:rFonts w:eastAsia="Times New Roman"/>
              </w:rPr>
            </w:pPr>
            <w:r>
              <w:rPr>
                <w:rFonts w:eastAsia="Times New Roman"/>
              </w:rPr>
              <w:t>s</w:t>
            </w:r>
            <w:r w:rsidR="00106EB7" w:rsidRPr="00A03684">
              <w:rPr>
                <w:rFonts w:eastAsia="Times New Roman"/>
              </w:rPr>
              <w:t>etting</w:t>
            </w:r>
            <w:r w:rsidR="00405B78" w:rsidRPr="00A03684">
              <w:rPr>
                <w:rFonts w:eastAsia="Times New Roman"/>
              </w:rPr>
              <w:t xml:space="preserve"> limits </w:t>
            </w:r>
            <w:r w:rsidR="00994581" w:rsidRPr="00A03684">
              <w:rPr>
                <w:rFonts w:eastAsia="Times New Roman"/>
              </w:rPr>
              <w:t>on</w:t>
            </w:r>
            <w:r w:rsidR="00405B78" w:rsidRPr="00A03684">
              <w:rPr>
                <w:rFonts w:eastAsia="Times New Roman"/>
              </w:rPr>
              <w:t xml:space="preserve"> new activities </w:t>
            </w:r>
            <w:r w:rsidR="00106EB7" w:rsidRPr="00A03684">
              <w:rPr>
                <w:rFonts w:eastAsia="Times New Roman"/>
              </w:rPr>
              <w:t>seeking eligibility for industrial allocation</w:t>
            </w:r>
          </w:p>
          <w:p w:rsidR="00106EB7" w:rsidRPr="00A03684" w:rsidRDefault="00832EDA" w:rsidP="00EA7163">
            <w:pPr>
              <w:pStyle w:val="Greensub-bullet-casestudytables"/>
              <w:rPr>
                <w:rFonts w:eastAsia="Times New Roman"/>
              </w:rPr>
            </w:pPr>
            <w:r>
              <w:rPr>
                <w:rFonts w:eastAsia="Times New Roman"/>
              </w:rPr>
              <w:t>v</w:t>
            </w:r>
            <w:r w:rsidR="00106EB7" w:rsidRPr="00A03684">
              <w:rPr>
                <w:rFonts w:eastAsia="Times New Roman"/>
              </w:rPr>
              <w:t>oluntary or mandatory reporting of activity data</w:t>
            </w:r>
            <w:r w:rsidR="00263627" w:rsidRPr="00A03684">
              <w:rPr>
                <w:rFonts w:eastAsia="Times New Roman"/>
              </w:rPr>
              <w:t xml:space="preserve"> by firms receiving allocations</w:t>
            </w:r>
          </w:p>
          <w:p w:rsidR="005163F5" w:rsidRPr="00A03684" w:rsidRDefault="00832EDA" w:rsidP="001D062C">
            <w:pPr>
              <w:pStyle w:val="Greensub-bullet-casestudytables"/>
              <w:spacing w:after="160"/>
              <w:rPr>
                <w:rFonts w:eastAsia="Times New Roman" w:cs="Times New Roman"/>
              </w:rPr>
            </w:pPr>
            <w:r>
              <w:rPr>
                <w:rFonts w:eastAsia="Times New Roman"/>
              </w:rPr>
              <w:t>c</w:t>
            </w:r>
            <w:r w:rsidR="00B11C22" w:rsidRPr="00A03684">
              <w:rPr>
                <w:rFonts w:eastAsia="Times New Roman"/>
              </w:rPr>
              <w:t>hanging</w:t>
            </w:r>
            <w:r w:rsidR="00106EB7" w:rsidRPr="00A03684">
              <w:rPr>
                <w:rFonts w:eastAsia="Times New Roman"/>
              </w:rPr>
              <w:t xml:space="preserve"> the </w:t>
            </w:r>
            <w:r w:rsidR="00DD04ED" w:rsidRPr="00A03684">
              <w:rPr>
                <w:rFonts w:eastAsia="Times New Roman"/>
              </w:rPr>
              <w:t>five-year</w:t>
            </w:r>
            <w:r w:rsidR="00B11C22" w:rsidRPr="00A03684">
              <w:rPr>
                <w:rFonts w:eastAsia="Times New Roman"/>
              </w:rPr>
              <w:t xml:space="preserve"> </w:t>
            </w:r>
            <w:r w:rsidR="00106EB7" w:rsidRPr="00A03684">
              <w:rPr>
                <w:rFonts w:eastAsia="Times New Roman"/>
              </w:rPr>
              <w:t>transition period for eligibility changes</w:t>
            </w:r>
            <w:r w:rsidR="003E3E03" w:rsidRPr="00A03684">
              <w:rPr>
                <w:rFonts w:eastAsia="Times New Roman"/>
              </w:rPr>
              <w:t xml:space="preserve">. </w:t>
            </w:r>
          </w:p>
        </w:tc>
      </w:tr>
      <w:tr w:rsidR="00672C04" w:rsidRPr="00A03684" w:rsidDel="00D5390D" w:rsidTr="001D062C">
        <w:tc>
          <w:tcPr>
            <w:tcW w:w="0" w:type="auto"/>
            <w:tcBorders>
              <w:top w:val="nil"/>
              <w:left w:val="single" w:sz="4" w:space="0" w:color="CFE5E5"/>
              <w:bottom w:val="single" w:sz="4" w:space="0" w:color="CFE5E5"/>
              <w:right w:val="single" w:sz="4" w:space="0" w:color="CFE5E5"/>
            </w:tcBorders>
            <w:shd w:val="clear" w:color="auto" w:fill="0F7B7D"/>
          </w:tcPr>
          <w:p w:rsidR="00672C04" w:rsidRPr="00A03684" w:rsidDel="00D5390D" w:rsidRDefault="00574E5A" w:rsidP="00EA7163">
            <w:pPr>
              <w:pStyle w:val="Casestudyheading"/>
              <w:spacing w:before="80" w:after="80"/>
              <w:rPr>
                <w:rFonts w:eastAsia="Times New Roman"/>
              </w:rPr>
            </w:pPr>
            <w:r w:rsidRPr="00A03684">
              <w:rPr>
                <w:rFonts w:eastAsia="Times New Roman"/>
              </w:rPr>
              <w:t xml:space="preserve">The </w:t>
            </w:r>
            <w:r w:rsidR="00DD04ED" w:rsidRPr="00A03684">
              <w:rPr>
                <w:rFonts w:eastAsia="Times New Roman"/>
              </w:rPr>
              <w:t>long-term</w:t>
            </w:r>
            <w:r w:rsidRPr="00A03684">
              <w:rPr>
                <w:rFonts w:eastAsia="Times New Roman"/>
              </w:rPr>
              <w:t xml:space="preserve"> direction of industrial allocation</w:t>
            </w:r>
            <w:r w:rsidR="00672C04" w:rsidRPr="00A03684">
              <w:rPr>
                <w:rFonts w:eastAsia="Times New Roman"/>
              </w:rPr>
              <w:t xml:space="preserve"> and alternative mechanisms </w:t>
            </w:r>
          </w:p>
        </w:tc>
      </w:tr>
      <w:tr w:rsidR="00672C04" w:rsidRPr="00A03684" w:rsidTr="001D062C">
        <w:tc>
          <w:tcPr>
            <w:tcW w:w="0" w:type="auto"/>
            <w:tcBorders>
              <w:top w:val="nil"/>
              <w:left w:val="single" w:sz="4" w:space="0" w:color="CFE5E5"/>
              <w:bottom w:val="nil"/>
              <w:right w:val="single" w:sz="4" w:space="0" w:color="CFE5E5"/>
            </w:tcBorders>
            <w:shd w:val="clear" w:color="auto" w:fill="CFE5E5"/>
          </w:tcPr>
          <w:p w:rsidR="00672C04" w:rsidRPr="00A03684" w:rsidRDefault="00574E5A" w:rsidP="00EA7163">
            <w:pPr>
              <w:pStyle w:val="Greenheading-casestudytables"/>
              <w:spacing w:before="120" w:after="120"/>
            </w:pPr>
            <w:r w:rsidRPr="00A03684">
              <w:t xml:space="preserve">The Government is interested in beginning a discussion with industry and the public on </w:t>
            </w:r>
            <w:r w:rsidR="00994581" w:rsidRPr="00A03684">
              <w:t>future</w:t>
            </w:r>
            <w:r w:rsidRPr="00A03684">
              <w:t xml:space="preserve"> industrial allocation policy.</w:t>
            </w:r>
          </w:p>
          <w:p w:rsidR="00574E5A" w:rsidRPr="00A03684" w:rsidRDefault="00ED5BC8" w:rsidP="001D062C">
            <w:pPr>
              <w:pStyle w:val="Greenbullet-casestudytables"/>
            </w:pPr>
            <w:r w:rsidRPr="00A03684">
              <w:t>We are</w:t>
            </w:r>
            <w:r w:rsidR="00574E5A" w:rsidRPr="00A03684">
              <w:t xml:space="preserve"> seeking feedback on three alternative policies: 1</w:t>
            </w:r>
            <w:r w:rsidR="00832EDA">
              <w:t>.</w:t>
            </w:r>
            <w:r w:rsidR="00832EDA" w:rsidRPr="00A03684">
              <w:t xml:space="preserve"> </w:t>
            </w:r>
            <w:r w:rsidR="00574E5A" w:rsidRPr="00A03684">
              <w:t>carbon border adjustment mechanisms, 2</w:t>
            </w:r>
            <w:r w:rsidR="00832EDA">
              <w:t>.</w:t>
            </w:r>
            <w:r w:rsidR="00832EDA" w:rsidRPr="00A03684">
              <w:t xml:space="preserve"> </w:t>
            </w:r>
            <w:r w:rsidR="00574E5A" w:rsidRPr="00A03684">
              <w:t>direct payments to industry, and 3</w:t>
            </w:r>
            <w:r w:rsidR="00832EDA">
              <w:t>.</w:t>
            </w:r>
            <w:r w:rsidR="00832EDA" w:rsidRPr="00A03684">
              <w:t xml:space="preserve"> </w:t>
            </w:r>
            <w:r w:rsidR="00574E5A" w:rsidRPr="00A03684">
              <w:t xml:space="preserve">partial exemptions from the NZ ETS. </w:t>
            </w:r>
          </w:p>
          <w:p w:rsidR="003E3E03" w:rsidRPr="00A03684" w:rsidRDefault="00994581" w:rsidP="001D062C">
            <w:pPr>
              <w:pStyle w:val="Greenbullet-casestudytables"/>
            </w:pPr>
            <w:r w:rsidRPr="00A03684">
              <w:t>We also invite f</w:t>
            </w:r>
            <w:r w:rsidR="003E3E03" w:rsidRPr="00A03684">
              <w:t>eedback on</w:t>
            </w:r>
            <w:r w:rsidR="00832EDA">
              <w:t xml:space="preserve"> whether</w:t>
            </w:r>
            <w:r w:rsidR="003E3E03" w:rsidRPr="00A03684">
              <w:t xml:space="preserve">: </w:t>
            </w:r>
          </w:p>
          <w:p w:rsidR="003E3E03" w:rsidRPr="00A03684" w:rsidRDefault="00876750" w:rsidP="00EA7163">
            <w:pPr>
              <w:pStyle w:val="Greensub-bullet-casestudytables"/>
              <w:rPr>
                <w:rFonts w:eastAsia="Times New Roman"/>
              </w:rPr>
            </w:pPr>
            <w:r w:rsidRPr="00A03684">
              <w:rPr>
                <w:rFonts w:eastAsia="Times New Roman"/>
              </w:rPr>
              <w:t>industrial allocation or an alternative</w:t>
            </w:r>
            <w:r w:rsidR="003E3E03" w:rsidRPr="00A03684">
              <w:rPr>
                <w:rFonts w:eastAsia="Times New Roman"/>
              </w:rPr>
              <w:t xml:space="preserve"> should explicitly support emissions reductions</w:t>
            </w:r>
          </w:p>
          <w:p w:rsidR="003E3E03" w:rsidRPr="00A03684" w:rsidRDefault="003E3E03" w:rsidP="001D062C">
            <w:pPr>
              <w:pStyle w:val="Greensub-bullet-casestudytables"/>
              <w:spacing w:after="160"/>
              <w:rPr>
                <w:rFonts w:eastAsia="Times New Roman" w:cs="Times New Roman"/>
              </w:rPr>
            </w:pPr>
            <w:r w:rsidRPr="00A03684">
              <w:rPr>
                <w:rFonts w:eastAsia="Times New Roman"/>
              </w:rPr>
              <w:t>wider consideration</w:t>
            </w:r>
            <w:r w:rsidR="00C36A9B" w:rsidRPr="00A03684">
              <w:rPr>
                <w:rFonts w:eastAsia="Times New Roman"/>
              </w:rPr>
              <w:t>s</w:t>
            </w:r>
            <w:r w:rsidRPr="00A03684">
              <w:rPr>
                <w:rFonts w:eastAsia="Times New Roman"/>
              </w:rPr>
              <w:t xml:space="preserve"> should be incorporated into</w:t>
            </w:r>
            <w:r w:rsidR="00876750" w:rsidRPr="00A03684">
              <w:rPr>
                <w:rFonts w:eastAsia="Times New Roman"/>
              </w:rPr>
              <w:t xml:space="preserve"> industrial allocation policy</w:t>
            </w:r>
            <w:r w:rsidR="00994581" w:rsidRPr="00A03684">
              <w:rPr>
                <w:rFonts w:eastAsia="Times New Roman"/>
              </w:rPr>
              <w:t>,</w:t>
            </w:r>
            <w:r w:rsidR="00876750" w:rsidRPr="00A03684">
              <w:rPr>
                <w:rFonts w:eastAsia="Times New Roman"/>
              </w:rPr>
              <w:t xml:space="preserve"> or an alternative</w:t>
            </w:r>
            <w:r w:rsidRPr="00A03684">
              <w:rPr>
                <w:rFonts w:eastAsia="Times New Roman"/>
              </w:rPr>
              <w:t xml:space="preserve">. </w:t>
            </w:r>
          </w:p>
        </w:tc>
      </w:tr>
    </w:tbl>
    <w:p w:rsidR="00361829" w:rsidRPr="00A03684" w:rsidRDefault="008D133C" w:rsidP="00B818AE">
      <w:pPr>
        <w:pStyle w:val="Heading1"/>
        <w:pageBreakBefore/>
      </w:pPr>
      <w:bookmarkStart w:id="15" w:name="_Toc75336452"/>
      <w:bookmarkEnd w:id="14"/>
      <w:r>
        <w:t xml:space="preserve">Section </w:t>
      </w:r>
      <w:r w:rsidR="00361829" w:rsidRPr="00A03684">
        <w:t>1</w:t>
      </w:r>
      <w:r>
        <w:t xml:space="preserve">: </w:t>
      </w:r>
      <w:r w:rsidR="00361829" w:rsidRPr="00A03684">
        <w:t>Introduction and context</w:t>
      </w:r>
      <w:bookmarkEnd w:id="15"/>
      <w:r w:rsidR="00361829" w:rsidRPr="00A03684">
        <w:t xml:space="preserve"> </w:t>
      </w:r>
    </w:p>
    <w:p w:rsidR="00994581" w:rsidRPr="00A03684" w:rsidRDefault="00361829" w:rsidP="00B818AE">
      <w:pPr>
        <w:pStyle w:val="BodyText"/>
      </w:pPr>
      <w:r w:rsidRPr="00A03684">
        <w:t xml:space="preserve">This section </w:t>
      </w:r>
      <w:r w:rsidR="00994581" w:rsidRPr="00A03684">
        <w:t xml:space="preserve">sets out </w:t>
      </w:r>
      <w:r w:rsidRPr="00A03684">
        <w:t>the context for th</w:t>
      </w:r>
      <w:r w:rsidR="00EA7705" w:rsidRPr="00A03684">
        <w:t>is</w:t>
      </w:r>
      <w:r w:rsidRPr="00A03684">
        <w:t xml:space="preserve"> review</w:t>
      </w:r>
      <w:r w:rsidR="00994581" w:rsidRPr="00A03684">
        <w:t>, namely</w:t>
      </w:r>
      <w:r w:rsidR="00832EDA">
        <w:t xml:space="preserve"> the</w:t>
      </w:r>
      <w:r w:rsidR="00994581" w:rsidRPr="00A03684">
        <w:t>:</w:t>
      </w:r>
      <w:r w:rsidRPr="00A03684">
        <w:t xml:space="preserve"> </w:t>
      </w:r>
    </w:p>
    <w:p w:rsidR="00994581" w:rsidRPr="00A03684" w:rsidRDefault="00361829" w:rsidP="00B818AE">
      <w:pPr>
        <w:pStyle w:val="Bullet"/>
      </w:pPr>
      <w:r w:rsidRPr="00A03684">
        <w:t>risk of emissions leakage</w:t>
      </w:r>
      <w:r w:rsidR="00B11C22" w:rsidRPr="00A03684">
        <w:t xml:space="preserve"> </w:t>
      </w:r>
    </w:p>
    <w:p w:rsidR="00361829" w:rsidRPr="00A03684" w:rsidRDefault="00361829" w:rsidP="00B818AE">
      <w:pPr>
        <w:pStyle w:val="Bullet"/>
      </w:pPr>
      <w:r w:rsidRPr="00A03684">
        <w:t>current industrial allocation settings for eligibi</w:t>
      </w:r>
      <w:r w:rsidR="007F3C97" w:rsidRPr="00A03684">
        <w:t>lity and allocation calculation</w:t>
      </w:r>
      <w:r w:rsidR="0049643E" w:rsidRPr="00A03684">
        <w:t>s</w:t>
      </w:r>
      <w:r w:rsidRPr="00A03684">
        <w:t xml:space="preserve">. </w:t>
      </w:r>
    </w:p>
    <w:p w:rsidR="00361829" w:rsidRPr="00A03684" w:rsidRDefault="00125F78" w:rsidP="00C012AE">
      <w:pPr>
        <w:pStyle w:val="Heading2"/>
        <w:spacing w:before="280"/>
      </w:pPr>
      <w:bookmarkStart w:id="16" w:name="_Toc75336453"/>
      <w:r w:rsidRPr="00A03684">
        <w:t>The r</w:t>
      </w:r>
      <w:r w:rsidR="00361829" w:rsidRPr="00A03684">
        <w:t>isk of emissions leakage</w:t>
      </w:r>
      <w:bookmarkEnd w:id="16"/>
      <w:r w:rsidR="00361829" w:rsidRPr="00A03684">
        <w:t xml:space="preserve"> </w:t>
      </w:r>
    </w:p>
    <w:p w:rsidR="00904AFF" w:rsidRPr="00A03684" w:rsidRDefault="00361829" w:rsidP="00B818AE">
      <w:pPr>
        <w:pStyle w:val="BodyText"/>
      </w:pPr>
      <w:r w:rsidRPr="00A03684">
        <w:t xml:space="preserve">Emissions leakage </w:t>
      </w:r>
      <w:r w:rsidR="00451342" w:rsidRPr="00A03684">
        <w:t>(also known as carbon leakage)</w:t>
      </w:r>
      <w:r w:rsidR="00EA7705" w:rsidRPr="00A03684">
        <w:t xml:space="preserve"> can occur if the NZ ETS does not reduce emissions as intended, but exports (or leaks) </w:t>
      </w:r>
      <w:r w:rsidR="00451342" w:rsidRPr="00A03684">
        <w:t>them</w:t>
      </w:r>
      <w:r w:rsidR="00747D64" w:rsidRPr="00A03684">
        <w:t xml:space="preserve"> overseas</w:t>
      </w:r>
      <w:r w:rsidR="00EA7705" w:rsidRPr="00A03684">
        <w:t xml:space="preserve">. This </w:t>
      </w:r>
      <w:r w:rsidR="00451342" w:rsidRPr="00A03684">
        <w:t xml:space="preserve">can result when </w:t>
      </w:r>
      <w:r w:rsidRPr="00A03684">
        <w:t>New Zealand firms los</w:t>
      </w:r>
      <w:r w:rsidR="00451342" w:rsidRPr="00A03684">
        <w:t>e</w:t>
      </w:r>
      <w:r w:rsidRPr="00A03684">
        <w:t xml:space="preserve"> market share or shift production </w:t>
      </w:r>
      <w:r w:rsidR="00451342" w:rsidRPr="00A03684">
        <w:t xml:space="preserve">to other countries with weaker climate policies, in order </w:t>
      </w:r>
      <w:r w:rsidRPr="00A03684">
        <w:t xml:space="preserve">to </w:t>
      </w:r>
      <w:r w:rsidR="00CB4430" w:rsidRPr="00A03684">
        <w:t xml:space="preserve">reduce </w:t>
      </w:r>
      <w:r w:rsidR="00451342" w:rsidRPr="00A03684">
        <w:t>compliance</w:t>
      </w:r>
      <w:r w:rsidR="00EA7705" w:rsidRPr="00A03684">
        <w:t xml:space="preserve"> cost</w:t>
      </w:r>
      <w:r w:rsidR="00451342" w:rsidRPr="00A03684">
        <w:t>s</w:t>
      </w:r>
      <w:r w:rsidR="00EA7705" w:rsidRPr="00A03684">
        <w:t xml:space="preserve"> </w:t>
      </w:r>
      <w:r w:rsidR="00CB4430" w:rsidRPr="00A03684">
        <w:t>and remain competitive in an international market</w:t>
      </w:r>
      <w:r w:rsidRPr="00A03684">
        <w:t xml:space="preserve">. </w:t>
      </w:r>
    </w:p>
    <w:p w:rsidR="003D1670" w:rsidRPr="00A03684" w:rsidRDefault="00E37593" w:rsidP="00B818AE">
      <w:pPr>
        <w:pStyle w:val="BodyText"/>
      </w:pPr>
      <w:r w:rsidRPr="00A03684">
        <w:t>I</w:t>
      </w:r>
      <w:r w:rsidR="00312B6A" w:rsidRPr="00A03684">
        <w:t xml:space="preserve">f </w:t>
      </w:r>
      <w:r w:rsidR="00451342" w:rsidRPr="00A03684">
        <w:t>our</w:t>
      </w:r>
      <w:r w:rsidR="00C8194E" w:rsidRPr="00A03684">
        <w:t xml:space="preserve"> emissions were exported to</w:t>
      </w:r>
      <w:r w:rsidR="00A97DF3" w:rsidRPr="00A03684">
        <w:t xml:space="preserve"> </w:t>
      </w:r>
      <w:r w:rsidR="00312B6A" w:rsidRPr="00A03684">
        <w:t xml:space="preserve">countries </w:t>
      </w:r>
      <w:r w:rsidR="00012386" w:rsidRPr="00A03684">
        <w:t>without a</w:t>
      </w:r>
      <w:r w:rsidR="00C8194E" w:rsidRPr="00A03684">
        <w:t xml:space="preserve"> hard </w:t>
      </w:r>
      <w:r w:rsidR="00A97DF3" w:rsidRPr="00A03684">
        <w:t xml:space="preserve">emissions </w:t>
      </w:r>
      <w:r w:rsidR="00C8194E" w:rsidRPr="00A03684">
        <w:t>cap</w:t>
      </w:r>
      <w:r w:rsidR="00A97DF3" w:rsidRPr="00A03684">
        <w:t xml:space="preserve"> </w:t>
      </w:r>
      <w:r w:rsidR="00C8194E" w:rsidRPr="00A03684">
        <w:t>in place</w:t>
      </w:r>
      <w:r w:rsidRPr="00A03684">
        <w:t>,</w:t>
      </w:r>
      <w:r w:rsidR="0049643E" w:rsidRPr="00A03684">
        <w:t xml:space="preserve"> </w:t>
      </w:r>
      <w:r w:rsidRPr="00A03684">
        <w:t>l</w:t>
      </w:r>
      <w:r w:rsidR="00E44EE2" w:rsidRPr="00A03684">
        <w:t xml:space="preserve">eakage </w:t>
      </w:r>
      <w:r w:rsidR="007801BB" w:rsidRPr="00A03684">
        <w:t xml:space="preserve">would undermine </w:t>
      </w:r>
      <w:r w:rsidR="00E44EE2" w:rsidRPr="00A03684">
        <w:t xml:space="preserve">New Zealand’s commitment to </w:t>
      </w:r>
      <w:r w:rsidR="00A31C96" w:rsidRPr="00A03684">
        <w:t xml:space="preserve">reduce </w:t>
      </w:r>
      <w:r w:rsidR="0049643E" w:rsidRPr="00A03684">
        <w:t>global emissions</w:t>
      </w:r>
      <w:r w:rsidR="006C14B0" w:rsidRPr="00A03684">
        <w:t xml:space="preserve">. </w:t>
      </w:r>
    </w:p>
    <w:p w:rsidR="00361829" w:rsidRPr="00A03684" w:rsidRDefault="00361829" w:rsidP="00C012AE">
      <w:pPr>
        <w:pStyle w:val="Heading3"/>
        <w:spacing w:before="280"/>
      </w:pPr>
      <w:r w:rsidRPr="00A03684">
        <w:t>How real is the risk of emissions leakage?</w:t>
      </w:r>
    </w:p>
    <w:p w:rsidR="00361829" w:rsidRPr="00A03684" w:rsidRDefault="0049643E" w:rsidP="007611D9">
      <w:pPr>
        <w:pStyle w:val="BodyText"/>
      </w:pPr>
      <w:r w:rsidRPr="00A03684">
        <w:t>T</w:t>
      </w:r>
      <w:r w:rsidR="00DD04ED" w:rsidRPr="00A03684">
        <w:t>here</w:t>
      </w:r>
      <w:r w:rsidR="006F3C07" w:rsidRPr="00A03684">
        <w:t xml:space="preserve"> </w:t>
      </w:r>
      <w:r w:rsidRPr="00A03684">
        <w:t>is still a</w:t>
      </w:r>
      <w:r w:rsidR="006F3C07" w:rsidRPr="00A03684">
        <w:t xml:space="preserve"> risk of </w:t>
      </w:r>
      <w:r w:rsidR="00361829" w:rsidRPr="00A03684">
        <w:t>leakage</w:t>
      </w:r>
      <w:r w:rsidR="006C6F8D" w:rsidRPr="00A03684">
        <w:t>,</w:t>
      </w:r>
      <w:r w:rsidR="006F3C07" w:rsidRPr="00A03684">
        <w:t xml:space="preserve"> </w:t>
      </w:r>
      <w:r w:rsidR="00361829" w:rsidRPr="00A03684">
        <w:t xml:space="preserve">which justifies </w:t>
      </w:r>
      <w:r w:rsidR="006F3C07" w:rsidRPr="00A03684">
        <w:t>protective measures</w:t>
      </w:r>
      <w:r w:rsidR="00904AFF" w:rsidRPr="00A03684">
        <w:t>, at least</w:t>
      </w:r>
      <w:r w:rsidR="00451342" w:rsidRPr="00A03684">
        <w:t xml:space="preserve"> in</w:t>
      </w:r>
      <w:r w:rsidR="00904AFF" w:rsidRPr="00A03684">
        <w:t xml:space="preserve"> the short</w:t>
      </w:r>
      <w:r w:rsidR="00451342" w:rsidRPr="00A03684">
        <w:t xml:space="preserve"> </w:t>
      </w:r>
      <w:r w:rsidR="00904AFF" w:rsidRPr="00A03684">
        <w:t>term</w:t>
      </w:r>
      <w:r w:rsidR="00361829" w:rsidRPr="00A03684">
        <w:t xml:space="preserve">. Many of </w:t>
      </w:r>
      <w:r w:rsidR="00451342" w:rsidRPr="00A03684">
        <w:t>our</w:t>
      </w:r>
      <w:r w:rsidR="00E44EE2" w:rsidRPr="00A03684">
        <w:t xml:space="preserve"> major trading partners </w:t>
      </w:r>
      <w:r w:rsidR="00361829" w:rsidRPr="00A03684">
        <w:t>do not have emissions pricing comparable to the NZ ETS. Furthermore, those countries with emissions pricing still provide subst</w:t>
      </w:r>
      <w:r w:rsidR="00E44EE2" w:rsidRPr="00A03684">
        <w:t>antial levels of support</w:t>
      </w:r>
      <w:r w:rsidR="00EF0BB0" w:rsidRPr="00A03684">
        <w:t xml:space="preserve"> to industry</w:t>
      </w:r>
      <w:r w:rsidR="00361829" w:rsidRPr="00A03684">
        <w:t xml:space="preserve">. </w:t>
      </w:r>
    </w:p>
    <w:p w:rsidR="00361829" w:rsidRPr="00A03684" w:rsidRDefault="00361829" w:rsidP="007611D9">
      <w:pPr>
        <w:pStyle w:val="BodyText"/>
      </w:pPr>
      <w:r w:rsidRPr="00A03684">
        <w:t xml:space="preserve">In 2018, </w:t>
      </w:r>
      <w:r w:rsidR="00C95A86">
        <w:t>we</w:t>
      </w:r>
      <w:r w:rsidRPr="00A03684">
        <w:t xml:space="preserve"> commissioned a report</w:t>
      </w:r>
      <w:r w:rsidR="009C7763" w:rsidRPr="00A03684">
        <w:rPr>
          <w:rStyle w:val="FootnoteReference"/>
        </w:rPr>
        <w:footnoteReference w:id="1"/>
      </w:r>
      <w:r w:rsidRPr="00A03684">
        <w:t xml:space="preserve"> on competitiveness and emission</w:t>
      </w:r>
      <w:r w:rsidR="00451342" w:rsidRPr="00A03684">
        <w:t>s</w:t>
      </w:r>
      <w:r w:rsidRPr="00A03684">
        <w:t xml:space="preserve"> leakage. It found that some sectors are </w:t>
      </w:r>
      <w:r w:rsidR="00CF5663" w:rsidRPr="00A03684">
        <w:t>v</w:t>
      </w:r>
      <w:r w:rsidRPr="00A03684">
        <w:t>ulnerable to leakage if there was a high emission price</w:t>
      </w:r>
      <w:r w:rsidR="00CF5663" w:rsidRPr="00A03684">
        <w:t xml:space="preserve"> and competing jurisdictions d</w:t>
      </w:r>
      <w:r w:rsidR="00E37593" w:rsidRPr="00A03684">
        <w:t>id</w:t>
      </w:r>
      <w:r w:rsidR="00BE7D58" w:rsidRPr="00A03684">
        <w:t xml:space="preserve"> </w:t>
      </w:r>
      <w:r w:rsidRPr="00A03684">
        <w:t xml:space="preserve">not have </w:t>
      </w:r>
      <w:r w:rsidR="00546C62" w:rsidRPr="00A03684">
        <w:t>similar</w:t>
      </w:r>
      <w:r w:rsidRPr="00A03684">
        <w:t xml:space="preserve"> climate policies. </w:t>
      </w:r>
    </w:p>
    <w:p w:rsidR="00361829" w:rsidRPr="00A03684" w:rsidRDefault="00361829" w:rsidP="007611D9">
      <w:pPr>
        <w:pStyle w:val="BodyText"/>
      </w:pPr>
      <w:r w:rsidRPr="00A03684">
        <w:t>A more recent report</w:t>
      </w:r>
      <w:r w:rsidR="006C6F8D" w:rsidRPr="00A03684">
        <w:rPr>
          <w:rStyle w:val="FootnoteReference"/>
        </w:rPr>
        <w:footnoteReference w:id="2"/>
      </w:r>
      <w:r w:rsidRPr="00A03684">
        <w:t xml:space="preserve"> </w:t>
      </w:r>
      <w:r w:rsidR="00EF0BB0" w:rsidRPr="00A03684">
        <w:t>found that without industrial</w:t>
      </w:r>
      <w:r w:rsidRPr="00A03684">
        <w:t xml:space="preserve"> allocation, </w:t>
      </w:r>
      <w:r w:rsidR="00747D64" w:rsidRPr="00A03684">
        <w:t>some i</w:t>
      </w:r>
      <w:r w:rsidR="00C244E9" w:rsidRPr="00A03684">
        <w:t xml:space="preserve">ndustrial </w:t>
      </w:r>
      <w:r w:rsidR="00EF0BB0" w:rsidRPr="00A03684">
        <w:t>activities</w:t>
      </w:r>
      <w:r w:rsidRPr="00A03684">
        <w:t xml:space="preserve"> </w:t>
      </w:r>
      <w:r w:rsidR="00850A93" w:rsidRPr="00A03684">
        <w:t xml:space="preserve">carried out in New Zealand </w:t>
      </w:r>
      <w:r w:rsidRPr="00A03684">
        <w:t>are at risk of leakage at current NZU prices</w:t>
      </w:r>
      <w:r w:rsidR="003F0A96">
        <w:rPr>
          <w:rStyle w:val="FootnoteReference"/>
        </w:rPr>
        <w:footnoteReference w:id="3"/>
      </w:r>
      <w:r w:rsidR="003F0A96">
        <w:t>.</w:t>
      </w:r>
      <w:r w:rsidRPr="00A03684">
        <w:t xml:space="preserve"> Table </w:t>
      </w:r>
      <w:r w:rsidR="006C6F8D" w:rsidRPr="00A03684">
        <w:t>1</w:t>
      </w:r>
      <w:r w:rsidRPr="00A03684">
        <w:t xml:space="preserve"> </w:t>
      </w:r>
      <w:r w:rsidR="00E37593" w:rsidRPr="00A03684">
        <w:t xml:space="preserve">shows </w:t>
      </w:r>
      <w:r w:rsidRPr="00A03684">
        <w:t xml:space="preserve">estimates of the </w:t>
      </w:r>
      <w:r w:rsidR="00747D64" w:rsidRPr="00A03684">
        <w:t>price at which an</w:t>
      </w:r>
      <w:r w:rsidR="00635921" w:rsidRPr="00A03684">
        <w:t xml:space="preserve"> activity’s total emissions costs</w:t>
      </w:r>
      <w:r w:rsidRPr="00A03684">
        <w:t xml:space="preserve"> is greater than current estimated profits for </w:t>
      </w:r>
      <w:r w:rsidR="00747D64" w:rsidRPr="00A03684">
        <w:t>the</w:t>
      </w:r>
      <w:r w:rsidRPr="00A03684">
        <w:t xml:space="preserve"> activities</w:t>
      </w:r>
      <w:r w:rsidR="00CF6D7F" w:rsidRPr="00A03684">
        <w:t>.</w:t>
      </w:r>
      <w:r w:rsidR="00C012AE" w:rsidRPr="00A03684">
        <w:rPr>
          <w:rStyle w:val="FootnoteReference"/>
        </w:rPr>
        <w:footnoteReference w:id="4"/>
      </w:r>
      <w:r w:rsidR="0078002A" w:rsidRPr="00A03684">
        <w:t xml:space="preserve"> </w:t>
      </w:r>
      <w:r w:rsidR="00B04126" w:rsidRPr="00A03684">
        <w:t>The analysis assumes that firms face 100 per cent of their</w:t>
      </w:r>
      <w:r w:rsidR="00B818AE" w:rsidRPr="00A03684">
        <w:t> </w:t>
      </w:r>
      <w:r w:rsidR="00B04126" w:rsidRPr="00A03684">
        <w:t>emissions costs</w:t>
      </w:r>
      <w:r w:rsidR="008F6D49" w:rsidRPr="00A03684">
        <w:t xml:space="preserve">. </w:t>
      </w:r>
    </w:p>
    <w:p w:rsidR="005536C0" w:rsidRPr="00A03684" w:rsidRDefault="005536C0" w:rsidP="00B818AE">
      <w:pPr>
        <w:pStyle w:val="Tableheading"/>
      </w:pPr>
      <w:bookmarkStart w:id="17" w:name="_Toc75262170"/>
      <w:r w:rsidRPr="00A03684">
        <w:t xml:space="preserve">Table 1: </w:t>
      </w:r>
      <w:r w:rsidR="00B818AE" w:rsidRPr="00A03684">
        <w:tab/>
      </w:r>
      <w:r w:rsidRPr="00A03684">
        <w:t xml:space="preserve">Estimated carbon prices at which </w:t>
      </w:r>
      <w:r w:rsidR="00BE7D58" w:rsidRPr="00A03684">
        <w:t>four</w:t>
      </w:r>
      <w:r w:rsidR="00EB33DA" w:rsidRPr="00A03684">
        <w:t xml:space="preserve"> </w:t>
      </w:r>
      <w:r w:rsidRPr="00A03684">
        <w:t>activities are at risk of emissions leakage</w:t>
      </w:r>
      <w:bookmarkEnd w:id="17"/>
      <w:r w:rsidRPr="00A03684">
        <w:t xml:space="preserve"> </w:t>
      </w:r>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3963"/>
        <w:gridCol w:w="1162"/>
        <w:gridCol w:w="1162"/>
        <w:gridCol w:w="1109"/>
        <w:gridCol w:w="1109"/>
      </w:tblGrid>
      <w:tr w:rsidR="00B04126" w:rsidRPr="00A03684" w:rsidTr="00C012AE">
        <w:trPr>
          <w:tblHeader/>
        </w:trPr>
        <w:tc>
          <w:tcPr>
            <w:tcW w:w="4196" w:type="dxa"/>
            <w:shd w:val="clear" w:color="auto" w:fill="1C556C"/>
          </w:tcPr>
          <w:p w:rsidR="00B04126" w:rsidRPr="00A03684" w:rsidRDefault="00B04126" w:rsidP="00DE37FA">
            <w:pPr>
              <w:pStyle w:val="TableTextbold"/>
              <w:rPr>
                <w:color w:val="FFFFFF" w:themeColor="background1"/>
              </w:rPr>
            </w:pPr>
            <w:r w:rsidRPr="00A03684">
              <w:rPr>
                <w:color w:val="FFFFFF" w:themeColor="background1"/>
              </w:rPr>
              <w:t xml:space="preserve">Criterion </w:t>
            </w:r>
          </w:p>
        </w:tc>
        <w:tc>
          <w:tcPr>
            <w:tcW w:w="1191" w:type="dxa"/>
            <w:shd w:val="clear" w:color="auto" w:fill="1C556C"/>
          </w:tcPr>
          <w:p w:rsidR="00B04126" w:rsidRPr="00A03684" w:rsidRDefault="00B04126" w:rsidP="00DE37FA">
            <w:pPr>
              <w:pStyle w:val="TableTextbold"/>
              <w:rPr>
                <w:color w:val="FFFFFF" w:themeColor="background1"/>
              </w:rPr>
            </w:pPr>
            <w:r w:rsidRPr="00A03684">
              <w:rPr>
                <w:color w:val="FFFFFF" w:themeColor="background1"/>
              </w:rPr>
              <w:t>Activity A</w:t>
            </w:r>
          </w:p>
        </w:tc>
        <w:tc>
          <w:tcPr>
            <w:tcW w:w="1191" w:type="dxa"/>
            <w:shd w:val="clear" w:color="auto" w:fill="1C556C"/>
          </w:tcPr>
          <w:p w:rsidR="00B04126" w:rsidRPr="00A03684" w:rsidRDefault="00B04126" w:rsidP="00DE37FA">
            <w:pPr>
              <w:pStyle w:val="TableTextbold"/>
              <w:rPr>
                <w:color w:val="FFFFFF" w:themeColor="background1"/>
              </w:rPr>
            </w:pPr>
            <w:r w:rsidRPr="00A03684">
              <w:rPr>
                <w:color w:val="FFFFFF" w:themeColor="background1"/>
              </w:rPr>
              <w:t>Activity B</w:t>
            </w:r>
          </w:p>
        </w:tc>
        <w:tc>
          <w:tcPr>
            <w:tcW w:w="1134" w:type="dxa"/>
            <w:shd w:val="clear" w:color="auto" w:fill="1C556C"/>
          </w:tcPr>
          <w:p w:rsidR="00B04126" w:rsidRPr="00A03684" w:rsidRDefault="00B04126" w:rsidP="00DE37FA">
            <w:pPr>
              <w:pStyle w:val="TableTextbold"/>
              <w:rPr>
                <w:color w:val="FFFFFF" w:themeColor="background1"/>
              </w:rPr>
            </w:pPr>
            <w:r w:rsidRPr="00A03684">
              <w:rPr>
                <w:color w:val="FFFFFF" w:themeColor="background1"/>
              </w:rPr>
              <w:t>Activity C</w:t>
            </w:r>
          </w:p>
        </w:tc>
        <w:tc>
          <w:tcPr>
            <w:tcW w:w="1134" w:type="dxa"/>
            <w:shd w:val="clear" w:color="auto" w:fill="1C556C"/>
          </w:tcPr>
          <w:p w:rsidR="00B04126" w:rsidRPr="00A03684" w:rsidRDefault="00B04126" w:rsidP="00DE37FA">
            <w:pPr>
              <w:pStyle w:val="TableTextbold"/>
              <w:rPr>
                <w:color w:val="FFFFFF" w:themeColor="background1"/>
              </w:rPr>
            </w:pPr>
            <w:r w:rsidRPr="00A03684">
              <w:rPr>
                <w:color w:val="FFFFFF" w:themeColor="background1"/>
              </w:rPr>
              <w:t>Activity D</w:t>
            </w:r>
          </w:p>
        </w:tc>
      </w:tr>
      <w:tr w:rsidR="00B04126" w:rsidRPr="00A03684" w:rsidTr="00C012AE">
        <w:tc>
          <w:tcPr>
            <w:tcW w:w="4196" w:type="dxa"/>
            <w:shd w:val="clear" w:color="auto" w:fill="auto"/>
          </w:tcPr>
          <w:p w:rsidR="00B04126" w:rsidRPr="00A03684" w:rsidRDefault="00B04126" w:rsidP="00DE37FA">
            <w:pPr>
              <w:pStyle w:val="TableText"/>
              <w:rPr>
                <w:b/>
                <w:bCs/>
              </w:rPr>
            </w:pPr>
            <w:r w:rsidRPr="00A03684">
              <w:rPr>
                <w:b/>
                <w:bCs/>
              </w:rPr>
              <w:t>EBIT</w:t>
            </w:r>
            <w:r w:rsidR="00BE7D58" w:rsidRPr="00A03684">
              <w:rPr>
                <w:b/>
                <w:bCs/>
                <w:vertAlign w:val="superscript"/>
              </w:rPr>
              <w:t>a</w:t>
            </w:r>
            <w:r w:rsidRPr="00A03684">
              <w:rPr>
                <w:b/>
                <w:bCs/>
              </w:rPr>
              <w:t xml:space="preserve"> falls to zero: activity expected to wind down</w:t>
            </w:r>
          </w:p>
        </w:tc>
        <w:tc>
          <w:tcPr>
            <w:tcW w:w="1191" w:type="dxa"/>
            <w:shd w:val="clear" w:color="auto" w:fill="auto"/>
          </w:tcPr>
          <w:p w:rsidR="00B04126" w:rsidRPr="00A03684" w:rsidRDefault="00B04126" w:rsidP="00DE37FA">
            <w:pPr>
              <w:pStyle w:val="TableText"/>
            </w:pPr>
            <w:r w:rsidRPr="00A03684">
              <w:t xml:space="preserve">$265 </w:t>
            </w:r>
            <w:r w:rsidR="00832EDA">
              <w:t>–</w:t>
            </w:r>
            <w:r w:rsidRPr="00A03684">
              <w:t xml:space="preserve"> $595</w:t>
            </w:r>
          </w:p>
        </w:tc>
        <w:tc>
          <w:tcPr>
            <w:tcW w:w="1191" w:type="dxa"/>
            <w:shd w:val="clear" w:color="auto" w:fill="auto"/>
          </w:tcPr>
          <w:p w:rsidR="00B04126" w:rsidRPr="00A03684" w:rsidRDefault="00B04126" w:rsidP="00DE37FA">
            <w:pPr>
              <w:pStyle w:val="TableText"/>
            </w:pPr>
            <w:r w:rsidRPr="00A03684">
              <w:t xml:space="preserve">$30 </w:t>
            </w:r>
            <w:r w:rsidR="00832EDA">
              <w:t>–</w:t>
            </w:r>
            <w:r w:rsidRPr="00A03684">
              <w:t xml:space="preserve"> $80</w:t>
            </w:r>
          </w:p>
        </w:tc>
        <w:tc>
          <w:tcPr>
            <w:tcW w:w="1134" w:type="dxa"/>
            <w:shd w:val="clear" w:color="auto" w:fill="auto"/>
          </w:tcPr>
          <w:p w:rsidR="00B04126" w:rsidRPr="00A03684" w:rsidDel="00B04126" w:rsidRDefault="00B04126" w:rsidP="00DE37FA">
            <w:pPr>
              <w:pStyle w:val="TableText"/>
            </w:pPr>
            <w:r w:rsidRPr="00A03684">
              <w:t>$35/t</w:t>
            </w:r>
          </w:p>
        </w:tc>
        <w:tc>
          <w:tcPr>
            <w:tcW w:w="1134" w:type="dxa"/>
            <w:shd w:val="clear" w:color="auto" w:fill="auto"/>
          </w:tcPr>
          <w:p w:rsidR="00B04126" w:rsidRPr="00A03684" w:rsidDel="00B04126" w:rsidRDefault="00B04126" w:rsidP="00DE37FA">
            <w:pPr>
              <w:pStyle w:val="TableText"/>
            </w:pPr>
            <w:r w:rsidRPr="00A03684">
              <w:t>$20/t</w:t>
            </w:r>
          </w:p>
        </w:tc>
      </w:tr>
      <w:tr w:rsidR="00B04126" w:rsidRPr="00A03684" w:rsidTr="00C012AE">
        <w:tc>
          <w:tcPr>
            <w:tcW w:w="4196" w:type="dxa"/>
            <w:shd w:val="clear" w:color="auto" w:fill="auto"/>
          </w:tcPr>
          <w:p w:rsidR="00B04126" w:rsidRPr="00A03684" w:rsidRDefault="00B04126" w:rsidP="00DE37FA">
            <w:pPr>
              <w:pStyle w:val="TableText"/>
              <w:rPr>
                <w:b/>
                <w:bCs/>
              </w:rPr>
            </w:pPr>
            <w:r w:rsidRPr="00A03684">
              <w:rPr>
                <w:b/>
                <w:bCs/>
              </w:rPr>
              <w:t>EBITDA</w:t>
            </w:r>
            <w:r w:rsidR="00BE7D58" w:rsidRPr="00A03684">
              <w:rPr>
                <w:b/>
                <w:bCs/>
                <w:vertAlign w:val="superscript"/>
              </w:rPr>
              <w:t>b</w:t>
            </w:r>
            <w:r w:rsidRPr="00A03684">
              <w:rPr>
                <w:b/>
                <w:bCs/>
              </w:rPr>
              <w:t xml:space="preserve"> falls to zero: activity expected to stop</w:t>
            </w:r>
          </w:p>
        </w:tc>
        <w:tc>
          <w:tcPr>
            <w:tcW w:w="1191" w:type="dxa"/>
            <w:shd w:val="clear" w:color="auto" w:fill="auto"/>
          </w:tcPr>
          <w:p w:rsidR="00B04126" w:rsidRPr="00A03684" w:rsidDel="00B04126" w:rsidRDefault="00B04126" w:rsidP="00DE37FA">
            <w:pPr>
              <w:pStyle w:val="TableText"/>
            </w:pPr>
            <w:r w:rsidRPr="00A03684">
              <w:t xml:space="preserve">$430 </w:t>
            </w:r>
            <w:r w:rsidR="00832EDA">
              <w:t>–</w:t>
            </w:r>
            <w:r w:rsidRPr="00A03684">
              <w:t xml:space="preserve"> $760</w:t>
            </w:r>
          </w:p>
        </w:tc>
        <w:tc>
          <w:tcPr>
            <w:tcW w:w="1191" w:type="dxa"/>
            <w:shd w:val="clear" w:color="auto" w:fill="auto"/>
          </w:tcPr>
          <w:p w:rsidR="00B04126" w:rsidRPr="00A03684" w:rsidDel="00B04126" w:rsidRDefault="00B04126" w:rsidP="00DE37FA">
            <w:pPr>
              <w:pStyle w:val="TableText"/>
            </w:pPr>
            <w:r w:rsidRPr="00A03684">
              <w:t>$130/t</w:t>
            </w:r>
          </w:p>
        </w:tc>
        <w:tc>
          <w:tcPr>
            <w:tcW w:w="1134" w:type="dxa"/>
            <w:shd w:val="clear" w:color="auto" w:fill="auto"/>
          </w:tcPr>
          <w:p w:rsidR="00B04126" w:rsidRPr="00A03684" w:rsidDel="00B04126" w:rsidRDefault="00B04126" w:rsidP="00DE37FA">
            <w:pPr>
              <w:pStyle w:val="TableText"/>
            </w:pPr>
            <w:r w:rsidRPr="00A03684">
              <w:t>$50/t</w:t>
            </w:r>
          </w:p>
        </w:tc>
        <w:tc>
          <w:tcPr>
            <w:tcW w:w="1134" w:type="dxa"/>
            <w:shd w:val="clear" w:color="auto" w:fill="auto"/>
          </w:tcPr>
          <w:p w:rsidR="00B04126" w:rsidRPr="00A03684" w:rsidDel="00B04126" w:rsidRDefault="00B04126" w:rsidP="00DE37FA">
            <w:pPr>
              <w:pStyle w:val="TableText"/>
            </w:pPr>
            <w:r w:rsidRPr="00A03684">
              <w:t>$30/t</w:t>
            </w:r>
          </w:p>
        </w:tc>
      </w:tr>
    </w:tbl>
    <w:p w:rsidR="006259DC" w:rsidRPr="00A03684" w:rsidRDefault="00BE7D58" w:rsidP="00C012AE">
      <w:pPr>
        <w:pStyle w:val="Note"/>
      </w:pPr>
      <w:r w:rsidRPr="00A03684">
        <w:rPr>
          <w:vertAlign w:val="superscript"/>
        </w:rPr>
        <w:t>a</w:t>
      </w:r>
      <w:r w:rsidRPr="006D4EE9">
        <w:t xml:space="preserve"> </w:t>
      </w:r>
      <w:r w:rsidR="006259DC" w:rsidRPr="00A03684">
        <w:t>Earnings before interest and tax.</w:t>
      </w:r>
      <w:r w:rsidR="006259DC" w:rsidRPr="00A03684">
        <w:br/>
      </w:r>
      <w:r w:rsidRPr="00A03684">
        <w:rPr>
          <w:vertAlign w:val="superscript"/>
        </w:rPr>
        <w:t>b</w:t>
      </w:r>
      <w:r w:rsidRPr="006D4EE9">
        <w:t xml:space="preserve"> </w:t>
      </w:r>
      <w:r w:rsidR="006259DC" w:rsidRPr="00A03684">
        <w:t>Earnings before interest, taxes, depreciation and amortisation.</w:t>
      </w:r>
    </w:p>
    <w:p w:rsidR="00C44091" w:rsidRPr="00A03684" w:rsidRDefault="00714DC4" w:rsidP="00C012AE">
      <w:pPr>
        <w:pStyle w:val="BodyText"/>
        <w:keepLines/>
      </w:pPr>
      <w:r w:rsidRPr="00A03684">
        <w:t>Over time, t</w:t>
      </w:r>
      <w:r w:rsidR="006C6F8D" w:rsidRPr="00A03684">
        <w:t xml:space="preserve">he risk </w:t>
      </w:r>
      <w:r w:rsidR="00305911" w:rsidRPr="00A03684">
        <w:t xml:space="preserve">of </w:t>
      </w:r>
      <w:r w:rsidR="006C6F8D" w:rsidRPr="00A03684">
        <w:t>leakage is expected to</w:t>
      </w:r>
      <w:r w:rsidRPr="00A03684">
        <w:t xml:space="preserve"> </w:t>
      </w:r>
      <w:r w:rsidR="00EF0BB0" w:rsidRPr="00A03684">
        <w:t>change</w:t>
      </w:r>
      <w:r w:rsidR="00EB33DA" w:rsidRPr="00A03684">
        <w:t>, a</w:t>
      </w:r>
      <w:r w:rsidRPr="00A03684">
        <w:t>s other jurisdictions</w:t>
      </w:r>
      <w:r w:rsidR="006C6F8D" w:rsidRPr="00A03684">
        <w:t xml:space="preserve"> introduce new climate change</w:t>
      </w:r>
      <w:r w:rsidRPr="00A03684">
        <w:t xml:space="preserve"> measures</w:t>
      </w:r>
      <w:r w:rsidR="00EB33DA" w:rsidRPr="00A03684">
        <w:t>,</w:t>
      </w:r>
      <w:r w:rsidRPr="00A03684">
        <w:t xml:space="preserve"> or </w:t>
      </w:r>
      <w:r w:rsidR="006C6F8D" w:rsidRPr="00A03684">
        <w:t xml:space="preserve">existing trading schemes </w:t>
      </w:r>
      <w:r w:rsidRPr="00A03684">
        <w:t>reduce free allocation</w:t>
      </w:r>
      <w:r w:rsidR="00EB33DA" w:rsidRPr="00A03684">
        <w:t>.</w:t>
      </w:r>
      <w:r w:rsidR="00305911" w:rsidRPr="00A03684">
        <w:t xml:space="preserve"> </w:t>
      </w:r>
      <w:r w:rsidR="00EB33DA" w:rsidRPr="00A03684">
        <w:t>However, d</w:t>
      </w:r>
      <w:r w:rsidRPr="00A03684">
        <w:t>ifferences</w:t>
      </w:r>
      <w:r w:rsidR="00BE7D58" w:rsidRPr="00A03684">
        <w:t xml:space="preserve"> </w:t>
      </w:r>
      <w:r w:rsidRPr="00A03684">
        <w:t>in international climate commitments</w:t>
      </w:r>
      <w:r w:rsidR="006C6F8D" w:rsidRPr="00A03684">
        <w:t>, emissions mitigation</w:t>
      </w:r>
      <w:r w:rsidRPr="00A03684">
        <w:t xml:space="preserve"> policies and free</w:t>
      </w:r>
      <w:r w:rsidR="006C40DD" w:rsidRPr="00A03684">
        <w:t xml:space="preserve"> allocation rules could persist over the medium to long</w:t>
      </w:r>
      <w:r w:rsidR="00DD04ED" w:rsidRPr="00A03684">
        <w:t xml:space="preserve"> </w:t>
      </w:r>
      <w:r w:rsidR="006C40DD" w:rsidRPr="00A03684">
        <w:t xml:space="preserve">term. </w:t>
      </w:r>
      <w:r w:rsidR="00EF0BB0" w:rsidRPr="00A03684">
        <w:t>N</w:t>
      </w:r>
      <w:r w:rsidR="009C7763" w:rsidRPr="00A03684">
        <w:t>ot everyone will face an equivalent carbon price or cap</w:t>
      </w:r>
      <w:r w:rsidR="00FF26FA" w:rsidRPr="00A03684">
        <w:t xml:space="preserve">, </w:t>
      </w:r>
      <w:r w:rsidR="00EB33DA" w:rsidRPr="00A03684">
        <w:t xml:space="preserve">which </w:t>
      </w:r>
      <w:r w:rsidR="00FF26FA" w:rsidRPr="00A03684">
        <w:t>suggest</w:t>
      </w:r>
      <w:r w:rsidR="00EB33DA" w:rsidRPr="00A03684">
        <w:t>s</w:t>
      </w:r>
      <w:r w:rsidR="00FF26FA" w:rsidRPr="00A03684">
        <w:t xml:space="preserve"> the risk of leakage could remain</w:t>
      </w:r>
      <w:r w:rsidR="00EF0BB0" w:rsidRPr="00A03684">
        <w:t xml:space="preserve"> for some time</w:t>
      </w:r>
      <w:r w:rsidR="00FF26FA" w:rsidRPr="00A03684">
        <w:t xml:space="preserve">. </w:t>
      </w:r>
    </w:p>
    <w:p w:rsidR="004E6C05" w:rsidRPr="00A03684" w:rsidRDefault="00125F78" w:rsidP="00C012AE">
      <w:pPr>
        <w:pStyle w:val="Heading2"/>
      </w:pPr>
      <w:bookmarkStart w:id="18" w:name="_Toc75336454"/>
      <w:r w:rsidRPr="00A03684">
        <w:t xml:space="preserve">The </w:t>
      </w:r>
      <w:r w:rsidR="00CF5663" w:rsidRPr="00A03684">
        <w:t>current</w:t>
      </w:r>
      <w:r w:rsidR="00361829" w:rsidRPr="00A03684">
        <w:t xml:space="preserve"> industrial allocation system</w:t>
      </w:r>
      <w:bookmarkEnd w:id="18"/>
      <w:r w:rsidR="004E6C05" w:rsidRPr="00A03684">
        <w:t xml:space="preserve"> </w:t>
      </w:r>
    </w:p>
    <w:p w:rsidR="00EB33DA" w:rsidRPr="00A03684" w:rsidRDefault="00AD3B7E" w:rsidP="00C012AE">
      <w:pPr>
        <w:pStyle w:val="BodyText"/>
      </w:pPr>
      <w:r w:rsidRPr="00A03684">
        <w:t>I</w:t>
      </w:r>
      <w:r w:rsidR="009C7763" w:rsidRPr="00A03684">
        <w:t xml:space="preserve">ndustrial allocation </w:t>
      </w:r>
      <w:r w:rsidR="00832EDA">
        <w:t xml:space="preserve">(IA) </w:t>
      </w:r>
      <w:r w:rsidR="009C7763" w:rsidRPr="00A03684">
        <w:t xml:space="preserve">was </w:t>
      </w:r>
      <w:r w:rsidRPr="00A03684">
        <w:t>introduced</w:t>
      </w:r>
      <w:r w:rsidR="009C7763" w:rsidRPr="00A03684">
        <w:t xml:space="preserve"> to </w:t>
      </w:r>
      <w:r w:rsidR="004E6C05" w:rsidRPr="00A03684">
        <w:t xml:space="preserve">reduce the risk of leakage. </w:t>
      </w:r>
      <w:r w:rsidR="00EB33DA" w:rsidRPr="00A03684">
        <w:t>F</w:t>
      </w:r>
      <w:r w:rsidR="004E6C05" w:rsidRPr="00A03684">
        <w:t xml:space="preserve">ree allocations of NZUs </w:t>
      </w:r>
      <w:r w:rsidR="00EB33DA" w:rsidRPr="00A03684">
        <w:t>assist</w:t>
      </w:r>
      <w:r w:rsidR="003F6E52" w:rsidRPr="00A03684">
        <w:t xml:space="preserve"> firms carrying</w:t>
      </w:r>
      <w:r w:rsidR="004E6C05" w:rsidRPr="00A03684">
        <w:t xml:space="preserve"> out industrial activities that are emissions-intensive and trade-exposed</w:t>
      </w:r>
      <w:r w:rsidR="00546C62" w:rsidRPr="00A03684">
        <w:t xml:space="preserve"> (EITE)</w:t>
      </w:r>
      <w:r w:rsidR="001E35B4" w:rsidRPr="001E35B4">
        <w:rPr>
          <w:rStyle w:val="FootnoteReference"/>
        </w:rPr>
        <w:t xml:space="preserve"> </w:t>
      </w:r>
      <w:r w:rsidR="001E35B4">
        <w:rPr>
          <w:rStyle w:val="FootnoteReference"/>
        </w:rPr>
        <w:footnoteReference w:id="5"/>
      </w:r>
      <w:r w:rsidR="004E6C05" w:rsidRPr="00A03684">
        <w:t>. Fir</w:t>
      </w:r>
      <w:r w:rsidR="00546C62" w:rsidRPr="00A03684">
        <w:t>ms can use these NZUs to</w:t>
      </w:r>
      <w:r w:rsidR="00EB33DA" w:rsidRPr="00A03684">
        <w:t>:</w:t>
      </w:r>
    </w:p>
    <w:p w:rsidR="00EB33DA" w:rsidRPr="00A03684" w:rsidRDefault="004E6C05" w:rsidP="00C012AE">
      <w:pPr>
        <w:pStyle w:val="Bullet"/>
      </w:pPr>
      <w:r w:rsidRPr="00A03684">
        <w:t>meet a portion of their surrender obligations (if they have them)</w:t>
      </w:r>
      <w:r w:rsidR="00EB33DA" w:rsidRPr="00A03684">
        <w:t>,</w:t>
      </w:r>
      <w:r w:rsidRPr="00A03684">
        <w:t xml:space="preserve"> or </w:t>
      </w:r>
    </w:p>
    <w:p w:rsidR="00EB33DA" w:rsidRPr="00A03684" w:rsidRDefault="004E6C05" w:rsidP="00C012AE">
      <w:pPr>
        <w:pStyle w:val="Bullet"/>
      </w:pPr>
      <w:r w:rsidRPr="00A03684">
        <w:t>sel</w:t>
      </w:r>
      <w:r w:rsidR="00FF26FA" w:rsidRPr="00A03684">
        <w:t xml:space="preserve">l them to generate cash to </w:t>
      </w:r>
      <w:r w:rsidRPr="00A03684">
        <w:t>offset the increased cost of electri</w:t>
      </w:r>
      <w:r w:rsidR="00FF26FA" w:rsidRPr="00A03684">
        <w:t xml:space="preserve">city and fossil fuels with </w:t>
      </w:r>
      <w:r w:rsidRPr="00A03684">
        <w:t>an</w:t>
      </w:r>
      <w:r w:rsidR="00385E34">
        <w:t> </w:t>
      </w:r>
      <w:r w:rsidRPr="00A03684">
        <w:t>embedded emissions price.</w:t>
      </w:r>
      <w:r w:rsidR="00263627" w:rsidRPr="00A03684">
        <w:t xml:space="preserve"> </w:t>
      </w:r>
    </w:p>
    <w:p w:rsidR="004E6C05" w:rsidRPr="00A03684" w:rsidRDefault="00263627" w:rsidP="007611D9">
      <w:pPr>
        <w:pStyle w:val="BodyText"/>
      </w:pPr>
      <w:r w:rsidRPr="00A03684">
        <w:t>In many cases, EITE firms have contract</w:t>
      </w:r>
      <w:r w:rsidR="00EB33DA" w:rsidRPr="00A03684">
        <w:t xml:space="preserve">s </w:t>
      </w:r>
      <w:r w:rsidRPr="00A03684">
        <w:t>with their fossil fuel suppliers</w:t>
      </w:r>
      <w:r w:rsidR="00EB33DA" w:rsidRPr="00A03684">
        <w:t xml:space="preserve"> to </w:t>
      </w:r>
      <w:r w:rsidRPr="00A03684">
        <w:t>transfer allocated NZUs to the supplier for the emission associated with the fuel purchased</w:t>
      </w:r>
      <w:r w:rsidR="00EB33DA" w:rsidRPr="00A03684">
        <w:t>,</w:t>
      </w:r>
      <w:r w:rsidRPr="00A03684">
        <w:t xml:space="preserve"> in lieu of selling NZUs and transferring cash.</w:t>
      </w:r>
      <w:r w:rsidR="00A03684" w:rsidRPr="00A03684">
        <w:t xml:space="preserve"> </w:t>
      </w:r>
    </w:p>
    <w:p w:rsidR="0027100D" w:rsidRPr="00A03684" w:rsidRDefault="00D55798" w:rsidP="00C012AE">
      <w:pPr>
        <w:pStyle w:val="Heading3"/>
      </w:pPr>
      <w:r w:rsidRPr="00A03684">
        <w:t>New Zealand’s a</w:t>
      </w:r>
      <w:r w:rsidR="0027100D" w:rsidRPr="00A03684">
        <w:t xml:space="preserve">pproach to industrial allocation </w:t>
      </w:r>
    </w:p>
    <w:p w:rsidR="004E6C05" w:rsidRPr="00A03684" w:rsidRDefault="004E6C05" w:rsidP="007611D9">
      <w:pPr>
        <w:pStyle w:val="BodyText"/>
      </w:pPr>
      <w:r w:rsidRPr="00A03684">
        <w:t xml:space="preserve">New Zealand’s </w:t>
      </w:r>
      <w:r w:rsidR="002B4416" w:rsidRPr="00A03684">
        <w:t>IA</w:t>
      </w:r>
      <w:r w:rsidRPr="00A03684">
        <w:t xml:space="preserve"> system is </w:t>
      </w:r>
      <w:r w:rsidR="00EB33DA" w:rsidRPr="00A03684">
        <w:t xml:space="preserve">based on </w:t>
      </w:r>
      <w:r w:rsidRPr="00A03684">
        <w:t>output</w:t>
      </w:r>
      <w:r w:rsidR="0027100D" w:rsidRPr="00A03684">
        <w:t xml:space="preserve"> and emissions intensity</w:t>
      </w:r>
      <w:r w:rsidRPr="00A03684">
        <w:t>.</w:t>
      </w:r>
      <w:r w:rsidR="0027100D" w:rsidRPr="00A03684">
        <w:t xml:space="preserve"> This </w:t>
      </w:r>
      <w:r w:rsidR="00D55798" w:rsidRPr="00A03684">
        <w:t>links the allocation of</w:t>
      </w:r>
      <w:r w:rsidR="00385E34">
        <w:t> </w:t>
      </w:r>
      <w:r w:rsidR="00D55798" w:rsidRPr="00A03684">
        <w:t xml:space="preserve">units to a firm’s </w:t>
      </w:r>
      <w:r w:rsidR="0027100D" w:rsidRPr="00A03684">
        <w:t>annual level of production (output</w:t>
      </w:r>
      <w:r w:rsidR="00E4668A" w:rsidRPr="00A03684">
        <w:t xml:space="preserve"> basis</w:t>
      </w:r>
      <w:r w:rsidR="0027100D" w:rsidRPr="00A03684">
        <w:t xml:space="preserve">) </w:t>
      </w:r>
      <w:r w:rsidR="00E4668A" w:rsidRPr="00A03684">
        <w:t xml:space="preserve">and fixed allocative baselines that reflect </w:t>
      </w:r>
      <w:r w:rsidR="0083149B" w:rsidRPr="00A03684">
        <w:t xml:space="preserve">an </w:t>
      </w:r>
      <w:r w:rsidR="00E4668A" w:rsidRPr="00A03684">
        <w:t>activity’s</w:t>
      </w:r>
      <w:r w:rsidR="002B4416" w:rsidRPr="00A03684">
        <w:t xml:space="preserve"> </w:t>
      </w:r>
      <w:r w:rsidR="00E4668A" w:rsidRPr="00A03684">
        <w:t>emissions intensity</w:t>
      </w:r>
      <w:r w:rsidR="00305911" w:rsidRPr="00A03684">
        <w:t xml:space="preserve"> per unit of output</w:t>
      </w:r>
      <w:r w:rsidR="00E4668A" w:rsidRPr="00A03684">
        <w:t xml:space="preserve"> (intensity basis). </w:t>
      </w:r>
    </w:p>
    <w:p w:rsidR="00D55798" w:rsidRPr="00A03684" w:rsidRDefault="00D55798" w:rsidP="007611D9">
      <w:pPr>
        <w:pStyle w:val="BodyText"/>
      </w:pPr>
      <w:r w:rsidRPr="00A03684">
        <w:t xml:space="preserve">Because </w:t>
      </w:r>
      <w:r w:rsidR="001F3896" w:rsidRPr="00A03684">
        <w:t xml:space="preserve">the </w:t>
      </w:r>
      <w:r w:rsidRPr="00A03684">
        <w:t xml:space="preserve">baselines are fixed, improvements in a firm’s </w:t>
      </w:r>
      <w:r w:rsidR="00714549" w:rsidRPr="00A03684">
        <w:t xml:space="preserve">energy and </w:t>
      </w:r>
      <w:r w:rsidRPr="00A03684">
        <w:t>emissions intensity reduces the cost impact of the NZ ETS, while mainta</w:t>
      </w:r>
      <w:r w:rsidR="00644A04" w:rsidRPr="00A03684">
        <w:t>ining a constant level of free NZUs</w:t>
      </w:r>
      <w:r w:rsidRPr="00A03684">
        <w:t xml:space="preserve"> per unit</w:t>
      </w:r>
      <w:r w:rsidR="00385E34">
        <w:t> </w:t>
      </w:r>
      <w:r w:rsidRPr="00A03684">
        <w:t>of production. Output and intensity</w:t>
      </w:r>
      <w:r w:rsidR="001F3896" w:rsidRPr="00A03684">
        <w:t>-</w:t>
      </w:r>
      <w:r w:rsidRPr="00A03684">
        <w:t xml:space="preserve">based allocation does not </w:t>
      </w:r>
      <w:r w:rsidR="001F3896" w:rsidRPr="00A03684">
        <w:t xml:space="preserve">encourage </w:t>
      </w:r>
      <w:r w:rsidRPr="00A03684">
        <w:t>absolu</w:t>
      </w:r>
      <w:r w:rsidR="00FF26FA" w:rsidRPr="00A03684">
        <w:t xml:space="preserve">te </w:t>
      </w:r>
      <w:r w:rsidR="001F3896" w:rsidRPr="00A03684">
        <w:t xml:space="preserve">reductions in </w:t>
      </w:r>
      <w:r w:rsidR="00FF26FA" w:rsidRPr="00A03684">
        <w:t xml:space="preserve">emissions </w:t>
      </w:r>
      <w:r w:rsidR="001F3896" w:rsidRPr="00A03684">
        <w:t xml:space="preserve">by </w:t>
      </w:r>
      <w:r w:rsidR="00644A04" w:rsidRPr="00A03684">
        <w:t>cutting production</w:t>
      </w:r>
      <w:r w:rsidR="001F3896" w:rsidRPr="00A03684">
        <w:t>,</w:t>
      </w:r>
      <w:r w:rsidR="00FF26FA" w:rsidRPr="00A03684">
        <w:t xml:space="preserve"> but </w:t>
      </w:r>
      <w:r w:rsidR="000A2C7D" w:rsidRPr="00A03684">
        <w:t>does</w:t>
      </w:r>
      <w:r w:rsidRPr="00A03684">
        <w:t xml:space="preserve"> </w:t>
      </w:r>
      <w:r w:rsidR="001F3896" w:rsidRPr="00A03684">
        <w:t>promote</w:t>
      </w:r>
      <w:r w:rsidR="003E686C" w:rsidRPr="00A03684">
        <w:t xml:space="preserve"> lower</w:t>
      </w:r>
      <w:r w:rsidR="001F3896" w:rsidRPr="00A03684">
        <w:t xml:space="preserve"> </w:t>
      </w:r>
      <w:r w:rsidRPr="00A03684">
        <w:t>emissions intensity.</w:t>
      </w:r>
    </w:p>
    <w:p w:rsidR="00361829" w:rsidRPr="00A03684" w:rsidRDefault="00361829" w:rsidP="007611D9">
      <w:pPr>
        <w:pStyle w:val="Heading3"/>
      </w:pPr>
      <w:r w:rsidRPr="00A03684">
        <w:t>Eligibility</w:t>
      </w:r>
    </w:p>
    <w:p w:rsidR="00361829" w:rsidRPr="00A03684" w:rsidRDefault="00361829" w:rsidP="007611D9">
      <w:pPr>
        <w:pStyle w:val="BodyText"/>
      </w:pPr>
      <w:r w:rsidRPr="00A03684">
        <w:t xml:space="preserve">There are rules to determine which activities are eligible for </w:t>
      </w:r>
      <w:r w:rsidR="002B4416" w:rsidRPr="00A03684">
        <w:t>IA</w:t>
      </w:r>
      <w:r w:rsidRPr="00A03684">
        <w:t>. The Act includes two tests: trade exposure and emissions intensity.</w:t>
      </w:r>
    </w:p>
    <w:p w:rsidR="00361829" w:rsidRPr="00A03684" w:rsidRDefault="00361829" w:rsidP="00C012AE">
      <w:pPr>
        <w:pStyle w:val="Heading5"/>
      </w:pPr>
      <w:r w:rsidRPr="00A03684">
        <w:t>Trade exposure</w:t>
      </w:r>
    </w:p>
    <w:p w:rsidR="00714549" w:rsidRPr="00A03684" w:rsidRDefault="00361829" w:rsidP="007611D9">
      <w:pPr>
        <w:pStyle w:val="BodyText"/>
      </w:pPr>
      <w:r w:rsidRPr="00A03684">
        <w:t xml:space="preserve">Trade exposure tests </w:t>
      </w:r>
      <w:r w:rsidR="002B4416" w:rsidRPr="00A03684">
        <w:t>whether</w:t>
      </w:r>
      <w:r w:rsidR="00E64F87" w:rsidRPr="00A03684">
        <w:t xml:space="preserve"> </w:t>
      </w:r>
      <w:r w:rsidRPr="00A03684">
        <w:t>products are expos</w:t>
      </w:r>
      <w:r w:rsidR="00546C62" w:rsidRPr="00A03684">
        <w:t>ed to international trade</w:t>
      </w:r>
      <w:r w:rsidR="00FB7306" w:rsidRPr="00A03684">
        <w:t xml:space="preserve">. </w:t>
      </w:r>
      <w:r w:rsidR="008D66B4" w:rsidRPr="00A03684">
        <w:t xml:space="preserve">The test determines whether a firm is unable </w:t>
      </w:r>
      <w:r w:rsidRPr="00A03684">
        <w:t xml:space="preserve">to pass on </w:t>
      </w:r>
      <w:r w:rsidR="00546C62" w:rsidRPr="00A03684">
        <w:t xml:space="preserve">an emissions </w:t>
      </w:r>
      <w:r w:rsidR="00FB7306" w:rsidRPr="00A03684">
        <w:t>cost</w:t>
      </w:r>
      <w:r w:rsidRPr="00A03684">
        <w:t xml:space="preserve"> to consumers</w:t>
      </w:r>
      <w:r w:rsidR="008D66B4" w:rsidRPr="00A03684">
        <w:t>, because they</w:t>
      </w:r>
      <w:r w:rsidR="00385E34">
        <w:t> </w:t>
      </w:r>
      <w:r w:rsidR="008D66B4" w:rsidRPr="00A03684">
        <w:t>are competing with businesses in other countries</w:t>
      </w:r>
      <w:r w:rsidRPr="00A03684">
        <w:t xml:space="preserve">. </w:t>
      </w:r>
    </w:p>
    <w:p w:rsidR="00361829" w:rsidRPr="00A03684" w:rsidRDefault="00361829" w:rsidP="007611D9">
      <w:pPr>
        <w:pStyle w:val="BodyText"/>
      </w:pPr>
      <w:r w:rsidRPr="00A03684">
        <w:t>It is assumed that if a product is traded internationally the price is set offshore</w:t>
      </w:r>
      <w:r w:rsidR="00714549" w:rsidRPr="00A03684">
        <w:t>,</w:t>
      </w:r>
      <w:r w:rsidRPr="00A03684">
        <w:t xml:space="preserve"> and therefore New Zealand firms are price takers and unable to pass price increases on to consumers. </w:t>
      </w:r>
      <w:r w:rsidR="00546C62" w:rsidRPr="00A03684">
        <w:t xml:space="preserve">This makes it difficult for domestic firms to pass on an </w:t>
      </w:r>
      <w:r w:rsidR="00714549" w:rsidRPr="00A03684">
        <w:t>emissions</w:t>
      </w:r>
      <w:r w:rsidR="00597D9D" w:rsidRPr="00A03684">
        <w:t xml:space="preserve"> price</w:t>
      </w:r>
      <w:r w:rsidR="00714549" w:rsidRPr="00A03684">
        <w:t xml:space="preserve"> </w:t>
      </w:r>
      <w:r w:rsidRPr="00A03684">
        <w:t>without being at a competitive disadvant</w:t>
      </w:r>
      <w:r w:rsidR="00FF26FA" w:rsidRPr="00A03684">
        <w:t>age to overseas firms not</w:t>
      </w:r>
      <w:r w:rsidR="00FB7306" w:rsidRPr="00A03684">
        <w:t xml:space="preserve"> facing equivalent emissions costs</w:t>
      </w:r>
      <w:r w:rsidRPr="00A03684">
        <w:t>.</w:t>
      </w:r>
      <w:r w:rsidR="007F3C97" w:rsidRPr="00A03684">
        <w:t xml:space="preserve"> </w:t>
      </w:r>
    </w:p>
    <w:p w:rsidR="00361829" w:rsidRPr="00A03684" w:rsidRDefault="00361829" w:rsidP="007611D9">
      <w:pPr>
        <w:pStyle w:val="BodyText"/>
      </w:pPr>
      <w:r w:rsidRPr="00A03684">
        <w:t xml:space="preserve">The </w:t>
      </w:r>
      <w:r w:rsidR="00FF26FA" w:rsidRPr="00A03684">
        <w:t xml:space="preserve">Climate Change Response Act 2002 </w:t>
      </w:r>
      <w:r w:rsidRPr="00A03684">
        <w:t xml:space="preserve">defines trade exposure broadly. </w:t>
      </w:r>
      <w:r w:rsidR="00546C62" w:rsidRPr="00A03684">
        <w:t>A</w:t>
      </w:r>
      <w:r w:rsidRPr="00A03684">
        <w:t>n activity is considered trade-exposed, unless there is no international trade of the activity output across</w:t>
      </w:r>
      <w:r w:rsidR="00976399">
        <w:t> </w:t>
      </w:r>
      <w:r w:rsidRPr="00A03684">
        <w:t>oceans, or it is not economically viable to import or export it.</w:t>
      </w:r>
    </w:p>
    <w:p w:rsidR="00361829" w:rsidRPr="00A03684" w:rsidRDefault="00361829" w:rsidP="00C012AE">
      <w:pPr>
        <w:pStyle w:val="Heading5"/>
      </w:pPr>
      <w:r w:rsidRPr="00A03684">
        <w:t xml:space="preserve">Emissions intensity </w:t>
      </w:r>
    </w:p>
    <w:p w:rsidR="00361829" w:rsidRPr="00A03684" w:rsidRDefault="00361829" w:rsidP="00C012AE">
      <w:pPr>
        <w:pStyle w:val="BodyText"/>
      </w:pPr>
      <w:r w:rsidRPr="00A03684">
        <w:t xml:space="preserve">Emissions intensity is the amount </w:t>
      </w:r>
      <w:r w:rsidR="001F2FBD" w:rsidRPr="00A03684">
        <w:t xml:space="preserve">of emissions generated from an </w:t>
      </w:r>
      <w:r w:rsidRPr="00A03684">
        <w:t>activity relative to the revenue</w:t>
      </w:r>
      <w:r w:rsidR="00E64F87" w:rsidRPr="00A03684">
        <w:t xml:space="preserve"> or profit</w:t>
      </w:r>
      <w:r w:rsidRPr="00A03684">
        <w:t xml:space="preserve"> generated from the sale of the activity’s output. It is a measure of the impact</w:t>
      </w:r>
      <w:r w:rsidR="00976399">
        <w:t> </w:t>
      </w:r>
      <w:r w:rsidRPr="00A03684">
        <w:t xml:space="preserve">of an emissions price on an activity’s profitability. The greater </w:t>
      </w:r>
      <w:r w:rsidR="008D66B4" w:rsidRPr="00A03684">
        <w:t>the</w:t>
      </w:r>
      <w:r w:rsidRPr="00A03684">
        <w:t xml:space="preserve"> emissions relative to</w:t>
      </w:r>
      <w:r w:rsidR="00976399">
        <w:t> </w:t>
      </w:r>
      <w:r w:rsidRPr="00A03684">
        <w:t xml:space="preserve">the revenue generated </w:t>
      </w:r>
      <w:r w:rsidR="008D66B4" w:rsidRPr="00A03684">
        <w:t>by an</w:t>
      </w:r>
      <w:r w:rsidRPr="00A03684">
        <w:t xml:space="preserve"> activity’s output, the</w:t>
      </w:r>
      <w:r w:rsidR="00DD04ED" w:rsidRPr="00A03684">
        <w:t xml:space="preserve"> more</w:t>
      </w:r>
      <w:r w:rsidRPr="00A03684">
        <w:t xml:space="preserve"> a change in </w:t>
      </w:r>
      <w:r w:rsidR="00644A04" w:rsidRPr="00A03684">
        <w:t xml:space="preserve">the </w:t>
      </w:r>
      <w:r w:rsidRPr="00A03684">
        <w:t>emissions price affects the profitability</w:t>
      </w:r>
      <w:r w:rsidR="00FF26FA" w:rsidRPr="00A03684">
        <w:t xml:space="preserve"> of </w:t>
      </w:r>
      <w:r w:rsidR="007470E6" w:rsidRPr="00A03684">
        <w:t>the</w:t>
      </w:r>
      <w:r w:rsidRPr="00A03684">
        <w:t xml:space="preserve"> firm </w:t>
      </w:r>
      <w:r w:rsidR="007470E6" w:rsidRPr="00A03684">
        <w:t xml:space="preserve">doing </w:t>
      </w:r>
      <w:r w:rsidRPr="00A03684">
        <w:t>the activity.</w:t>
      </w:r>
    </w:p>
    <w:p w:rsidR="00361829" w:rsidRPr="00A03684" w:rsidRDefault="007470E6" w:rsidP="00C012AE">
      <w:pPr>
        <w:pStyle w:val="BodyText"/>
      </w:pPr>
      <w:r w:rsidRPr="00A03684">
        <w:rPr>
          <w:b/>
          <w:bCs/>
        </w:rPr>
        <w:t>Intensity thresholds:</w:t>
      </w:r>
      <w:r w:rsidRPr="00A03684">
        <w:t xml:space="preserve"> </w:t>
      </w:r>
      <w:r w:rsidR="001F2FBD" w:rsidRPr="00A03684">
        <w:t>An activity</w:t>
      </w:r>
      <w:r w:rsidR="00361829" w:rsidRPr="00A03684">
        <w:t xml:space="preserve"> is classified as </w:t>
      </w:r>
      <w:r w:rsidR="00361829" w:rsidRPr="00A03684">
        <w:rPr>
          <w:b/>
          <w:bCs/>
        </w:rPr>
        <w:t>moderately emissions</w:t>
      </w:r>
      <w:r w:rsidRPr="00A03684">
        <w:rPr>
          <w:b/>
          <w:bCs/>
        </w:rPr>
        <w:t>-</w:t>
      </w:r>
      <w:r w:rsidR="00361829" w:rsidRPr="00A03684">
        <w:rPr>
          <w:b/>
          <w:bCs/>
        </w:rPr>
        <w:t>intensive</w:t>
      </w:r>
      <w:r w:rsidR="00361829" w:rsidRPr="00A03684">
        <w:t xml:space="preserve"> if </w:t>
      </w:r>
      <w:r w:rsidRPr="00A03684">
        <w:t>the</w:t>
      </w:r>
      <w:r w:rsidR="00361829" w:rsidRPr="00A03684">
        <w:t xml:space="preserve"> </w:t>
      </w:r>
      <w:r w:rsidR="00361829" w:rsidRPr="00A03684">
        <w:rPr>
          <w:spacing w:val="-2"/>
        </w:rPr>
        <w:t>intensity</w:t>
      </w:r>
      <w:r w:rsidR="00291613" w:rsidRPr="00A03684">
        <w:rPr>
          <w:spacing w:val="-2"/>
        </w:rPr>
        <w:t> </w:t>
      </w:r>
      <w:r w:rsidR="00361829" w:rsidRPr="00A03684">
        <w:rPr>
          <w:spacing w:val="-2"/>
        </w:rPr>
        <w:t>is equal to or greater than 800 t CO</w:t>
      </w:r>
      <w:r w:rsidR="00361829" w:rsidRPr="00A03684">
        <w:rPr>
          <w:spacing w:val="-2"/>
          <w:vertAlign w:val="subscript"/>
        </w:rPr>
        <w:t>2</w:t>
      </w:r>
      <w:r w:rsidR="00361829" w:rsidRPr="00A03684">
        <w:rPr>
          <w:spacing w:val="-2"/>
        </w:rPr>
        <w:t>-e</w:t>
      </w:r>
      <w:r w:rsidR="00150EB6" w:rsidRPr="00A03684">
        <w:rPr>
          <w:rStyle w:val="FootnoteReference"/>
          <w:spacing w:val="-2"/>
        </w:rPr>
        <w:footnoteReference w:id="6"/>
      </w:r>
      <w:r w:rsidR="00361829" w:rsidRPr="00A03684">
        <w:rPr>
          <w:spacing w:val="-2"/>
        </w:rPr>
        <w:t>/$1 million revenue</w:t>
      </w:r>
      <w:r w:rsidRPr="00A03684">
        <w:rPr>
          <w:spacing w:val="-2"/>
        </w:rPr>
        <w:t>,</w:t>
      </w:r>
      <w:r w:rsidR="00361829" w:rsidRPr="00A03684">
        <w:rPr>
          <w:spacing w:val="-2"/>
        </w:rPr>
        <w:t xml:space="preserve"> bu</w:t>
      </w:r>
      <w:r w:rsidR="00361829" w:rsidRPr="00A03684">
        <w:t xml:space="preserve">t </w:t>
      </w:r>
      <w:r w:rsidR="00361829" w:rsidRPr="00A03684">
        <w:rPr>
          <w:spacing w:val="-2"/>
        </w:rPr>
        <w:t>less than 1600 t CO</w:t>
      </w:r>
      <w:r w:rsidR="00361829" w:rsidRPr="00A03684">
        <w:rPr>
          <w:spacing w:val="-2"/>
          <w:vertAlign w:val="subscript"/>
        </w:rPr>
        <w:t>2</w:t>
      </w:r>
      <w:r w:rsidR="00361829" w:rsidRPr="00A03684">
        <w:rPr>
          <w:spacing w:val="-2"/>
        </w:rPr>
        <w:t>-e/</w:t>
      </w:r>
      <w:r w:rsidR="00291613" w:rsidRPr="00A03684">
        <w:t xml:space="preserve"> </w:t>
      </w:r>
      <w:r w:rsidR="00361829" w:rsidRPr="00A03684">
        <w:rPr>
          <w:spacing w:val="-2"/>
        </w:rPr>
        <w:t>$1 million revenue</w:t>
      </w:r>
      <w:r w:rsidRPr="00A03684">
        <w:rPr>
          <w:spacing w:val="-2"/>
        </w:rPr>
        <w:t xml:space="preserve">. It is </w:t>
      </w:r>
      <w:r w:rsidR="00361829" w:rsidRPr="00A03684">
        <w:rPr>
          <w:b/>
          <w:bCs/>
          <w:spacing w:val="-2"/>
        </w:rPr>
        <w:t>highly emissions-intensive</w:t>
      </w:r>
      <w:r w:rsidR="00361829" w:rsidRPr="00A03684">
        <w:rPr>
          <w:spacing w:val="-2"/>
        </w:rPr>
        <w:t xml:space="preserve"> if it is equal to or greater than 1600 t CO</w:t>
      </w:r>
      <w:r w:rsidR="00361829" w:rsidRPr="00A03684">
        <w:rPr>
          <w:spacing w:val="-2"/>
          <w:vertAlign w:val="subscript"/>
        </w:rPr>
        <w:t>2</w:t>
      </w:r>
      <w:r w:rsidR="00361829" w:rsidRPr="00A03684">
        <w:rPr>
          <w:spacing w:val="-2"/>
        </w:rPr>
        <w:t>-</w:t>
      </w:r>
      <w:r w:rsidR="00361829" w:rsidRPr="00A03684">
        <w:t>e/</w:t>
      </w:r>
      <w:r w:rsidR="00147B85" w:rsidRPr="00A03684">
        <w:t xml:space="preserve"> </w:t>
      </w:r>
      <w:r w:rsidR="00361829" w:rsidRPr="00A03684">
        <w:t xml:space="preserve">$1 million revenue. If an activity has an emissions intensity below the moderately </w:t>
      </w:r>
      <w:r w:rsidR="00FF26FA" w:rsidRPr="00A03684">
        <w:t xml:space="preserve">intensive threshold it is ineligible for </w:t>
      </w:r>
      <w:r w:rsidR="002B4416" w:rsidRPr="00A03684">
        <w:t>IA</w:t>
      </w:r>
      <w:r w:rsidR="00361829" w:rsidRPr="00A03684">
        <w:t xml:space="preserve">. </w:t>
      </w:r>
    </w:p>
    <w:p w:rsidR="002B4416" w:rsidRPr="00A03684" w:rsidRDefault="002B4416" w:rsidP="00A97E86">
      <w:pPr>
        <w:pStyle w:val="BodyText"/>
      </w:pPr>
      <w:r w:rsidRPr="00A03684">
        <w:t xml:space="preserve">If </w:t>
      </w:r>
      <w:r w:rsidR="00361829" w:rsidRPr="00A03684">
        <w:t xml:space="preserve">the </w:t>
      </w:r>
      <w:r w:rsidR="001F2FBD" w:rsidRPr="00A03684">
        <w:t>trade exposure criter</w:t>
      </w:r>
      <w:r w:rsidR="000A2C7D" w:rsidRPr="00A03684">
        <w:t>ion</w:t>
      </w:r>
      <w:r w:rsidR="001F2FBD" w:rsidRPr="00A03684">
        <w:t xml:space="preserve"> is met,</w:t>
      </w:r>
      <w:r w:rsidR="00361829" w:rsidRPr="00A03684">
        <w:t xml:space="preserve"> the two thresholds determine</w:t>
      </w:r>
      <w:r w:rsidR="00832EDA">
        <w:t xml:space="preserve"> a</w:t>
      </w:r>
      <w:r w:rsidRPr="00A03684">
        <w:t>:</w:t>
      </w:r>
    </w:p>
    <w:p w:rsidR="002B4416" w:rsidRPr="00A03684" w:rsidRDefault="00361829" w:rsidP="00A97E86">
      <w:pPr>
        <w:pStyle w:val="Bullet"/>
      </w:pPr>
      <w:r w:rsidRPr="00A03684">
        <w:t xml:space="preserve">moderately intensive activity as being eligible to receive </w:t>
      </w:r>
      <w:r w:rsidR="000A2C7D" w:rsidRPr="00A03684">
        <w:t>59</w:t>
      </w:r>
      <w:r w:rsidRPr="00A03684">
        <w:t xml:space="preserve"> per cent of their emissions costs </w:t>
      </w:r>
    </w:p>
    <w:p w:rsidR="002B4416" w:rsidRPr="00A03684" w:rsidRDefault="00361829" w:rsidP="00A97E86">
      <w:pPr>
        <w:pStyle w:val="Bullet"/>
      </w:pPr>
      <w:r w:rsidRPr="00A03684">
        <w:t xml:space="preserve">highly intensive activity </w:t>
      </w:r>
      <w:r w:rsidR="002B4416" w:rsidRPr="00A03684">
        <w:t xml:space="preserve">as being </w:t>
      </w:r>
      <w:r w:rsidRPr="00A03684">
        <w:t xml:space="preserve">eligible to receive </w:t>
      </w:r>
      <w:r w:rsidR="000A2C7D" w:rsidRPr="00A03684">
        <w:t>89</w:t>
      </w:r>
      <w:r w:rsidR="003F6E52" w:rsidRPr="00A03684">
        <w:t xml:space="preserve"> per cent. </w:t>
      </w:r>
    </w:p>
    <w:p w:rsidR="00361829" w:rsidRPr="00A03684" w:rsidRDefault="003F6E52" w:rsidP="00A97E86">
      <w:pPr>
        <w:pStyle w:val="BodyText"/>
      </w:pPr>
      <w:r w:rsidRPr="00A03684">
        <w:t>Table 2</w:t>
      </w:r>
      <w:r w:rsidR="00361829" w:rsidRPr="00A03684">
        <w:t xml:space="preserve"> shows the possible eligibility categories </w:t>
      </w:r>
      <w:r w:rsidR="001F2FBD" w:rsidRPr="00A03684">
        <w:t>based on</w:t>
      </w:r>
      <w:r w:rsidR="00361829" w:rsidRPr="00A03684">
        <w:t xml:space="preserve"> emissions intensity and trade exposure</w:t>
      </w:r>
      <w:r w:rsidR="001F2FBD" w:rsidRPr="00A03684">
        <w:t xml:space="preserve"> tests</w:t>
      </w:r>
      <w:r w:rsidR="00361829" w:rsidRPr="00A03684">
        <w:t>.</w:t>
      </w:r>
    </w:p>
    <w:p w:rsidR="00361829" w:rsidRPr="00A03684" w:rsidRDefault="00361829" w:rsidP="00A97E86">
      <w:pPr>
        <w:pStyle w:val="Tableheading"/>
      </w:pPr>
      <w:bookmarkStart w:id="19" w:name="_Toc75262171"/>
      <w:r w:rsidRPr="00A03684">
        <w:t>Table</w:t>
      </w:r>
      <w:r w:rsidR="007F3C97" w:rsidRPr="00A03684">
        <w:t xml:space="preserve"> 2</w:t>
      </w:r>
      <w:r w:rsidR="00CF5663" w:rsidRPr="00A03684">
        <w:t xml:space="preserve">: </w:t>
      </w:r>
      <w:r w:rsidR="00A97E86" w:rsidRPr="00A03684">
        <w:tab/>
      </w:r>
      <w:r w:rsidRPr="00A03684">
        <w:t>Eligibility and threshold categories</w:t>
      </w:r>
      <w:bookmarkEnd w:id="19"/>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3828"/>
        <w:gridCol w:w="1701"/>
        <w:gridCol w:w="2976"/>
      </w:tblGrid>
      <w:tr w:rsidR="00361829" w:rsidRPr="00A03684" w:rsidTr="00BD4F02">
        <w:trPr>
          <w:tblHeader/>
        </w:trPr>
        <w:tc>
          <w:tcPr>
            <w:tcW w:w="3828" w:type="dxa"/>
            <w:shd w:val="clear" w:color="auto" w:fill="1C556C"/>
          </w:tcPr>
          <w:p w:rsidR="00361829" w:rsidRPr="00A03684" w:rsidRDefault="00361829" w:rsidP="007611D9">
            <w:pPr>
              <w:pStyle w:val="TableTextbold"/>
              <w:rPr>
                <w:color w:val="FFFFFF" w:themeColor="background1"/>
              </w:rPr>
            </w:pPr>
            <w:bookmarkStart w:id="20" w:name="_Hlk72853274"/>
          </w:p>
        </w:tc>
        <w:tc>
          <w:tcPr>
            <w:tcW w:w="1701" w:type="dxa"/>
            <w:tcBorders>
              <w:bottom w:val="single" w:sz="4" w:space="0" w:color="1C556C"/>
            </w:tcBorders>
            <w:shd w:val="clear" w:color="auto" w:fill="1C556C"/>
          </w:tcPr>
          <w:p w:rsidR="00361829" w:rsidRPr="00A03684" w:rsidRDefault="00361829" w:rsidP="007611D9">
            <w:pPr>
              <w:pStyle w:val="TableTextbold"/>
              <w:rPr>
                <w:color w:val="FFFFFF" w:themeColor="background1"/>
              </w:rPr>
            </w:pPr>
            <w:r w:rsidRPr="00A03684">
              <w:rPr>
                <w:color w:val="FFFFFF" w:themeColor="background1"/>
              </w:rPr>
              <w:t>Not trade-exposed</w:t>
            </w:r>
          </w:p>
        </w:tc>
        <w:tc>
          <w:tcPr>
            <w:tcW w:w="2976" w:type="dxa"/>
            <w:tcBorders>
              <w:bottom w:val="single" w:sz="4" w:space="0" w:color="1C556C"/>
            </w:tcBorders>
            <w:shd w:val="clear" w:color="auto" w:fill="1C556C"/>
          </w:tcPr>
          <w:p w:rsidR="00361829" w:rsidRPr="00A03684" w:rsidRDefault="00361829" w:rsidP="007611D9">
            <w:pPr>
              <w:pStyle w:val="TableTextbold"/>
              <w:rPr>
                <w:color w:val="FFFFFF" w:themeColor="background1"/>
              </w:rPr>
            </w:pPr>
            <w:r w:rsidRPr="00A03684">
              <w:rPr>
                <w:color w:val="FFFFFF" w:themeColor="background1"/>
              </w:rPr>
              <w:t>Trade-exposed</w:t>
            </w:r>
          </w:p>
        </w:tc>
      </w:tr>
      <w:tr w:rsidR="00361829" w:rsidRPr="00A03684" w:rsidTr="00BD4F02">
        <w:tc>
          <w:tcPr>
            <w:tcW w:w="3828" w:type="dxa"/>
            <w:shd w:val="clear" w:color="auto" w:fill="auto"/>
          </w:tcPr>
          <w:p w:rsidR="00361829" w:rsidRPr="00A03684" w:rsidRDefault="00361829" w:rsidP="007611D9">
            <w:pPr>
              <w:pStyle w:val="TableText"/>
              <w:rPr>
                <w:b/>
                <w:bCs/>
              </w:rPr>
            </w:pPr>
            <w:r w:rsidRPr="00A03684">
              <w:rPr>
                <w:b/>
                <w:bCs/>
              </w:rPr>
              <w:t>Emissions intensity &lt; 800 t CO</w:t>
            </w:r>
            <w:r w:rsidRPr="00A03684">
              <w:rPr>
                <w:b/>
                <w:bCs/>
                <w:vertAlign w:val="subscript"/>
              </w:rPr>
              <w:t>2</w:t>
            </w:r>
            <w:r w:rsidRPr="00A03684">
              <w:rPr>
                <w:b/>
                <w:bCs/>
              </w:rPr>
              <w:t>-e/$1 million revenue</w:t>
            </w:r>
          </w:p>
        </w:tc>
        <w:tc>
          <w:tcPr>
            <w:tcW w:w="1701" w:type="dxa"/>
            <w:tcBorders>
              <w:bottom w:val="single" w:sz="4" w:space="0" w:color="1C556C"/>
            </w:tcBorders>
            <w:shd w:val="clear" w:color="auto" w:fill="EDB097"/>
          </w:tcPr>
          <w:p w:rsidR="00361829" w:rsidRPr="00A03684" w:rsidRDefault="00361829" w:rsidP="007611D9">
            <w:pPr>
              <w:pStyle w:val="TableText"/>
            </w:pPr>
            <w:r w:rsidRPr="00A03684">
              <w:t>Ineligible</w:t>
            </w:r>
          </w:p>
        </w:tc>
        <w:tc>
          <w:tcPr>
            <w:tcW w:w="2976" w:type="dxa"/>
            <w:tcBorders>
              <w:bottom w:val="single" w:sz="4" w:space="0" w:color="1C556C"/>
            </w:tcBorders>
            <w:shd w:val="clear" w:color="auto" w:fill="EDB097"/>
          </w:tcPr>
          <w:p w:rsidR="00361829" w:rsidRPr="00A03684" w:rsidRDefault="00361829" w:rsidP="007611D9">
            <w:pPr>
              <w:pStyle w:val="TableText"/>
            </w:pPr>
            <w:r w:rsidRPr="00A03684">
              <w:t>Ineligible</w:t>
            </w:r>
          </w:p>
        </w:tc>
      </w:tr>
      <w:bookmarkEnd w:id="20"/>
      <w:tr w:rsidR="00361829" w:rsidRPr="00A03684" w:rsidTr="00BD4F02">
        <w:tc>
          <w:tcPr>
            <w:tcW w:w="3828" w:type="dxa"/>
            <w:shd w:val="clear" w:color="auto" w:fill="auto"/>
          </w:tcPr>
          <w:p w:rsidR="00361829" w:rsidRPr="00A03684" w:rsidRDefault="00361829" w:rsidP="007611D9">
            <w:pPr>
              <w:pStyle w:val="TableText"/>
              <w:rPr>
                <w:b/>
                <w:bCs/>
              </w:rPr>
            </w:pPr>
            <w:r w:rsidRPr="00A03684">
              <w:rPr>
                <w:b/>
                <w:bCs/>
              </w:rPr>
              <w:t>Emissions intensity &gt;= 800 but &lt; 1600 t CO</w:t>
            </w:r>
            <w:r w:rsidRPr="00A03684">
              <w:rPr>
                <w:b/>
                <w:bCs/>
                <w:vertAlign w:val="subscript"/>
              </w:rPr>
              <w:t>2</w:t>
            </w:r>
            <w:r w:rsidRPr="00A03684">
              <w:rPr>
                <w:b/>
                <w:bCs/>
              </w:rPr>
              <w:t>-e/</w:t>
            </w:r>
            <w:r w:rsidR="00A97E86" w:rsidRPr="00A03684">
              <w:rPr>
                <w:b/>
                <w:bCs/>
              </w:rPr>
              <w:t xml:space="preserve"> </w:t>
            </w:r>
            <w:r w:rsidRPr="00A03684">
              <w:rPr>
                <w:b/>
                <w:bCs/>
              </w:rPr>
              <w:t>$1 million revenue</w:t>
            </w:r>
          </w:p>
        </w:tc>
        <w:tc>
          <w:tcPr>
            <w:tcW w:w="1701" w:type="dxa"/>
            <w:shd w:val="clear" w:color="auto" w:fill="EDB097"/>
          </w:tcPr>
          <w:p w:rsidR="00361829" w:rsidRPr="00A03684" w:rsidRDefault="00361829" w:rsidP="007611D9">
            <w:pPr>
              <w:pStyle w:val="TableText"/>
            </w:pPr>
            <w:r w:rsidRPr="00A03684">
              <w:t>Ineligible</w:t>
            </w:r>
          </w:p>
        </w:tc>
        <w:tc>
          <w:tcPr>
            <w:tcW w:w="2976" w:type="dxa"/>
            <w:tcBorders>
              <w:bottom w:val="single" w:sz="4" w:space="0" w:color="1C556C"/>
            </w:tcBorders>
            <w:shd w:val="clear" w:color="auto" w:fill="D2DDE2"/>
          </w:tcPr>
          <w:p w:rsidR="00361829" w:rsidRPr="00A03684" w:rsidRDefault="00361829" w:rsidP="007470E6">
            <w:pPr>
              <w:pStyle w:val="TableText"/>
            </w:pPr>
            <w:r w:rsidRPr="00A03684">
              <w:t>Moderately intensive and eligible to receive 60% of emissions costs</w:t>
            </w:r>
            <w:r w:rsidR="001F5B6F" w:rsidRPr="00A03684">
              <w:t xml:space="preserve"> (the phase-out </w:t>
            </w:r>
            <w:r w:rsidR="007470E6" w:rsidRPr="00A03684">
              <w:t>cut this</w:t>
            </w:r>
            <w:r w:rsidR="001F5B6F" w:rsidRPr="00A03684">
              <w:t xml:space="preserve"> to 59% in 2021)</w:t>
            </w:r>
          </w:p>
        </w:tc>
      </w:tr>
      <w:tr w:rsidR="00361829" w:rsidRPr="00A03684" w:rsidTr="00BD4F02">
        <w:tc>
          <w:tcPr>
            <w:tcW w:w="3828" w:type="dxa"/>
          </w:tcPr>
          <w:p w:rsidR="00361829" w:rsidRPr="00A03684" w:rsidRDefault="00361829" w:rsidP="007611D9">
            <w:pPr>
              <w:pStyle w:val="TableText"/>
              <w:rPr>
                <w:b/>
                <w:bCs/>
              </w:rPr>
            </w:pPr>
            <w:r w:rsidRPr="00A03684">
              <w:rPr>
                <w:b/>
                <w:bCs/>
              </w:rPr>
              <w:t>Emissions intensity &gt;= 1600 t CO</w:t>
            </w:r>
            <w:r w:rsidRPr="00A03684">
              <w:rPr>
                <w:b/>
                <w:bCs/>
                <w:vertAlign w:val="subscript"/>
              </w:rPr>
              <w:t>2</w:t>
            </w:r>
            <w:r w:rsidRPr="00A03684">
              <w:rPr>
                <w:b/>
                <w:bCs/>
              </w:rPr>
              <w:t>-e/$1 million revenue</w:t>
            </w:r>
          </w:p>
        </w:tc>
        <w:tc>
          <w:tcPr>
            <w:tcW w:w="1701" w:type="dxa"/>
            <w:shd w:val="clear" w:color="auto" w:fill="EDB097"/>
          </w:tcPr>
          <w:p w:rsidR="00361829" w:rsidRPr="00A03684" w:rsidRDefault="00361829" w:rsidP="007611D9">
            <w:pPr>
              <w:pStyle w:val="TableText"/>
            </w:pPr>
            <w:r w:rsidRPr="00A03684">
              <w:t>Ineligible</w:t>
            </w:r>
          </w:p>
        </w:tc>
        <w:tc>
          <w:tcPr>
            <w:tcW w:w="2976" w:type="dxa"/>
            <w:shd w:val="clear" w:color="auto" w:fill="A4BBC4"/>
          </w:tcPr>
          <w:p w:rsidR="00361829" w:rsidRPr="00A03684" w:rsidRDefault="00361829" w:rsidP="007611D9">
            <w:pPr>
              <w:pStyle w:val="TableText"/>
            </w:pPr>
            <w:r w:rsidRPr="00A03684">
              <w:t>Highly intensive and eligible to receive 90% of emissions costs</w:t>
            </w:r>
            <w:r w:rsidR="001F5B6F" w:rsidRPr="00A03684">
              <w:t xml:space="preserve"> (the phase-out </w:t>
            </w:r>
            <w:r w:rsidR="00591056" w:rsidRPr="00A03684">
              <w:t xml:space="preserve">cut </w:t>
            </w:r>
            <w:r w:rsidR="001F5B6F" w:rsidRPr="00A03684">
              <w:t>this to 89% in 2021)</w:t>
            </w:r>
          </w:p>
        </w:tc>
      </w:tr>
    </w:tbl>
    <w:p w:rsidR="00361829" w:rsidRPr="00A03684" w:rsidRDefault="00361829" w:rsidP="002A10C1">
      <w:pPr>
        <w:pStyle w:val="Heading3"/>
        <w:spacing w:before="480"/>
        <w:rPr>
          <w:rFonts w:eastAsiaTheme="minorEastAsia" w:cstheme="minorBidi"/>
          <w:b w:val="0"/>
          <w:bCs w:val="0"/>
          <w:sz w:val="22"/>
        </w:rPr>
      </w:pPr>
      <w:r w:rsidRPr="00A03684">
        <w:t>Allocation calculation</w:t>
      </w:r>
    </w:p>
    <w:p w:rsidR="00361829" w:rsidRPr="00A03684" w:rsidRDefault="00361829" w:rsidP="002A10C1">
      <w:pPr>
        <w:pStyle w:val="Heading5"/>
      </w:pPr>
      <w:r w:rsidRPr="00A03684">
        <w:t>Allocative baselines</w:t>
      </w:r>
    </w:p>
    <w:p w:rsidR="00361829" w:rsidRPr="00A03684" w:rsidRDefault="00DD04ED" w:rsidP="002A10C1">
      <w:pPr>
        <w:pStyle w:val="BodyText"/>
      </w:pPr>
      <w:r w:rsidRPr="00A03684">
        <w:t>Allocations are calculated using</w:t>
      </w:r>
      <w:r w:rsidR="00361829" w:rsidRPr="00A03684">
        <w:t xml:space="preserve"> an allocative baseline, which is the amount of emissions attributed to a unit of product. </w:t>
      </w:r>
      <w:r w:rsidRPr="00A03684">
        <w:t>Most activities have</w:t>
      </w:r>
      <w:r w:rsidR="00361829" w:rsidRPr="00A03684">
        <w:t xml:space="preserve"> a single baseline</w:t>
      </w:r>
      <w:r w:rsidR="00591056" w:rsidRPr="00A03684">
        <w:t>. H</w:t>
      </w:r>
      <w:r w:rsidR="00361829" w:rsidRPr="00A03684">
        <w:t>owever, some have two</w:t>
      </w:r>
      <w:r w:rsidR="00503181">
        <w:t> </w:t>
      </w:r>
      <w:r w:rsidR="00361829" w:rsidRPr="00A03684">
        <w:t>or more</w:t>
      </w:r>
      <w:r w:rsidR="00591056" w:rsidRPr="00A03684">
        <w:t>,</w:t>
      </w:r>
      <w:r w:rsidR="00361829" w:rsidRPr="00A03684">
        <w:t xml:space="preserve"> reflecting the</w:t>
      </w:r>
      <w:r w:rsidR="00591056" w:rsidRPr="00A03684">
        <w:t>ir</w:t>
      </w:r>
      <w:r w:rsidR="00361829" w:rsidRPr="00A03684">
        <w:t xml:space="preserve"> </w:t>
      </w:r>
      <w:r w:rsidR="00AD4F11" w:rsidRPr="00A03684">
        <w:t>intermediate products</w:t>
      </w:r>
      <w:r w:rsidR="00E64F87" w:rsidRPr="00A03684">
        <w:t xml:space="preserve"> or inputs</w:t>
      </w:r>
      <w:r w:rsidR="00AD4F11" w:rsidRPr="00A03684">
        <w:t xml:space="preserve">. </w:t>
      </w:r>
      <w:r w:rsidR="00591056" w:rsidRPr="00A03684">
        <w:t xml:space="preserve">The </w:t>
      </w:r>
      <w:r w:rsidR="00361829" w:rsidRPr="00A03684">
        <w:t xml:space="preserve">baselines are calculated at the national sector level. </w:t>
      </w:r>
    </w:p>
    <w:p w:rsidR="00361829" w:rsidRPr="00A03684" w:rsidRDefault="00361829" w:rsidP="002A10C1">
      <w:pPr>
        <w:pStyle w:val="Heading5"/>
      </w:pPr>
      <w:r w:rsidRPr="00A03684">
        <w:t>Calculation of allocation</w:t>
      </w:r>
    </w:p>
    <w:p w:rsidR="00361829" w:rsidRPr="00A03684" w:rsidRDefault="00361829" w:rsidP="007611D9">
      <w:pPr>
        <w:pStyle w:val="BodyText"/>
      </w:pPr>
      <w:r w:rsidRPr="00A03684">
        <w:t>A firm’s allocation is calculated using the formula:</w:t>
      </w:r>
    </w:p>
    <w:p w:rsidR="00361829" w:rsidRPr="00A03684" w:rsidRDefault="00361829" w:rsidP="002A10C1">
      <w:pPr>
        <w:pStyle w:val="BodyText"/>
        <w:spacing w:before="0"/>
      </w:pPr>
      <m:oMathPara>
        <m:oMath>
          <m:r>
            <w:rPr>
              <w:rFonts w:ascii="Cambria Math" w:hAnsi="Cambria Math"/>
            </w:rPr>
            <m:t>A=P x AB x LA</m:t>
          </m:r>
        </m:oMath>
      </m:oMathPara>
    </w:p>
    <w:p w:rsidR="00361829" w:rsidRPr="00A03684" w:rsidRDefault="00DD04ED" w:rsidP="007611D9">
      <w:pPr>
        <w:pStyle w:val="BodyText"/>
      </w:pPr>
      <w:r w:rsidRPr="00A03684">
        <w:t>W</w:t>
      </w:r>
      <w:r w:rsidR="00361829" w:rsidRPr="00A03684">
        <w:t>here</w:t>
      </w:r>
      <w:r w:rsidRPr="00A03684">
        <w:t>:</w:t>
      </w:r>
    </w:p>
    <w:p w:rsidR="00361829" w:rsidRPr="00A03684" w:rsidRDefault="00361829" w:rsidP="002A10C1">
      <w:pPr>
        <w:pStyle w:val="Bullet"/>
      </w:pPr>
      <w:r w:rsidRPr="00A03684">
        <w:rPr>
          <w:i/>
          <w:iCs/>
        </w:rPr>
        <w:t>A</w:t>
      </w:r>
      <w:r w:rsidRPr="00A03684">
        <w:t xml:space="preserve"> is the firm’s allocation for a single product (NZUs)</w:t>
      </w:r>
    </w:p>
    <w:p w:rsidR="00361829" w:rsidRPr="00A03684" w:rsidRDefault="00361829" w:rsidP="002A10C1">
      <w:pPr>
        <w:pStyle w:val="Bullet"/>
      </w:pPr>
      <w:r w:rsidRPr="00A03684">
        <w:rPr>
          <w:i/>
          <w:iCs/>
        </w:rPr>
        <w:t>P</w:t>
      </w:r>
      <w:r w:rsidRPr="00A03684">
        <w:t xml:space="preserve"> is the firm’s total production of the product (typically in tonnes)</w:t>
      </w:r>
    </w:p>
    <w:p w:rsidR="00361829" w:rsidRPr="00A03684" w:rsidRDefault="00361829" w:rsidP="002A10C1">
      <w:pPr>
        <w:pStyle w:val="Bullet"/>
      </w:pPr>
      <w:r w:rsidRPr="00A03684">
        <w:rPr>
          <w:i/>
          <w:iCs/>
        </w:rPr>
        <w:t>AB</w:t>
      </w:r>
      <w:r w:rsidRPr="00A03684">
        <w:t xml:space="preserve"> is the allocative baseline for the product (t CO</w:t>
      </w:r>
      <w:r w:rsidRPr="00A03684">
        <w:rPr>
          <w:vertAlign w:val="subscript"/>
        </w:rPr>
        <w:t>2</w:t>
      </w:r>
      <w:r w:rsidRPr="00A03684">
        <w:t>-e/t product)</w:t>
      </w:r>
    </w:p>
    <w:p w:rsidR="00361829" w:rsidRPr="00A03684" w:rsidRDefault="00361829" w:rsidP="002A10C1">
      <w:pPr>
        <w:pStyle w:val="Bullet"/>
      </w:pPr>
      <w:r w:rsidRPr="00A03684">
        <w:rPr>
          <w:i/>
          <w:iCs/>
        </w:rPr>
        <w:t>LA</w:t>
      </w:r>
      <w:r w:rsidRPr="00A03684">
        <w:t xml:space="preserve"> is the level of assistance a particular activity receives (</w:t>
      </w:r>
      <w:r w:rsidR="00030E80" w:rsidRPr="00A03684">
        <w:t>0.59</w:t>
      </w:r>
      <w:r w:rsidRPr="00A03684">
        <w:t xml:space="preserve"> or </w:t>
      </w:r>
      <w:r w:rsidR="00030E80" w:rsidRPr="00A03684">
        <w:t>0.89</w:t>
      </w:r>
      <w:r w:rsidRPr="00A03684">
        <w:t xml:space="preserve"> as based on the emissions intensity thresholds</w:t>
      </w:r>
      <w:r w:rsidR="00636ACF" w:rsidRPr="00A03684">
        <w:t>)</w:t>
      </w:r>
      <w:r w:rsidRPr="00A03684">
        <w:t>.</w:t>
      </w:r>
    </w:p>
    <w:p w:rsidR="00361829" w:rsidRPr="00A03684" w:rsidRDefault="00361829" w:rsidP="00A6566C">
      <w:pPr>
        <w:pStyle w:val="Heading3"/>
        <w:spacing w:before="280"/>
      </w:pPr>
      <w:r w:rsidRPr="00A03684">
        <w:t>Recent changes to industrial allocation policy</w:t>
      </w:r>
    </w:p>
    <w:p w:rsidR="00591056" w:rsidRPr="00A03684" w:rsidRDefault="00361829" w:rsidP="002A10C1">
      <w:pPr>
        <w:pStyle w:val="BodyText"/>
      </w:pPr>
      <w:r w:rsidRPr="00A03684">
        <w:t>The Climate Change Response (Emissions Trading Reform) Amendment Act 20</w:t>
      </w:r>
      <w:r w:rsidR="00AD4F11" w:rsidRPr="00A03684">
        <w:t xml:space="preserve">20 (the ETR Act) introduced a </w:t>
      </w:r>
      <w:r w:rsidR="00CF5663" w:rsidRPr="00A03684">
        <w:t>phase-</w:t>
      </w:r>
      <w:r w:rsidRPr="00A03684">
        <w:t>out of the level of assistance</w:t>
      </w:r>
      <w:r w:rsidR="009B2D14" w:rsidRPr="00A03684">
        <w:t xml:space="preserve"> (LA in the formula above)</w:t>
      </w:r>
      <w:r w:rsidR="00AD4F11" w:rsidRPr="00A03684">
        <w:t xml:space="preserve">. The phase-out rate </w:t>
      </w:r>
      <w:r w:rsidR="00A22813" w:rsidRPr="00A03684">
        <w:t>has</w:t>
      </w:r>
      <w:r w:rsidR="00AD4F11" w:rsidRPr="00A03684">
        <w:t xml:space="preserve"> start</w:t>
      </w:r>
      <w:r w:rsidR="00A22813" w:rsidRPr="00A03684">
        <w:t>ed</w:t>
      </w:r>
      <w:r w:rsidRPr="00A03684">
        <w:t xml:space="preserve"> at a default </w:t>
      </w:r>
      <w:r w:rsidR="000C2F25" w:rsidRPr="00A03684">
        <w:t>rate of one per</w:t>
      </w:r>
      <w:r w:rsidR="007F3C97" w:rsidRPr="00A03684">
        <w:t>cent</w:t>
      </w:r>
      <w:r w:rsidR="000C2F25" w:rsidRPr="00A03684">
        <w:t>age point</w:t>
      </w:r>
      <w:r w:rsidR="007F3C97" w:rsidRPr="00A03684">
        <w:t xml:space="preserve"> </w:t>
      </w:r>
      <w:r w:rsidRPr="00A03684">
        <w:t>e</w:t>
      </w:r>
      <w:r w:rsidR="007F3C97" w:rsidRPr="00A03684">
        <w:t>ach year</w:t>
      </w:r>
      <w:r w:rsidR="00AD4F11" w:rsidRPr="00A03684">
        <w:t xml:space="preserve"> between 2021 and </w:t>
      </w:r>
      <w:r w:rsidRPr="00A03684">
        <w:t xml:space="preserve">2030, </w:t>
      </w:r>
      <w:r w:rsidR="00AD4F11" w:rsidRPr="00A03684">
        <w:t>and</w:t>
      </w:r>
      <w:r w:rsidR="00DD04ED" w:rsidRPr="00A03684">
        <w:t xml:space="preserve"> will</w:t>
      </w:r>
      <w:r w:rsidR="00AD4F11" w:rsidRPr="00A03684">
        <w:t xml:space="preserve"> </w:t>
      </w:r>
      <w:r w:rsidRPr="00A03684">
        <w:t>inc</w:t>
      </w:r>
      <w:r w:rsidR="00AD4F11" w:rsidRPr="00A03684">
        <w:t>rease</w:t>
      </w:r>
      <w:r w:rsidR="000C2F25" w:rsidRPr="00A03684">
        <w:t xml:space="preserve"> to two percentage points </w:t>
      </w:r>
      <w:r w:rsidRPr="00A03684">
        <w:t>(</w:t>
      </w:r>
      <w:r w:rsidR="00AD4F11" w:rsidRPr="00A03684">
        <w:t>0.02) in 2031</w:t>
      </w:r>
      <w:r w:rsidR="00401FF3">
        <w:t>–</w:t>
      </w:r>
      <w:r w:rsidR="00AD4F11" w:rsidRPr="00A03684">
        <w:t xml:space="preserve">40, and then </w:t>
      </w:r>
      <w:r w:rsidR="007F3C97" w:rsidRPr="00A03684">
        <w:t>three</w:t>
      </w:r>
      <w:r w:rsidRPr="00A03684">
        <w:t xml:space="preserve"> </w:t>
      </w:r>
      <w:r w:rsidR="000C2F25" w:rsidRPr="00A03684">
        <w:t>percentage points</w:t>
      </w:r>
      <w:r w:rsidR="00AD4F11" w:rsidRPr="00A03684">
        <w:t xml:space="preserve"> </w:t>
      </w:r>
      <w:r w:rsidRPr="00A03684">
        <w:t>in 2041</w:t>
      </w:r>
      <w:r w:rsidR="00401FF3">
        <w:t>–</w:t>
      </w:r>
      <w:r w:rsidRPr="00A03684">
        <w:t>50</w:t>
      </w:r>
      <w:r w:rsidR="00503181">
        <w:t>.</w:t>
      </w:r>
      <w:r w:rsidR="00F85A68" w:rsidRPr="00A03684">
        <w:rPr>
          <w:rStyle w:val="FootnoteReference"/>
        </w:rPr>
        <w:footnoteReference w:id="7"/>
      </w:r>
      <w:r w:rsidRPr="00A03684">
        <w:t xml:space="preserve"> </w:t>
      </w:r>
    </w:p>
    <w:p w:rsidR="007F3C97" w:rsidRPr="00A03684" w:rsidRDefault="00F85A68" w:rsidP="007611D9">
      <w:pPr>
        <w:pStyle w:val="BodyText"/>
      </w:pPr>
      <w:r w:rsidRPr="00A03684">
        <w:t>Figure 1</w:t>
      </w:r>
      <w:r w:rsidR="007F3C97" w:rsidRPr="00A03684">
        <w:t xml:space="preserve"> shows the phase-out for moderately and highly emissions</w:t>
      </w:r>
      <w:r w:rsidR="00591056" w:rsidRPr="00A03684">
        <w:t>-</w:t>
      </w:r>
      <w:r w:rsidR="007F3C97" w:rsidRPr="00A03684">
        <w:t>intensive activities.</w:t>
      </w:r>
      <w:r w:rsidR="001F5B6F" w:rsidRPr="00A03684">
        <w:t xml:space="preserve"> In 2021 the two levels of assistance are 0.59 and 0.89. </w:t>
      </w:r>
    </w:p>
    <w:p w:rsidR="002A10C1" w:rsidRPr="00A03684" w:rsidRDefault="002A10C1" w:rsidP="002A10C1">
      <w:pPr>
        <w:pStyle w:val="Figureheading"/>
      </w:pPr>
      <w:bookmarkStart w:id="21" w:name="_Toc75262197"/>
      <w:r w:rsidRPr="00A03684">
        <w:t xml:space="preserve">Figure </w:t>
      </w:r>
      <w:r w:rsidR="00494451">
        <w:rPr>
          <w:noProof/>
        </w:rPr>
        <w:fldChar w:fldCharType="begin"/>
      </w:r>
      <w:r w:rsidR="00494451">
        <w:rPr>
          <w:noProof/>
        </w:rPr>
        <w:instrText xml:space="preserve"> SEQ Figure \* ARABIC </w:instrText>
      </w:r>
      <w:r w:rsidR="00494451">
        <w:rPr>
          <w:noProof/>
        </w:rPr>
        <w:fldChar w:fldCharType="separate"/>
      </w:r>
      <w:r w:rsidR="008F6C9F">
        <w:rPr>
          <w:noProof/>
        </w:rPr>
        <w:t>1</w:t>
      </w:r>
      <w:r w:rsidR="00494451">
        <w:rPr>
          <w:noProof/>
        </w:rPr>
        <w:fldChar w:fldCharType="end"/>
      </w:r>
      <w:r w:rsidRPr="00A03684">
        <w:t xml:space="preserve">: </w:t>
      </w:r>
      <w:r w:rsidRPr="00A03684">
        <w:tab/>
        <w:t xml:space="preserve">Phase-out of the level of assistance for moderately and highly </w:t>
      </w:r>
      <w:r w:rsidR="00401FF3">
        <w:br/>
      </w:r>
      <w:r w:rsidRPr="00A03684">
        <w:t>emissions-intensive activities</w:t>
      </w:r>
      <w:bookmarkEnd w:id="21"/>
    </w:p>
    <w:p w:rsidR="00497EA2" w:rsidRPr="00A03684" w:rsidRDefault="00F5720F" w:rsidP="005D1CBF">
      <w:pPr>
        <w:pStyle w:val="BodyText"/>
        <w:keepNext/>
        <w:spacing w:before="60"/>
      </w:pPr>
      <w:r w:rsidRPr="00A03684">
        <w:rPr>
          <w:noProof/>
        </w:rPr>
        <w:drawing>
          <wp:inline distT="0" distB="0" distL="0" distR="0" wp14:anchorId="00D3FEEB" wp14:editId="589E0B6A">
            <wp:extent cx="5347855" cy="2909229"/>
            <wp:effectExtent l="0" t="0" r="5715" b="5715"/>
            <wp:docPr id="2" name="Picture 2"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waterfall chart&#10;&#10;Description automatically generated"/>
                    <pic:cNvPicPr/>
                  </pic:nvPicPr>
                  <pic:blipFill rotWithShape="1">
                    <a:blip r:embed="rId25" cstate="print">
                      <a:extLst>
                        <a:ext uri="{28A0092B-C50C-407E-A947-70E740481C1C}">
                          <a14:useLocalDpi xmlns:a14="http://schemas.microsoft.com/office/drawing/2010/main" val="0"/>
                        </a:ext>
                      </a:extLst>
                    </a:blip>
                    <a:srcRect t="1825" b="1537"/>
                    <a:stretch/>
                  </pic:blipFill>
                  <pic:spPr bwMode="auto">
                    <a:xfrm>
                      <a:off x="0" y="0"/>
                      <a:ext cx="5351677" cy="2911308"/>
                    </a:xfrm>
                    <a:prstGeom prst="rect">
                      <a:avLst/>
                    </a:prstGeom>
                    <a:ln>
                      <a:noFill/>
                    </a:ln>
                    <a:extLst>
                      <a:ext uri="{53640926-AAD7-44D8-BBD7-CCE9431645EC}">
                        <a14:shadowObscured xmlns:a14="http://schemas.microsoft.com/office/drawing/2010/main"/>
                      </a:ext>
                    </a:extLst>
                  </pic:spPr>
                </pic:pic>
              </a:graphicData>
            </a:graphic>
          </wp:inline>
        </w:drawing>
      </w:r>
    </w:p>
    <w:p w:rsidR="00F85A68" w:rsidRPr="00A03684" w:rsidRDefault="00361829" w:rsidP="007611D9">
      <w:pPr>
        <w:pStyle w:val="BodyText"/>
      </w:pPr>
      <w:r w:rsidRPr="00A03684">
        <w:t xml:space="preserve">The ETR Act also </w:t>
      </w:r>
      <w:r w:rsidR="00591056" w:rsidRPr="00A03684">
        <w:t>enabled</w:t>
      </w:r>
      <w:r w:rsidRPr="00A03684">
        <w:t xml:space="preserve"> the </w:t>
      </w:r>
      <w:r w:rsidR="00591056" w:rsidRPr="00A03684">
        <w:t>G</w:t>
      </w:r>
      <w:r w:rsidRPr="00A03684">
        <w:t>overnment to increase the phase-out rates for individual activities after 2025</w:t>
      </w:r>
      <w:r w:rsidR="00591056" w:rsidRPr="00A03684">
        <w:t>,</w:t>
      </w:r>
      <w:r w:rsidRPr="00A03684">
        <w:t xml:space="preserve"> and decrease them after 2030</w:t>
      </w:r>
      <w:r w:rsidR="007F3C97" w:rsidRPr="00A03684">
        <w:t>, based on the recommendations of the Climate Change Commission</w:t>
      </w:r>
      <w:r w:rsidRPr="00A03684">
        <w:t xml:space="preserve">. </w:t>
      </w:r>
    </w:p>
    <w:p w:rsidR="00A6566C" w:rsidRPr="00A03684" w:rsidRDefault="00AD4F11" w:rsidP="00A6566C">
      <w:pPr>
        <w:pStyle w:val="BodyText"/>
      </w:pPr>
      <w:r w:rsidRPr="00A03684">
        <w:t>T</w:t>
      </w:r>
      <w:r w:rsidR="00F85A68" w:rsidRPr="00A03684">
        <w:t xml:space="preserve">he </w:t>
      </w:r>
      <w:r w:rsidR="00591056" w:rsidRPr="00A03684">
        <w:t xml:space="preserve">purpose of the </w:t>
      </w:r>
      <w:r w:rsidR="00F85A68" w:rsidRPr="00A03684">
        <w:t>phase-out</w:t>
      </w:r>
      <w:r w:rsidRPr="00A03684">
        <w:t xml:space="preserve"> was to align allocations with </w:t>
      </w:r>
      <w:r w:rsidR="00361829" w:rsidRPr="00A03684">
        <w:t>New Zealand’s emiss</w:t>
      </w:r>
      <w:r w:rsidR="00F85A68" w:rsidRPr="00A03684">
        <w:t>ions budgets</w:t>
      </w:r>
      <w:r w:rsidR="00361829" w:rsidRPr="00A03684">
        <w:t>.</w:t>
      </w:r>
      <w:r w:rsidR="00E802A4" w:rsidRPr="00A03684">
        <w:t xml:space="preserve"> </w:t>
      </w:r>
      <w:r w:rsidR="00591056" w:rsidRPr="00A03684">
        <w:t>Still</w:t>
      </w:r>
      <w:r w:rsidR="00E802A4" w:rsidRPr="00A03684">
        <w:t>, the</w:t>
      </w:r>
      <w:r w:rsidR="00231122" w:rsidRPr="00A03684">
        <w:t xml:space="preserve"> initial</w:t>
      </w:r>
      <w:r w:rsidR="00E802A4" w:rsidRPr="00A03684">
        <w:t xml:space="preserve"> gradual rate means that highly </w:t>
      </w:r>
      <w:r w:rsidRPr="00A03684">
        <w:t>intensive activities could</w:t>
      </w:r>
      <w:r w:rsidR="00E802A4" w:rsidRPr="00A03684">
        <w:t xml:space="preserve"> </w:t>
      </w:r>
      <w:r w:rsidRPr="00A03684">
        <w:t xml:space="preserve">still </w:t>
      </w:r>
      <w:r w:rsidR="00FB7306" w:rsidRPr="00A03684">
        <w:t>be eligible for a 30</w:t>
      </w:r>
      <w:r w:rsidR="00A6566C" w:rsidRPr="00A03684">
        <w:t> </w:t>
      </w:r>
      <w:r w:rsidR="00FB7306" w:rsidRPr="00A03684">
        <w:t>per</w:t>
      </w:r>
      <w:r w:rsidR="000628EF" w:rsidRPr="00A03684">
        <w:t xml:space="preserve"> </w:t>
      </w:r>
      <w:r w:rsidR="00E802A4" w:rsidRPr="00A03684">
        <w:t xml:space="preserve">cent level of assistance in 2050. The prospect of firms still receiving an allocation </w:t>
      </w:r>
      <w:r w:rsidR="00930CA4" w:rsidRPr="00A03684">
        <w:t xml:space="preserve">at this time is </w:t>
      </w:r>
      <w:r w:rsidR="000628EF" w:rsidRPr="00A03684">
        <w:t>in</w:t>
      </w:r>
      <w:r w:rsidR="00930CA4" w:rsidRPr="00A03684">
        <w:t xml:space="preserve">consistent with </w:t>
      </w:r>
      <w:r w:rsidR="00591056" w:rsidRPr="00A03684">
        <w:t>our</w:t>
      </w:r>
      <w:r w:rsidR="00930CA4" w:rsidRPr="00A03684">
        <w:t xml:space="preserve"> long-term</w:t>
      </w:r>
      <w:r w:rsidR="003F0464" w:rsidRPr="00A03684">
        <w:t xml:space="preserve"> climate change</w:t>
      </w:r>
      <w:r w:rsidR="00930CA4" w:rsidRPr="00A03684">
        <w:t xml:space="preserve"> goals. </w:t>
      </w:r>
    </w:p>
    <w:p w:rsidR="00361829" w:rsidRPr="00A03684" w:rsidRDefault="008D133C" w:rsidP="00AE11A0">
      <w:pPr>
        <w:pStyle w:val="Heading1"/>
        <w:pageBreakBefore/>
      </w:pPr>
      <w:bookmarkStart w:id="22" w:name="_Toc75336455"/>
      <w:r>
        <w:t xml:space="preserve">Section </w:t>
      </w:r>
      <w:r w:rsidR="00361829" w:rsidRPr="00A03684">
        <w:t>2</w:t>
      </w:r>
      <w:r>
        <w:t xml:space="preserve">: </w:t>
      </w:r>
      <w:r w:rsidR="00361829" w:rsidRPr="00A03684">
        <w:t>Problem definition and</w:t>
      </w:r>
      <w:r>
        <w:t> </w:t>
      </w:r>
      <w:r w:rsidR="00361829" w:rsidRPr="00A03684">
        <w:t>objectives</w:t>
      </w:r>
      <w:bookmarkEnd w:id="22"/>
    </w:p>
    <w:p w:rsidR="00361829" w:rsidRPr="00A03684" w:rsidRDefault="00361829" w:rsidP="00A6566C">
      <w:pPr>
        <w:pStyle w:val="BodyText"/>
      </w:pPr>
      <w:r w:rsidRPr="00A03684">
        <w:t>This sectio</w:t>
      </w:r>
      <w:r w:rsidR="00DD7241" w:rsidRPr="00A03684">
        <w:t xml:space="preserve">n </w:t>
      </w:r>
      <w:r w:rsidR="00395DBD" w:rsidRPr="00A03684">
        <w:t>discusses</w:t>
      </w:r>
      <w:r w:rsidR="00DD7241" w:rsidRPr="00A03684">
        <w:t xml:space="preserve"> </w:t>
      </w:r>
      <w:r w:rsidR="00395DBD" w:rsidRPr="00A03684">
        <w:t>the problem</w:t>
      </w:r>
      <w:r w:rsidR="000C2F25" w:rsidRPr="00A03684">
        <w:t>s</w:t>
      </w:r>
      <w:r w:rsidR="00395DBD" w:rsidRPr="00A03684">
        <w:t xml:space="preserve"> with </w:t>
      </w:r>
      <w:r w:rsidRPr="00A03684">
        <w:t xml:space="preserve">current </w:t>
      </w:r>
      <w:r w:rsidR="000547B9" w:rsidRPr="00A03684">
        <w:t>IA</w:t>
      </w:r>
      <w:r w:rsidR="00395DBD" w:rsidRPr="00A03684">
        <w:t xml:space="preserve"> </w:t>
      </w:r>
      <w:r w:rsidRPr="00A03684">
        <w:t>settings</w:t>
      </w:r>
      <w:r w:rsidR="000547B9" w:rsidRPr="00A03684">
        <w:t>,</w:t>
      </w:r>
      <w:r w:rsidRPr="00A03684">
        <w:t xml:space="preserve"> </w:t>
      </w:r>
      <w:r w:rsidR="005400AD" w:rsidRPr="00A03684">
        <w:t>and the purpose of the review</w:t>
      </w:r>
      <w:r w:rsidRPr="00A03684">
        <w:t>. It also des</w:t>
      </w:r>
      <w:r w:rsidR="00DD7241" w:rsidRPr="00A03684">
        <w:t>cribes the</w:t>
      </w:r>
      <w:r w:rsidRPr="00A03684">
        <w:t xml:space="preserve"> objectives for </w:t>
      </w:r>
      <w:r w:rsidR="001437FD" w:rsidRPr="00A03684">
        <w:t>IA</w:t>
      </w:r>
      <w:r w:rsidR="00B2467C" w:rsidRPr="00A03684">
        <w:t xml:space="preserve"> policy, and the</w:t>
      </w:r>
      <w:r w:rsidR="00DD7241" w:rsidRPr="00A03684">
        <w:t xml:space="preserve"> criteria</w:t>
      </w:r>
      <w:r w:rsidR="00B2467C" w:rsidRPr="00A03684">
        <w:t xml:space="preserve"> used</w:t>
      </w:r>
      <w:r w:rsidR="00DD7241" w:rsidRPr="00A03684">
        <w:t xml:space="preserve"> </w:t>
      </w:r>
      <w:r w:rsidRPr="00A03684">
        <w:t>to assess t</w:t>
      </w:r>
      <w:r w:rsidR="005400AD" w:rsidRPr="00A03684">
        <w:t>he proposals in th</w:t>
      </w:r>
      <w:r w:rsidR="000628EF" w:rsidRPr="00A03684">
        <w:t>is</w:t>
      </w:r>
      <w:r w:rsidR="005400AD" w:rsidRPr="00A03684">
        <w:t xml:space="preserve"> </w:t>
      </w:r>
      <w:r w:rsidR="00C43367">
        <w:t>consultation</w:t>
      </w:r>
      <w:r w:rsidR="00C43367" w:rsidRPr="00A03684">
        <w:t xml:space="preserve"> </w:t>
      </w:r>
      <w:r w:rsidRPr="00A03684">
        <w:t xml:space="preserve">document. </w:t>
      </w:r>
    </w:p>
    <w:p w:rsidR="00361829" w:rsidRPr="00A03684" w:rsidRDefault="001437FD" w:rsidP="006430F4">
      <w:pPr>
        <w:pStyle w:val="Heading2"/>
        <w:spacing w:before="280"/>
      </w:pPr>
      <w:bookmarkStart w:id="23" w:name="_Toc75336456"/>
      <w:bookmarkStart w:id="24" w:name="_Hlk73554623"/>
      <w:r w:rsidRPr="00A03684">
        <w:t>O</w:t>
      </w:r>
      <w:r w:rsidR="00231122" w:rsidRPr="00A03684">
        <w:t>ver-allocation and in</w:t>
      </w:r>
      <w:r w:rsidR="00DD7241" w:rsidRPr="00A03684">
        <w:t>consisten</w:t>
      </w:r>
      <w:r w:rsidRPr="00A03684">
        <w:t>cy</w:t>
      </w:r>
      <w:r w:rsidR="00DD7241" w:rsidRPr="00A03684">
        <w:t xml:space="preserve"> with</w:t>
      </w:r>
      <w:r w:rsidR="00395DBD" w:rsidRPr="00A03684">
        <w:t xml:space="preserve"> </w:t>
      </w:r>
      <w:r w:rsidR="00DD7241" w:rsidRPr="00A03684">
        <w:t>climate targets</w:t>
      </w:r>
      <w:bookmarkEnd w:id="23"/>
    </w:p>
    <w:p w:rsidR="00361829" w:rsidRPr="00A03684" w:rsidRDefault="00361829" w:rsidP="00A6566C">
      <w:pPr>
        <w:pStyle w:val="Heading3"/>
        <w:spacing w:before="240"/>
      </w:pPr>
      <w:r w:rsidRPr="00A03684">
        <w:t>Over-allocation</w:t>
      </w:r>
    </w:p>
    <w:p w:rsidR="00300DF0" w:rsidRPr="00A03684" w:rsidRDefault="00300DF0" w:rsidP="00300DF0">
      <w:pPr>
        <w:pStyle w:val="BodyText"/>
      </w:pPr>
      <w:r w:rsidRPr="00A03684">
        <w:t xml:space="preserve">Over-allocation can be hard to conceptualise because </w:t>
      </w:r>
      <w:r w:rsidR="001437FD" w:rsidRPr="00A03684">
        <w:t xml:space="preserve">of </w:t>
      </w:r>
      <w:r w:rsidRPr="00A03684">
        <w:t xml:space="preserve">competing but valid </w:t>
      </w:r>
      <w:r w:rsidR="001437FD" w:rsidRPr="00A03684">
        <w:t>interpretations</w:t>
      </w:r>
      <w:r w:rsidRPr="00A03684">
        <w:t xml:space="preserve">. This creates tension when considering the purpose of </w:t>
      </w:r>
      <w:r w:rsidR="001437FD" w:rsidRPr="00A03684">
        <w:t>IA</w:t>
      </w:r>
      <w:r w:rsidRPr="00A03684">
        <w:t xml:space="preserve"> policy, as over-allocation can be seen as both a problem and benefit.</w:t>
      </w:r>
    </w:p>
    <w:p w:rsidR="001437FD" w:rsidRPr="00A03684" w:rsidRDefault="000F3F7C" w:rsidP="00300DF0">
      <w:pPr>
        <w:pStyle w:val="BodyText"/>
      </w:pPr>
      <w:r w:rsidRPr="00A03684">
        <w:t>Here we</w:t>
      </w:r>
      <w:r w:rsidR="00300DF0" w:rsidRPr="00A03684">
        <w:t xml:space="preserve"> consider two interpretations of over-allocation: </w:t>
      </w:r>
    </w:p>
    <w:p w:rsidR="001437FD" w:rsidRPr="00A03684" w:rsidRDefault="00300DF0" w:rsidP="00614C21">
      <w:pPr>
        <w:pStyle w:val="Numberedparagraph"/>
        <w:numPr>
          <w:ilvl w:val="0"/>
          <w:numId w:val="31"/>
        </w:numPr>
      </w:pPr>
      <w:r w:rsidRPr="00A03684">
        <w:t>an allocation greater than intended</w:t>
      </w:r>
      <w:r w:rsidR="00723856" w:rsidRPr="00A03684">
        <w:t>,</w:t>
      </w:r>
      <w:r w:rsidRPr="00A03684">
        <w:t xml:space="preserve"> to reduce the risk of leakage</w:t>
      </w:r>
    </w:p>
    <w:p w:rsidR="00300DF0" w:rsidRPr="00A03684" w:rsidRDefault="00300DF0" w:rsidP="00A6566C">
      <w:pPr>
        <w:pStyle w:val="Numberedparagraph"/>
      </w:pPr>
      <w:r w:rsidRPr="00A03684">
        <w:t xml:space="preserve">an allocation that </w:t>
      </w:r>
      <w:r w:rsidR="001437FD" w:rsidRPr="00A03684">
        <w:t xml:space="preserve">encourages firms to reduce </w:t>
      </w:r>
      <w:r w:rsidRPr="00A03684">
        <w:t xml:space="preserve">emissions </w:t>
      </w:r>
      <w:r w:rsidR="001437FD" w:rsidRPr="00A03684">
        <w:t xml:space="preserve">by </w:t>
      </w:r>
      <w:r w:rsidR="00723856" w:rsidRPr="00A03684">
        <w:t>lowering</w:t>
      </w:r>
      <w:r w:rsidR="000547B9" w:rsidRPr="00A03684">
        <w:t xml:space="preserve"> </w:t>
      </w:r>
      <w:r w:rsidR="001437FD" w:rsidRPr="00A03684">
        <w:t>the</w:t>
      </w:r>
      <w:r w:rsidR="00591D92" w:rsidRPr="00A03684">
        <w:t xml:space="preserve"> emissions</w:t>
      </w:r>
      <w:r w:rsidR="001437FD" w:rsidRPr="00A03684">
        <w:t xml:space="preserve"> </w:t>
      </w:r>
      <w:r w:rsidRPr="00A03684">
        <w:t>intensity.</w:t>
      </w:r>
    </w:p>
    <w:p w:rsidR="00300DF0" w:rsidRPr="00A03684" w:rsidRDefault="001437FD" w:rsidP="007412EE">
      <w:pPr>
        <w:pStyle w:val="Heading5"/>
      </w:pPr>
      <w:r w:rsidRPr="00A03684">
        <w:t>Allocations</w:t>
      </w:r>
      <w:r w:rsidR="000547B9" w:rsidRPr="00A03684">
        <w:t xml:space="preserve"> </w:t>
      </w:r>
      <w:r w:rsidR="00300DF0" w:rsidRPr="00A03684">
        <w:t>greater than intended to reduce the risk of leakage</w:t>
      </w:r>
    </w:p>
    <w:p w:rsidR="00300DF0" w:rsidRPr="00A03684" w:rsidRDefault="00300DF0" w:rsidP="00300DF0">
      <w:pPr>
        <w:pStyle w:val="BodyText"/>
      </w:pPr>
      <w:r w:rsidRPr="00A03684">
        <w:t>The Government has collected evidence that some activities are receiving allocations greater than is intended</w:t>
      </w:r>
      <w:r w:rsidR="000547B9" w:rsidRPr="00A03684">
        <w:t>,</w:t>
      </w:r>
      <w:r w:rsidRPr="00A03684">
        <w:t xml:space="preserve"> to minimise the risk of emissions leakage. An example would be a highly intensive activity receiving an allocation equal to 91 per</w:t>
      </w:r>
      <w:r w:rsidR="00B81464" w:rsidRPr="00A03684">
        <w:t xml:space="preserve"> </w:t>
      </w:r>
      <w:r w:rsidRPr="00A03684">
        <w:t>cent of its actual NZ ETS costs – when the policy intent is for an 89 per cent allocation.</w:t>
      </w:r>
    </w:p>
    <w:p w:rsidR="00300DF0" w:rsidRPr="00A03684" w:rsidRDefault="00300DF0" w:rsidP="00300DF0">
      <w:pPr>
        <w:pStyle w:val="BodyText"/>
      </w:pPr>
      <w:r w:rsidRPr="00A03684">
        <w:t xml:space="preserve">This form of over-allocation is not caused by the incorrect application of current legislation, but rather </w:t>
      </w:r>
      <w:r w:rsidR="00B81464" w:rsidRPr="00A03684">
        <w:t xml:space="preserve">by </w:t>
      </w:r>
      <w:r w:rsidRPr="00A03684">
        <w:t>out-of-date policy settings, and emissions</w:t>
      </w:r>
      <w:r w:rsidR="00B81464" w:rsidRPr="00A03684">
        <w:t>-</w:t>
      </w:r>
      <w:r w:rsidRPr="00A03684">
        <w:t>intensity improvements made by EITE</w:t>
      </w:r>
      <w:r w:rsidR="00F073FC" w:rsidRPr="00A03684">
        <w:t> </w:t>
      </w:r>
      <w:r w:rsidRPr="00A03684">
        <w:t xml:space="preserve">firms since allocative baselines and eligibility were set in 2010. The Act anchors eligibility and baselines to revenue, emissions and production data from the financial years 2006/07, 2007/08 and 2008/09. Over-allocation results when firms have been able to maintain a fixed level of allocation while reducing their emissions intensity. </w:t>
      </w:r>
    </w:p>
    <w:p w:rsidR="00300DF0" w:rsidRPr="00A03684" w:rsidRDefault="00300DF0" w:rsidP="007412EE">
      <w:pPr>
        <w:pStyle w:val="Heading5"/>
      </w:pPr>
      <w:r w:rsidRPr="00A03684">
        <w:t xml:space="preserve">Output and </w:t>
      </w:r>
      <w:r w:rsidR="000628EF" w:rsidRPr="00A03684">
        <w:t>intensity-based</w:t>
      </w:r>
      <w:r w:rsidRPr="00A03684">
        <w:t xml:space="preserve"> allocations </w:t>
      </w:r>
      <w:r w:rsidR="00B81464" w:rsidRPr="00A03684">
        <w:t xml:space="preserve">that </w:t>
      </w:r>
      <w:r w:rsidR="000F3F7C" w:rsidRPr="00A03684">
        <w:t>promote</w:t>
      </w:r>
      <w:r w:rsidRPr="00A03684">
        <w:t xml:space="preserve"> </w:t>
      </w:r>
      <w:r w:rsidR="001437FD" w:rsidRPr="00A03684">
        <w:t>lower</w:t>
      </w:r>
      <w:r w:rsidRPr="00A03684">
        <w:t xml:space="preserve"> intensity</w:t>
      </w:r>
    </w:p>
    <w:p w:rsidR="00300DF0" w:rsidRPr="00A03684" w:rsidRDefault="00300DF0" w:rsidP="00300DF0">
      <w:pPr>
        <w:pStyle w:val="BodyText"/>
      </w:pPr>
      <w:r w:rsidRPr="00A03684">
        <w:t>Th</w:t>
      </w:r>
      <w:r w:rsidR="00B81464" w:rsidRPr="00A03684">
        <w:t>is</w:t>
      </w:r>
      <w:r w:rsidR="000547B9" w:rsidRPr="00A03684">
        <w:t xml:space="preserve"> </w:t>
      </w:r>
      <w:r w:rsidRPr="00A03684">
        <w:t xml:space="preserve">alternative </w:t>
      </w:r>
      <w:r w:rsidR="00B81464" w:rsidRPr="00A03684">
        <w:t xml:space="preserve">interpretation </w:t>
      </w:r>
      <w:r w:rsidRPr="00A03684">
        <w:t>sees over-allocation as a benefit and not a problem. Th</w:t>
      </w:r>
      <w:r w:rsidR="007C3ABA" w:rsidRPr="00A03684">
        <w:t>e</w:t>
      </w:r>
      <w:r w:rsidRPr="00A03684">
        <w:t xml:space="preserve"> incentive </w:t>
      </w:r>
      <w:r w:rsidR="007C3ABA" w:rsidRPr="00A03684">
        <w:t xml:space="preserve">for EITE firms </w:t>
      </w:r>
      <w:r w:rsidRPr="00A03684">
        <w:t>comes from being able to sell surplus units above the intended level of</w:t>
      </w:r>
      <w:r w:rsidR="007412EE" w:rsidRPr="00A03684">
        <w:t> </w:t>
      </w:r>
      <w:r w:rsidRPr="00A03684">
        <w:t xml:space="preserve">assistance and profit. The assumption is that firms use allocations to invest in further </w:t>
      </w:r>
      <w:r w:rsidR="007C3ABA" w:rsidRPr="00A03684">
        <w:t xml:space="preserve">improvements in </w:t>
      </w:r>
      <w:r w:rsidRPr="00A03684">
        <w:t>energy and emissions intensity.</w:t>
      </w:r>
      <w:r w:rsidR="00A03684" w:rsidRPr="00A03684">
        <w:t xml:space="preserve"> </w:t>
      </w:r>
    </w:p>
    <w:p w:rsidR="003F6E52" w:rsidRPr="00A03684" w:rsidRDefault="00300DF0" w:rsidP="00300DF0">
      <w:pPr>
        <w:pStyle w:val="BodyText"/>
      </w:pPr>
      <w:r w:rsidRPr="00A03684">
        <w:t xml:space="preserve">Over-allocation </w:t>
      </w:r>
      <w:r w:rsidR="007C3ABA" w:rsidRPr="00A03684">
        <w:t xml:space="preserve">in </w:t>
      </w:r>
      <w:r w:rsidRPr="00A03684">
        <w:t>these circumstances would support New Zealand’s emissions reduction and</w:t>
      </w:r>
      <w:r w:rsidR="005D3712">
        <w:t> </w:t>
      </w:r>
      <w:r w:rsidRPr="00A03684">
        <w:t xml:space="preserve">economic goals. There would be a case, then, to retain current </w:t>
      </w:r>
      <w:r w:rsidR="001437FD" w:rsidRPr="00A03684">
        <w:t>IA</w:t>
      </w:r>
      <w:r w:rsidRPr="00A03684">
        <w:t xml:space="preserve"> settings to maintain the</w:t>
      </w:r>
      <w:r w:rsidR="005D3712">
        <w:t> </w:t>
      </w:r>
      <w:r w:rsidRPr="00A03684">
        <w:t xml:space="preserve">incentive </w:t>
      </w:r>
      <w:r w:rsidR="007C3ABA" w:rsidRPr="00A03684">
        <w:t xml:space="preserve">to reduce </w:t>
      </w:r>
      <w:r w:rsidRPr="00A03684">
        <w:t>intensity.</w:t>
      </w:r>
    </w:p>
    <w:p w:rsidR="00300DF0" w:rsidRPr="00A03684" w:rsidRDefault="007C3ABA" w:rsidP="007412EE">
      <w:pPr>
        <w:pStyle w:val="Heading5"/>
      </w:pPr>
      <w:r w:rsidRPr="00A03684">
        <w:t>O</w:t>
      </w:r>
      <w:r w:rsidR="00300DF0" w:rsidRPr="00A03684">
        <w:t xml:space="preserve">ver-allocation </w:t>
      </w:r>
      <w:r w:rsidRPr="00A03684">
        <w:t xml:space="preserve">risks </w:t>
      </w:r>
      <w:r w:rsidR="00300DF0" w:rsidRPr="00A03684">
        <w:t>outweigh the benefits</w:t>
      </w:r>
    </w:p>
    <w:p w:rsidR="00300DF0" w:rsidRPr="00A03684" w:rsidRDefault="00300DF0" w:rsidP="00300DF0">
      <w:pPr>
        <w:pStyle w:val="BodyText"/>
      </w:pPr>
      <w:r w:rsidRPr="00A03684">
        <w:t xml:space="preserve">The Government accepts that output and </w:t>
      </w:r>
      <w:r w:rsidR="000628EF" w:rsidRPr="00A03684">
        <w:t>intensity-based</w:t>
      </w:r>
      <w:r w:rsidRPr="00A03684">
        <w:t xml:space="preserve"> allocation can theoretically </w:t>
      </w:r>
      <w:r w:rsidR="00732EB9" w:rsidRPr="00A03684">
        <w:t>promote</w:t>
      </w:r>
      <w:r w:rsidR="007C3ABA" w:rsidRPr="00A03684">
        <w:t xml:space="preserve"> lower </w:t>
      </w:r>
      <w:r w:rsidRPr="00A03684">
        <w:t xml:space="preserve">emissions. Some EITE firms have said </w:t>
      </w:r>
      <w:r w:rsidR="00732EB9" w:rsidRPr="00A03684">
        <w:t>they invested in</w:t>
      </w:r>
      <w:r w:rsidRPr="00A03684">
        <w:t xml:space="preserve"> low</w:t>
      </w:r>
      <w:r w:rsidR="00732EB9" w:rsidRPr="00A03684">
        <w:t xml:space="preserve">er </w:t>
      </w:r>
      <w:r w:rsidRPr="00A03684">
        <w:t>emissions</w:t>
      </w:r>
      <w:r w:rsidR="00EF4906">
        <w:t xml:space="preserve"> technology</w:t>
      </w:r>
      <w:r w:rsidRPr="00A03684">
        <w:t xml:space="preserve"> because of the prospective financial returns from </w:t>
      </w:r>
      <w:r w:rsidR="001437FD" w:rsidRPr="00A03684">
        <w:t>IA</w:t>
      </w:r>
      <w:r w:rsidRPr="00A03684">
        <w:t>, and future investments depend on allocations that are not held against future NZ ETS costs.</w:t>
      </w:r>
    </w:p>
    <w:p w:rsidR="00300DF0" w:rsidRPr="00A03684" w:rsidRDefault="00300DF0" w:rsidP="0033322D">
      <w:pPr>
        <w:pStyle w:val="BodyText"/>
        <w:spacing w:after="100"/>
      </w:pPr>
      <w:r w:rsidRPr="00A03684">
        <w:t xml:space="preserve">However, the </w:t>
      </w:r>
      <w:r w:rsidR="00732EB9" w:rsidRPr="00A03684">
        <w:t>G</w:t>
      </w:r>
      <w:r w:rsidRPr="00A03684">
        <w:t xml:space="preserve">overnment has limited evidence of </w:t>
      </w:r>
      <w:r w:rsidR="001437FD" w:rsidRPr="00A03684">
        <w:t>IA</w:t>
      </w:r>
      <w:r w:rsidRPr="00A03684">
        <w:t xml:space="preserve"> leading to investment in </w:t>
      </w:r>
      <w:r w:rsidR="00732EB9" w:rsidRPr="00A03684">
        <w:t xml:space="preserve">lower </w:t>
      </w:r>
      <w:r w:rsidRPr="00A03684">
        <w:t>emissions. It would also be difficult to separate business</w:t>
      </w:r>
      <w:r w:rsidR="00F1085A" w:rsidRPr="00A03684">
        <w:t>-</w:t>
      </w:r>
      <w:r w:rsidRPr="00A03684">
        <w:t>as</w:t>
      </w:r>
      <w:r w:rsidR="00F1085A" w:rsidRPr="00A03684">
        <w:t>-</w:t>
      </w:r>
      <w:r w:rsidRPr="00A03684">
        <w:t xml:space="preserve">usual improvements and those that </w:t>
      </w:r>
      <w:r w:rsidR="00732EB9" w:rsidRPr="00A03684">
        <w:t>depend on</w:t>
      </w:r>
      <w:r w:rsidR="000C3A90">
        <w:t> </w:t>
      </w:r>
      <w:r w:rsidRPr="00A03684">
        <w:t xml:space="preserve">allocation. This is because investments that </w:t>
      </w:r>
      <w:r w:rsidR="00F0031A" w:rsidRPr="00A03684">
        <w:t>reduce</w:t>
      </w:r>
      <w:r w:rsidRPr="00A03684">
        <w:t xml:space="preserve"> intensity often have financial drivers, other than </w:t>
      </w:r>
      <w:r w:rsidR="001437FD" w:rsidRPr="00A03684">
        <w:t>IA</w:t>
      </w:r>
      <w:r w:rsidRPr="00A03684">
        <w:t>. It is difficult to justify maintaining over-allocation</w:t>
      </w:r>
      <w:r w:rsidR="00F1085A" w:rsidRPr="00A03684">
        <w:t>,</w:t>
      </w:r>
      <w:r w:rsidRPr="00A03684">
        <w:t xml:space="preserve"> given </w:t>
      </w:r>
      <w:r w:rsidR="00F0031A" w:rsidRPr="00A03684">
        <w:t xml:space="preserve">that the </w:t>
      </w:r>
      <w:r w:rsidR="000628EF" w:rsidRPr="00A03684">
        <w:t>benefits may be</w:t>
      </w:r>
      <w:r w:rsidR="000C3A90">
        <w:t> </w:t>
      </w:r>
      <w:r w:rsidR="000628EF" w:rsidRPr="00A03684">
        <w:t>marginal</w:t>
      </w:r>
      <w:r w:rsidR="007E1674" w:rsidRPr="00A03684">
        <w:t>.</w:t>
      </w:r>
    </w:p>
    <w:p w:rsidR="00300DF0" w:rsidRPr="00A03684" w:rsidRDefault="00300DF0" w:rsidP="00637A1B">
      <w:pPr>
        <w:pStyle w:val="BodyText"/>
        <w:spacing w:before="100" w:after="100"/>
      </w:pPr>
      <w:r w:rsidRPr="00A03684">
        <w:t xml:space="preserve">Over-allocation needs to be addressed because: </w:t>
      </w:r>
    </w:p>
    <w:p w:rsidR="00300DF0" w:rsidRPr="00A03684" w:rsidRDefault="00F1085A" w:rsidP="005D3712">
      <w:pPr>
        <w:pStyle w:val="Bullet"/>
      </w:pPr>
      <w:r w:rsidRPr="00A03684">
        <w:rPr>
          <w:b/>
        </w:rPr>
        <w:t>It</w:t>
      </w:r>
      <w:r w:rsidR="00300DF0" w:rsidRPr="00A03684">
        <w:rPr>
          <w:b/>
        </w:rPr>
        <w:t xml:space="preserve"> is inconsistent with the policy intent of </w:t>
      </w:r>
      <w:r w:rsidR="001437FD" w:rsidRPr="00A03684">
        <w:rPr>
          <w:b/>
        </w:rPr>
        <w:t>IA</w:t>
      </w:r>
      <w:r w:rsidR="00300DF0" w:rsidRPr="00A03684">
        <w:t xml:space="preserve">: EITE firms are receiving an actual level of assistance greater than intended under the Act to reduce the risk of leakage, which </w:t>
      </w:r>
      <w:r w:rsidR="00F0031A" w:rsidRPr="00A03684">
        <w:t xml:space="preserve">is </w:t>
      </w:r>
      <w:r w:rsidR="00300DF0" w:rsidRPr="00A03684">
        <w:t xml:space="preserve">deemed to be 0.59 and 0.89 for moderately and highly intensive activities. </w:t>
      </w:r>
      <w:r w:rsidR="000F64DE" w:rsidRPr="00A03684">
        <w:t xml:space="preserve">A </w:t>
      </w:r>
      <w:r w:rsidR="005409EB" w:rsidRPr="00A03684">
        <w:t xml:space="preserve">decrease in intensity </w:t>
      </w:r>
      <w:r w:rsidR="000F64DE" w:rsidRPr="00A03684">
        <w:t xml:space="preserve">implies a lower risk of leakage and therefore </w:t>
      </w:r>
      <w:r w:rsidR="00F0031A" w:rsidRPr="00A03684">
        <w:t>less</w:t>
      </w:r>
      <w:r w:rsidR="000F64DE" w:rsidRPr="00A03684">
        <w:t xml:space="preserve"> need for allocation.</w:t>
      </w:r>
      <w:r w:rsidR="00A03684" w:rsidRPr="00A03684">
        <w:t xml:space="preserve"> </w:t>
      </w:r>
    </w:p>
    <w:p w:rsidR="00300DF0" w:rsidRPr="00A03684" w:rsidRDefault="00F1085A" w:rsidP="005D3712">
      <w:pPr>
        <w:pStyle w:val="Bullet"/>
      </w:pPr>
      <w:r w:rsidRPr="00A03684">
        <w:rPr>
          <w:b/>
        </w:rPr>
        <w:t>It</w:t>
      </w:r>
      <w:r w:rsidR="00300DF0" w:rsidRPr="00A03684">
        <w:rPr>
          <w:b/>
        </w:rPr>
        <w:t xml:space="preserve"> mutes the incentive to reduce emissions by reducing output</w:t>
      </w:r>
      <w:r w:rsidR="00300DF0" w:rsidRPr="00A03684">
        <w:t xml:space="preserve">: </w:t>
      </w:r>
      <w:r w:rsidR="001437FD" w:rsidRPr="00A03684">
        <w:t>IA</w:t>
      </w:r>
      <w:r w:rsidR="00300DF0" w:rsidRPr="00A03684">
        <w:t xml:space="preserve"> was meant to retain an</w:t>
      </w:r>
      <w:r w:rsidR="000C3A90">
        <w:t> </w:t>
      </w:r>
      <w:r w:rsidR="00300DF0" w:rsidRPr="00A03684">
        <w:t xml:space="preserve">emission price signal on EITE industries when making </w:t>
      </w:r>
      <w:r w:rsidR="00F0031A" w:rsidRPr="00A03684">
        <w:t xml:space="preserve">choices about </w:t>
      </w:r>
      <w:r w:rsidR="00300DF0" w:rsidRPr="00A03684">
        <w:t xml:space="preserve">production. For example, a highly intensive activity should face an 11 per cent emissions cost. Over-allocation removes this cost, </w:t>
      </w:r>
      <w:r w:rsidR="00F0031A" w:rsidRPr="00A03684">
        <w:t xml:space="preserve">dampening </w:t>
      </w:r>
      <w:r w:rsidR="00300DF0" w:rsidRPr="00A03684">
        <w:t>the incentive to reduc</w:t>
      </w:r>
      <w:r w:rsidR="00F0031A" w:rsidRPr="00A03684">
        <w:t>e</w:t>
      </w:r>
      <w:r w:rsidR="00300DF0" w:rsidRPr="00A03684">
        <w:t xml:space="preserve"> production. </w:t>
      </w:r>
      <w:r w:rsidR="002B007D" w:rsidRPr="00A03684">
        <w:t>An allocation above 100</w:t>
      </w:r>
      <w:r w:rsidR="00C83504" w:rsidRPr="00A03684">
        <w:t xml:space="preserve"> per cent</w:t>
      </w:r>
      <w:r w:rsidR="002B007D" w:rsidRPr="00A03684">
        <w:t xml:space="preserve"> of an activity’s NZ ETS costs could </w:t>
      </w:r>
      <w:r w:rsidR="00F0031A" w:rsidRPr="00A03684">
        <w:t xml:space="preserve">motivate </w:t>
      </w:r>
      <w:r w:rsidR="002B007D" w:rsidRPr="00A03684">
        <w:t>EITE firms to increase production and overa</w:t>
      </w:r>
      <w:r w:rsidR="004310CA" w:rsidRPr="00A03684">
        <w:t>ll emissions.</w:t>
      </w:r>
      <w:r w:rsidR="002B007D" w:rsidRPr="00A03684">
        <w:t xml:space="preserve"> </w:t>
      </w:r>
    </w:p>
    <w:p w:rsidR="00300DF0" w:rsidRPr="00A03684" w:rsidRDefault="00F1085A" w:rsidP="005D3712">
      <w:pPr>
        <w:pStyle w:val="Bullet"/>
      </w:pPr>
      <w:r w:rsidRPr="00A03684">
        <w:rPr>
          <w:b/>
        </w:rPr>
        <w:t>It</w:t>
      </w:r>
      <w:r w:rsidR="00300DF0" w:rsidRPr="00A03684">
        <w:rPr>
          <w:b/>
        </w:rPr>
        <w:t xml:space="preserve"> is a direct and indirect fiscal cost</w:t>
      </w:r>
      <w:r w:rsidR="00300DF0" w:rsidRPr="00A03684">
        <w:t>: When the Crown allocates units to industry</w:t>
      </w:r>
      <w:r w:rsidR="00F0031A" w:rsidRPr="00A03684">
        <w:t>,</w:t>
      </w:r>
      <w:r w:rsidR="00300DF0" w:rsidRPr="00A03684">
        <w:t xml:space="preserve"> it is recorded as an expense in the </w:t>
      </w:r>
      <w:r w:rsidR="00F0031A" w:rsidRPr="00A03684">
        <w:t>G</w:t>
      </w:r>
      <w:r w:rsidR="00300DF0" w:rsidRPr="00A03684">
        <w:t xml:space="preserve">overnment’s financial statements. Over-allocation increases the direct fiscal cost of </w:t>
      </w:r>
      <w:r w:rsidR="001437FD" w:rsidRPr="00A03684">
        <w:t>IA</w:t>
      </w:r>
      <w:r w:rsidR="00300DF0" w:rsidRPr="00A03684">
        <w:t xml:space="preserve">. There is also an indirect fiscal cost, as over-allocation reduces the number of NZUs the </w:t>
      </w:r>
      <w:r w:rsidR="00F0031A" w:rsidRPr="00A03684">
        <w:t>G</w:t>
      </w:r>
      <w:r w:rsidR="00300DF0" w:rsidRPr="00A03684">
        <w:t>overnment can auction.</w:t>
      </w:r>
    </w:p>
    <w:p w:rsidR="00300DF0" w:rsidRPr="00A03684" w:rsidRDefault="00942946" w:rsidP="005D3712">
      <w:pPr>
        <w:pStyle w:val="Bullet"/>
      </w:pPr>
      <w:r w:rsidRPr="00A03684">
        <w:rPr>
          <w:b/>
        </w:rPr>
        <w:t>A</w:t>
      </w:r>
      <w:r w:rsidR="00300DF0" w:rsidRPr="00A03684">
        <w:rPr>
          <w:b/>
        </w:rPr>
        <w:t>llocation</w:t>
      </w:r>
      <w:r w:rsidR="00C83504" w:rsidRPr="00A03684">
        <w:rPr>
          <w:b/>
        </w:rPr>
        <w:t xml:space="preserve"> over 100 per cent</w:t>
      </w:r>
      <w:r w:rsidR="00300DF0" w:rsidRPr="00A03684">
        <w:rPr>
          <w:b/>
        </w:rPr>
        <w:t xml:space="preserve"> leads to windfall gains for EITE firms</w:t>
      </w:r>
      <w:r w:rsidR="00300DF0" w:rsidRPr="00A03684">
        <w:t xml:space="preserve">: Over-allocation creates fiscal and incentive risks when allocations are greater than 100 per cent of an activity’s direct and indirect NZ ETS costs. It </w:t>
      </w:r>
      <w:r w:rsidR="00F0031A" w:rsidRPr="00A03684">
        <w:t xml:space="preserve">brings a </w:t>
      </w:r>
      <w:r w:rsidR="00300DF0" w:rsidRPr="00A03684">
        <w:t xml:space="preserve">windfall of units to emitting firms, effectively allowing them to profit </w:t>
      </w:r>
      <w:r w:rsidR="00F0031A" w:rsidRPr="00A03684">
        <w:t xml:space="preserve">from </w:t>
      </w:r>
      <w:r w:rsidR="00300DF0" w:rsidRPr="00A03684">
        <w:t xml:space="preserve">the NZ ETS. </w:t>
      </w:r>
      <w:r w:rsidR="00DC02CF" w:rsidRPr="00A03684">
        <w:t xml:space="preserve">This affects market efficiency and price discovery in </w:t>
      </w:r>
      <w:r w:rsidR="00F0031A" w:rsidRPr="00A03684">
        <w:t>our</w:t>
      </w:r>
      <w:r w:rsidR="00DC02CF" w:rsidRPr="00A03684">
        <w:t xml:space="preserve"> carbon market if it is not liquid. </w:t>
      </w:r>
    </w:p>
    <w:p w:rsidR="002B007D" w:rsidRPr="00A03684" w:rsidRDefault="007A56D8" w:rsidP="00DC02CF">
      <w:pPr>
        <w:pStyle w:val="Tableheading"/>
      </w:pPr>
      <w:bookmarkStart w:id="25" w:name="_Toc75262172"/>
      <w:r w:rsidRPr="00A03684">
        <w:t>Table 3:</w:t>
      </w:r>
      <w:r w:rsidR="00DC02CF" w:rsidRPr="00A03684">
        <w:t xml:space="preserve"> </w:t>
      </w:r>
      <w:r w:rsidR="0033322D" w:rsidRPr="00A03684">
        <w:tab/>
      </w:r>
      <w:r w:rsidR="00403378" w:rsidRPr="00A03684">
        <w:t xml:space="preserve">Impact of </w:t>
      </w:r>
      <w:r w:rsidR="00DC02CF" w:rsidRPr="00A03684">
        <w:t xml:space="preserve">over-allocation </w:t>
      </w:r>
      <w:r w:rsidR="00403378" w:rsidRPr="00A03684">
        <w:t>from</w:t>
      </w:r>
      <w:r w:rsidR="00DC02CF" w:rsidRPr="00A03684">
        <w:t xml:space="preserve"> a highly emissions</w:t>
      </w:r>
      <w:r w:rsidR="00403378" w:rsidRPr="00A03684">
        <w:t>-</w:t>
      </w:r>
      <w:r w:rsidR="00DC02CF" w:rsidRPr="00A03684">
        <w:t>intensive activity</w:t>
      </w:r>
      <w:bookmarkEnd w:id="25"/>
      <w:r w:rsidR="00AC6EA7" w:rsidRPr="00A03684">
        <w:t xml:space="preserve"> </w:t>
      </w:r>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901"/>
        <w:gridCol w:w="2365"/>
        <w:gridCol w:w="2538"/>
        <w:gridCol w:w="1701"/>
      </w:tblGrid>
      <w:tr w:rsidR="002B007D" w:rsidRPr="00A03684" w:rsidTr="00637A1B">
        <w:trPr>
          <w:tblHeader/>
        </w:trPr>
        <w:tc>
          <w:tcPr>
            <w:tcW w:w="1901" w:type="dxa"/>
            <w:shd w:val="clear" w:color="auto" w:fill="1C556C"/>
            <w:vAlign w:val="bottom"/>
          </w:tcPr>
          <w:p w:rsidR="002B007D" w:rsidRPr="00A03684" w:rsidRDefault="002B007D" w:rsidP="004310CA">
            <w:pPr>
              <w:pStyle w:val="TableTextbold"/>
              <w:rPr>
                <w:color w:val="FFFFFF" w:themeColor="background1"/>
              </w:rPr>
            </w:pPr>
            <w:r w:rsidRPr="00A03684">
              <w:rPr>
                <w:color w:val="FFFFFF" w:themeColor="background1"/>
              </w:rPr>
              <w:t xml:space="preserve">Level of assistance </w:t>
            </w:r>
            <w:r w:rsidR="00F0031A" w:rsidRPr="00A03684">
              <w:rPr>
                <w:color w:val="FFFFFF" w:themeColor="background1"/>
              </w:rPr>
              <w:t xml:space="preserve">for </w:t>
            </w:r>
            <w:r w:rsidRPr="00A03684">
              <w:rPr>
                <w:color w:val="FFFFFF" w:themeColor="background1"/>
              </w:rPr>
              <w:t>hypothetical activity</w:t>
            </w:r>
          </w:p>
        </w:tc>
        <w:tc>
          <w:tcPr>
            <w:tcW w:w="2365" w:type="dxa"/>
            <w:shd w:val="clear" w:color="auto" w:fill="1C556C"/>
            <w:vAlign w:val="bottom"/>
          </w:tcPr>
          <w:p w:rsidR="002B007D" w:rsidRPr="00A03684" w:rsidRDefault="002B007D" w:rsidP="004310CA">
            <w:pPr>
              <w:pStyle w:val="TableTextbold"/>
              <w:rPr>
                <w:color w:val="FFFFFF" w:themeColor="background1"/>
              </w:rPr>
            </w:pPr>
            <w:r w:rsidRPr="00A03684">
              <w:rPr>
                <w:color w:val="FFFFFF" w:themeColor="background1"/>
              </w:rPr>
              <w:t>Incentive problem</w:t>
            </w:r>
          </w:p>
        </w:tc>
        <w:tc>
          <w:tcPr>
            <w:tcW w:w="2538" w:type="dxa"/>
            <w:shd w:val="clear" w:color="auto" w:fill="1C556C"/>
            <w:vAlign w:val="bottom"/>
          </w:tcPr>
          <w:p w:rsidR="002B007D" w:rsidRPr="00A03684" w:rsidRDefault="002B007D" w:rsidP="004310CA">
            <w:pPr>
              <w:pStyle w:val="TableTextbold"/>
              <w:rPr>
                <w:color w:val="FFFFFF" w:themeColor="background1"/>
              </w:rPr>
            </w:pPr>
            <w:r w:rsidRPr="00A03684">
              <w:rPr>
                <w:color w:val="FFFFFF" w:themeColor="background1"/>
              </w:rPr>
              <w:t>Windfall gain problem</w:t>
            </w:r>
          </w:p>
        </w:tc>
        <w:tc>
          <w:tcPr>
            <w:tcW w:w="1701" w:type="dxa"/>
            <w:shd w:val="clear" w:color="auto" w:fill="1C556C"/>
            <w:vAlign w:val="bottom"/>
          </w:tcPr>
          <w:p w:rsidR="002B007D" w:rsidRPr="00A03684" w:rsidRDefault="002B007D" w:rsidP="004310CA">
            <w:pPr>
              <w:pStyle w:val="TableTextbold"/>
              <w:rPr>
                <w:color w:val="FFFFFF" w:themeColor="background1"/>
              </w:rPr>
            </w:pPr>
            <w:r w:rsidRPr="00A03684">
              <w:rPr>
                <w:color w:val="FFFFFF" w:themeColor="background1"/>
              </w:rPr>
              <w:t>Fiscal cost</w:t>
            </w:r>
          </w:p>
        </w:tc>
      </w:tr>
      <w:tr w:rsidR="002B007D" w:rsidRPr="00A03684" w:rsidTr="00637A1B">
        <w:tc>
          <w:tcPr>
            <w:tcW w:w="1901" w:type="dxa"/>
            <w:shd w:val="clear" w:color="auto" w:fill="auto"/>
          </w:tcPr>
          <w:p w:rsidR="002B007D" w:rsidRPr="00A03684" w:rsidRDefault="00AC6EA7" w:rsidP="004310CA">
            <w:pPr>
              <w:pStyle w:val="TableText"/>
              <w:rPr>
                <w:bCs/>
              </w:rPr>
            </w:pPr>
            <w:r w:rsidRPr="00A03684">
              <w:rPr>
                <w:bCs/>
              </w:rPr>
              <w:t>89</w:t>
            </w:r>
            <w:r w:rsidR="00403378" w:rsidRPr="00A03684">
              <w:rPr>
                <w:bCs/>
              </w:rPr>
              <w:t>%</w:t>
            </w:r>
          </w:p>
        </w:tc>
        <w:tc>
          <w:tcPr>
            <w:tcW w:w="2365" w:type="dxa"/>
            <w:shd w:val="clear" w:color="auto" w:fill="auto"/>
          </w:tcPr>
          <w:p w:rsidR="002B007D" w:rsidRPr="00A03684" w:rsidRDefault="002B007D" w:rsidP="005D3712">
            <w:pPr>
              <w:pStyle w:val="TableBullet"/>
              <w:spacing w:before="60" w:after="40"/>
            </w:pPr>
            <w:r w:rsidRPr="00A03684">
              <w:t>Incentive for efficiency improvement = full NZU price</w:t>
            </w:r>
          </w:p>
          <w:p w:rsidR="002B007D" w:rsidRPr="00A03684" w:rsidRDefault="00AC6EA7" w:rsidP="005D3712">
            <w:pPr>
              <w:pStyle w:val="TableBullet"/>
              <w:spacing w:after="40"/>
            </w:pPr>
            <w:r w:rsidRPr="00A03684">
              <w:t>11</w:t>
            </w:r>
            <w:r w:rsidR="002B007D" w:rsidRPr="00A03684">
              <w:t>% NZU price incentive to reduce output</w:t>
            </w:r>
          </w:p>
        </w:tc>
        <w:tc>
          <w:tcPr>
            <w:tcW w:w="2538" w:type="dxa"/>
            <w:shd w:val="clear" w:color="auto" w:fill="auto"/>
          </w:tcPr>
          <w:p w:rsidR="002B007D" w:rsidRPr="00A03684" w:rsidRDefault="004310CA" w:rsidP="005D3712">
            <w:pPr>
              <w:pStyle w:val="TableText"/>
              <w:spacing w:after="40"/>
            </w:pPr>
            <w:r w:rsidRPr="00A03684">
              <w:t>No windfall gain</w:t>
            </w:r>
          </w:p>
        </w:tc>
        <w:tc>
          <w:tcPr>
            <w:tcW w:w="1701" w:type="dxa"/>
          </w:tcPr>
          <w:p w:rsidR="002B007D" w:rsidRPr="00A03684" w:rsidRDefault="004310CA" w:rsidP="005D3712">
            <w:pPr>
              <w:pStyle w:val="TableText"/>
              <w:spacing w:after="40"/>
            </w:pPr>
            <w:r w:rsidRPr="00A03684">
              <w:t xml:space="preserve">Accepted fiscal cost of providing </w:t>
            </w:r>
            <w:r w:rsidR="001437FD" w:rsidRPr="00A03684">
              <w:t>IA</w:t>
            </w:r>
            <w:r w:rsidRPr="00A03684">
              <w:t xml:space="preserve"> </w:t>
            </w:r>
          </w:p>
        </w:tc>
      </w:tr>
      <w:tr w:rsidR="002B007D" w:rsidRPr="00A03684" w:rsidTr="00637A1B">
        <w:tc>
          <w:tcPr>
            <w:tcW w:w="1901" w:type="dxa"/>
            <w:shd w:val="clear" w:color="auto" w:fill="auto"/>
          </w:tcPr>
          <w:p w:rsidR="002B007D" w:rsidRPr="00A03684" w:rsidRDefault="002B007D" w:rsidP="004310CA">
            <w:pPr>
              <w:pStyle w:val="TableText"/>
              <w:rPr>
                <w:bCs/>
              </w:rPr>
            </w:pPr>
            <w:r w:rsidRPr="00A03684">
              <w:rPr>
                <w:bCs/>
              </w:rPr>
              <w:t>95</w:t>
            </w:r>
            <w:r w:rsidR="00403378" w:rsidRPr="00A03684">
              <w:rPr>
                <w:bCs/>
              </w:rPr>
              <w:t>%</w:t>
            </w:r>
            <w:r w:rsidRPr="00A03684">
              <w:rPr>
                <w:bCs/>
              </w:rPr>
              <w:t xml:space="preserve"> </w:t>
            </w:r>
          </w:p>
        </w:tc>
        <w:tc>
          <w:tcPr>
            <w:tcW w:w="2365" w:type="dxa"/>
            <w:shd w:val="clear" w:color="auto" w:fill="auto"/>
          </w:tcPr>
          <w:p w:rsidR="002B007D" w:rsidRPr="00A03684" w:rsidRDefault="002B007D" w:rsidP="005D3712">
            <w:pPr>
              <w:pStyle w:val="TableBullet"/>
              <w:spacing w:before="60" w:after="40"/>
            </w:pPr>
            <w:r w:rsidRPr="00A03684">
              <w:t>Incentive for efficiency improvement = full NZU price</w:t>
            </w:r>
          </w:p>
          <w:p w:rsidR="002B007D" w:rsidRPr="00A03684" w:rsidRDefault="00841C9D" w:rsidP="005D3712">
            <w:pPr>
              <w:pStyle w:val="TableBullet"/>
              <w:spacing w:after="40"/>
            </w:pPr>
            <w:r w:rsidRPr="00A03684">
              <w:t>5</w:t>
            </w:r>
            <w:r w:rsidR="002B007D" w:rsidRPr="00A03684">
              <w:t>% NZU price incentive to reduce output</w:t>
            </w:r>
          </w:p>
        </w:tc>
        <w:tc>
          <w:tcPr>
            <w:tcW w:w="2538" w:type="dxa"/>
            <w:shd w:val="clear" w:color="auto" w:fill="auto"/>
          </w:tcPr>
          <w:p w:rsidR="002B007D" w:rsidRPr="00A03684" w:rsidRDefault="004310CA" w:rsidP="005D3712">
            <w:pPr>
              <w:pStyle w:val="TableBullet"/>
              <w:spacing w:after="40"/>
            </w:pPr>
            <w:r w:rsidRPr="00A03684">
              <w:t>Firm given extra NZUs that they would otherwise purchase</w:t>
            </w:r>
          </w:p>
          <w:p w:rsidR="004310CA" w:rsidRPr="00A03684" w:rsidRDefault="004310CA" w:rsidP="005D3712">
            <w:pPr>
              <w:pStyle w:val="TableBullet"/>
              <w:spacing w:after="40"/>
            </w:pPr>
            <w:r w:rsidRPr="00A03684">
              <w:t>No efficiency problem for the NZ ETS market</w:t>
            </w:r>
          </w:p>
        </w:tc>
        <w:tc>
          <w:tcPr>
            <w:tcW w:w="1701" w:type="dxa"/>
          </w:tcPr>
          <w:p w:rsidR="002B007D" w:rsidRPr="00A03684" w:rsidRDefault="00AC6EA7" w:rsidP="005D3712">
            <w:pPr>
              <w:pStyle w:val="TableText"/>
              <w:spacing w:after="40"/>
            </w:pPr>
            <w:r w:rsidRPr="00A03684">
              <w:t xml:space="preserve">Increased fiscal cost from </w:t>
            </w:r>
            <w:r w:rsidR="00841C9D" w:rsidRPr="00A03684">
              <w:t>5</w:t>
            </w:r>
            <w:r w:rsidRPr="00A03684">
              <w:t>% over-allocation</w:t>
            </w:r>
            <w:r w:rsidR="00A03684" w:rsidRPr="00A03684">
              <w:t xml:space="preserve"> </w:t>
            </w:r>
          </w:p>
        </w:tc>
      </w:tr>
      <w:tr w:rsidR="002B007D" w:rsidRPr="00A03684" w:rsidTr="00637A1B">
        <w:tc>
          <w:tcPr>
            <w:tcW w:w="1901" w:type="dxa"/>
          </w:tcPr>
          <w:p w:rsidR="002B007D" w:rsidRPr="00A03684" w:rsidRDefault="002B007D" w:rsidP="004310CA">
            <w:pPr>
              <w:pStyle w:val="TableText"/>
              <w:rPr>
                <w:bCs/>
              </w:rPr>
            </w:pPr>
            <w:r w:rsidRPr="00A03684">
              <w:rPr>
                <w:bCs/>
              </w:rPr>
              <w:t>&gt;100</w:t>
            </w:r>
            <w:r w:rsidR="00403378" w:rsidRPr="00A03684">
              <w:rPr>
                <w:bCs/>
              </w:rPr>
              <w:t>%</w:t>
            </w:r>
          </w:p>
        </w:tc>
        <w:tc>
          <w:tcPr>
            <w:tcW w:w="2365" w:type="dxa"/>
            <w:shd w:val="clear" w:color="auto" w:fill="auto"/>
          </w:tcPr>
          <w:p w:rsidR="002B007D" w:rsidRPr="00A03684" w:rsidRDefault="002B007D" w:rsidP="005D3712">
            <w:pPr>
              <w:pStyle w:val="TableBullet"/>
              <w:spacing w:before="60" w:after="40"/>
            </w:pPr>
            <w:r w:rsidRPr="00A03684">
              <w:t>Incentive for efficiency improvement = full NZU price</w:t>
            </w:r>
          </w:p>
          <w:p w:rsidR="002B007D" w:rsidRPr="00A03684" w:rsidRDefault="002B007D" w:rsidP="005D3712">
            <w:pPr>
              <w:pStyle w:val="TableBullet"/>
              <w:spacing w:after="40"/>
            </w:pPr>
            <w:r w:rsidRPr="00A03684">
              <w:t>No NZU p</w:t>
            </w:r>
            <w:r w:rsidR="0017197D" w:rsidRPr="00A03684">
              <w:t>rice incentive to reduce output</w:t>
            </w:r>
            <w:r w:rsidRPr="00A03684">
              <w:t xml:space="preserve"> </w:t>
            </w:r>
          </w:p>
          <w:p w:rsidR="002B007D" w:rsidRPr="00A03684" w:rsidRDefault="002B007D" w:rsidP="005D3712">
            <w:pPr>
              <w:pStyle w:val="TableBullet"/>
              <w:spacing w:after="40"/>
            </w:pPr>
            <w:r w:rsidRPr="00A03684">
              <w:t>Perverse incentive to increase production (they are bette</w:t>
            </w:r>
            <w:r w:rsidR="004310CA" w:rsidRPr="00A03684">
              <w:t>r off than the world with no emissions pricing</w:t>
            </w:r>
            <w:r w:rsidRPr="00A03684">
              <w:t>)</w:t>
            </w:r>
          </w:p>
        </w:tc>
        <w:tc>
          <w:tcPr>
            <w:tcW w:w="2538" w:type="dxa"/>
            <w:shd w:val="clear" w:color="auto" w:fill="auto"/>
          </w:tcPr>
          <w:p w:rsidR="002B007D" w:rsidRPr="00A03684" w:rsidRDefault="00DC02CF" w:rsidP="005D3712">
            <w:pPr>
              <w:pStyle w:val="TableBullet"/>
              <w:spacing w:before="60" w:after="40"/>
            </w:pPr>
            <w:r w:rsidRPr="00A03684">
              <w:t xml:space="preserve">In a liquid carbon </w:t>
            </w:r>
            <w:r w:rsidR="004310CA" w:rsidRPr="00A03684">
              <w:t>market, EITE firms sell surplus units and there is no reduction in market efficiency</w:t>
            </w:r>
          </w:p>
          <w:p w:rsidR="0017197D" w:rsidRPr="00A03684" w:rsidRDefault="00DC02CF" w:rsidP="005D3712">
            <w:pPr>
              <w:pStyle w:val="TableBullet"/>
              <w:spacing w:after="40"/>
            </w:pPr>
            <w:r w:rsidRPr="00A03684">
              <w:t xml:space="preserve">In an </w:t>
            </w:r>
            <w:r w:rsidR="0017197D" w:rsidRPr="00A03684">
              <w:t>illiquid</w:t>
            </w:r>
            <w:r w:rsidRPr="00A03684">
              <w:t xml:space="preserve"> carbon market</w:t>
            </w:r>
            <w:r w:rsidR="0017197D" w:rsidRPr="00A03684">
              <w:t xml:space="preserve">, firms hold onto allocated units, </w:t>
            </w:r>
            <w:r w:rsidRPr="00A03684">
              <w:t>potentially driving up</w:t>
            </w:r>
            <w:r w:rsidR="0017197D" w:rsidRPr="00A03684">
              <w:t xml:space="preserve"> emissions price</w:t>
            </w:r>
            <w:r w:rsidRPr="00A03684">
              <w:t xml:space="preserve">s – </w:t>
            </w:r>
            <w:r w:rsidR="00403378" w:rsidRPr="00A03684">
              <w:t>reducing</w:t>
            </w:r>
            <w:r w:rsidRPr="00A03684">
              <w:t xml:space="preserve"> efficiency in the market</w:t>
            </w:r>
            <w:r w:rsidR="0017197D" w:rsidRPr="00A03684">
              <w:t xml:space="preserve"> </w:t>
            </w:r>
          </w:p>
        </w:tc>
        <w:tc>
          <w:tcPr>
            <w:tcW w:w="1701" w:type="dxa"/>
          </w:tcPr>
          <w:p w:rsidR="002B007D" w:rsidRPr="00A03684" w:rsidRDefault="00AC6EA7" w:rsidP="005D3712">
            <w:pPr>
              <w:pStyle w:val="TableText"/>
              <w:spacing w:after="40"/>
            </w:pPr>
            <w:r w:rsidRPr="00A03684">
              <w:t>Potentially significant increase in fiscal cost from over-allocations &gt;100 per cent</w:t>
            </w:r>
            <w:r w:rsidR="00A03684" w:rsidRPr="00A03684">
              <w:t xml:space="preserve"> </w:t>
            </w:r>
          </w:p>
        </w:tc>
      </w:tr>
    </w:tbl>
    <w:p w:rsidR="00300DF0" w:rsidRPr="00A03684" w:rsidRDefault="00300DF0" w:rsidP="00300DF0">
      <w:pPr>
        <w:pStyle w:val="BodyText"/>
      </w:pPr>
      <w:r w:rsidRPr="00A03684">
        <w:t xml:space="preserve">It was intended that </w:t>
      </w:r>
      <w:r w:rsidR="00403378" w:rsidRPr="00A03684">
        <w:t xml:space="preserve">over time, reducing the level of assistance to firms would manage </w:t>
      </w:r>
      <w:r w:rsidRPr="00A03684">
        <w:t>over-allocation. However, the planned phase-out of allocations was suspended in 2009 and will only resume this year, following the passage of the ETR Act in mid-2020. The slow initial phase-out will be insufficient to address over-allocation in the short to medium</w:t>
      </w:r>
      <w:r w:rsidR="000628EF" w:rsidRPr="00A03684">
        <w:t xml:space="preserve"> </w:t>
      </w:r>
      <w:r w:rsidRPr="00A03684">
        <w:t xml:space="preserve">term. As </w:t>
      </w:r>
      <w:r w:rsidR="000F64DE" w:rsidRPr="00A03684">
        <w:t>it</w:t>
      </w:r>
      <w:r w:rsidRPr="00A03684">
        <w:t xml:space="preserve"> increases in the 2030s and 2040s, and the </w:t>
      </w:r>
      <w:r w:rsidR="00165725" w:rsidRPr="00A03684">
        <w:t>G</w:t>
      </w:r>
      <w:r w:rsidRPr="00A03684">
        <w:t>overnment can adopt activity</w:t>
      </w:r>
      <w:r w:rsidR="00165725" w:rsidRPr="00A03684">
        <w:t>-</w:t>
      </w:r>
      <w:r w:rsidRPr="00A03684">
        <w:t xml:space="preserve">specific phase-out rates from 2026, the risk of over-allocation can be managed more effectively. </w:t>
      </w:r>
    </w:p>
    <w:p w:rsidR="00300DF0" w:rsidRPr="00A03684" w:rsidRDefault="00300DF0" w:rsidP="00300DF0">
      <w:pPr>
        <w:pStyle w:val="BodyText"/>
      </w:pPr>
      <w:r w:rsidRPr="00A03684">
        <w:t>Data collected to inform the review shows evidence of over-allocation.</w:t>
      </w:r>
      <w:r w:rsidR="007A56D8" w:rsidRPr="00A03684">
        <w:t xml:space="preserve"> Table 4</w:t>
      </w:r>
      <w:r w:rsidR="007F50FE" w:rsidRPr="00A03684">
        <w:t xml:space="preserve"> shows the</w:t>
      </w:r>
      <w:r w:rsidR="00837A2A" w:rsidRPr="00A03684">
        <w:t xml:space="preserve"> change in emissions intensity</w:t>
      </w:r>
      <w:r w:rsidR="00635921" w:rsidRPr="00A03684">
        <w:rPr>
          <w:rStyle w:val="FootnoteReference"/>
        </w:rPr>
        <w:footnoteReference w:id="8"/>
      </w:r>
      <w:r w:rsidR="00837A2A" w:rsidRPr="00A03684">
        <w:t xml:space="preserve"> and the</w:t>
      </w:r>
      <w:r w:rsidR="007F50FE" w:rsidRPr="00A03684">
        <w:t xml:space="preserve"> actual level of assistance </w:t>
      </w:r>
      <w:r w:rsidR="00ED2FF5" w:rsidRPr="00A03684">
        <w:t>for</w:t>
      </w:r>
      <w:r w:rsidR="007F50FE" w:rsidRPr="00A03684">
        <w:t xml:space="preserve"> four industrial activities that are being over-allocated.</w:t>
      </w:r>
    </w:p>
    <w:p w:rsidR="00F84A19" w:rsidRPr="00A03684" w:rsidRDefault="007F50FE" w:rsidP="00D436F5">
      <w:pPr>
        <w:pStyle w:val="Tableheading"/>
        <w:rPr>
          <w:rFonts w:eastAsia="Times New Roman"/>
        </w:rPr>
      </w:pPr>
      <w:bookmarkStart w:id="26" w:name="_Toc75262173"/>
      <w:r w:rsidRPr="00A03684">
        <w:rPr>
          <w:rFonts w:eastAsia="Times New Roman"/>
        </w:rPr>
        <w:t>T</w:t>
      </w:r>
      <w:r w:rsidR="007A56D8" w:rsidRPr="00A03684">
        <w:rPr>
          <w:rFonts w:eastAsia="Times New Roman"/>
        </w:rPr>
        <w:t>able 4</w:t>
      </w:r>
      <w:r w:rsidRPr="00A03684">
        <w:rPr>
          <w:rFonts w:eastAsia="Times New Roman"/>
        </w:rPr>
        <w:t xml:space="preserve">: </w:t>
      </w:r>
      <w:r w:rsidR="00D436F5" w:rsidRPr="00A03684">
        <w:rPr>
          <w:rFonts w:eastAsia="Times New Roman"/>
        </w:rPr>
        <w:tab/>
      </w:r>
      <w:r w:rsidR="00837A2A" w:rsidRPr="00A03684">
        <w:rPr>
          <w:rFonts w:eastAsia="Times New Roman"/>
        </w:rPr>
        <w:t>Change in emissions intensity and estimate</w:t>
      </w:r>
      <w:r w:rsidR="00165725" w:rsidRPr="00A03684">
        <w:rPr>
          <w:rFonts w:eastAsia="Times New Roman"/>
        </w:rPr>
        <w:t>d</w:t>
      </w:r>
      <w:r w:rsidR="00837A2A" w:rsidRPr="00A03684">
        <w:rPr>
          <w:rFonts w:eastAsia="Times New Roman"/>
        </w:rPr>
        <w:t xml:space="preserve"> </w:t>
      </w:r>
      <w:r w:rsidR="005C4B08" w:rsidRPr="00A03684">
        <w:rPr>
          <w:rFonts w:eastAsia="Times New Roman"/>
        </w:rPr>
        <w:t xml:space="preserve">actual </w:t>
      </w:r>
      <w:r w:rsidR="00837A2A" w:rsidRPr="00A03684">
        <w:rPr>
          <w:rFonts w:eastAsia="Times New Roman"/>
        </w:rPr>
        <w:t xml:space="preserve">level of assistance </w:t>
      </w:r>
      <w:r w:rsidR="00165725" w:rsidRPr="00A03684">
        <w:rPr>
          <w:rFonts w:eastAsia="Times New Roman"/>
        </w:rPr>
        <w:t>for</w:t>
      </w:r>
      <w:r w:rsidR="00837A2A" w:rsidRPr="00A03684">
        <w:rPr>
          <w:rFonts w:eastAsia="Times New Roman"/>
        </w:rPr>
        <w:t xml:space="preserve"> four industrial</w:t>
      </w:r>
      <w:r w:rsidR="00D436F5" w:rsidRPr="00A03684">
        <w:rPr>
          <w:rFonts w:eastAsia="Times New Roman"/>
        </w:rPr>
        <w:t> </w:t>
      </w:r>
      <w:r w:rsidR="00837A2A" w:rsidRPr="00A03684">
        <w:rPr>
          <w:rFonts w:eastAsia="Times New Roman"/>
        </w:rPr>
        <w:t>activities</w:t>
      </w:r>
      <w:bookmarkEnd w:id="26"/>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2835"/>
        <w:gridCol w:w="2835"/>
        <w:gridCol w:w="2835"/>
      </w:tblGrid>
      <w:tr w:rsidR="00841C9D" w:rsidRPr="00A03684" w:rsidTr="00AC43E4">
        <w:trPr>
          <w:tblHeader/>
        </w:trPr>
        <w:tc>
          <w:tcPr>
            <w:tcW w:w="2197" w:type="dxa"/>
            <w:shd w:val="clear" w:color="auto" w:fill="1C556C"/>
            <w:vAlign w:val="bottom"/>
          </w:tcPr>
          <w:p w:rsidR="00841C9D" w:rsidRPr="00A03684" w:rsidRDefault="00841C9D" w:rsidP="00837A2A">
            <w:pPr>
              <w:pStyle w:val="TableTextbold"/>
              <w:rPr>
                <w:color w:val="FFFFFF" w:themeColor="background1"/>
              </w:rPr>
            </w:pPr>
            <w:r w:rsidRPr="00A03684">
              <w:rPr>
                <w:color w:val="FFFFFF" w:themeColor="background1"/>
              </w:rPr>
              <w:t xml:space="preserve">Activity </w:t>
            </w:r>
          </w:p>
        </w:tc>
        <w:tc>
          <w:tcPr>
            <w:tcW w:w="2197" w:type="dxa"/>
            <w:shd w:val="clear" w:color="auto" w:fill="1C556C"/>
            <w:vAlign w:val="bottom"/>
          </w:tcPr>
          <w:p w:rsidR="00841C9D" w:rsidRPr="00A03684" w:rsidRDefault="00ED2FF5" w:rsidP="002C7D06">
            <w:pPr>
              <w:pStyle w:val="TableTextbold"/>
              <w:rPr>
                <w:color w:val="FFFFFF" w:themeColor="background1"/>
              </w:rPr>
            </w:pPr>
            <w:r w:rsidRPr="00A03684">
              <w:rPr>
                <w:color w:val="FFFFFF" w:themeColor="background1"/>
              </w:rPr>
              <w:t>Intensity d</w:t>
            </w:r>
            <w:r w:rsidR="00841C9D" w:rsidRPr="00A03684">
              <w:rPr>
                <w:color w:val="FFFFFF" w:themeColor="background1"/>
              </w:rPr>
              <w:t>ecrease</w:t>
            </w:r>
            <w:r w:rsidR="00AC43E4">
              <w:rPr>
                <w:color w:val="FFFFFF" w:themeColor="background1"/>
              </w:rPr>
              <w:t xml:space="preserve"> </w:t>
            </w:r>
            <w:r w:rsidR="00841C9D" w:rsidRPr="00A03684">
              <w:rPr>
                <w:color w:val="FFFFFF" w:themeColor="background1"/>
              </w:rPr>
              <w:t xml:space="preserve">since 2010 </w:t>
            </w:r>
            <w:r w:rsidR="00165725" w:rsidRPr="00A03684">
              <w:rPr>
                <w:color w:val="FFFFFF" w:themeColor="background1"/>
              </w:rPr>
              <w:t>(%)</w:t>
            </w:r>
          </w:p>
        </w:tc>
        <w:tc>
          <w:tcPr>
            <w:tcW w:w="2197" w:type="dxa"/>
            <w:shd w:val="clear" w:color="auto" w:fill="1C556C"/>
            <w:vAlign w:val="bottom"/>
          </w:tcPr>
          <w:p w:rsidR="00841C9D" w:rsidRPr="00A03684" w:rsidRDefault="00841C9D" w:rsidP="007F50FE">
            <w:pPr>
              <w:pStyle w:val="TableTextbold"/>
              <w:rPr>
                <w:color w:val="FFFFFF" w:themeColor="background1"/>
              </w:rPr>
            </w:pPr>
            <w:r w:rsidRPr="00A03684">
              <w:rPr>
                <w:color w:val="FFFFFF" w:themeColor="background1"/>
              </w:rPr>
              <w:t>Estimated level of assistance</w:t>
            </w:r>
            <w:r w:rsidR="00165725" w:rsidRPr="00A03684">
              <w:rPr>
                <w:color w:val="FFFFFF" w:themeColor="background1"/>
              </w:rPr>
              <w:t xml:space="preserve"> (%)</w:t>
            </w:r>
          </w:p>
        </w:tc>
      </w:tr>
      <w:tr w:rsidR="00841C9D" w:rsidRPr="00A03684" w:rsidTr="00D436F5">
        <w:trPr>
          <w:trHeight w:val="285"/>
        </w:trPr>
        <w:tc>
          <w:tcPr>
            <w:tcW w:w="2197" w:type="dxa"/>
            <w:shd w:val="clear" w:color="auto" w:fill="auto"/>
          </w:tcPr>
          <w:p w:rsidR="00841C9D" w:rsidRPr="00A03684" w:rsidRDefault="00841C9D" w:rsidP="00837A2A">
            <w:pPr>
              <w:pStyle w:val="TableText"/>
              <w:rPr>
                <w:bCs/>
              </w:rPr>
            </w:pPr>
            <w:r w:rsidRPr="00A03684">
              <w:rPr>
                <w:bCs/>
              </w:rPr>
              <w:t>Activity A</w:t>
            </w:r>
          </w:p>
        </w:tc>
        <w:tc>
          <w:tcPr>
            <w:tcW w:w="2197" w:type="dxa"/>
            <w:shd w:val="clear" w:color="auto" w:fill="auto"/>
          </w:tcPr>
          <w:p w:rsidR="00841C9D" w:rsidRPr="00A03684" w:rsidRDefault="00841C9D" w:rsidP="00837A2A">
            <w:pPr>
              <w:pStyle w:val="TableText"/>
            </w:pPr>
            <w:r w:rsidRPr="00A03684">
              <w:t>79.9</w:t>
            </w:r>
          </w:p>
        </w:tc>
        <w:tc>
          <w:tcPr>
            <w:tcW w:w="2197" w:type="dxa"/>
          </w:tcPr>
          <w:p w:rsidR="00841C9D" w:rsidRPr="00A03684" w:rsidRDefault="00841C9D" w:rsidP="007F50FE">
            <w:pPr>
              <w:pStyle w:val="TableText"/>
            </w:pPr>
            <w:r w:rsidRPr="00A03684">
              <w:t xml:space="preserve">305 </w:t>
            </w:r>
          </w:p>
        </w:tc>
      </w:tr>
      <w:tr w:rsidR="00841C9D" w:rsidRPr="00A03684" w:rsidTr="00D436F5">
        <w:trPr>
          <w:trHeight w:val="295"/>
        </w:trPr>
        <w:tc>
          <w:tcPr>
            <w:tcW w:w="2197" w:type="dxa"/>
            <w:shd w:val="clear" w:color="auto" w:fill="auto"/>
          </w:tcPr>
          <w:p w:rsidR="00841C9D" w:rsidRPr="00A03684" w:rsidRDefault="00841C9D" w:rsidP="00837A2A">
            <w:pPr>
              <w:pStyle w:val="TableText"/>
              <w:rPr>
                <w:bCs/>
              </w:rPr>
            </w:pPr>
            <w:r w:rsidRPr="00A03684">
              <w:rPr>
                <w:bCs/>
              </w:rPr>
              <w:t>Activity B</w:t>
            </w:r>
          </w:p>
        </w:tc>
        <w:tc>
          <w:tcPr>
            <w:tcW w:w="2197" w:type="dxa"/>
            <w:shd w:val="clear" w:color="auto" w:fill="auto"/>
          </w:tcPr>
          <w:p w:rsidR="00841C9D" w:rsidRPr="00A03684" w:rsidRDefault="00841C9D" w:rsidP="00837A2A">
            <w:pPr>
              <w:pStyle w:val="TableText"/>
            </w:pPr>
            <w:r w:rsidRPr="00A03684">
              <w:t>35.8</w:t>
            </w:r>
          </w:p>
        </w:tc>
        <w:tc>
          <w:tcPr>
            <w:tcW w:w="2197" w:type="dxa"/>
          </w:tcPr>
          <w:p w:rsidR="00841C9D" w:rsidRPr="00A03684" w:rsidRDefault="00841C9D" w:rsidP="00837A2A">
            <w:pPr>
              <w:pStyle w:val="TableText"/>
            </w:pPr>
            <w:r w:rsidRPr="00A03684">
              <w:t xml:space="preserve">124 </w:t>
            </w:r>
          </w:p>
        </w:tc>
      </w:tr>
      <w:tr w:rsidR="00841C9D" w:rsidRPr="00A03684" w:rsidTr="00D436F5">
        <w:trPr>
          <w:trHeight w:val="295"/>
        </w:trPr>
        <w:tc>
          <w:tcPr>
            <w:tcW w:w="2197" w:type="dxa"/>
          </w:tcPr>
          <w:p w:rsidR="00841C9D" w:rsidRPr="00A03684" w:rsidRDefault="00841C9D" w:rsidP="00837A2A">
            <w:pPr>
              <w:pStyle w:val="TableText"/>
              <w:rPr>
                <w:bCs/>
              </w:rPr>
            </w:pPr>
            <w:r w:rsidRPr="00A03684">
              <w:rPr>
                <w:bCs/>
              </w:rPr>
              <w:t>Activity C</w:t>
            </w:r>
          </w:p>
        </w:tc>
        <w:tc>
          <w:tcPr>
            <w:tcW w:w="2197" w:type="dxa"/>
            <w:shd w:val="clear" w:color="auto" w:fill="auto"/>
          </w:tcPr>
          <w:p w:rsidR="00841C9D" w:rsidRPr="00A03684" w:rsidRDefault="00841C9D" w:rsidP="00837A2A">
            <w:pPr>
              <w:pStyle w:val="TableText"/>
            </w:pPr>
            <w:r w:rsidRPr="00A03684">
              <w:t xml:space="preserve">15.0 </w:t>
            </w:r>
          </w:p>
        </w:tc>
        <w:tc>
          <w:tcPr>
            <w:tcW w:w="2197" w:type="dxa"/>
          </w:tcPr>
          <w:p w:rsidR="00841C9D" w:rsidRPr="00A03684" w:rsidRDefault="00841C9D" w:rsidP="00837A2A">
            <w:pPr>
              <w:pStyle w:val="TableText"/>
            </w:pPr>
            <w:r w:rsidRPr="00A03684">
              <w:t xml:space="preserve">105 </w:t>
            </w:r>
          </w:p>
        </w:tc>
      </w:tr>
      <w:tr w:rsidR="00841C9D" w:rsidRPr="00A03684" w:rsidTr="00D436F5">
        <w:trPr>
          <w:trHeight w:val="285"/>
        </w:trPr>
        <w:tc>
          <w:tcPr>
            <w:tcW w:w="2197" w:type="dxa"/>
          </w:tcPr>
          <w:p w:rsidR="00841C9D" w:rsidRPr="00A03684" w:rsidRDefault="00841C9D" w:rsidP="00837A2A">
            <w:pPr>
              <w:pStyle w:val="TableText"/>
              <w:rPr>
                <w:bCs/>
              </w:rPr>
            </w:pPr>
            <w:r w:rsidRPr="00A03684">
              <w:rPr>
                <w:bCs/>
              </w:rPr>
              <w:t>Activity D</w:t>
            </w:r>
          </w:p>
        </w:tc>
        <w:tc>
          <w:tcPr>
            <w:tcW w:w="2197" w:type="dxa"/>
            <w:shd w:val="clear" w:color="auto" w:fill="auto"/>
          </w:tcPr>
          <w:p w:rsidR="00841C9D" w:rsidRPr="00A03684" w:rsidRDefault="00841C9D" w:rsidP="00837A2A">
            <w:pPr>
              <w:pStyle w:val="TableText"/>
            </w:pPr>
            <w:r w:rsidRPr="00A03684">
              <w:t xml:space="preserve">8.3 </w:t>
            </w:r>
          </w:p>
        </w:tc>
        <w:tc>
          <w:tcPr>
            <w:tcW w:w="2197" w:type="dxa"/>
          </w:tcPr>
          <w:p w:rsidR="00841C9D" w:rsidRPr="00A03684" w:rsidRDefault="00841C9D" w:rsidP="00837A2A">
            <w:pPr>
              <w:pStyle w:val="TableText"/>
            </w:pPr>
            <w:r w:rsidRPr="00A03684">
              <w:t xml:space="preserve">98 </w:t>
            </w:r>
          </w:p>
        </w:tc>
      </w:tr>
    </w:tbl>
    <w:bookmarkEnd w:id="24"/>
    <w:p w:rsidR="00361829" w:rsidRPr="00A03684" w:rsidRDefault="00361829" w:rsidP="007607C6">
      <w:pPr>
        <w:pStyle w:val="Heading3"/>
        <w:spacing w:before="480"/>
      </w:pPr>
      <w:r w:rsidRPr="00A03684">
        <w:t>Consisten</w:t>
      </w:r>
      <w:r w:rsidR="006943A8" w:rsidRPr="00A03684">
        <w:t xml:space="preserve">cy of </w:t>
      </w:r>
      <w:r w:rsidR="005C4B08" w:rsidRPr="00A03684">
        <w:t>industrial allocation</w:t>
      </w:r>
      <w:r w:rsidR="006943A8" w:rsidRPr="00A03684">
        <w:t xml:space="preserve"> </w:t>
      </w:r>
      <w:r w:rsidR="000628EF" w:rsidRPr="00A03684">
        <w:t xml:space="preserve">with </w:t>
      </w:r>
      <w:r w:rsidR="006943A8" w:rsidRPr="00A03684">
        <w:t>emissions budgets</w:t>
      </w:r>
    </w:p>
    <w:p w:rsidR="001F76D7" w:rsidRPr="00A03684" w:rsidRDefault="00361829" w:rsidP="007611D9">
      <w:pPr>
        <w:pStyle w:val="BodyText"/>
      </w:pPr>
      <w:r w:rsidRPr="00A03684">
        <w:t xml:space="preserve">New Zealand will adopt emissions budgets to set the pathway for </w:t>
      </w:r>
      <w:r w:rsidR="00165725" w:rsidRPr="00A03684">
        <w:t xml:space="preserve">reaching </w:t>
      </w:r>
      <w:r w:rsidRPr="00A03684">
        <w:t>the 2050 target. To</w:t>
      </w:r>
      <w:r w:rsidR="00AC43E4">
        <w:t> </w:t>
      </w:r>
      <w:r w:rsidRPr="00A03684">
        <w:t>help drive reductions</w:t>
      </w:r>
      <w:r w:rsidR="00165725" w:rsidRPr="00A03684">
        <w:t>,</w:t>
      </w:r>
      <w:r w:rsidRPr="00A03684">
        <w:t xml:space="preserve"> </w:t>
      </w:r>
      <w:r w:rsidR="00710528" w:rsidRPr="00A03684">
        <w:t xml:space="preserve">the </w:t>
      </w:r>
      <w:r w:rsidR="00165725" w:rsidRPr="00A03684">
        <w:t>G</w:t>
      </w:r>
      <w:r w:rsidR="005C4B08" w:rsidRPr="00A03684">
        <w:t>o</w:t>
      </w:r>
      <w:r w:rsidRPr="00A03684">
        <w:t xml:space="preserve">vernment has set a limit or cap on the volume </w:t>
      </w:r>
      <w:r w:rsidR="005400AD" w:rsidRPr="00A03684">
        <w:t>of units in the NZ ETS. Figure 2</w:t>
      </w:r>
      <w:r w:rsidRPr="00A03684">
        <w:t xml:space="preserve"> shows the breakdown of </w:t>
      </w:r>
      <w:r w:rsidR="005C4B08" w:rsidRPr="00A03684">
        <w:t>the</w:t>
      </w:r>
      <w:r w:rsidRPr="00A03684">
        <w:t xml:space="preserve"> provisional emissions budget (2021</w:t>
      </w:r>
      <w:r w:rsidR="00165725" w:rsidRPr="00A03684">
        <w:t>-</w:t>
      </w:r>
      <w:r w:rsidRPr="00A03684">
        <w:t>2025) and the</w:t>
      </w:r>
      <w:r w:rsidR="00AC43E4">
        <w:t> </w:t>
      </w:r>
      <w:r w:rsidRPr="00A03684">
        <w:t>volume of the NZ ETS cap for this period.</w:t>
      </w:r>
      <w:r w:rsidR="00D53439" w:rsidRPr="00A03684">
        <w:t xml:space="preserve"> </w:t>
      </w:r>
    </w:p>
    <w:p w:rsidR="007607C6" w:rsidRPr="00A03684" w:rsidRDefault="007607C6" w:rsidP="007607C6">
      <w:pPr>
        <w:pStyle w:val="Figureheading"/>
      </w:pPr>
      <w:bookmarkStart w:id="27" w:name="_Toc75262198"/>
      <w:r w:rsidRPr="00A03684">
        <w:t xml:space="preserve">Figure 2: </w:t>
      </w:r>
      <w:r w:rsidRPr="00A03684">
        <w:tab/>
        <w:t>Breakdown of New Zealand’s provisional emissions budget</w:t>
      </w:r>
      <w:bookmarkEnd w:id="27"/>
    </w:p>
    <w:p w:rsidR="0059581F" w:rsidRPr="00A03684" w:rsidRDefault="0059581F" w:rsidP="007607C6">
      <w:pPr>
        <w:pStyle w:val="BodyText"/>
      </w:pPr>
      <w:r>
        <w:rPr>
          <w:noProof/>
        </w:rPr>
        <w:drawing>
          <wp:inline distT="0" distB="0" distL="0" distR="0" wp14:anchorId="6DD6D30B" wp14:editId="6D60DEC0">
            <wp:extent cx="5093600" cy="2370425"/>
            <wp:effectExtent l="0" t="0" r="0" b="0"/>
            <wp:docPr id="8" name="Picture 8" descr="Websi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ebsite&#10;&#10;Description automatically generated with low confidence"/>
                    <pic:cNvPicPr/>
                  </pic:nvPicPr>
                  <pic:blipFill>
                    <a:blip r:embed="rId26">
                      <a:extLst>
                        <a:ext uri="{28A0092B-C50C-407E-A947-70E740481C1C}">
                          <a14:useLocalDpi xmlns:a14="http://schemas.microsoft.com/office/drawing/2010/main" val="0"/>
                        </a:ext>
                      </a:extLst>
                    </a:blip>
                    <a:stretch>
                      <a:fillRect/>
                    </a:stretch>
                  </pic:blipFill>
                  <pic:spPr>
                    <a:xfrm>
                      <a:off x="0" y="0"/>
                      <a:ext cx="5114365" cy="2380088"/>
                    </a:xfrm>
                    <a:prstGeom prst="rect">
                      <a:avLst/>
                    </a:prstGeom>
                  </pic:spPr>
                </pic:pic>
              </a:graphicData>
            </a:graphic>
          </wp:inline>
        </w:drawing>
      </w:r>
    </w:p>
    <w:p w:rsidR="00A9350A" w:rsidRPr="00A03684" w:rsidRDefault="00101379" w:rsidP="0079452A">
      <w:pPr>
        <w:pStyle w:val="BodyText"/>
        <w:spacing w:after="100"/>
      </w:pPr>
      <w:r w:rsidRPr="00A03684">
        <w:t>New Zealand’</w:t>
      </w:r>
      <w:r w:rsidR="00497366" w:rsidRPr="00A03684">
        <w:t>s provisional emissions budget</w:t>
      </w:r>
      <w:r w:rsidR="00497366" w:rsidRPr="00A03684">
        <w:rPr>
          <w:rStyle w:val="FootnoteReference"/>
        </w:rPr>
        <w:footnoteReference w:id="9"/>
      </w:r>
      <w:r w:rsidR="00497366" w:rsidRPr="00A03684">
        <w:t xml:space="preserve"> includes</w:t>
      </w:r>
      <w:r w:rsidRPr="00A03684">
        <w:t xml:space="preserve"> emissions covered </w:t>
      </w:r>
      <w:r w:rsidR="00497366" w:rsidRPr="00A03684">
        <w:t xml:space="preserve">by the NZ ETS </w:t>
      </w:r>
      <w:r w:rsidRPr="00A03684">
        <w:t xml:space="preserve">and not </w:t>
      </w:r>
      <w:r w:rsidR="00497366" w:rsidRPr="00A03684">
        <w:t xml:space="preserve">covered by the scheme </w:t>
      </w:r>
      <w:r w:rsidRPr="00A03684">
        <w:t>(such as agricultural emissions).</w:t>
      </w:r>
      <w:r w:rsidR="00497366" w:rsidRPr="00A03684">
        <w:t xml:space="preserve"> Emissions covered by the scheme</w:t>
      </w:r>
      <w:r w:rsidR="00395DBD" w:rsidRPr="00A03684">
        <w:t xml:space="preserve"> </w:t>
      </w:r>
      <w:r w:rsidR="00497366" w:rsidRPr="00A03684">
        <w:t>comprise the NZ ETS emissions cap</w:t>
      </w:r>
      <w:r w:rsidR="007607C6" w:rsidRPr="00A03684">
        <w:t>.</w:t>
      </w:r>
      <w:r w:rsidR="00FF2826" w:rsidRPr="00A03684">
        <w:rPr>
          <w:rStyle w:val="FootnoteReference"/>
        </w:rPr>
        <w:footnoteReference w:id="10"/>
      </w:r>
      <w:r w:rsidR="00497366" w:rsidRPr="00A03684">
        <w:t xml:space="preserve"> </w:t>
      </w:r>
      <w:r w:rsidR="00361829" w:rsidRPr="00A03684">
        <w:t>I</w:t>
      </w:r>
      <w:r w:rsidR="005C4B08" w:rsidRPr="00A03684">
        <w:t>A</w:t>
      </w:r>
      <w:r w:rsidR="00361829" w:rsidRPr="00A03684">
        <w:t xml:space="preserve"> over the first emissions budget will take up a large por</w:t>
      </w:r>
      <w:r w:rsidR="00497366" w:rsidRPr="00A03684">
        <w:t>tion of the NZ ETS cap (about 30</w:t>
      </w:r>
      <w:r w:rsidR="00361829" w:rsidRPr="00A03684">
        <w:t xml:space="preserve"> per cent). </w:t>
      </w:r>
      <w:r w:rsidR="001437FD" w:rsidRPr="00A03684">
        <w:t>IA</w:t>
      </w:r>
      <w:r w:rsidR="00710528" w:rsidRPr="00A03684">
        <w:t xml:space="preserve"> is forecast</w:t>
      </w:r>
      <w:r w:rsidR="00361829" w:rsidRPr="00A03684">
        <w:t xml:space="preserve"> </w:t>
      </w:r>
      <w:r w:rsidR="000628EF" w:rsidRPr="00A03684">
        <w:t xml:space="preserve">to </w:t>
      </w:r>
      <w:r w:rsidR="00361829" w:rsidRPr="00A03684">
        <w:t>remain stable over this period</w:t>
      </w:r>
      <w:r w:rsidR="007607C6" w:rsidRPr="00A03684">
        <w:t>.</w:t>
      </w:r>
      <w:r w:rsidR="000F7C36" w:rsidRPr="00A03684">
        <w:rPr>
          <w:rStyle w:val="FootnoteReference"/>
        </w:rPr>
        <w:footnoteReference w:id="11"/>
      </w:r>
      <w:r w:rsidR="00361829" w:rsidRPr="00A03684">
        <w:t xml:space="preserve"> </w:t>
      </w:r>
    </w:p>
    <w:p w:rsidR="00D40B06" w:rsidRPr="00A03684" w:rsidRDefault="004F7FA7" w:rsidP="0079452A">
      <w:pPr>
        <w:pStyle w:val="BodyText"/>
        <w:spacing w:after="100"/>
      </w:pPr>
      <w:r w:rsidRPr="00A03684">
        <w:t>I</w:t>
      </w:r>
      <w:r w:rsidR="00361829" w:rsidRPr="00A03684">
        <w:t xml:space="preserve">n the context of </w:t>
      </w:r>
      <w:r w:rsidR="005C4B08" w:rsidRPr="00A03684">
        <w:t>the</w:t>
      </w:r>
      <w:r w:rsidR="00361829" w:rsidRPr="00A03684">
        <w:t xml:space="preserve"> emissions budgets, </w:t>
      </w:r>
      <w:r w:rsidR="001437FD" w:rsidRPr="00A03684">
        <w:t>IA</w:t>
      </w:r>
      <w:r w:rsidR="00361829" w:rsidRPr="00A03684">
        <w:t xml:space="preserve"> is a</w:t>
      </w:r>
      <w:r w:rsidR="001A0C45" w:rsidRPr="00A03684">
        <w:t xml:space="preserve"> </w:t>
      </w:r>
      <w:r w:rsidR="00D40B06" w:rsidRPr="00A03684">
        <w:t>volume of emissions</w:t>
      </w:r>
      <w:r w:rsidR="001A0C45" w:rsidRPr="00A03684">
        <w:t xml:space="preserve"> the </w:t>
      </w:r>
      <w:r w:rsidR="005C4B08" w:rsidRPr="00A03684">
        <w:t>G</w:t>
      </w:r>
      <w:r w:rsidR="001A0C45" w:rsidRPr="00A03684">
        <w:t>overnment</w:t>
      </w:r>
      <w:r w:rsidR="00FF2826" w:rsidRPr="00A03684">
        <w:t xml:space="preserve"> </w:t>
      </w:r>
      <w:r w:rsidR="001A0C45" w:rsidRPr="00A03684">
        <w:t>allow</w:t>
      </w:r>
      <w:r w:rsidR="00FF2826" w:rsidRPr="00A03684">
        <w:t>s</w:t>
      </w:r>
      <w:r w:rsidR="001A0C45" w:rsidRPr="00A03684">
        <w:t xml:space="preserve"> to be emitted</w:t>
      </w:r>
      <w:r w:rsidR="000628EF" w:rsidRPr="00A03684">
        <w:t xml:space="preserve"> without facing a price</w:t>
      </w:r>
      <w:r w:rsidR="00361829" w:rsidRPr="00A03684">
        <w:t>.</w:t>
      </w:r>
      <w:r w:rsidR="00412AF7" w:rsidRPr="00A03684">
        <w:t xml:space="preserve"> </w:t>
      </w:r>
      <w:r w:rsidRPr="00A03684">
        <w:t>T</w:t>
      </w:r>
      <w:r w:rsidR="00361829" w:rsidRPr="00A03684">
        <w:t xml:space="preserve">o meet progressively smaller budgets, </w:t>
      </w:r>
      <w:r w:rsidR="000F3F7C" w:rsidRPr="00A03684">
        <w:t xml:space="preserve">bigger </w:t>
      </w:r>
      <w:r w:rsidR="00361829" w:rsidRPr="00A03684">
        <w:t xml:space="preserve">reductions </w:t>
      </w:r>
      <w:r w:rsidR="00FF2826" w:rsidRPr="00A03684">
        <w:t>are needed</w:t>
      </w:r>
      <w:r w:rsidR="00361829" w:rsidRPr="00A03684">
        <w:t xml:space="preserve"> from other sources of emissions </w:t>
      </w:r>
      <w:r w:rsidR="005C4B08" w:rsidRPr="00A03684">
        <w:t>under</w:t>
      </w:r>
      <w:r w:rsidR="00361829" w:rsidRPr="00A03684">
        <w:t xml:space="preserve"> the scheme</w:t>
      </w:r>
      <w:r w:rsidR="000F3F7C" w:rsidRPr="00A03684">
        <w:t>,</w:t>
      </w:r>
      <w:r w:rsidR="00DE144E" w:rsidRPr="00A03684">
        <w:t xml:space="preserve"> if allocations remain at </w:t>
      </w:r>
      <w:r w:rsidR="001A0C45" w:rsidRPr="00A03684">
        <w:t>current</w:t>
      </w:r>
      <w:r w:rsidR="00DE144E" w:rsidRPr="00A03684">
        <w:t xml:space="preserve"> levels</w:t>
      </w:r>
      <w:r w:rsidR="00D40B06" w:rsidRPr="00A03684">
        <w:t xml:space="preserve"> or increase</w:t>
      </w:r>
      <w:r w:rsidR="00361829" w:rsidRPr="00A03684">
        <w:t xml:space="preserve">. </w:t>
      </w:r>
    </w:p>
    <w:p w:rsidR="008D2FAD" w:rsidRPr="00A03684" w:rsidRDefault="00E23D6E" w:rsidP="0079452A">
      <w:pPr>
        <w:pStyle w:val="BodyText"/>
        <w:spacing w:after="100"/>
      </w:pPr>
      <w:r w:rsidRPr="00A03684">
        <w:t>O</w:t>
      </w:r>
      <w:r w:rsidR="00361829" w:rsidRPr="00A03684">
        <w:t xml:space="preserve">ver-allocation reduces the number of </w:t>
      </w:r>
      <w:r w:rsidR="004F7FA7" w:rsidRPr="00A03684">
        <w:t>NZUs</w:t>
      </w:r>
      <w:r w:rsidR="00361829" w:rsidRPr="00A03684">
        <w:t xml:space="preserve"> the </w:t>
      </w:r>
      <w:r w:rsidR="00EF0A94">
        <w:t>G</w:t>
      </w:r>
      <w:r w:rsidR="00361829" w:rsidRPr="00A03684">
        <w:t>overnment can sell at auction. Units fre</w:t>
      </w:r>
      <w:r w:rsidR="00F5068A" w:rsidRPr="00A03684">
        <w:t xml:space="preserve">ely allocated by the </w:t>
      </w:r>
      <w:r w:rsidR="004F7FA7" w:rsidRPr="00A03684">
        <w:t>G</w:t>
      </w:r>
      <w:r w:rsidR="00F5068A" w:rsidRPr="00A03684">
        <w:t>overnment</w:t>
      </w:r>
      <w:r w:rsidR="00361829" w:rsidRPr="00A03684">
        <w:t xml:space="preserve"> cannot also be sold through auctioning</w:t>
      </w:r>
      <w:r w:rsidR="00D40B06" w:rsidRPr="00A03684">
        <w:t>. T</w:t>
      </w:r>
      <w:r w:rsidR="00361829" w:rsidRPr="00A03684">
        <w:t>h</w:t>
      </w:r>
      <w:r w:rsidR="009B2D14" w:rsidRPr="00A03684">
        <w:t>is</w:t>
      </w:r>
      <w:r w:rsidR="00361829" w:rsidRPr="00A03684">
        <w:t xml:space="preserve"> creates an indirect fiscal cost</w:t>
      </w:r>
      <w:r w:rsidR="004F7FA7" w:rsidRPr="00A03684">
        <w:t>,</w:t>
      </w:r>
      <w:r w:rsidR="00361829" w:rsidRPr="00A03684">
        <w:t xml:space="preserve"> </w:t>
      </w:r>
      <w:r w:rsidR="008D2FAD" w:rsidRPr="00A03684">
        <w:t xml:space="preserve">from reduced auction proceeds. </w:t>
      </w:r>
    </w:p>
    <w:p w:rsidR="004A3E7E" w:rsidRPr="00A03684" w:rsidRDefault="004F7FA7" w:rsidP="0079452A">
      <w:pPr>
        <w:pStyle w:val="BodyText"/>
        <w:spacing w:after="100"/>
      </w:pPr>
      <w:r w:rsidRPr="00A03684">
        <w:t xml:space="preserve">Although </w:t>
      </w:r>
      <w:r w:rsidR="004A3E7E" w:rsidRPr="00A03684">
        <w:t xml:space="preserve">over-allocation reduces auction proceeds, it does not affect the total volume of units supplied into the NZ ETS market. The </w:t>
      </w:r>
      <w:r w:rsidR="005C4B08" w:rsidRPr="00A03684">
        <w:t xml:space="preserve">lower </w:t>
      </w:r>
      <w:r w:rsidR="004A3E7E" w:rsidRPr="00A03684">
        <w:t>a</w:t>
      </w:r>
      <w:r w:rsidR="006B4567" w:rsidRPr="00A03684">
        <w:t>u</w:t>
      </w:r>
      <w:r w:rsidR="004A3E7E" w:rsidRPr="00A03684">
        <w:t>ction volume</w:t>
      </w:r>
      <w:r w:rsidR="00214BC9" w:rsidRPr="00A03684">
        <w:t xml:space="preserve"> is </w:t>
      </w:r>
      <w:r w:rsidR="00FF2826" w:rsidRPr="00A03684">
        <w:t>balanced</w:t>
      </w:r>
      <w:r w:rsidR="004A3E7E" w:rsidRPr="00A03684">
        <w:t xml:space="preserve"> </w:t>
      </w:r>
      <w:r w:rsidR="008D2FAD" w:rsidRPr="00A03684">
        <w:t>by firms selling</w:t>
      </w:r>
      <w:r w:rsidR="00214BC9" w:rsidRPr="00A03684">
        <w:t xml:space="preserve"> surplus units into the market. If the carbon market is liquid,</w:t>
      </w:r>
      <w:r w:rsidR="00D40B06" w:rsidRPr="00A03684">
        <w:t xml:space="preserve"> it does not</w:t>
      </w:r>
      <w:r w:rsidR="00214BC9" w:rsidRPr="00A03684">
        <w:t xml:space="preserve"> matter if unit supply comes from auctioning or over-allocation. </w:t>
      </w:r>
      <w:r w:rsidR="00437BB7" w:rsidRPr="00A03684">
        <w:t>However, it is probable that over-allocated units are more likely to be saved for future compliance</w:t>
      </w:r>
      <w:r w:rsidR="005C4B08" w:rsidRPr="00A03684">
        <w:t>,</w:t>
      </w:r>
      <w:r w:rsidR="00437BB7" w:rsidRPr="00A03684">
        <w:t xml:space="preserve"> and auction units are more likely to be traded</w:t>
      </w:r>
      <w:r w:rsidRPr="00A03684">
        <w:t>. This means</w:t>
      </w:r>
      <w:r w:rsidR="00437BB7" w:rsidRPr="00A03684">
        <w:t xml:space="preserve"> that over-allocations will reduce market liquidity (and therefore efficiency of price discovery)</w:t>
      </w:r>
      <w:r w:rsidRPr="00A03684">
        <w:t>,</w:t>
      </w:r>
      <w:r w:rsidR="00437BB7" w:rsidRPr="00A03684">
        <w:t xml:space="preserve"> compared to auctioning. </w:t>
      </w:r>
    </w:p>
    <w:p w:rsidR="00361829" w:rsidRPr="00A03684" w:rsidRDefault="006A3558" w:rsidP="0079452A">
      <w:pPr>
        <w:pStyle w:val="Heading2"/>
        <w:spacing w:before="280"/>
      </w:pPr>
      <w:bookmarkStart w:id="28" w:name="_Toc75336457"/>
      <w:r w:rsidRPr="00A03684">
        <w:t>The o</w:t>
      </w:r>
      <w:r w:rsidR="00361829" w:rsidRPr="00A03684">
        <w:t>bjectives</w:t>
      </w:r>
      <w:r w:rsidR="000957B2" w:rsidRPr="00A03684">
        <w:t xml:space="preserve"> of industrial allocation</w:t>
      </w:r>
      <w:bookmarkEnd w:id="28"/>
      <w:r w:rsidR="000957B2" w:rsidRPr="00A03684">
        <w:t xml:space="preserve"> </w:t>
      </w:r>
    </w:p>
    <w:p w:rsidR="00F5068A" w:rsidRPr="00A03684" w:rsidRDefault="00F5068A" w:rsidP="007611D9">
      <w:pPr>
        <w:pStyle w:val="BodyText"/>
      </w:pPr>
      <w:r w:rsidRPr="00A03684">
        <w:t>The purpose of the r</w:t>
      </w:r>
      <w:r w:rsidR="00361829" w:rsidRPr="00A03684">
        <w:t xml:space="preserve">eview is to assess New Zealand’s </w:t>
      </w:r>
      <w:r w:rsidR="001437FD" w:rsidRPr="00A03684">
        <w:t>IA</w:t>
      </w:r>
      <w:r w:rsidR="00361829" w:rsidRPr="00A03684">
        <w:t xml:space="preserve"> policy and ensure it effectively manages any ongoing risk of emissions leakage, </w:t>
      </w:r>
      <w:r w:rsidR="004F7FA7" w:rsidRPr="00A03684">
        <w:t xml:space="preserve">and aligns </w:t>
      </w:r>
      <w:r w:rsidR="00361829" w:rsidRPr="00A03684">
        <w:t xml:space="preserve">with </w:t>
      </w:r>
      <w:r w:rsidR="004F7FA7" w:rsidRPr="00A03684">
        <w:t xml:space="preserve">our </w:t>
      </w:r>
      <w:r w:rsidR="00361829" w:rsidRPr="00A03684">
        <w:t>climate change commitments.</w:t>
      </w:r>
      <w:r w:rsidRPr="00A03684">
        <w:t xml:space="preserve"> </w:t>
      </w:r>
      <w:r w:rsidR="004F7FA7" w:rsidRPr="00A03684">
        <w:t>In particular, t</w:t>
      </w:r>
      <w:r w:rsidRPr="00A03684">
        <w:t>he r</w:t>
      </w:r>
      <w:r w:rsidR="00361829" w:rsidRPr="00A03684">
        <w:t>eview address</w:t>
      </w:r>
      <w:r w:rsidR="004F7FA7" w:rsidRPr="00A03684">
        <w:t>es</w:t>
      </w:r>
      <w:r w:rsidR="005C4B08" w:rsidRPr="00A03684">
        <w:t xml:space="preserve"> </w:t>
      </w:r>
      <w:r w:rsidR="00361829" w:rsidRPr="00A03684">
        <w:t>over-allocation</w:t>
      </w:r>
      <w:r w:rsidR="00A32C0A" w:rsidRPr="00A03684">
        <w:t xml:space="preserve"> in the short to medium term</w:t>
      </w:r>
      <w:r w:rsidR="00361829" w:rsidRPr="00A03684">
        <w:t>.</w:t>
      </w:r>
    </w:p>
    <w:p w:rsidR="00361829" w:rsidRPr="00A03684" w:rsidRDefault="00F5068A" w:rsidP="007611D9">
      <w:pPr>
        <w:pStyle w:val="BodyText"/>
      </w:pPr>
      <w:r w:rsidRPr="00A03684">
        <w:t xml:space="preserve">The purpose of </w:t>
      </w:r>
      <w:r w:rsidR="001437FD" w:rsidRPr="00A03684">
        <w:t>IA</w:t>
      </w:r>
      <w:r w:rsidRPr="00A03684">
        <w:t xml:space="preserve"> is to reduce the risk of emissions leakage. However, </w:t>
      </w:r>
      <w:r w:rsidR="001437FD" w:rsidRPr="00A03684">
        <w:t>IA</w:t>
      </w:r>
      <w:r w:rsidRPr="00A03684">
        <w:t xml:space="preserve"> policy and the NZ</w:t>
      </w:r>
      <w:r w:rsidR="0079452A" w:rsidRPr="00A03684">
        <w:t> </w:t>
      </w:r>
      <w:r w:rsidRPr="00A03684">
        <w:t>ETS</w:t>
      </w:r>
      <w:r w:rsidR="0079452A" w:rsidRPr="00A03684">
        <w:t> </w:t>
      </w:r>
      <w:r w:rsidRPr="00A03684">
        <w:t xml:space="preserve">are nested in </w:t>
      </w:r>
      <w:r w:rsidR="00A32C0A" w:rsidRPr="00A03684">
        <w:t xml:space="preserve">broader </w:t>
      </w:r>
      <w:r w:rsidR="006B4567" w:rsidRPr="00A03684">
        <w:t xml:space="preserve">climate </w:t>
      </w:r>
      <w:r w:rsidR="00A32C0A" w:rsidRPr="00A03684">
        <w:t>objectives</w:t>
      </w:r>
      <w:r w:rsidR="00E22F8B" w:rsidRPr="00A03684">
        <w:t xml:space="preserve">. </w:t>
      </w:r>
      <w:r w:rsidR="00D40B06" w:rsidRPr="00A03684">
        <w:t xml:space="preserve">Ensuring </w:t>
      </w:r>
      <w:r w:rsidR="001437FD" w:rsidRPr="00A03684">
        <w:t>IA</w:t>
      </w:r>
      <w:r w:rsidR="007818BC" w:rsidRPr="00A03684">
        <w:t xml:space="preserve"> is credible and fit for purpose</w:t>
      </w:r>
      <w:r w:rsidR="00A32C0A" w:rsidRPr="00A03684">
        <w:t xml:space="preserve"> will</w:t>
      </w:r>
      <w:r w:rsidR="0079452A" w:rsidRPr="00A03684">
        <w:t> </w:t>
      </w:r>
      <w:r w:rsidR="00A32C0A" w:rsidRPr="00A03684">
        <w:t xml:space="preserve">mean </w:t>
      </w:r>
      <w:r w:rsidR="00A27012" w:rsidRPr="00A03684">
        <w:t>balancing sometimes-competing</w:t>
      </w:r>
      <w:r w:rsidR="00361829" w:rsidRPr="00A03684">
        <w:t xml:space="preserve"> objectives. </w:t>
      </w:r>
      <w:r w:rsidR="00A32C0A" w:rsidRPr="00A03684">
        <w:t>An approach t</w:t>
      </w:r>
      <w:r w:rsidR="005E31EE" w:rsidRPr="00A03684">
        <w:t xml:space="preserve">hat emphasises </w:t>
      </w:r>
      <w:r w:rsidR="00A27012" w:rsidRPr="00A03684">
        <w:t>l</w:t>
      </w:r>
      <w:r w:rsidR="005E31EE" w:rsidRPr="00A03684">
        <w:t xml:space="preserve">eakage risk </w:t>
      </w:r>
      <w:r w:rsidR="00A27012" w:rsidRPr="00A03684">
        <w:t>and minimis</w:t>
      </w:r>
      <w:r w:rsidR="005C4B08" w:rsidRPr="00A03684">
        <w:t>es</w:t>
      </w:r>
      <w:r w:rsidR="00361829" w:rsidRPr="00A03684">
        <w:t xml:space="preserve"> economic </w:t>
      </w:r>
      <w:r w:rsidR="000628EF" w:rsidRPr="00A03684">
        <w:t xml:space="preserve">impacts </w:t>
      </w:r>
      <w:r w:rsidR="00361829" w:rsidRPr="00A03684">
        <w:t xml:space="preserve">may make it harder to </w:t>
      </w:r>
      <w:r w:rsidR="0086707A" w:rsidRPr="00A03684">
        <w:t>meet emissions budgets</w:t>
      </w:r>
      <w:r w:rsidR="00A32C0A" w:rsidRPr="00A03684">
        <w:t>. On the other hand,</w:t>
      </w:r>
      <w:r w:rsidR="00361829" w:rsidRPr="00A03684">
        <w:t xml:space="preserve"> </w:t>
      </w:r>
      <w:r w:rsidR="00A27012" w:rsidRPr="00A03684">
        <w:t xml:space="preserve">aligning </w:t>
      </w:r>
      <w:r w:rsidR="00361829" w:rsidRPr="00A03684">
        <w:t>allocation</w:t>
      </w:r>
      <w:r w:rsidR="00A27012" w:rsidRPr="00A03684">
        <w:t>s and budgets could</w:t>
      </w:r>
      <w:r w:rsidR="00361829" w:rsidRPr="00A03684">
        <w:t xml:space="preserve"> remove levels of assistance needed to prevent leakage.</w:t>
      </w:r>
    </w:p>
    <w:p w:rsidR="004F7FA7" w:rsidRPr="00A03684" w:rsidRDefault="00361829" w:rsidP="007611D9">
      <w:pPr>
        <w:pStyle w:val="BodyText"/>
      </w:pPr>
      <w:r w:rsidRPr="00A03684">
        <w:t xml:space="preserve">It is the Government’s view that </w:t>
      </w:r>
      <w:r w:rsidR="001437FD" w:rsidRPr="00A03684">
        <w:t>IA</w:t>
      </w:r>
      <w:r w:rsidR="0086707A" w:rsidRPr="00A03684">
        <w:t xml:space="preserve"> </w:t>
      </w:r>
      <w:r w:rsidR="000957B2" w:rsidRPr="00A03684">
        <w:t>should</w:t>
      </w:r>
      <w:r w:rsidR="0086707A" w:rsidRPr="00A03684">
        <w:t xml:space="preserve"> be consistent with New Zealand’s broader climate change objectives.</w:t>
      </w:r>
      <w:r w:rsidR="000957B2" w:rsidRPr="00A03684">
        <w:t xml:space="preserve"> It should</w:t>
      </w:r>
      <w:r w:rsidR="004F7FA7" w:rsidRPr="00A03684">
        <w:t>:</w:t>
      </w:r>
    </w:p>
    <w:p w:rsidR="004F7FA7" w:rsidRPr="00A03684" w:rsidRDefault="000957B2" w:rsidP="0079452A">
      <w:pPr>
        <w:pStyle w:val="Bullet"/>
      </w:pPr>
      <w:r w:rsidRPr="00A03684">
        <w:t>for</w:t>
      </w:r>
      <w:r w:rsidR="00A27012" w:rsidRPr="00A03684">
        <w:t>m part of an enduring i</w:t>
      </w:r>
      <w:r w:rsidRPr="00A03684">
        <w:t xml:space="preserve">nstitutional framework to reduce emissions out to 2050 and beyond </w:t>
      </w:r>
    </w:p>
    <w:p w:rsidR="004F7FA7" w:rsidRPr="00A03684" w:rsidRDefault="000957B2" w:rsidP="0079452A">
      <w:pPr>
        <w:pStyle w:val="Bullet"/>
      </w:pPr>
      <w:r w:rsidRPr="00A03684">
        <w:t>drive behavioural changes to create a sustainable and climate</w:t>
      </w:r>
      <w:r w:rsidR="00A313C7">
        <w:t>-</w:t>
      </w:r>
      <w:r w:rsidRPr="00A03684">
        <w:t xml:space="preserve">resilient economy. </w:t>
      </w:r>
    </w:p>
    <w:p w:rsidR="0086707A" w:rsidRPr="00A03684" w:rsidRDefault="005C4B08" w:rsidP="007611D9">
      <w:pPr>
        <w:pStyle w:val="BodyText"/>
      </w:pPr>
      <w:r w:rsidRPr="00A03684">
        <w:t xml:space="preserve">Although </w:t>
      </w:r>
      <w:r w:rsidR="001437FD" w:rsidRPr="00A03684">
        <w:t>IA</w:t>
      </w:r>
      <w:r w:rsidR="000957B2" w:rsidRPr="00A03684">
        <w:t xml:space="preserve"> </w:t>
      </w:r>
      <w:r w:rsidR="00E558D9" w:rsidRPr="00A03684">
        <w:t>should continue to address</w:t>
      </w:r>
      <w:r w:rsidR="000957B2" w:rsidRPr="00A03684">
        <w:t xml:space="preserve"> leakage, </w:t>
      </w:r>
      <w:r w:rsidR="00FD5996" w:rsidRPr="00A03684">
        <w:t xml:space="preserve">this </w:t>
      </w:r>
      <w:r w:rsidR="000957B2" w:rsidRPr="00A03684">
        <w:t xml:space="preserve">should not be at the expense of </w:t>
      </w:r>
      <w:r w:rsidRPr="00A03684">
        <w:t>our</w:t>
      </w:r>
      <w:r w:rsidR="000957B2" w:rsidRPr="00A03684">
        <w:t xml:space="preserve"> legislated climate change commitments.</w:t>
      </w:r>
      <w:r w:rsidR="00A03684" w:rsidRPr="00A03684">
        <w:t xml:space="preserve"> </w:t>
      </w:r>
    </w:p>
    <w:p w:rsidR="00361829" w:rsidRPr="00A03684" w:rsidRDefault="00361829" w:rsidP="0079452A">
      <w:pPr>
        <w:pStyle w:val="Heading3"/>
      </w:pPr>
      <w:r w:rsidRPr="00A03684">
        <w:t xml:space="preserve">Criteria for assessing options </w:t>
      </w:r>
    </w:p>
    <w:p w:rsidR="00361829" w:rsidRPr="00A03684" w:rsidRDefault="000957B2" w:rsidP="0079452A">
      <w:pPr>
        <w:pStyle w:val="BodyText"/>
      </w:pPr>
      <w:r w:rsidRPr="00A03684">
        <w:t xml:space="preserve">The </w:t>
      </w:r>
      <w:r w:rsidR="00C43367">
        <w:t>consultation</w:t>
      </w:r>
      <w:r w:rsidR="00983588">
        <w:t xml:space="preserve"> document</w:t>
      </w:r>
      <w:r w:rsidR="00983588" w:rsidRPr="00A03684">
        <w:t xml:space="preserve"> </w:t>
      </w:r>
      <w:r w:rsidR="00D40B06" w:rsidRPr="00A03684">
        <w:t>evaluates</w:t>
      </w:r>
      <w:r w:rsidR="00361829" w:rsidRPr="00A03684">
        <w:t xml:space="preserve"> each proposal against the status quo to assess how it performs, using the</w:t>
      </w:r>
      <w:r w:rsidR="00FC01DA" w:rsidRPr="00A03684">
        <w:t> </w:t>
      </w:r>
      <w:r w:rsidR="00361829" w:rsidRPr="00A03684">
        <w:t>following criteria:</w:t>
      </w:r>
    </w:p>
    <w:p w:rsidR="00D40B06" w:rsidRPr="00A03684" w:rsidRDefault="00361829" w:rsidP="00614C21">
      <w:pPr>
        <w:pStyle w:val="Numberedparagraph"/>
        <w:numPr>
          <w:ilvl w:val="0"/>
          <w:numId w:val="32"/>
        </w:numPr>
      </w:pPr>
      <w:r w:rsidRPr="00A03684">
        <w:rPr>
          <w:b/>
        </w:rPr>
        <w:t>Supports the purpose of the NZ ETS</w:t>
      </w:r>
      <w:r w:rsidRPr="00A313C7">
        <w:rPr>
          <w:b/>
          <w:bCs/>
        </w:rPr>
        <w:t>.</w:t>
      </w:r>
      <w:r w:rsidRPr="00A03684">
        <w:t xml:space="preserve"> </w:t>
      </w:r>
      <w:r w:rsidR="001437FD" w:rsidRPr="00A03684">
        <w:t>IA</w:t>
      </w:r>
      <w:r w:rsidRPr="00A03684">
        <w:t xml:space="preserve"> should drive mitigation in line with </w:t>
      </w:r>
      <w:r w:rsidR="00DC351F" w:rsidRPr="00A03684">
        <w:t>emissions budgets</w:t>
      </w:r>
      <w:r w:rsidRPr="00A03684">
        <w:t>, and mak</w:t>
      </w:r>
      <w:r w:rsidR="0005315A" w:rsidRPr="00A03684">
        <w:t>e</w:t>
      </w:r>
      <w:r w:rsidRPr="00A03684">
        <w:t xml:space="preserve"> a meaningful contribution to </w:t>
      </w:r>
      <w:r w:rsidR="00FD5996" w:rsidRPr="00A03684">
        <w:t xml:space="preserve">lowering </w:t>
      </w:r>
      <w:r w:rsidRPr="00A03684">
        <w:t xml:space="preserve">global emissions. </w:t>
      </w:r>
      <w:r w:rsidR="007E056E" w:rsidRPr="00A03684">
        <w:t xml:space="preserve">It should ensure an </w:t>
      </w:r>
      <w:r w:rsidR="00D40B06" w:rsidRPr="00A03684">
        <w:t xml:space="preserve">appropriate </w:t>
      </w:r>
      <w:r w:rsidR="007E056E" w:rsidRPr="00A03684">
        <w:t xml:space="preserve">incentive </w:t>
      </w:r>
      <w:r w:rsidR="00D40B06" w:rsidRPr="00A03684">
        <w:t xml:space="preserve">is maintained </w:t>
      </w:r>
      <w:r w:rsidR="007E056E" w:rsidRPr="00A03684">
        <w:t xml:space="preserve">for EITE firms to reduce emissions. </w:t>
      </w:r>
    </w:p>
    <w:p w:rsidR="00361829" w:rsidRPr="00A03684" w:rsidRDefault="00D40B06" w:rsidP="0079452A">
      <w:pPr>
        <w:pStyle w:val="Numberedparagraph"/>
      </w:pPr>
      <w:r w:rsidRPr="00A03684">
        <w:rPr>
          <w:b/>
        </w:rPr>
        <w:t>Addresses over-allocation.</w:t>
      </w:r>
      <w:r w:rsidRPr="00A313C7">
        <w:rPr>
          <w:bCs/>
        </w:rPr>
        <w:t xml:space="preserve"> </w:t>
      </w:r>
      <w:r w:rsidR="001437FD" w:rsidRPr="00A03684">
        <w:t>IA</w:t>
      </w:r>
      <w:r w:rsidRPr="00A03684">
        <w:t xml:space="preserve"> should avoid unacceptable levels of over-allocation. </w:t>
      </w:r>
    </w:p>
    <w:p w:rsidR="00361829" w:rsidRPr="00A03684" w:rsidRDefault="00361829" w:rsidP="0079452A">
      <w:pPr>
        <w:pStyle w:val="Numberedparagraph"/>
        <w:rPr>
          <w:b/>
        </w:rPr>
      </w:pPr>
      <w:r w:rsidRPr="00A03684">
        <w:rPr>
          <w:b/>
        </w:rPr>
        <w:t xml:space="preserve">Addresses the risk of emissions leakage. </w:t>
      </w:r>
      <w:r w:rsidR="001437FD" w:rsidRPr="00A03684">
        <w:t>IA</w:t>
      </w:r>
      <w:r w:rsidRPr="00A03684">
        <w:t xml:space="preserve"> should continue to min</w:t>
      </w:r>
      <w:r w:rsidR="00D40B06" w:rsidRPr="00A03684">
        <w:t>imise the risk of</w:t>
      </w:r>
      <w:r w:rsidRPr="00A03684">
        <w:t xml:space="preserve"> leakage. It should mitigate the loss of competitiveness for EITE firms that face </w:t>
      </w:r>
      <w:r w:rsidR="0005315A" w:rsidRPr="00A03684">
        <w:t xml:space="preserve">higher </w:t>
      </w:r>
      <w:r w:rsidRPr="00A03684">
        <w:t>costs</w:t>
      </w:r>
      <w:r w:rsidR="0079452A" w:rsidRPr="00A03684">
        <w:t> </w:t>
      </w:r>
      <w:r w:rsidRPr="00A03684">
        <w:t xml:space="preserve">because of the NZ ETS, and prevent the export of domestic industries that increase global emissions. </w:t>
      </w:r>
    </w:p>
    <w:p w:rsidR="00361829" w:rsidRPr="00A03684" w:rsidRDefault="00361829" w:rsidP="0079452A">
      <w:pPr>
        <w:pStyle w:val="Numberedparagraph"/>
        <w:rPr>
          <w:bCs/>
        </w:rPr>
      </w:pPr>
      <w:r w:rsidRPr="00A03684">
        <w:rPr>
          <w:b/>
        </w:rPr>
        <w:t>Regulatory certainty and predictability</w:t>
      </w:r>
      <w:r w:rsidRPr="00A313C7">
        <w:rPr>
          <w:b/>
          <w:bCs/>
        </w:rPr>
        <w:t>.</w:t>
      </w:r>
      <w:r w:rsidRPr="00A03684">
        <w:t xml:space="preserve"> Changes to </w:t>
      </w:r>
      <w:r w:rsidR="001437FD" w:rsidRPr="00A03684">
        <w:t>IA</w:t>
      </w:r>
      <w:r w:rsidRPr="00A03684">
        <w:t xml:space="preserve"> should </w:t>
      </w:r>
      <w:r w:rsidR="0005315A" w:rsidRPr="00A03684">
        <w:t xml:space="preserve">give recipients </w:t>
      </w:r>
      <w:r w:rsidRPr="00A03684">
        <w:t>certainty. Future</w:t>
      </w:r>
      <w:r w:rsidR="00E075E5" w:rsidRPr="00A03684">
        <w:t xml:space="preserve"> allocation policy </w:t>
      </w:r>
      <w:r w:rsidRPr="00A03684">
        <w:t>need</w:t>
      </w:r>
      <w:r w:rsidR="00E075E5" w:rsidRPr="00A03684">
        <w:t>s</w:t>
      </w:r>
      <w:r w:rsidRPr="00A03684">
        <w:t xml:space="preserve"> to </w:t>
      </w:r>
      <w:r w:rsidR="00342A8A" w:rsidRPr="00A03684">
        <w:t xml:space="preserve">be </w:t>
      </w:r>
      <w:r w:rsidR="006809DE" w:rsidRPr="00A03684">
        <w:t>predictable</w:t>
      </w:r>
      <w:r w:rsidR="00342A8A" w:rsidRPr="00A03684">
        <w:t xml:space="preserve"> </w:t>
      </w:r>
      <w:r w:rsidR="00ED5BC8" w:rsidRPr="00A03684">
        <w:t xml:space="preserve">over </w:t>
      </w:r>
      <w:r w:rsidR="00A521C0" w:rsidRPr="00A03684">
        <w:t xml:space="preserve">typical </w:t>
      </w:r>
      <w:r w:rsidR="00ED5BC8" w:rsidRPr="00A03684">
        <w:t>investment horizons</w:t>
      </w:r>
      <w:r w:rsidRPr="00A03684">
        <w:t xml:space="preserve">. </w:t>
      </w:r>
    </w:p>
    <w:p w:rsidR="00705684" w:rsidRPr="00A03684" w:rsidRDefault="00361829" w:rsidP="0079452A">
      <w:pPr>
        <w:pStyle w:val="Numberedparagraph"/>
      </w:pPr>
      <w:r w:rsidRPr="00A03684">
        <w:rPr>
          <w:b/>
        </w:rPr>
        <w:t>Minimise</w:t>
      </w:r>
      <w:r w:rsidR="006811C8" w:rsidRPr="00A03684">
        <w:rPr>
          <w:b/>
        </w:rPr>
        <w:t>s</w:t>
      </w:r>
      <w:r w:rsidRPr="00A03684">
        <w:rPr>
          <w:b/>
        </w:rPr>
        <w:t xml:space="preserve"> administrative burden and complexity.</w:t>
      </w:r>
      <w:r w:rsidRPr="00A313C7">
        <w:rPr>
          <w:bCs/>
        </w:rPr>
        <w:t xml:space="preserve"> </w:t>
      </w:r>
      <w:r w:rsidR="001437FD" w:rsidRPr="00A03684">
        <w:t>IA</w:t>
      </w:r>
      <w:r w:rsidRPr="00A03684">
        <w:t xml:space="preserve"> should support an efficient NZ</w:t>
      </w:r>
      <w:r w:rsidR="00614C21" w:rsidRPr="00A03684">
        <w:t> </w:t>
      </w:r>
      <w:r w:rsidRPr="00A03684">
        <w:t>ETS,</w:t>
      </w:r>
      <w:r w:rsidR="00614C21" w:rsidRPr="00A03684">
        <w:t> </w:t>
      </w:r>
      <w:r w:rsidRPr="00A03684">
        <w:t>which minimises administrative costs, as well as compliance costs and burden for</w:t>
      </w:r>
      <w:r w:rsidR="00614C21" w:rsidRPr="00A03684">
        <w:t> </w:t>
      </w:r>
      <w:r w:rsidR="00ED5BC8" w:rsidRPr="00A03684">
        <w:t>EITE firms</w:t>
      </w:r>
      <w:r w:rsidRPr="00A03684">
        <w:t>.</w:t>
      </w:r>
      <w:r w:rsidR="00705684" w:rsidRPr="00A03684">
        <w:t xml:space="preserve"> </w:t>
      </w:r>
    </w:p>
    <w:p w:rsidR="00705684" w:rsidRPr="00A03684" w:rsidRDefault="00705684" w:rsidP="00FC01DA">
      <w:pPr>
        <w:pStyle w:val="BodyText"/>
      </w:pPr>
      <w:r w:rsidRPr="00A03684">
        <w:t xml:space="preserve">Policy options </w:t>
      </w:r>
      <w:r w:rsidR="005F5EFD" w:rsidRPr="00A03684">
        <w:t xml:space="preserve">in this document </w:t>
      </w:r>
      <w:r w:rsidRPr="00A03684">
        <w:t>are assessed against the criteria</w:t>
      </w:r>
      <w:r w:rsidR="00E103A6" w:rsidRPr="00A03684">
        <w:t>,</w:t>
      </w:r>
      <w:r w:rsidRPr="00A03684">
        <w:t xml:space="preserve"> using the notation in </w:t>
      </w:r>
      <w:r w:rsidR="00FD5996" w:rsidRPr="00A03684">
        <w:t>t</w:t>
      </w:r>
      <w:r w:rsidRPr="00A03684">
        <w:t xml:space="preserve">able </w:t>
      </w:r>
      <w:r w:rsidR="00A313C7">
        <w:t>5</w:t>
      </w:r>
      <w:r w:rsidRPr="00A03684">
        <w:t xml:space="preserve">. </w:t>
      </w:r>
    </w:p>
    <w:p w:rsidR="00705684" w:rsidRPr="00A03684" w:rsidRDefault="000D12C3" w:rsidP="00FC01DA">
      <w:pPr>
        <w:pStyle w:val="Tableheading"/>
        <w:rPr>
          <w:rFonts w:eastAsia="Times New Roman"/>
        </w:rPr>
      </w:pPr>
      <w:bookmarkStart w:id="29" w:name="_Toc75262174"/>
      <w:r w:rsidRPr="00A03684">
        <w:rPr>
          <w:rFonts w:eastAsia="Times New Roman"/>
        </w:rPr>
        <w:t>Table 5</w:t>
      </w:r>
      <w:r w:rsidR="00705684" w:rsidRPr="00A03684">
        <w:rPr>
          <w:rFonts w:eastAsia="Times New Roman"/>
        </w:rPr>
        <w:t xml:space="preserve">: </w:t>
      </w:r>
      <w:r w:rsidR="00FC01DA" w:rsidRPr="00A03684">
        <w:rPr>
          <w:rFonts w:eastAsia="Times New Roman"/>
        </w:rPr>
        <w:tab/>
      </w:r>
      <w:r w:rsidR="00705684" w:rsidRPr="00A03684">
        <w:t>Impact</w:t>
      </w:r>
      <w:r w:rsidR="00705684" w:rsidRPr="00A03684">
        <w:rPr>
          <w:rFonts w:eastAsia="Times New Roman"/>
        </w:rPr>
        <w:t xml:space="preserve"> analysis notation</w:t>
      </w:r>
      <w:bookmarkEnd w:id="29"/>
    </w:p>
    <w:tbl>
      <w:tblPr>
        <w:tblStyle w:val="TableGrid3"/>
        <w:tblW w:w="4536" w:type="dxa"/>
        <w:tblBorders>
          <w:top w:val="none" w:sz="0" w:space="0" w:color="auto"/>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1239"/>
        <w:gridCol w:w="3297"/>
      </w:tblGrid>
      <w:tr w:rsidR="00FC01DA" w:rsidRPr="00A03684" w:rsidTr="00D60762">
        <w:tc>
          <w:tcPr>
            <w:tcW w:w="0" w:type="auto"/>
            <w:shd w:val="clear" w:color="auto" w:fill="1C556C" w:themeFill="accent1"/>
          </w:tcPr>
          <w:p w:rsidR="00705684" w:rsidRPr="00A03684" w:rsidRDefault="00705684" w:rsidP="00FC01DA">
            <w:pPr>
              <w:pStyle w:val="TableTextbold"/>
              <w:rPr>
                <w:color w:val="FFFFFF" w:themeColor="background1"/>
              </w:rPr>
            </w:pPr>
            <w:r w:rsidRPr="00A03684">
              <w:rPr>
                <w:color w:val="FFFFFF" w:themeColor="background1"/>
              </w:rPr>
              <w:t>Notation</w:t>
            </w:r>
          </w:p>
        </w:tc>
        <w:tc>
          <w:tcPr>
            <w:tcW w:w="0" w:type="auto"/>
            <w:shd w:val="clear" w:color="auto" w:fill="1C556C" w:themeFill="accent1"/>
          </w:tcPr>
          <w:p w:rsidR="00705684" w:rsidRPr="00A03684" w:rsidRDefault="00705684" w:rsidP="00FC01DA">
            <w:pPr>
              <w:pStyle w:val="TableTextbold"/>
              <w:rPr>
                <w:color w:val="FFFFFF" w:themeColor="background1"/>
              </w:rPr>
            </w:pPr>
            <w:r w:rsidRPr="00A03684">
              <w:rPr>
                <w:color w:val="FFFFFF" w:themeColor="background1"/>
              </w:rPr>
              <w:t>Description</w:t>
            </w:r>
          </w:p>
        </w:tc>
      </w:tr>
      <w:tr w:rsidR="00705684" w:rsidRPr="00A03684" w:rsidTr="00D60762">
        <w:tc>
          <w:tcPr>
            <w:tcW w:w="0" w:type="auto"/>
            <w:shd w:val="clear" w:color="auto" w:fill="87BDBE"/>
          </w:tcPr>
          <w:p w:rsidR="00705684" w:rsidRPr="00A03684" w:rsidRDefault="00705684" w:rsidP="00705684">
            <w:pPr>
              <w:spacing w:before="60" w:after="60" w:line="240" w:lineRule="atLeast"/>
              <w:jc w:val="center"/>
              <w:rPr>
                <w:b/>
                <w:bCs/>
                <w:sz w:val="18"/>
                <w:szCs w:val="18"/>
              </w:rPr>
            </w:pPr>
            <w:r w:rsidRPr="00E533A1">
              <w:rPr>
                <w:rFonts w:ascii="Segoe UI Symbol" w:hAnsi="Segoe UI Symbol" w:cs="Segoe UI Symbol"/>
                <w:sz w:val="18"/>
              </w:rPr>
              <w:t>✓✓</w:t>
            </w:r>
          </w:p>
        </w:tc>
        <w:tc>
          <w:tcPr>
            <w:tcW w:w="0" w:type="auto"/>
          </w:tcPr>
          <w:p w:rsidR="00705684" w:rsidRPr="00A03684" w:rsidRDefault="00705684" w:rsidP="00FC01DA">
            <w:pPr>
              <w:pStyle w:val="TableText"/>
            </w:pPr>
            <w:r w:rsidRPr="00A03684">
              <w:t>Strongly supports the criteria</w:t>
            </w:r>
          </w:p>
        </w:tc>
      </w:tr>
      <w:tr w:rsidR="00705684" w:rsidRPr="00A03684" w:rsidTr="00D60762">
        <w:tc>
          <w:tcPr>
            <w:tcW w:w="0" w:type="auto"/>
            <w:shd w:val="clear" w:color="auto" w:fill="CFE5E5"/>
          </w:tcPr>
          <w:p w:rsidR="00705684" w:rsidRPr="00A03684" w:rsidRDefault="00E533A1" w:rsidP="00705684">
            <w:pPr>
              <w:spacing w:before="60" w:after="60" w:line="240" w:lineRule="atLeast"/>
              <w:jc w:val="center"/>
              <w:rPr>
                <w:b/>
                <w:bCs/>
                <w:sz w:val="18"/>
                <w:szCs w:val="18"/>
              </w:rPr>
            </w:pPr>
            <w:r w:rsidRPr="00E533A1">
              <w:rPr>
                <w:rFonts w:ascii="Segoe UI Symbol" w:hAnsi="Segoe UI Symbol" w:cs="Segoe UI Symbol"/>
                <w:sz w:val="18"/>
              </w:rPr>
              <w:t>✓</w:t>
            </w:r>
          </w:p>
        </w:tc>
        <w:tc>
          <w:tcPr>
            <w:tcW w:w="0" w:type="auto"/>
          </w:tcPr>
          <w:p w:rsidR="00705684" w:rsidRPr="00A03684" w:rsidRDefault="00705684" w:rsidP="00FC01DA">
            <w:pPr>
              <w:pStyle w:val="TableText"/>
            </w:pPr>
            <w:r w:rsidRPr="00A03684">
              <w:t xml:space="preserve">Supports the criteria </w:t>
            </w:r>
          </w:p>
        </w:tc>
      </w:tr>
      <w:tr w:rsidR="00705684" w:rsidRPr="00A03684" w:rsidTr="00D60762">
        <w:tc>
          <w:tcPr>
            <w:tcW w:w="0" w:type="auto"/>
          </w:tcPr>
          <w:p w:rsidR="00705684" w:rsidRPr="00A03684" w:rsidRDefault="00705684" w:rsidP="00705684">
            <w:pPr>
              <w:spacing w:before="60" w:after="60" w:line="240" w:lineRule="atLeast"/>
              <w:jc w:val="center"/>
              <w:rPr>
                <w:bCs/>
                <w:sz w:val="18"/>
                <w:szCs w:val="18"/>
              </w:rPr>
            </w:pPr>
            <w:r w:rsidRPr="00A03684">
              <w:rPr>
                <w:bCs/>
                <w:sz w:val="18"/>
                <w:szCs w:val="18"/>
              </w:rPr>
              <w:t>o</w:t>
            </w:r>
          </w:p>
        </w:tc>
        <w:tc>
          <w:tcPr>
            <w:tcW w:w="0" w:type="auto"/>
          </w:tcPr>
          <w:p w:rsidR="00705684" w:rsidRPr="00A03684" w:rsidRDefault="00705684" w:rsidP="00FC01DA">
            <w:pPr>
              <w:pStyle w:val="TableText"/>
            </w:pPr>
            <w:r w:rsidRPr="00A03684">
              <w:t>Neutral</w:t>
            </w:r>
          </w:p>
        </w:tc>
      </w:tr>
      <w:tr w:rsidR="00705684" w:rsidRPr="00A03684" w:rsidTr="00D60762">
        <w:tc>
          <w:tcPr>
            <w:tcW w:w="0" w:type="auto"/>
            <w:shd w:val="clear" w:color="auto" w:fill="EDB097"/>
          </w:tcPr>
          <w:p w:rsidR="00705684" w:rsidRPr="00E533A1" w:rsidRDefault="00E533A1" w:rsidP="00705684">
            <w:pPr>
              <w:spacing w:before="60" w:after="60" w:line="240" w:lineRule="atLeast"/>
              <w:jc w:val="center"/>
              <w:rPr>
                <w:rFonts w:eastAsia="Times New Roman"/>
                <w:sz w:val="18"/>
              </w:rPr>
            </w:pPr>
            <w:r>
              <w:rPr>
                <w:rFonts w:eastAsia="Times New Roman"/>
                <w:sz w:val="18"/>
              </w:rPr>
              <w:t>x</w:t>
            </w:r>
          </w:p>
        </w:tc>
        <w:tc>
          <w:tcPr>
            <w:tcW w:w="0" w:type="auto"/>
          </w:tcPr>
          <w:p w:rsidR="00705684" w:rsidRPr="00A03684" w:rsidRDefault="00705684" w:rsidP="00FC01DA">
            <w:pPr>
              <w:pStyle w:val="TableText"/>
            </w:pPr>
            <w:r w:rsidRPr="00A03684">
              <w:rPr>
                <w:rFonts w:eastAsia="Times New Roman"/>
              </w:rPr>
              <w:t>Opposes the criteria</w:t>
            </w:r>
          </w:p>
        </w:tc>
      </w:tr>
      <w:tr w:rsidR="00705684" w:rsidRPr="00A03684" w:rsidTr="00D60762">
        <w:tc>
          <w:tcPr>
            <w:tcW w:w="0" w:type="auto"/>
            <w:shd w:val="clear" w:color="auto" w:fill="E3855F"/>
          </w:tcPr>
          <w:p w:rsidR="00705684" w:rsidRPr="00A03684" w:rsidRDefault="00705684" w:rsidP="00705684">
            <w:pPr>
              <w:spacing w:before="60" w:after="60" w:line="240" w:lineRule="atLeast"/>
              <w:jc w:val="center"/>
              <w:rPr>
                <w:bCs/>
                <w:sz w:val="18"/>
                <w:szCs w:val="18"/>
              </w:rPr>
            </w:pPr>
            <w:r w:rsidRPr="00E533A1">
              <w:rPr>
                <w:rFonts w:eastAsia="Times New Roman"/>
                <w:sz w:val="18"/>
              </w:rPr>
              <w:t>xx</w:t>
            </w:r>
          </w:p>
        </w:tc>
        <w:tc>
          <w:tcPr>
            <w:tcW w:w="0" w:type="auto"/>
          </w:tcPr>
          <w:p w:rsidR="00705684" w:rsidRPr="00A03684" w:rsidRDefault="00705684" w:rsidP="00FC01DA">
            <w:pPr>
              <w:pStyle w:val="TableText"/>
            </w:pPr>
            <w:r w:rsidRPr="00A03684">
              <w:rPr>
                <w:rFonts w:eastAsia="Times New Roman"/>
              </w:rPr>
              <w:t>Strongly opposes the criteria</w:t>
            </w:r>
          </w:p>
        </w:tc>
      </w:tr>
    </w:tbl>
    <w:p w:rsidR="00705684" w:rsidRPr="00A03684" w:rsidRDefault="00705684" w:rsidP="00FC01DA">
      <w:pPr>
        <w:pStyle w:val="BodyText"/>
      </w:pP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361829" w:rsidRPr="00A03684" w:rsidTr="00FC01DA">
        <w:tc>
          <w:tcPr>
            <w:tcW w:w="0" w:type="auto"/>
            <w:shd w:val="clear" w:color="auto" w:fill="D2DDE2"/>
          </w:tcPr>
          <w:p w:rsidR="00C1401F" w:rsidRPr="00A03684" w:rsidRDefault="00E103A6" w:rsidP="00FC01DA">
            <w:pPr>
              <w:pStyle w:val="Blueboxheading"/>
            </w:pPr>
            <w:bookmarkStart w:id="30" w:name="_Hlk73524931"/>
            <w:r w:rsidRPr="00A03684">
              <w:t>C</w:t>
            </w:r>
            <w:r w:rsidR="00C1401F" w:rsidRPr="00A03684">
              <w:t>riteria</w:t>
            </w:r>
          </w:p>
          <w:p w:rsidR="00361829" w:rsidRPr="00A03684" w:rsidRDefault="00361829" w:rsidP="00FC01DA">
            <w:pPr>
              <w:pStyle w:val="Blueboxtext"/>
              <w:spacing w:after="240"/>
              <w:rPr>
                <w:sz w:val="22"/>
                <w:szCs w:val="22"/>
              </w:rPr>
            </w:pPr>
            <w:r w:rsidRPr="00A03684">
              <w:t xml:space="preserve">Question 1: Do you agree with the </w:t>
            </w:r>
            <w:r w:rsidR="00FD5996" w:rsidRPr="00A03684">
              <w:t xml:space="preserve">five </w:t>
            </w:r>
            <w:r w:rsidRPr="00A03684">
              <w:t xml:space="preserve">criteria to assess the proposals </w:t>
            </w:r>
            <w:r w:rsidR="00FF2826" w:rsidRPr="00A03684">
              <w:t>in th</w:t>
            </w:r>
            <w:r w:rsidR="00C1401F" w:rsidRPr="00A03684">
              <w:t>is</w:t>
            </w:r>
            <w:r w:rsidR="00FF2826" w:rsidRPr="00A03684">
              <w:t xml:space="preserve"> </w:t>
            </w:r>
            <w:r w:rsidR="00C43367">
              <w:t>consultation</w:t>
            </w:r>
            <w:r w:rsidR="00C43367" w:rsidRPr="00A03684">
              <w:t xml:space="preserve"> </w:t>
            </w:r>
            <w:r w:rsidR="009C6690" w:rsidRPr="00A03684">
              <w:t xml:space="preserve">document? </w:t>
            </w:r>
            <w:r w:rsidR="00EC2BF0" w:rsidRPr="00A03684">
              <w:t>Why, or why not?</w:t>
            </w:r>
            <w:r w:rsidR="00EC2BF0" w:rsidRPr="00A03684">
              <w:rPr>
                <w:sz w:val="22"/>
                <w:szCs w:val="22"/>
              </w:rPr>
              <w:t xml:space="preserve"> </w:t>
            </w:r>
            <w:bookmarkEnd w:id="30"/>
          </w:p>
        </w:tc>
      </w:tr>
    </w:tbl>
    <w:p w:rsidR="001E35B4" w:rsidRDefault="001E35B4" w:rsidP="001E35B4">
      <w:pPr>
        <w:pStyle w:val="Heading3"/>
      </w:pPr>
      <w:r>
        <w:t>Approach to options selection and impact analysis</w:t>
      </w:r>
    </w:p>
    <w:p w:rsidR="001E35B4" w:rsidRDefault="001E35B4" w:rsidP="001E35B4">
      <w:pPr>
        <w:pStyle w:val="BodyText"/>
      </w:pPr>
      <w:r>
        <w:t xml:space="preserve">Cabinet agreed to the scope of the IA review </w:t>
      </w:r>
      <w:r w:rsidR="00A313C7">
        <w:t>before</w:t>
      </w:r>
      <w:r>
        <w:t xml:space="preserve"> </w:t>
      </w:r>
      <w:r w:rsidR="000E340A">
        <w:t>this consultation</w:t>
      </w:r>
      <w:r w:rsidR="00A313C7">
        <w:t>.</w:t>
      </w:r>
      <w:r>
        <w:t xml:space="preserve"> The terms of reference for the review</w:t>
      </w:r>
      <w:r>
        <w:rPr>
          <w:rStyle w:val="FootnoteReference"/>
        </w:rPr>
        <w:footnoteReference w:id="12"/>
      </w:r>
      <w:r>
        <w:t xml:space="preserve"> set out the proposals considered in the </w:t>
      </w:r>
      <w:r w:rsidR="00C43367">
        <w:t>consultation</w:t>
      </w:r>
      <w:r>
        <w:t xml:space="preserve"> document. Additional options identified through the TAG process have also been included. </w:t>
      </w:r>
    </w:p>
    <w:p w:rsidR="001E35B4" w:rsidRDefault="001E35B4" w:rsidP="001E35B4">
      <w:pPr>
        <w:pStyle w:val="BodyText"/>
      </w:pPr>
      <w:r>
        <w:t>The proposals included address issues with IA policy arising from the allocation calculation and eligibility settings prescribed in the Climate Change Response Act. We have grouped the options into three categories:</w:t>
      </w:r>
    </w:p>
    <w:p w:rsidR="001E35B4" w:rsidRPr="001E35B4" w:rsidRDefault="001E35B4" w:rsidP="001E35B4">
      <w:pPr>
        <w:pStyle w:val="Numberedparagraph"/>
        <w:numPr>
          <w:ilvl w:val="0"/>
          <w:numId w:val="40"/>
        </w:numPr>
        <w:rPr>
          <w:bCs/>
        </w:rPr>
      </w:pPr>
      <w:r w:rsidRPr="001E35B4">
        <w:rPr>
          <w:bCs/>
        </w:rPr>
        <w:t xml:space="preserve">Options to reform allocation calculations (section 3) </w:t>
      </w:r>
    </w:p>
    <w:p w:rsidR="001E35B4" w:rsidRPr="001E35B4" w:rsidRDefault="001E35B4" w:rsidP="001E35B4">
      <w:pPr>
        <w:pStyle w:val="Numberedparagraph"/>
      </w:pPr>
      <w:r w:rsidRPr="001E35B4">
        <w:t>Options to reform eligibility for industrial allocation (section 4)</w:t>
      </w:r>
    </w:p>
    <w:p w:rsidR="001E35B4" w:rsidRPr="00903C59" w:rsidRDefault="001E35B4" w:rsidP="001E35B4">
      <w:pPr>
        <w:pStyle w:val="Numberedparagraph"/>
        <w:rPr>
          <w:bCs/>
        </w:rPr>
      </w:pPr>
      <w:r w:rsidRPr="001E35B4">
        <w:rPr>
          <w:bCs/>
        </w:rPr>
        <w:t xml:space="preserve">Other options to reform industrial </w:t>
      </w:r>
      <w:r w:rsidRPr="00903C59">
        <w:rPr>
          <w:bCs/>
        </w:rPr>
        <w:t>allocation (section 5)</w:t>
      </w:r>
      <w:r w:rsidR="00A313C7">
        <w:rPr>
          <w:bCs/>
        </w:rPr>
        <w:t>.</w:t>
      </w:r>
    </w:p>
    <w:p w:rsidR="001E35B4" w:rsidRDefault="001E35B4" w:rsidP="001E35B4">
      <w:pPr>
        <w:pStyle w:val="BodyText"/>
      </w:pPr>
      <w:r>
        <w:t>For each set of proposals, a</w:t>
      </w:r>
      <w:r w:rsidR="000E340A">
        <w:t xml:space="preserve"> qualitative</w:t>
      </w:r>
      <w:r>
        <w:t xml:space="preserve"> impact analysis has been included using the criteria discussed above. This analysis assesses the alignment and consistency of different policy options with the objectives of industrial allocation. </w:t>
      </w:r>
    </w:p>
    <w:p w:rsidR="001E35B4" w:rsidRPr="00A03684" w:rsidRDefault="001E35B4" w:rsidP="001E35B4">
      <w:pPr>
        <w:pStyle w:val="BodyText"/>
      </w:pPr>
      <w:r>
        <w:t xml:space="preserve">A separate impact analysis has been included on </w:t>
      </w:r>
      <w:r w:rsidRPr="00903C59">
        <w:t>updating</w:t>
      </w:r>
      <w:r>
        <w:t xml:space="preserve"> </w:t>
      </w:r>
      <w:r w:rsidRPr="00903C59">
        <w:t>allocative baselines</w:t>
      </w:r>
      <w:r>
        <w:t xml:space="preserve"> and </w:t>
      </w:r>
      <w:r w:rsidRPr="00903C59">
        <w:t>reassessing eligibility</w:t>
      </w:r>
      <w:r>
        <w:t xml:space="preserve"> on EITE firms, the </w:t>
      </w:r>
      <w:r w:rsidR="00A313C7">
        <w:t>G</w:t>
      </w:r>
      <w:r>
        <w:t xml:space="preserve">overnment, regional economies and </w:t>
      </w:r>
      <w:r w:rsidRPr="00493D5E">
        <w:t>Māori</w:t>
      </w:r>
      <w:r>
        <w:t xml:space="preserve"> (section 7). These proposals are assessed specifically as they are expected to have the most impact on allocations. The other proposals are not evaluated </w:t>
      </w:r>
      <w:r w:rsidR="00412A80">
        <w:t xml:space="preserve">with the same rigour </w:t>
      </w:r>
      <w:r>
        <w:t xml:space="preserve">because of data limitations and the anticipated small effect on allocations compared to updating baselines and reassessing eligibility. </w:t>
      </w:r>
    </w:p>
    <w:p w:rsidR="00803E10" w:rsidRPr="00A03684" w:rsidRDefault="00803E10" w:rsidP="007611D9">
      <w:pPr>
        <w:spacing w:before="0" w:after="200" w:line="276" w:lineRule="auto"/>
        <w:jc w:val="left"/>
      </w:pPr>
      <w:r w:rsidRPr="00A03684">
        <w:br w:type="page"/>
      </w:r>
    </w:p>
    <w:p w:rsidR="00E075E5" w:rsidRPr="00A03684" w:rsidRDefault="00E075E5" w:rsidP="00E075E5">
      <w:pPr>
        <w:pStyle w:val="Heading1"/>
      </w:pPr>
      <w:bookmarkStart w:id="31" w:name="_Toc75336458"/>
      <w:r w:rsidRPr="00A03684">
        <w:t>Section 3: Options to reform allocation calculations</w:t>
      </w:r>
      <w:bookmarkEnd w:id="31"/>
    </w:p>
    <w:p w:rsidR="001757EA" w:rsidRPr="00A03684" w:rsidRDefault="001757EA" w:rsidP="005C6D61">
      <w:pPr>
        <w:pStyle w:val="BodyText"/>
      </w:pPr>
      <w:r w:rsidRPr="00A03684">
        <w:t>This section considers reform</w:t>
      </w:r>
      <w:r w:rsidR="00B0364C" w:rsidRPr="00A03684">
        <w:t>s to</w:t>
      </w:r>
      <w:r w:rsidRPr="00A03684">
        <w:t xml:space="preserve"> the settings used to calculate industrial allocations. It focuses on proposals to update the current, out-of-date allocative baselines, which are the </w:t>
      </w:r>
      <w:r w:rsidR="00FD5996" w:rsidRPr="00A03684">
        <w:t xml:space="preserve">main </w:t>
      </w:r>
      <w:r w:rsidRPr="00A03684">
        <w:t xml:space="preserve">cause of over-allocation. </w:t>
      </w:r>
    </w:p>
    <w:p w:rsidR="001757EA" w:rsidRPr="00A03684" w:rsidRDefault="002E30BF" w:rsidP="005C6D61">
      <w:pPr>
        <w:pStyle w:val="Heading2"/>
      </w:pPr>
      <w:bookmarkStart w:id="32" w:name="_Toc75336459"/>
      <w:r w:rsidRPr="00A03684">
        <w:t>Updating</w:t>
      </w:r>
      <w:r w:rsidR="001757EA" w:rsidRPr="00A03684">
        <w:t xml:space="preserve"> ba</w:t>
      </w:r>
      <w:r w:rsidRPr="00A03684">
        <w:t>selines using new</w:t>
      </w:r>
      <w:r w:rsidR="001757EA" w:rsidRPr="00A03684">
        <w:t xml:space="preserve"> base years</w:t>
      </w:r>
      <w:bookmarkEnd w:id="32"/>
    </w:p>
    <w:p w:rsidR="009C6690" w:rsidRPr="00A03684" w:rsidRDefault="001757EA" w:rsidP="007611D9">
      <w:pPr>
        <w:pStyle w:val="BodyText"/>
      </w:pPr>
      <w:r w:rsidRPr="00A03684">
        <w:t>An activity’s allocative baseline is</w:t>
      </w:r>
      <w:r w:rsidR="00485C09" w:rsidRPr="00A03684">
        <w:t xml:space="preserve"> </w:t>
      </w:r>
      <w:r w:rsidRPr="00A03684">
        <w:t xml:space="preserve">calculated using historical data from the financial years 2006/07, 2007/08 and 2008/09. </w:t>
      </w:r>
      <w:r w:rsidR="00485C09" w:rsidRPr="00A03684">
        <w:t xml:space="preserve">This </w:t>
      </w:r>
      <w:r w:rsidR="000628EF" w:rsidRPr="00A03684">
        <w:t>anchors</w:t>
      </w:r>
      <w:r w:rsidR="00485C09" w:rsidRPr="00A03684">
        <w:t xml:space="preserve"> allocations to</w:t>
      </w:r>
      <w:r w:rsidR="0032242A" w:rsidRPr="00A03684">
        <w:t xml:space="preserve"> historical</w:t>
      </w:r>
      <w:r w:rsidR="00B0364C" w:rsidRPr="00A03684">
        <w:t xml:space="preserve"> </w:t>
      </w:r>
      <w:r w:rsidR="006B4567" w:rsidRPr="00A03684">
        <w:t>emissions</w:t>
      </w:r>
      <w:r w:rsidR="00B0364C" w:rsidRPr="00A03684">
        <w:t xml:space="preserve"> from</w:t>
      </w:r>
      <w:r w:rsidR="009C6690" w:rsidRPr="00A03684">
        <w:t xml:space="preserve"> over </w:t>
      </w:r>
      <w:r w:rsidR="00FD5996" w:rsidRPr="00A03684">
        <w:t>10</w:t>
      </w:r>
      <w:r w:rsidR="005C6D61" w:rsidRPr="00A03684">
        <w:t> </w:t>
      </w:r>
      <w:r w:rsidR="009C6690" w:rsidRPr="00A03684">
        <w:t xml:space="preserve">years ago. </w:t>
      </w:r>
      <w:r w:rsidR="005F5B2D" w:rsidRPr="00A03684">
        <w:t xml:space="preserve">Although </w:t>
      </w:r>
      <w:r w:rsidR="009C6690" w:rsidRPr="00A03684">
        <w:t xml:space="preserve">this </w:t>
      </w:r>
      <w:r w:rsidR="005F5B2D" w:rsidRPr="00A03684">
        <w:t xml:space="preserve">gives </w:t>
      </w:r>
      <w:r w:rsidR="009C6690" w:rsidRPr="00A03684">
        <w:t xml:space="preserve">certainty to industry </w:t>
      </w:r>
      <w:r w:rsidR="005F5B2D" w:rsidRPr="00A03684">
        <w:t xml:space="preserve">about </w:t>
      </w:r>
      <w:r w:rsidR="009C6690" w:rsidRPr="00A03684">
        <w:t>their future allocations</w:t>
      </w:r>
      <w:r w:rsidR="005F5B2D" w:rsidRPr="00A03684">
        <w:t>,</w:t>
      </w:r>
      <w:r w:rsidR="009C6690" w:rsidRPr="00A03684">
        <w:t xml:space="preserve"> </w:t>
      </w:r>
      <w:r w:rsidRPr="00A03684">
        <w:t xml:space="preserve">and </w:t>
      </w:r>
      <w:r w:rsidR="00485C09" w:rsidRPr="00A03684">
        <w:t xml:space="preserve">can </w:t>
      </w:r>
      <w:r w:rsidR="005F5B2D" w:rsidRPr="00A03684">
        <w:t xml:space="preserve">promote </w:t>
      </w:r>
      <w:r w:rsidRPr="00A03684">
        <w:t>investment</w:t>
      </w:r>
      <w:r w:rsidR="005F5B2D" w:rsidRPr="00A03684">
        <w:t xml:space="preserve"> in lowering</w:t>
      </w:r>
      <w:r w:rsidR="004B7A80" w:rsidRPr="00A03684">
        <w:t xml:space="preserve"> </w:t>
      </w:r>
      <w:r w:rsidR="009C6690" w:rsidRPr="00A03684">
        <w:t xml:space="preserve">emissions intensity, </w:t>
      </w:r>
      <w:r w:rsidR="00485C09" w:rsidRPr="00A03684">
        <w:t>it has also caus</w:t>
      </w:r>
      <w:r w:rsidR="009C6690" w:rsidRPr="00A03684">
        <w:t xml:space="preserve">ed over-allocation. </w:t>
      </w:r>
    </w:p>
    <w:p w:rsidR="008A30DF" w:rsidRPr="00A03684" w:rsidRDefault="009C6690" w:rsidP="007611D9">
      <w:pPr>
        <w:pStyle w:val="BodyText"/>
      </w:pPr>
      <w:r w:rsidRPr="00A03684">
        <w:t>Updating</w:t>
      </w:r>
      <w:r w:rsidR="008A30DF" w:rsidRPr="00A03684">
        <w:t xml:space="preserve"> </w:t>
      </w:r>
      <w:r w:rsidR="005F5B2D" w:rsidRPr="00A03684">
        <w:t xml:space="preserve">the </w:t>
      </w:r>
      <w:r w:rsidR="008A30DF" w:rsidRPr="00A03684">
        <w:t>baselines</w:t>
      </w:r>
      <w:r w:rsidR="00FC33E3" w:rsidRPr="00A03684">
        <w:t xml:space="preserve"> with data from new</w:t>
      </w:r>
      <w:r w:rsidR="008A30DF" w:rsidRPr="00A03684">
        <w:t xml:space="preserve"> base years would realign allocations to reflect the current emissions intensities </w:t>
      </w:r>
      <w:r w:rsidR="008738C8" w:rsidRPr="00A03684">
        <w:t>of</w:t>
      </w:r>
      <w:r w:rsidRPr="00A03684">
        <w:t xml:space="preserve"> industrial</w:t>
      </w:r>
      <w:r w:rsidR="008A30DF" w:rsidRPr="00A03684">
        <w:t xml:space="preserve"> activities</w:t>
      </w:r>
      <w:r w:rsidR="002E30BF" w:rsidRPr="00A03684">
        <w:t xml:space="preserve">. </w:t>
      </w:r>
      <w:r w:rsidR="005F5B2D" w:rsidRPr="00A03684">
        <w:t>This would reduce o</w:t>
      </w:r>
      <w:r w:rsidR="00D814C2" w:rsidRPr="00A03684">
        <w:t xml:space="preserve">ver-allocation, and future allocation would </w:t>
      </w:r>
      <w:r w:rsidR="002E30BF" w:rsidRPr="00A03684">
        <w:t>reflect the current risk of leakage</w:t>
      </w:r>
      <w:r w:rsidR="00D814C2" w:rsidRPr="00A03684">
        <w:t>.</w:t>
      </w:r>
      <w:r w:rsidR="008A30DF" w:rsidRPr="00A03684">
        <w:t xml:space="preserve"> </w:t>
      </w:r>
    </w:p>
    <w:p w:rsidR="001757EA" w:rsidRPr="00A03684" w:rsidRDefault="001757EA" w:rsidP="005C6D61">
      <w:pPr>
        <w:pStyle w:val="Heading4"/>
      </w:pPr>
      <w:r w:rsidRPr="00A03684">
        <w:t>Option 1</w:t>
      </w:r>
      <w:r w:rsidR="00B0364C" w:rsidRPr="00A03684">
        <w:t xml:space="preserve">: Status quo – </w:t>
      </w:r>
      <w:r w:rsidR="00237685" w:rsidRPr="00A03684">
        <w:t>n</w:t>
      </w:r>
      <w:r w:rsidR="00B0364C" w:rsidRPr="00A03684">
        <w:t>o change to</w:t>
      </w:r>
      <w:r w:rsidRPr="00A03684">
        <w:t xml:space="preserve"> allocative baselines </w:t>
      </w:r>
    </w:p>
    <w:p w:rsidR="001757EA" w:rsidRPr="00A03684" w:rsidRDefault="004B7A80" w:rsidP="007611D9">
      <w:pPr>
        <w:pStyle w:val="BodyText"/>
      </w:pPr>
      <w:r w:rsidRPr="00A03684">
        <w:t xml:space="preserve">The </w:t>
      </w:r>
      <w:r w:rsidR="00B0364C" w:rsidRPr="00A03684">
        <w:t xml:space="preserve">baselines </w:t>
      </w:r>
      <w:r w:rsidR="00D814C2" w:rsidRPr="00A03684">
        <w:t>would not</w:t>
      </w:r>
      <w:r w:rsidR="00B0364C" w:rsidRPr="00A03684">
        <w:t xml:space="preserve"> be reassessed and would remain unchanged</w:t>
      </w:r>
      <w:r w:rsidR="001757EA" w:rsidRPr="00A03684">
        <w:t xml:space="preserve">. Allocations would continue to be based on an activity’s emissions intensity from over </w:t>
      </w:r>
      <w:r w:rsidR="00E14AB6" w:rsidRPr="00A03684">
        <w:t xml:space="preserve">10 </w:t>
      </w:r>
      <w:r w:rsidR="001757EA" w:rsidRPr="00A03684">
        <w:t>years a</w:t>
      </w:r>
      <w:r w:rsidR="00B0364C" w:rsidRPr="00A03684">
        <w:t xml:space="preserve">go, and </w:t>
      </w:r>
      <w:r w:rsidR="001757EA" w:rsidRPr="00A03684">
        <w:t xml:space="preserve">not take into account </w:t>
      </w:r>
      <w:r w:rsidRPr="00A03684">
        <w:t xml:space="preserve">reductions </w:t>
      </w:r>
      <w:r w:rsidR="001757EA" w:rsidRPr="00A03684">
        <w:t>in intensity or c</w:t>
      </w:r>
      <w:r w:rsidR="00B0364C" w:rsidRPr="00A03684">
        <w:t xml:space="preserve">hanges in industry structure. </w:t>
      </w:r>
      <w:r w:rsidR="001757EA" w:rsidRPr="00A03684">
        <w:t>This would perpetuate over-allocation and continue unnecessary costs to the Crown.</w:t>
      </w:r>
      <w:r w:rsidR="00A03684" w:rsidRPr="00A03684">
        <w:t xml:space="preserve"> </w:t>
      </w:r>
    </w:p>
    <w:p w:rsidR="001757EA" w:rsidRPr="00A03684" w:rsidRDefault="001757EA" w:rsidP="007611D9">
      <w:pPr>
        <w:pStyle w:val="Heading4"/>
      </w:pPr>
      <w:r w:rsidRPr="00A03684">
        <w:t>Option 2: One</w:t>
      </w:r>
      <w:r w:rsidR="00E14AB6" w:rsidRPr="00A03684">
        <w:t>-</w:t>
      </w:r>
      <w:r w:rsidRPr="00A03684">
        <w:t xml:space="preserve">off </w:t>
      </w:r>
      <w:r w:rsidR="00B0364C" w:rsidRPr="00A03684">
        <w:t xml:space="preserve">update </w:t>
      </w:r>
      <w:r w:rsidRPr="00A03684">
        <w:t xml:space="preserve">of baselines </w:t>
      </w:r>
    </w:p>
    <w:p w:rsidR="001757EA" w:rsidRPr="00A03684" w:rsidRDefault="00B0364C" w:rsidP="007611D9">
      <w:pPr>
        <w:pStyle w:val="BodyText"/>
      </w:pPr>
      <w:r w:rsidRPr="00A03684">
        <w:t xml:space="preserve">All allocative baselines would be reassessed and updated immediately using new base years. </w:t>
      </w:r>
      <w:r w:rsidR="00FC33E3" w:rsidRPr="00A03684">
        <w:t>Once this has occurred,</w:t>
      </w:r>
      <w:r w:rsidR="001757EA" w:rsidRPr="00A03684">
        <w:t xml:space="preserve"> future calculations would apply the new baselines.</w:t>
      </w:r>
      <w:r w:rsidRPr="00A03684">
        <w:t xml:space="preserve"> The </w:t>
      </w:r>
      <w:r w:rsidR="004B7A80" w:rsidRPr="00A03684">
        <w:t>G</w:t>
      </w:r>
      <w:r w:rsidRPr="00A03684">
        <w:t>overnment</w:t>
      </w:r>
      <w:r w:rsidR="00E40FF6" w:rsidRPr="00A03684">
        <w:t xml:space="preserve"> would not plan to reassess</w:t>
      </w:r>
      <w:r w:rsidRPr="00A03684">
        <w:t xml:space="preserve"> baselines in the future. </w:t>
      </w:r>
    </w:p>
    <w:p w:rsidR="001757EA" w:rsidRPr="00A03684" w:rsidRDefault="004B7A80" w:rsidP="007611D9">
      <w:pPr>
        <w:pStyle w:val="BodyText"/>
      </w:pPr>
      <w:r w:rsidRPr="00A03684">
        <w:t>This</w:t>
      </w:r>
      <w:r w:rsidR="00B0364C" w:rsidRPr="00A03684">
        <w:t xml:space="preserve"> </w:t>
      </w:r>
      <w:r w:rsidR="001757EA" w:rsidRPr="00A03684">
        <w:t>could be an efficient way to reduce over-allocation and minimise the uncertainty of future allocation decisions for industry. However, in the long</w:t>
      </w:r>
      <w:r w:rsidRPr="00A03684">
        <w:t xml:space="preserve"> </w:t>
      </w:r>
      <w:r w:rsidR="001757EA" w:rsidRPr="00A03684">
        <w:t>term this option would again result in over-allocations</w:t>
      </w:r>
      <w:r w:rsidRPr="00A03684">
        <w:t>,</w:t>
      </w:r>
      <w:r w:rsidR="001757EA" w:rsidRPr="00A03684">
        <w:t xml:space="preserve"> as </w:t>
      </w:r>
      <w:r w:rsidRPr="00A03684">
        <w:t xml:space="preserve">industry makes </w:t>
      </w:r>
      <w:r w:rsidR="001757EA" w:rsidRPr="00A03684">
        <w:t xml:space="preserve">further </w:t>
      </w:r>
      <w:r w:rsidRPr="00A03684">
        <w:t>improvements in efficiency</w:t>
      </w:r>
      <w:r w:rsidR="001757EA" w:rsidRPr="00A03684">
        <w:t xml:space="preserve">. </w:t>
      </w:r>
    </w:p>
    <w:p w:rsidR="003D1670" w:rsidRPr="00A03684" w:rsidRDefault="003D1670" w:rsidP="003D1670">
      <w:pPr>
        <w:pStyle w:val="Heading4"/>
      </w:pPr>
      <w:r w:rsidRPr="00A03684">
        <w:t>Option 3: U</w:t>
      </w:r>
      <w:r w:rsidRPr="00A03684">
        <w:rPr>
          <w:rStyle w:val="Heading3Char"/>
          <w:b/>
          <w:bCs/>
          <w:sz w:val="24"/>
        </w:rPr>
        <w:t>pdate baselines every year</w:t>
      </w:r>
    </w:p>
    <w:p w:rsidR="003D1670" w:rsidRPr="00A03684" w:rsidRDefault="003D1670" w:rsidP="003D1670">
      <w:pPr>
        <w:pStyle w:val="BodyText"/>
      </w:pPr>
      <w:r w:rsidRPr="00A03684">
        <w:t>All allocative baselines would be reassessed and updated immediately</w:t>
      </w:r>
      <w:r w:rsidR="004B7A80" w:rsidRPr="00A03684">
        <w:t>,</w:t>
      </w:r>
      <w:r w:rsidRPr="00A03684">
        <w:t xml:space="preserve"> using new base years</w:t>
      </w:r>
      <w:r w:rsidR="004B7A80" w:rsidRPr="00A03684">
        <w:t>,</w:t>
      </w:r>
      <w:r w:rsidRPr="00A03684">
        <w:t xml:space="preserve"> and then updated every year. This continuous update would base allocations on actual</w:t>
      </w:r>
      <w:r w:rsidR="002962E9" w:rsidRPr="00A03684">
        <w:rPr>
          <w:rStyle w:val="FootnoteReference"/>
        </w:rPr>
        <w:footnoteReference w:id="13"/>
      </w:r>
      <w:r w:rsidRPr="00A03684">
        <w:t xml:space="preserve"> rather than historical emissions. </w:t>
      </w:r>
      <w:r w:rsidR="004B7A80" w:rsidRPr="00A03684">
        <w:t>It</w:t>
      </w:r>
      <w:r w:rsidRPr="00A03684">
        <w:t xml:space="preserve"> would completely mitigate over-allocation across New Zealand industry. However, it would introduce significant uncertainty for industry, which would likely undermine business investment and future </w:t>
      </w:r>
      <w:r w:rsidR="002962E9" w:rsidRPr="00A03684">
        <w:t xml:space="preserve">reductions in </w:t>
      </w:r>
      <w:r w:rsidRPr="00A03684">
        <w:t xml:space="preserve">emissions. </w:t>
      </w:r>
    </w:p>
    <w:p w:rsidR="003D1670" w:rsidRPr="00A03684" w:rsidRDefault="004B7A80" w:rsidP="003D1670">
      <w:pPr>
        <w:pStyle w:val="BodyText"/>
      </w:pPr>
      <w:r w:rsidRPr="00A03684">
        <w:t xml:space="preserve">Annual updates </w:t>
      </w:r>
      <w:r w:rsidR="003D1670" w:rsidRPr="00A03684">
        <w:t>would also be highly resource</w:t>
      </w:r>
      <w:r w:rsidR="002962E9" w:rsidRPr="00A03684">
        <w:t>-</w:t>
      </w:r>
      <w:r w:rsidR="003D1670" w:rsidRPr="00A03684">
        <w:t xml:space="preserve">intensive </w:t>
      </w:r>
      <w:r w:rsidR="00985328" w:rsidRPr="00A03684">
        <w:t>for</w:t>
      </w:r>
      <w:r w:rsidR="003D1670" w:rsidRPr="00A03684">
        <w:t xml:space="preserve"> the </w:t>
      </w:r>
      <w:r w:rsidR="002962E9" w:rsidRPr="00A03684">
        <w:t>G</w:t>
      </w:r>
      <w:r w:rsidR="003D1670" w:rsidRPr="00A03684">
        <w:t xml:space="preserve">overnment. </w:t>
      </w:r>
    </w:p>
    <w:p w:rsidR="003D1670" w:rsidRPr="00A03684" w:rsidRDefault="003D1670" w:rsidP="003D1670">
      <w:pPr>
        <w:pStyle w:val="BodyText"/>
      </w:pPr>
      <w:r w:rsidRPr="00A03684">
        <w:t xml:space="preserve">An option to </w:t>
      </w:r>
      <w:r w:rsidR="002962E9" w:rsidRPr="00A03684">
        <w:t xml:space="preserve">base </w:t>
      </w:r>
      <w:r w:rsidRPr="00A03684">
        <w:t>allocations on actual firm emissions (rather than average activity emissions) was considered</w:t>
      </w:r>
      <w:r w:rsidR="002962E9" w:rsidRPr="00A03684">
        <w:t>. H</w:t>
      </w:r>
      <w:r w:rsidRPr="00A03684">
        <w:t>owever, this would remove the incentive given to lower emissions</w:t>
      </w:r>
      <w:r w:rsidR="002962E9" w:rsidRPr="00A03684">
        <w:t>-</w:t>
      </w:r>
      <w:r w:rsidRPr="00A03684">
        <w:t>intensive industr</w:t>
      </w:r>
      <w:r w:rsidR="002962E9" w:rsidRPr="00A03684">
        <w:t>ies, which</w:t>
      </w:r>
      <w:r w:rsidRPr="00A03684">
        <w:t xml:space="preserve"> receive a greater portion of their emissions costs than their more emissions</w:t>
      </w:r>
      <w:r w:rsidR="002962E9" w:rsidRPr="00A03684">
        <w:t>-</w:t>
      </w:r>
      <w:r w:rsidRPr="00A03684">
        <w:t xml:space="preserve">intensive peers. </w:t>
      </w:r>
    </w:p>
    <w:p w:rsidR="001757EA" w:rsidRPr="00A03684" w:rsidRDefault="001757EA" w:rsidP="005C6D61">
      <w:pPr>
        <w:pStyle w:val="Heading4"/>
      </w:pPr>
      <w:r w:rsidRPr="00A03684">
        <w:t xml:space="preserve">Option </w:t>
      </w:r>
      <w:r w:rsidR="003E37CE" w:rsidRPr="00A03684">
        <w:t>4</w:t>
      </w:r>
      <w:r w:rsidRPr="00A03684">
        <w:t xml:space="preserve">: </w:t>
      </w:r>
      <w:r w:rsidR="002E30BF" w:rsidRPr="00A03684">
        <w:t>Update</w:t>
      </w:r>
      <w:r w:rsidRPr="00A03684">
        <w:t xml:space="preserve"> baselines every five years</w:t>
      </w:r>
    </w:p>
    <w:p w:rsidR="001757EA" w:rsidRPr="00A03684" w:rsidRDefault="001757EA" w:rsidP="005C6D61">
      <w:pPr>
        <w:pStyle w:val="BodyText"/>
      </w:pPr>
      <w:r w:rsidRPr="00A03684">
        <w:rPr>
          <w:rStyle w:val="Heading3Char"/>
          <w:rFonts w:eastAsiaTheme="minorEastAsia" w:cstheme="minorBidi"/>
          <w:b w:val="0"/>
          <w:bCs w:val="0"/>
          <w:sz w:val="22"/>
        </w:rPr>
        <w:t xml:space="preserve">Under this option, </w:t>
      </w:r>
      <w:r w:rsidR="004B7A80" w:rsidRPr="00A03684">
        <w:rPr>
          <w:rStyle w:val="Heading3Char"/>
          <w:rFonts w:eastAsiaTheme="minorEastAsia" w:cstheme="minorBidi"/>
          <w:b w:val="0"/>
          <w:bCs w:val="0"/>
          <w:sz w:val="22"/>
        </w:rPr>
        <w:t xml:space="preserve">the </w:t>
      </w:r>
      <w:r w:rsidRPr="00A03684">
        <w:rPr>
          <w:rStyle w:val="Heading3Char"/>
          <w:rFonts w:eastAsiaTheme="minorEastAsia" w:cstheme="minorBidi"/>
          <w:b w:val="0"/>
          <w:bCs w:val="0"/>
          <w:sz w:val="22"/>
        </w:rPr>
        <w:t xml:space="preserve">baselines would be </w:t>
      </w:r>
      <w:r w:rsidR="00E40FF6" w:rsidRPr="00A03684">
        <w:rPr>
          <w:rStyle w:val="Heading3Char"/>
          <w:rFonts w:eastAsiaTheme="minorEastAsia" w:cstheme="minorBidi"/>
          <w:b w:val="0"/>
          <w:bCs w:val="0"/>
          <w:sz w:val="22"/>
        </w:rPr>
        <w:t xml:space="preserve">reassessed and </w:t>
      </w:r>
      <w:r w:rsidRPr="00A03684">
        <w:rPr>
          <w:rStyle w:val="Heading3Char"/>
          <w:rFonts w:eastAsiaTheme="minorEastAsia" w:cstheme="minorBidi"/>
          <w:b w:val="0"/>
          <w:bCs w:val="0"/>
          <w:sz w:val="22"/>
        </w:rPr>
        <w:t>updated immediately</w:t>
      </w:r>
      <w:r w:rsidR="004B7A80" w:rsidRPr="00A03684">
        <w:rPr>
          <w:rStyle w:val="Heading3Char"/>
          <w:rFonts w:eastAsiaTheme="minorEastAsia" w:cstheme="minorBidi"/>
          <w:b w:val="0"/>
          <w:bCs w:val="0"/>
          <w:sz w:val="22"/>
        </w:rPr>
        <w:t>,</w:t>
      </w:r>
      <w:r w:rsidRPr="00A03684">
        <w:rPr>
          <w:rStyle w:val="Heading3Char"/>
          <w:rFonts w:eastAsiaTheme="minorEastAsia" w:cstheme="minorBidi"/>
          <w:b w:val="0"/>
          <w:bCs w:val="0"/>
          <w:sz w:val="22"/>
        </w:rPr>
        <w:t xml:space="preserve"> and then every five </w:t>
      </w:r>
      <w:r w:rsidRPr="00A03684">
        <w:t xml:space="preserve">years. </w:t>
      </w:r>
    </w:p>
    <w:p w:rsidR="001757EA" w:rsidRPr="00A03684" w:rsidRDefault="001757EA" w:rsidP="005C6D61">
      <w:pPr>
        <w:pStyle w:val="BodyText"/>
      </w:pPr>
      <w:r w:rsidRPr="00A03684">
        <w:t>This option would corr</w:t>
      </w:r>
      <w:r w:rsidR="00DC351F" w:rsidRPr="00A03684">
        <w:t>ect current over-allocation and</w:t>
      </w:r>
      <w:r w:rsidR="00E40FF6" w:rsidRPr="00A03684">
        <w:t xml:space="preserve"> prevent future</w:t>
      </w:r>
      <w:r w:rsidRPr="00A03684">
        <w:t xml:space="preserve"> over-allocation as </w:t>
      </w:r>
      <w:r w:rsidR="004D2C72" w:rsidRPr="00A03684">
        <w:t xml:space="preserve">industry continues to improve </w:t>
      </w:r>
      <w:r w:rsidRPr="00A03684">
        <w:t>emissions efficiency</w:t>
      </w:r>
      <w:r w:rsidR="004B7A80" w:rsidRPr="00A03684">
        <w:t xml:space="preserve"> – which </w:t>
      </w:r>
      <w:r w:rsidRPr="00A03684">
        <w:t>th</w:t>
      </w:r>
      <w:r w:rsidR="004B7A80" w:rsidRPr="00A03684">
        <w:t xml:space="preserve">e </w:t>
      </w:r>
      <w:r w:rsidRPr="00A03684">
        <w:t>newly updated baselines</w:t>
      </w:r>
      <w:r w:rsidR="004B7A80" w:rsidRPr="00A03684">
        <w:t xml:space="preserve"> would account for</w:t>
      </w:r>
      <w:r w:rsidRPr="00A03684">
        <w:t>.</w:t>
      </w:r>
      <w:r w:rsidR="00FC33E3" w:rsidRPr="00A03684">
        <w:t xml:space="preserve"> This would support</w:t>
      </w:r>
      <w:r w:rsidRPr="00A03684">
        <w:t xml:space="preserve"> </w:t>
      </w:r>
      <w:r w:rsidR="00FC33E3" w:rsidRPr="00A03684">
        <w:t xml:space="preserve">the objectives of the NZ ETS and the alignment of </w:t>
      </w:r>
      <w:r w:rsidR="001437FD" w:rsidRPr="00A03684">
        <w:t>IA</w:t>
      </w:r>
      <w:r w:rsidR="00FC33E3" w:rsidRPr="00A03684">
        <w:t xml:space="preserve"> </w:t>
      </w:r>
      <w:r w:rsidR="004B7A80" w:rsidRPr="00A03684">
        <w:t>with</w:t>
      </w:r>
      <w:r w:rsidR="00FC33E3" w:rsidRPr="00A03684">
        <w:t xml:space="preserve"> </w:t>
      </w:r>
      <w:r w:rsidR="004D2C72" w:rsidRPr="00A03684">
        <w:t xml:space="preserve">the </w:t>
      </w:r>
      <w:r w:rsidR="00FC33E3" w:rsidRPr="00A03684">
        <w:t>emissions budgets.</w:t>
      </w:r>
      <w:r w:rsidRPr="00A03684">
        <w:t xml:space="preserve"> </w:t>
      </w:r>
    </w:p>
    <w:p w:rsidR="009B6536" w:rsidRPr="00A03684" w:rsidRDefault="004B7A80" w:rsidP="005C6D61">
      <w:pPr>
        <w:pStyle w:val="BodyText"/>
      </w:pPr>
      <w:r w:rsidRPr="00A03684">
        <w:t>However, i</w:t>
      </w:r>
      <w:r w:rsidR="001757EA" w:rsidRPr="00A03684">
        <w:t xml:space="preserve">ndustry would only have certainty </w:t>
      </w:r>
      <w:r w:rsidR="002E30BF" w:rsidRPr="00A03684">
        <w:t>for</w:t>
      </w:r>
      <w:r w:rsidR="001757EA" w:rsidRPr="00A03684">
        <w:t xml:space="preserve"> the level of allocations over five </w:t>
      </w:r>
      <w:r w:rsidR="004D2C72" w:rsidRPr="00A03684">
        <w:t xml:space="preserve">years. </w:t>
      </w:r>
      <w:r w:rsidR="001757EA" w:rsidRPr="00A03684">
        <w:t>Because bus</w:t>
      </w:r>
      <w:r w:rsidR="002E30BF" w:rsidRPr="00A03684">
        <w:t>iness investments typically have horizons of</w:t>
      </w:r>
      <w:r w:rsidR="001757EA" w:rsidRPr="00A03684">
        <w:t xml:space="preserve"> </w:t>
      </w:r>
      <w:r w:rsidR="002E30BF" w:rsidRPr="00A03684">
        <w:t xml:space="preserve">10 to 15 </w:t>
      </w:r>
      <w:r w:rsidR="001757EA" w:rsidRPr="00A03684">
        <w:t>years, this option could undermine future</w:t>
      </w:r>
      <w:r w:rsidR="00F95D02" w:rsidRPr="00A03684">
        <w:t xml:space="preserve"> investment in </w:t>
      </w:r>
      <w:r w:rsidR="004D2C72" w:rsidRPr="00A03684">
        <w:t xml:space="preserve">reducing </w:t>
      </w:r>
      <w:r w:rsidR="00F95D02" w:rsidRPr="00A03684">
        <w:t xml:space="preserve">emissions. </w:t>
      </w:r>
      <w:r w:rsidR="00FC33E3" w:rsidRPr="00A03684">
        <w:t>T</w:t>
      </w:r>
      <w:r w:rsidR="00DC351F" w:rsidRPr="00A03684">
        <w:t xml:space="preserve">he </w:t>
      </w:r>
      <w:r w:rsidR="004D2C72" w:rsidRPr="00A03684">
        <w:t>G</w:t>
      </w:r>
      <w:r w:rsidR="001757EA" w:rsidRPr="00A03684">
        <w:t xml:space="preserve">overnment would </w:t>
      </w:r>
      <w:r w:rsidR="00FC33E3" w:rsidRPr="00A03684">
        <w:t xml:space="preserve">also </w:t>
      </w:r>
      <w:r w:rsidR="001757EA" w:rsidRPr="00A03684">
        <w:t xml:space="preserve">have to </w:t>
      </w:r>
      <w:r w:rsidR="00985328" w:rsidRPr="00A03684">
        <w:t>regularly amend</w:t>
      </w:r>
      <w:r w:rsidR="006A3558" w:rsidRPr="00A03684">
        <w:t xml:space="preserve"> </w:t>
      </w:r>
      <w:r w:rsidR="001757EA" w:rsidRPr="00A03684">
        <w:t xml:space="preserve">the </w:t>
      </w:r>
      <w:r w:rsidR="001437FD" w:rsidRPr="00A03684">
        <w:t>IA</w:t>
      </w:r>
      <w:r w:rsidR="001757EA" w:rsidRPr="00A03684">
        <w:t xml:space="preserve"> </w:t>
      </w:r>
      <w:r w:rsidR="00B56C7F" w:rsidRPr="00A03684">
        <w:t xml:space="preserve">regulations for new baselines, </w:t>
      </w:r>
      <w:r w:rsidR="004D2C72" w:rsidRPr="00A03684">
        <w:t>adding</w:t>
      </w:r>
      <w:r w:rsidR="001757EA" w:rsidRPr="00A03684">
        <w:t xml:space="preserve"> </w:t>
      </w:r>
      <w:r w:rsidR="00FC33E3" w:rsidRPr="00A03684">
        <w:t>administrative burden and cost.</w:t>
      </w:r>
      <w:r w:rsidR="00F95D02" w:rsidRPr="00A03684">
        <w:t xml:space="preserve"> </w:t>
      </w:r>
    </w:p>
    <w:p w:rsidR="001757EA" w:rsidRPr="00A03684" w:rsidRDefault="00A313C7" w:rsidP="005C6D61">
      <w:pPr>
        <w:pStyle w:val="Heading4"/>
      </w:pPr>
      <w:r>
        <w:t xml:space="preserve">Option </w:t>
      </w:r>
      <w:r w:rsidR="003E37CE" w:rsidRPr="00A03684">
        <w:t>5</w:t>
      </w:r>
      <w:r w:rsidR="001757EA" w:rsidRPr="00A03684">
        <w:t xml:space="preserve">: </w:t>
      </w:r>
      <w:r w:rsidR="002E30BF" w:rsidRPr="00A03684">
        <w:t>Update</w:t>
      </w:r>
      <w:r w:rsidR="001757EA" w:rsidRPr="00A03684">
        <w:t xml:space="preserve"> </w:t>
      </w:r>
      <w:r w:rsidR="002E30BF" w:rsidRPr="00A03684">
        <w:t xml:space="preserve">baselines </w:t>
      </w:r>
      <w:r w:rsidR="001757EA" w:rsidRPr="00A03684">
        <w:t xml:space="preserve">every </w:t>
      </w:r>
      <w:r w:rsidR="004D2C72" w:rsidRPr="00A03684">
        <w:t xml:space="preserve">10 </w:t>
      </w:r>
      <w:r w:rsidR="00A521C0" w:rsidRPr="00A03684">
        <w:t>years</w:t>
      </w:r>
      <w:r w:rsidR="00F45B60" w:rsidRPr="00A03684">
        <w:t xml:space="preserve"> </w:t>
      </w:r>
    </w:p>
    <w:p w:rsidR="001757EA" w:rsidRPr="00A03684" w:rsidRDefault="004B7A80" w:rsidP="00957670">
      <w:pPr>
        <w:pStyle w:val="BodyText"/>
      </w:pPr>
      <w:r w:rsidRPr="00A03684">
        <w:t xml:space="preserve">The </w:t>
      </w:r>
      <w:r w:rsidR="001757EA" w:rsidRPr="00A03684">
        <w:t xml:space="preserve">baselines would be updated immediately and then every </w:t>
      </w:r>
      <w:r w:rsidR="004D2C72" w:rsidRPr="00A03684">
        <w:t xml:space="preserve">10 </w:t>
      </w:r>
      <w:r w:rsidR="001757EA" w:rsidRPr="00A03684">
        <w:t xml:space="preserve">years. </w:t>
      </w:r>
      <w:r w:rsidR="004E41C9" w:rsidRPr="00A03684">
        <w:t xml:space="preserve">This proposal </w:t>
      </w:r>
      <w:r w:rsidR="008C5853" w:rsidRPr="00A03684">
        <w:t xml:space="preserve">received majority preference from the </w:t>
      </w:r>
      <w:r w:rsidR="004E41C9" w:rsidRPr="00A03684">
        <w:t>TAG.</w:t>
      </w:r>
    </w:p>
    <w:p w:rsidR="001757EA" w:rsidRPr="00A03684" w:rsidRDefault="00890EB7" w:rsidP="00957670">
      <w:pPr>
        <w:pStyle w:val="BodyText"/>
      </w:pPr>
      <w:r w:rsidRPr="00A03684">
        <w:t>This option would address</w:t>
      </w:r>
      <w:r w:rsidR="001757EA" w:rsidRPr="00A03684">
        <w:t xml:space="preserve"> over-allocation now</w:t>
      </w:r>
      <w:r w:rsidR="004D2C72" w:rsidRPr="00A03684">
        <w:t>,</w:t>
      </w:r>
      <w:r w:rsidR="001757EA" w:rsidRPr="00A03684">
        <w:t xml:space="preserve"> but risk some over-allocation over time, particularly just </w:t>
      </w:r>
      <w:r w:rsidR="004D2C72" w:rsidRPr="00A03684">
        <w:t>before</w:t>
      </w:r>
      <w:r w:rsidR="001757EA" w:rsidRPr="00A03684">
        <w:t xml:space="preserve"> a new update. The </w:t>
      </w:r>
      <w:r w:rsidRPr="00A03684">
        <w:t xml:space="preserve">long-term </w:t>
      </w:r>
      <w:r w:rsidR="001757EA" w:rsidRPr="00A03684">
        <w:t xml:space="preserve">risk is traded off with certainty for industry </w:t>
      </w:r>
      <w:r w:rsidR="004D2C72" w:rsidRPr="00A03684">
        <w:t xml:space="preserve">over </w:t>
      </w:r>
      <w:r w:rsidRPr="00A03684">
        <w:t xml:space="preserve">typical investment </w:t>
      </w:r>
      <w:r w:rsidR="004D2C72" w:rsidRPr="00A03684">
        <w:t>timelines</w:t>
      </w:r>
      <w:r w:rsidR="001757EA" w:rsidRPr="00A03684">
        <w:t>.</w:t>
      </w:r>
    </w:p>
    <w:p w:rsidR="001757EA" w:rsidRPr="00A03684" w:rsidRDefault="001757EA" w:rsidP="00957670">
      <w:pPr>
        <w:pStyle w:val="BodyText"/>
      </w:pPr>
      <w:r w:rsidRPr="00A03684">
        <w:t xml:space="preserve">A longer reassessment schedule would </w:t>
      </w:r>
      <w:r w:rsidR="004B7A80" w:rsidRPr="00A03684">
        <w:t xml:space="preserve">keep </w:t>
      </w:r>
      <w:r w:rsidR="008E56C1" w:rsidRPr="00A03684">
        <w:t>allocations stable for a set</w:t>
      </w:r>
      <w:r w:rsidRPr="00A03684">
        <w:t xml:space="preserve"> period. Industry would </w:t>
      </w:r>
      <w:r w:rsidR="00601CD7" w:rsidRPr="00A03684">
        <w:t>remain</w:t>
      </w:r>
      <w:r w:rsidRPr="00A03684">
        <w:t xml:space="preserve"> </w:t>
      </w:r>
      <w:r w:rsidR="004D2C72" w:rsidRPr="00A03684">
        <w:t xml:space="preserve">motivated to reduce </w:t>
      </w:r>
      <w:r w:rsidRPr="00A03684">
        <w:t xml:space="preserve">emissions through exposure to the NZ ETS price signal, which is expected to </w:t>
      </w:r>
      <w:r w:rsidR="004B7A80" w:rsidRPr="00A03684">
        <w:t>rise</w:t>
      </w:r>
      <w:r w:rsidRPr="00A03684">
        <w:t>.</w:t>
      </w:r>
    </w:p>
    <w:p w:rsidR="001757EA" w:rsidRPr="00A03684" w:rsidRDefault="00F45B60" w:rsidP="00957670">
      <w:pPr>
        <w:pStyle w:val="BodyText"/>
      </w:pPr>
      <w:r w:rsidRPr="00A03684">
        <w:t>This option</w:t>
      </w:r>
      <w:r w:rsidR="001757EA" w:rsidRPr="00A03684">
        <w:t xml:space="preserve"> strike</w:t>
      </w:r>
      <w:r w:rsidRPr="00A03684">
        <w:t>s</w:t>
      </w:r>
      <w:r w:rsidR="008E56C1" w:rsidRPr="00A03684">
        <w:t xml:space="preserve"> a</w:t>
      </w:r>
      <w:r w:rsidR="004B7A80" w:rsidRPr="00A03684">
        <w:t xml:space="preserve"> fair</w:t>
      </w:r>
      <w:r w:rsidR="001757EA" w:rsidRPr="00A03684">
        <w:t xml:space="preserve"> balance between removing current over-allocation, correcting </w:t>
      </w:r>
      <w:r w:rsidR="004B7A80" w:rsidRPr="00A03684">
        <w:t xml:space="preserve">it in </w:t>
      </w:r>
      <w:r w:rsidR="001757EA" w:rsidRPr="00A03684">
        <w:t xml:space="preserve">future, and </w:t>
      </w:r>
      <w:r w:rsidR="004D2C72" w:rsidRPr="00A03684">
        <w:t xml:space="preserve">giving </w:t>
      </w:r>
      <w:r w:rsidRPr="00A03684">
        <w:t xml:space="preserve">industry certainty </w:t>
      </w:r>
      <w:r w:rsidR="004D2C72" w:rsidRPr="00A03684">
        <w:t xml:space="preserve">about </w:t>
      </w:r>
      <w:r w:rsidRPr="00A03684">
        <w:t xml:space="preserve">future allocations. </w:t>
      </w:r>
      <w:r w:rsidR="004D2C72" w:rsidRPr="00A03684">
        <w:t xml:space="preserve">Although </w:t>
      </w:r>
      <w:r w:rsidRPr="00A03684">
        <w:t>it</w:t>
      </w:r>
      <w:r w:rsidR="001757EA" w:rsidRPr="00A03684">
        <w:t xml:space="preserve"> </w:t>
      </w:r>
      <w:r w:rsidR="000C64D4" w:rsidRPr="00A03684">
        <w:t>raises</w:t>
      </w:r>
      <w:r w:rsidR="001757EA" w:rsidRPr="00A03684">
        <w:t xml:space="preserve"> </w:t>
      </w:r>
      <w:r w:rsidR="004D2C72" w:rsidRPr="00A03684">
        <w:t xml:space="preserve">the current </w:t>
      </w:r>
      <w:r w:rsidR="001757EA" w:rsidRPr="00A03684">
        <w:t>administrative costs</w:t>
      </w:r>
      <w:r w:rsidRPr="00A03684">
        <w:t>,</w:t>
      </w:r>
      <w:r w:rsidR="00601CD7" w:rsidRPr="00A03684">
        <w:t xml:space="preserve"> reassessments would be</w:t>
      </w:r>
      <w:r w:rsidR="001757EA" w:rsidRPr="00A03684">
        <w:t xml:space="preserve"> </w:t>
      </w:r>
      <w:r w:rsidRPr="00A03684">
        <w:t xml:space="preserve">infrequent and </w:t>
      </w:r>
      <w:r w:rsidR="001757EA" w:rsidRPr="00A03684">
        <w:t xml:space="preserve">costs </w:t>
      </w:r>
      <w:r w:rsidR="008E56C1" w:rsidRPr="00A03684">
        <w:t>would be</w:t>
      </w:r>
      <w:r w:rsidR="001757EA" w:rsidRPr="00A03684">
        <w:t xml:space="preserve"> offset by </w:t>
      </w:r>
      <w:r w:rsidR="000C64D4" w:rsidRPr="00A03684">
        <w:t xml:space="preserve">the </w:t>
      </w:r>
      <w:r w:rsidR="001757EA" w:rsidRPr="00A03684">
        <w:t>savings from reducing allocations.</w:t>
      </w:r>
      <w:r w:rsidRPr="00A03684">
        <w:t xml:space="preserve"> </w:t>
      </w:r>
    </w:p>
    <w:p w:rsidR="00A313C7" w:rsidRDefault="00A313C7">
      <w:pPr>
        <w:spacing w:before="0" w:after="200" w:line="276" w:lineRule="auto"/>
        <w:jc w:val="left"/>
        <w:rPr>
          <w:b/>
          <w:sz w:val="20"/>
        </w:rPr>
      </w:pPr>
      <w:r>
        <w:br w:type="page"/>
      </w:r>
    </w:p>
    <w:p w:rsidR="001757EA" w:rsidRPr="00A03684" w:rsidRDefault="001757EA" w:rsidP="00957670">
      <w:pPr>
        <w:pStyle w:val="Tableheading"/>
      </w:pPr>
      <w:bookmarkStart w:id="33" w:name="_Toc75262175"/>
      <w:r w:rsidRPr="00A03684">
        <w:t xml:space="preserve">Table </w:t>
      </w:r>
      <w:r w:rsidR="000D12C3" w:rsidRPr="00A03684">
        <w:t>6</w:t>
      </w:r>
      <w:r w:rsidRPr="00A03684">
        <w:t>:</w:t>
      </w:r>
      <w:r w:rsidRPr="00A03684">
        <w:tab/>
        <w:t>Assessment of option</w:t>
      </w:r>
      <w:r w:rsidR="00483536" w:rsidRPr="00A03684">
        <w:t xml:space="preserve"> to update allocative baselines</w:t>
      </w:r>
      <w:bookmarkEnd w:id="33"/>
      <w:r w:rsidRPr="00A03684">
        <w:t xml:space="preserve"> </w:t>
      </w:r>
    </w:p>
    <w:tbl>
      <w:tblPr>
        <w:tblStyle w:val="TableGrid1"/>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451"/>
        <w:gridCol w:w="1335"/>
        <w:gridCol w:w="1377"/>
        <w:gridCol w:w="1356"/>
        <w:gridCol w:w="1520"/>
        <w:gridCol w:w="1466"/>
      </w:tblGrid>
      <w:tr w:rsidR="00957670" w:rsidRPr="00A03684" w:rsidTr="00B360F9">
        <w:trPr>
          <w:trHeight w:val="1021"/>
          <w:tblHeader/>
        </w:trPr>
        <w:tc>
          <w:tcPr>
            <w:tcW w:w="1531" w:type="dxa"/>
            <w:shd w:val="clear" w:color="auto" w:fill="1C556C"/>
            <w:vAlign w:val="bottom"/>
          </w:tcPr>
          <w:p w:rsidR="00F45B60" w:rsidRPr="00A03684" w:rsidRDefault="00F45B60" w:rsidP="00957670">
            <w:pPr>
              <w:pStyle w:val="TableTextbold"/>
              <w:rPr>
                <w:color w:val="FFFFFF" w:themeColor="background1"/>
              </w:rPr>
            </w:pPr>
            <w:r w:rsidRPr="00A03684">
              <w:rPr>
                <w:color w:val="FFFFFF" w:themeColor="background1"/>
              </w:rPr>
              <w:t>Option</w:t>
            </w:r>
          </w:p>
        </w:tc>
        <w:tc>
          <w:tcPr>
            <w:tcW w:w="1468" w:type="dxa"/>
            <w:shd w:val="clear" w:color="auto" w:fill="1C556C"/>
            <w:vAlign w:val="bottom"/>
          </w:tcPr>
          <w:p w:rsidR="00F45B60" w:rsidRPr="00A03684" w:rsidRDefault="00F45B60" w:rsidP="00957670">
            <w:pPr>
              <w:pStyle w:val="TableTextbold"/>
              <w:rPr>
                <w:color w:val="FFFFFF" w:themeColor="background1"/>
              </w:rPr>
            </w:pPr>
            <w:r w:rsidRPr="00A03684">
              <w:rPr>
                <w:color w:val="FFFFFF" w:themeColor="background1"/>
              </w:rPr>
              <w:t>Consisten</w:t>
            </w:r>
            <w:r w:rsidR="00971B61" w:rsidRPr="00A03684">
              <w:rPr>
                <w:color w:val="FFFFFF" w:themeColor="background1"/>
              </w:rPr>
              <w:t>t</w:t>
            </w:r>
            <w:r w:rsidRPr="00A03684">
              <w:rPr>
                <w:color w:val="FFFFFF" w:themeColor="background1"/>
              </w:rPr>
              <w:t xml:space="preserve"> with NZ ETS</w:t>
            </w:r>
            <w:r w:rsidR="00791D79" w:rsidRPr="00A03684">
              <w:rPr>
                <w:color w:val="FFFFFF" w:themeColor="background1"/>
              </w:rPr>
              <w:t xml:space="preserve"> objectives</w:t>
            </w:r>
          </w:p>
        </w:tc>
        <w:tc>
          <w:tcPr>
            <w:tcW w:w="1537" w:type="dxa"/>
            <w:shd w:val="clear" w:color="auto" w:fill="1C556C"/>
            <w:vAlign w:val="bottom"/>
          </w:tcPr>
          <w:p w:rsidR="00F45B60" w:rsidRPr="00A03684" w:rsidRDefault="00F45B60" w:rsidP="00957670">
            <w:pPr>
              <w:pStyle w:val="TableTextbold"/>
              <w:rPr>
                <w:color w:val="FFFFFF" w:themeColor="background1"/>
              </w:rPr>
            </w:pPr>
            <w:r w:rsidRPr="00A03684">
              <w:rPr>
                <w:color w:val="FFFFFF" w:themeColor="background1"/>
              </w:rPr>
              <w:t>Addresses over-allocation</w:t>
            </w:r>
          </w:p>
        </w:tc>
        <w:tc>
          <w:tcPr>
            <w:tcW w:w="1465" w:type="dxa"/>
            <w:shd w:val="clear" w:color="auto" w:fill="1C556C"/>
            <w:vAlign w:val="bottom"/>
          </w:tcPr>
          <w:p w:rsidR="00F45B60" w:rsidRPr="00A03684" w:rsidRDefault="00F45B60" w:rsidP="00957670">
            <w:pPr>
              <w:pStyle w:val="TableTextbold"/>
              <w:rPr>
                <w:color w:val="FFFFFF" w:themeColor="background1"/>
              </w:rPr>
            </w:pPr>
            <w:r w:rsidRPr="00A03684">
              <w:rPr>
                <w:color w:val="FFFFFF" w:themeColor="background1"/>
              </w:rPr>
              <w:t xml:space="preserve">Addresses </w:t>
            </w:r>
            <w:r w:rsidR="00972AFE" w:rsidRPr="00A03684">
              <w:rPr>
                <w:color w:val="FFFFFF" w:themeColor="background1"/>
              </w:rPr>
              <w:t xml:space="preserve">emission </w:t>
            </w:r>
            <w:r w:rsidRPr="00A03684">
              <w:rPr>
                <w:color w:val="FFFFFF" w:themeColor="background1"/>
              </w:rPr>
              <w:t>leakage risk</w:t>
            </w:r>
          </w:p>
        </w:tc>
        <w:tc>
          <w:tcPr>
            <w:tcW w:w="1644" w:type="dxa"/>
            <w:shd w:val="clear" w:color="auto" w:fill="1C556C"/>
            <w:vAlign w:val="bottom"/>
          </w:tcPr>
          <w:p w:rsidR="00F45B60" w:rsidRPr="00A03684" w:rsidRDefault="00F45B60" w:rsidP="00957670">
            <w:pPr>
              <w:pStyle w:val="TableTextbold"/>
              <w:rPr>
                <w:color w:val="FFFFFF" w:themeColor="background1"/>
              </w:rPr>
            </w:pPr>
            <w:r w:rsidRPr="00A03684">
              <w:rPr>
                <w:color w:val="FFFFFF" w:themeColor="background1"/>
              </w:rPr>
              <w:t>Regulatory certainty and predictability</w:t>
            </w:r>
          </w:p>
        </w:tc>
        <w:tc>
          <w:tcPr>
            <w:tcW w:w="1531" w:type="dxa"/>
            <w:shd w:val="clear" w:color="auto" w:fill="1C556C"/>
            <w:vAlign w:val="bottom"/>
          </w:tcPr>
          <w:p w:rsidR="00F45B60" w:rsidRPr="00A03684" w:rsidRDefault="00F45B60" w:rsidP="00957670">
            <w:pPr>
              <w:pStyle w:val="TableTextbold"/>
              <w:rPr>
                <w:color w:val="FFFFFF" w:themeColor="background1"/>
              </w:rPr>
            </w:pPr>
            <w:r w:rsidRPr="00A03684">
              <w:rPr>
                <w:color w:val="FFFFFF" w:themeColor="background1"/>
              </w:rPr>
              <w:t>Minimise</w:t>
            </w:r>
            <w:r w:rsidR="00971B61" w:rsidRPr="00A03684">
              <w:rPr>
                <w:color w:val="FFFFFF" w:themeColor="background1"/>
              </w:rPr>
              <w:t>s</w:t>
            </w:r>
            <w:r w:rsidRPr="00A03684">
              <w:rPr>
                <w:color w:val="FFFFFF" w:themeColor="background1"/>
              </w:rPr>
              <w:t xml:space="preserve"> administrative burden, costs and complexity</w:t>
            </w:r>
          </w:p>
        </w:tc>
      </w:tr>
      <w:tr w:rsidR="00F45B60" w:rsidRPr="00A03684" w:rsidTr="00B360F9">
        <w:trPr>
          <w:trHeight w:val="1247"/>
        </w:trPr>
        <w:tc>
          <w:tcPr>
            <w:tcW w:w="1531" w:type="dxa"/>
            <w:shd w:val="clear" w:color="auto" w:fill="auto"/>
          </w:tcPr>
          <w:p w:rsidR="00F45B60" w:rsidRPr="00A03684" w:rsidRDefault="00F45B60" w:rsidP="00957670">
            <w:pPr>
              <w:pStyle w:val="TableText"/>
            </w:pPr>
            <w:r w:rsidRPr="00A03684">
              <w:t>Status quo – No change to baseline years for calculati</w:t>
            </w:r>
            <w:r w:rsidR="00971B61" w:rsidRPr="00A03684">
              <w:t>ng</w:t>
            </w:r>
            <w:r w:rsidRPr="00A03684">
              <w:t xml:space="preserve"> of allocative baselines</w:t>
            </w:r>
          </w:p>
        </w:tc>
        <w:tc>
          <w:tcPr>
            <w:tcW w:w="1468" w:type="dxa"/>
            <w:shd w:val="clear" w:color="auto" w:fill="auto"/>
          </w:tcPr>
          <w:p w:rsidR="00972AFE" w:rsidRPr="00A03684" w:rsidRDefault="002111F5" w:rsidP="00957670">
            <w:pPr>
              <w:pStyle w:val="TableText"/>
              <w:jc w:val="center"/>
            </w:pPr>
            <w:r w:rsidRPr="00A03684">
              <w:t>o</w:t>
            </w:r>
          </w:p>
        </w:tc>
        <w:tc>
          <w:tcPr>
            <w:tcW w:w="1537" w:type="dxa"/>
            <w:shd w:val="clear" w:color="auto" w:fill="auto"/>
          </w:tcPr>
          <w:p w:rsidR="00972AFE" w:rsidRPr="00A03684" w:rsidRDefault="002111F5" w:rsidP="00957670">
            <w:pPr>
              <w:pStyle w:val="TableText"/>
              <w:jc w:val="center"/>
            </w:pPr>
            <w:r w:rsidRPr="00A03684">
              <w:t>o</w:t>
            </w:r>
          </w:p>
        </w:tc>
        <w:tc>
          <w:tcPr>
            <w:tcW w:w="1465" w:type="dxa"/>
            <w:shd w:val="clear" w:color="auto" w:fill="FFFFFF" w:themeFill="background1"/>
          </w:tcPr>
          <w:p w:rsidR="00972AFE" w:rsidRPr="00A03684" w:rsidRDefault="002111F5" w:rsidP="00957670">
            <w:pPr>
              <w:pStyle w:val="TableText"/>
              <w:jc w:val="center"/>
            </w:pPr>
            <w:r w:rsidRPr="00A03684">
              <w:t>o</w:t>
            </w:r>
          </w:p>
        </w:tc>
        <w:tc>
          <w:tcPr>
            <w:tcW w:w="1644" w:type="dxa"/>
            <w:shd w:val="clear" w:color="auto" w:fill="FFFFFF" w:themeFill="background1"/>
          </w:tcPr>
          <w:p w:rsidR="00F17FF1" w:rsidRPr="00A03684" w:rsidRDefault="002111F5" w:rsidP="00957670">
            <w:pPr>
              <w:pStyle w:val="TableText"/>
              <w:jc w:val="center"/>
            </w:pPr>
            <w:r w:rsidRPr="00A03684">
              <w:t>o</w:t>
            </w:r>
          </w:p>
        </w:tc>
        <w:tc>
          <w:tcPr>
            <w:tcW w:w="1531" w:type="dxa"/>
          </w:tcPr>
          <w:p w:rsidR="00F45B60" w:rsidRPr="00A03684" w:rsidRDefault="00F45B60" w:rsidP="00957670">
            <w:pPr>
              <w:pStyle w:val="TableText"/>
              <w:jc w:val="center"/>
            </w:pPr>
            <w:r w:rsidRPr="00A03684">
              <w:t>o</w:t>
            </w:r>
          </w:p>
        </w:tc>
      </w:tr>
      <w:tr w:rsidR="00F45B60" w:rsidRPr="00A03684" w:rsidTr="000F3B4B">
        <w:trPr>
          <w:trHeight w:val="1258"/>
        </w:trPr>
        <w:tc>
          <w:tcPr>
            <w:tcW w:w="1531" w:type="dxa"/>
            <w:shd w:val="clear" w:color="auto" w:fill="auto"/>
          </w:tcPr>
          <w:p w:rsidR="00F45B60" w:rsidRPr="00A03684" w:rsidRDefault="00F45B60" w:rsidP="00957670">
            <w:pPr>
              <w:pStyle w:val="TableText"/>
            </w:pPr>
            <w:r w:rsidRPr="00A03684">
              <w:t>One</w:t>
            </w:r>
            <w:r w:rsidR="004D2C72" w:rsidRPr="00A03684">
              <w:t>-</w:t>
            </w:r>
            <w:r w:rsidRPr="00A03684">
              <w:t>off reassessment using updated baseline years</w:t>
            </w:r>
          </w:p>
        </w:tc>
        <w:tc>
          <w:tcPr>
            <w:tcW w:w="1468" w:type="dxa"/>
            <w:shd w:val="clear" w:color="auto" w:fill="CFE5E5"/>
          </w:tcPr>
          <w:p w:rsidR="00F45B60" w:rsidRPr="00A03684" w:rsidRDefault="00D814C2" w:rsidP="00957670">
            <w:pPr>
              <w:pStyle w:val="TableText"/>
              <w:jc w:val="center"/>
            </w:pPr>
            <w:r w:rsidRPr="00A03684">
              <w:rPr>
                <w:rFonts w:cstheme="minorBidi"/>
                <w:szCs w:val="22"/>
              </w:rPr>
              <w:sym w:font="Wingdings" w:char="F0FC"/>
            </w:r>
          </w:p>
          <w:p w:rsidR="00F971BD" w:rsidRPr="00A03684" w:rsidRDefault="00F971BD" w:rsidP="00957670">
            <w:pPr>
              <w:pStyle w:val="TableText"/>
              <w:jc w:val="center"/>
            </w:pPr>
            <w:r w:rsidRPr="00A03684">
              <w:t xml:space="preserve">Supports alignment of </w:t>
            </w:r>
            <w:r w:rsidR="001437FD" w:rsidRPr="00A03684">
              <w:t>IA</w:t>
            </w:r>
            <w:r w:rsidRPr="00A03684">
              <w:t xml:space="preserve"> volumes and emissions budgets</w:t>
            </w:r>
          </w:p>
        </w:tc>
        <w:tc>
          <w:tcPr>
            <w:tcW w:w="1537" w:type="dxa"/>
            <w:shd w:val="clear" w:color="auto" w:fill="CFE5E5"/>
          </w:tcPr>
          <w:p w:rsidR="00F45B60" w:rsidRPr="00A03684" w:rsidRDefault="00483536" w:rsidP="00957670">
            <w:pPr>
              <w:pStyle w:val="TableText"/>
              <w:jc w:val="center"/>
            </w:pPr>
            <w:r w:rsidRPr="00A03684">
              <w:rPr>
                <w:rFonts w:cstheme="minorBidi"/>
                <w:szCs w:val="22"/>
              </w:rPr>
              <w:sym w:font="Wingdings" w:char="F0FC"/>
            </w:r>
          </w:p>
          <w:p w:rsidR="00972AFE" w:rsidRPr="00A03684" w:rsidRDefault="00972AFE" w:rsidP="00957670">
            <w:pPr>
              <w:pStyle w:val="TableText"/>
              <w:jc w:val="center"/>
            </w:pPr>
            <w:r w:rsidRPr="00A03684">
              <w:t>Addresses</w:t>
            </w:r>
            <w:r w:rsidR="006809DE" w:rsidRPr="00A03684">
              <w:t xml:space="preserve"> current</w:t>
            </w:r>
            <w:r w:rsidRPr="00A03684">
              <w:t xml:space="preserve"> over-allocation but risks over-allocation </w:t>
            </w:r>
            <w:r w:rsidR="00971B61" w:rsidRPr="00A03684">
              <w:t>longer term</w:t>
            </w:r>
          </w:p>
        </w:tc>
        <w:tc>
          <w:tcPr>
            <w:tcW w:w="1465" w:type="dxa"/>
            <w:shd w:val="clear" w:color="auto" w:fill="FFFFFF" w:themeFill="background1"/>
          </w:tcPr>
          <w:p w:rsidR="00F45B60" w:rsidRPr="00A03684" w:rsidRDefault="00483536" w:rsidP="00957670">
            <w:pPr>
              <w:pStyle w:val="TableText"/>
              <w:jc w:val="center"/>
            </w:pPr>
            <w:r w:rsidRPr="00A03684">
              <w:rPr>
                <w:rFonts w:cstheme="minorBidi"/>
                <w:szCs w:val="22"/>
              </w:rPr>
              <w:t>o</w:t>
            </w:r>
          </w:p>
          <w:p w:rsidR="00972AFE" w:rsidRPr="00A03684" w:rsidRDefault="00972AFE" w:rsidP="00957670">
            <w:pPr>
              <w:pStyle w:val="TableText"/>
              <w:jc w:val="center"/>
            </w:pPr>
            <w:r w:rsidRPr="00A03684">
              <w:t>Realigns allocations to levels deemed appropriate to reduce the risk of leakage</w:t>
            </w:r>
          </w:p>
        </w:tc>
        <w:tc>
          <w:tcPr>
            <w:tcW w:w="1644" w:type="dxa"/>
            <w:tcBorders>
              <w:bottom w:val="single" w:sz="4" w:space="0" w:color="1C556C"/>
            </w:tcBorders>
            <w:shd w:val="clear" w:color="auto" w:fill="CFE5E5"/>
          </w:tcPr>
          <w:p w:rsidR="00F45B60" w:rsidRPr="00A03684" w:rsidRDefault="00D814C2" w:rsidP="00957670">
            <w:pPr>
              <w:pStyle w:val="TableText"/>
              <w:jc w:val="center"/>
            </w:pPr>
            <w:r w:rsidRPr="00A03684">
              <w:rPr>
                <w:rFonts w:cstheme="minorBidi"/>
                <w:szCs w:val="22"/>
              </w:rPr>
              <w:sym w:font="Wingdings" w:char="F0FC"/>
            </w:r>
          </w:p>
          <w:p w:rsidR="00F17FF1" w:rsidRPr="00A03684" w:rsidRDefault="00F17FF1" w:rsidP="00957670">
            <w:pPr>
              <w:pStyle w:val="TableText"/>
              <w:jc w:val="center"/>
            </w:pPr>
            <w:r w:rsidRPr="00A03684">
              <w:t xml:space="preserve">Allocations would change, but EITE firms would have certainty </w:t>
            </w:r>
            <w:r w:rsidR="00971B61" w:rsidRPr="00A03684">
              <w:t xml:space="preserve">about </w:t>
            </w:r>
            <w:r w:rsidRPr="00A03684">
              <w:t>future levels</w:t>
            </w:r>
          </w:p>
        </w:tc>
        <w:tc>
          <w:tcPr>
            <w:tcW w:w="1531" w:type="dxa"/>
            <w:shd w:val="clear" w:color="auto" w:fill="FFFFFF" w:themeFill="background1"/>
          </w:tcPr>
          <w:p w:rsidR="00F45B60" w:rsidRPr="00A03684" w:rsidRDefault="00F971BD" w:rsidP="00957670">
            <w:pPr>
              <w:pStyle w:val="TableText"/>
              <w:jc w:val="center"/>
            </w:pPr>
            <w:r w:rsidRPr="00A03684">
              <w:t>o</w:t>
            </w:r>
          </w:p>
          <w:p w:rsidR="00F971BD" w:rsidRPr="00A03684" w:rsidRDefault="00F971BD" w:rsidP="00957670">
            <w:pPr>
              <w:pStyle w:val="TableText"/>
              <w:jc w:val="center"/>
            </w:pPr>
            <w:r w:rsidRPr="00A03684">
              <w:t>Greater administrative burden from updating baselines, but minimal</w:t>
            </w:r>
            <w:r w:rsidR="00483536" w:rsidRPr="00A03684">
              <w:t xml:space="preserve"> a</w:t>
            </w:r>
            <w:r w:rsidR="00601CD7" w:rsidRPr="00A03684">
              <w:t>s it is a one-off</w:t>
            </w:r>
          </w:p>
        </w:tc>
      </w:tr>
      <w:tr w:rsidR="00914B10" w:rsidRPr="00A03684" w:rsidTr="000F3B4B">
        <w:trPr>
          <w:trHeight w:val="1247"/>
        </w:trPr>
        <w:tc>
          <w:tcPr>
            <w:tcW w:w="1531" w:type="dxa"/>
            <w:shd w:val="clear" w:color="auto" w:fill="auto"/>
          </w:tcPr>
          <w:p w:rsidR="00914B10" w:rsidRPr="00A03684" w:rsidRDefault="00914B10" w:rsidP="00914B10">
            <w:pPr>
              <w:spacing w:before="60" w:after="60" w:line="240" w:lineRule="atLeast"/>
              <w:jc w:val="left"/>
              <w:rPr>
                <w:sz w:val="18"/>
              </w:rPr>
            </w:pPr>
            <w:r w:rsidRPr="00A03684">
              <w:rPr>
                <w:sz w:val="18"/>
              </w:rPr>
              <w:t>Reassessment of baselines ever</w:t>
            </w:r>
            <w:r w:rsidR="004D2C72" w:rsidRPr="00A03684">
              <w:rPr>
                <w:sz w:val="18"/>
              </w:rPr>
              <w:t>y</w:t>
            </w:r>
            <w:r w:rsidRPr="00A03684">
              <w:rPr>
                <w:sz w:val="18"/>
              </w:rPr>
              <w:t xml:space="preserve"> year</w:t>
            </w:r>
          </w:p>
        </w:tc>
        <w:tc>
          <w:tcPr>
            <w:tcW w:w="1468" w:type="dxa"/>
            <w:shd w:val="clear" w:color="auto" w:fill="87BDBE"/>
          </w:tcPr>
          <w:p w:rsidR="00914B10" w:rsidRPr="00A03684" w:rsidRDefault="00914B10" w:rsidP="00957670">
            <w:pPr>
              <w:pStyle w:val="TableText"/>
              <w:jc w:val="center"/>
            </w:pPr>
            <w:r w:rsidRPr="00A03684">
              <w:sym w:font="Wingdings" w:char="F0FC"/>
            </w:r>
            <w:r w:rsidRPr="00A03684">
              <w:sym w:font="Wingdings" w:char="F0FC"/>
            </w:r>
          </w:p>
          <w:p w:rsidR="00914B10" w:rsidRPr="00A03684" w:rsidRDefault="00914B10" w:rsidP="00957670">
            <w:pPr>
              <w:pStyle w:val="TableText"/>
              <w:jc w:val="center"/>
            </w:pPr>
            <w:r w:rsidRPr="00A03684">
              <w:t xml:space="preserve">Ensures alignment of </w:t>
            </w:r>
            <w:r w:rsidR="001437FD" w:rsidRPr="00A03684">
              <w:t>IA</w:t>
            </w:r>
            <w:r w:rsidRPr="00A03684">
              <w:t xml:space="preserve"> volumes and emissions budgets; supports a strong ETS price signal</w:t>
            </w:r>
          </w:p>
        </w:tc>
        <w:tc>
          <w:tcPr>
            <w:tcW w:w="1537" w:type="dxa"/>
            <w:shd w:val="clear" w:color="auto" w:fill="87BDBE"/>
          </w:tcPr>
          <w:p w:rsidR="00914B10" w:rsidRPr="00A03684" w:rsidRDefault="00914B10" w:rsidP="00957670">
            <w:pPr>
              <w:pStyle w:val="TableText"/>
              <w:jc w:val="center"/>
            </w:pPr>
            <w:r w:rsidRPr="00A03684">
              <w:sym w:font="Wingdings" w:char="F0FC"/>
            </w:r>
            <w:r w:rsidRPr="00A03684">
              <w:sym w:font="Wingdings" w:char="F0FC"/>
            </w:r>
          </w:p>
          <w:p w:rsidR="00914B10" w:rsidRPr="00A03684" w:rsidRDefault="006809DE" w:rsidP="00957670">
            <w:pPr>
              <w:pStyle w:val="TableText"/>
              <w:jc w:val="center"/>
            </w:pPr>
            <w:r w:rsidRPr="00A03684">
              <w:t>Addresses current and future over-allocation</w:t>
            </w:r>
          </w:p>
        </w:tc>
        <w:tc>
          <w:tcPr>
            <w:tcW w:w="1465" w:type="dxa"/>
            <w:shd w:val="clear" w:color="auto" w:fill="FFFFFF" w:themeFill="background1"/>
          </w:tcPr>
          <w:p w:rsidR="00914B10" w:rsidRPr="00A03684" w:rsidRDefault="00483536" w:rsidP="00957670">
            <w:pPr>
              <w:pStyle w:val="TableText"/>
              <w:jc w:val="center"/>
            </w:pPr>
            <w:r w:rsidRPr="00A03684">
              <w:t>o</w:t>
            </w:r>
          </w:p>
          <w:p w:rsidR="00914B10" w:rsidRPr="00A03684" w:rsidRDefault="00914B10" w:rsidP="00957670">
            <w:pPr>
              <w:pStyle w:val="TableText"/>
              <w:jc w:val="center"/>
            </w:pPr>
            <w:r w:rsidRPr="00A03684">
              <w:t>Realigns allocations to levels deemed appropriate to reduce the risk of leakage</w:t>
            </w:r>
          </w:p>
        </w:tc>
        <w:tc>
          <w:tcPr>
            <w:tcW w:w="1644" w:type="dxa"/>
            <w:shd w:val="clear" w:color="auto" w:fill="E3875F"/>
          </w:tcPr>
          <w:p w:rsidR="00914B10" w:rsidRPr="00A03684" w:rsidRDefault="00914B10" w:rsidP="00957670">
            <w:pPr>
              <w:pStyle w:val="TableText"/>
              <w:jc w:val="center"/>
            </w:pPr>
            <w:r w:rsidRPr="00A03684">
              <w:t>xx</w:t>
            </w:r>
          </w:p>
          <w:p w:rsidR="00914B10" w:rsidRPr="00A03684" w:rsidRDefault="000C64D4" w:rsidP="00957670">
            <w:pPr>
              <w:pStyle w:val="TableText"/>
              <w:jc w:val="center"/>
            </w:pPr>
            <w:r w:rsidRPr="00A03684">
              <w:t>U</w:t>
            </w:r>
            <w:r w:rsidR="00914B10" w:rsidRPr="00A03684">
              <w:t xml:space="preserve">ncertainty for EITE firms </w:t>
            </w:r>
            <w:r w:rsidR="00971B61" w:rsidRPr="00A03684">
              <w:t xml:space="preserve">about </w:t>
            </w:r>
            <w:r w:rsidR="00914B10" w:rsidRPr="00A03684">
              <w:t>future levels of allocations</w:t>
            </w:r>
          </w:p>
        </w:tc>
        <w:tc>
          <w:tcPr>
            <w:tcW w:w="1531" w:type="dxa"/>
            <w:shd w:val="clear" w:color="auto" w:fill="E3855F"/>
          </w:tcPr>
          <w:p w:rsidR="00914B10" w:rsidRPr="00A03684" w:rsidRDefault="00914B10" w:rsidP="00957670">
            <w:pPr>
              <w:pStyle w:val="TableText"/>
              <w:jc w:val="center"/>
            </w:pPr>
            <w:r w:rsidRPr="00A03684">
              <w:t>xx</w:t>
            </w:r>
          </w:p>
          <w:p w:rsidR="00914B10" w:rsidRPr="00A03684" w:rsidRDefault="000C64D4" w:rsidP="00957670">
            <w:pPr>
              <w:pStyle w:val="TableText"/>
              <w:jc w:val="center"/>
            </w:pPr>
            <w:r w:rsidRPr="00A03684">
              <w:t>O</w:t>
            </w:r>
            <w:r w:rsidR="00914B10" w:rsidRPr="00A03684">
              <w:t>ngoing administrative costs</w:t>
            </w:r>
          </w:p>
        </w:tc>
      </w:tr>
      <w:tr w:rsidR="00914B10" w:rsidRPr="00A03684" w:rsidTr="00C36822">
        <w:trPr>
          <w:trHeight w:val="1247"/>
        </w:trPr>
        <w:tc>
          <w:tcPr>
            <w:tcW w:w="1531" w:type="dxa"/>
            <w:shd w:val="clear" w:color="auto" w:fill="auto"/>
          </w:tcPr>
          <w:p w:rsidR="00914B10" w:rsidRPr="00A03684" w:rsidRDefault="00914B10" w:rsidP="00914B10">
            <w:pPr>
              <w:spacing w:before="60" w:after="60" w:line="240" w:lineRule="atLeast"/>
              <w:jc w:val="left"/>
              <w:rPr>
                <w:sz w:val="18"/>
              </w:rPr>
            </w:pPr>
            <w:r w:rsidRPr="00A03684">
              <w:rPr>
                <w:sz w:val="18"/>
              </w:rPr>
              <w:t>Reassessment of baselines every 5 years</w:t>
            </w:r>
          </w:p>
        </w:tc>
        <w:tc>
          <w:tcPr>
            <w:tcW w:w="1468" w:type="dxa"/>
            <w:shd w:val="clear" w:color="auto" w:fill="87BDBE"/>
          </w:tcPr>
          <w:p w:rsidR="00914B10" w:rsidRPr="00A03684" w:rsidRDefault="00914B10" w:rsidP="00957670">
            <w:pPr>
              <w:pStyle w:val="TableText"/>
              <w:jc w:val="center"/>
            </w:pPr>
            <w:r w:rsidRPr="00A03684">
              <w:sym w:font="Wingdings" w:char="F0FC"/>
            </w:r>
            <w:r w:rsidRPr="00A03684">
              <w:sym w:font="Wingdings" w:char="F0FC"/>
            </w:r>
          </w:p>
          <w:p w:rsidR="00914B10" w:rsidRPr="00A03684" w:rsidRDefault="00914B10" w:rsidP="00957670">
            <w:pPr>
              <w:pStyle w:val="TableText"/>
              <w:jc w:val="center"/>
            </w:pPr>
            <w:r w:rsidRPr="00A03684">
              <w:t xml:space="preserve">Ensures alignment of </w:t>
            </w:r>
            <w:r w:rsidR="001437FD" w:rsidRPr="00A03684">
              <w:t>IA</w:t>
            </w:r>
            <w:r w:rsidRPr="00A03684">
              <w:t xml:space="preserve"> volumes and emissions budgets; supports a strong ETS price signal</w:t>
            </w:r>
          </w:p>
        </w:tc>
        <w:tc>
          <w:tcPr>
            <w:tcW w:w="1537" w:type="dxa"/>
            <w:shd w:val="clear" w:color="auto" w:fill="87BDBE"/>
          </w:tcPr>
          <w:p w:rsidR="00914B10" w:rsidRPr="00A03684" w:rsidRDefault="00914B10" w:rsidP="00957670">
            <w:pPr>
              <w:pStyle w:val="TableText"/>
              <w:jc w:val="center"/>
            </w:pPr>
            <w:r w:rsidRPr="00A03684">
              <w:sym w:font="Wingdings" w:char="F0FC"/>
            </w:r>
            <w:r w:rsidRPr="00A03684">
              <w:sym w:font="Wingdings" w:char="F0FC"/>
            </w:r>
          </w:p>
          <w:p w:rsidR="00914B10" w:rsidRPr="00A03684" w:rsidRDefault="00914B10" w:rsidP="00957670">
            <w:pPr>
              <w:pStyle w:val="TableText"/>
              <w:jc w:val="center"/>
            </w:pPr>
            <w:r w:rsidRPr="00A03684">
              <w:t xml:space="preserve">Addresses </w:t>
            </w:r>
            <w:r w:rsidR="006809DE" w:rsidRPr="00A03684">
              <w:t xml:space="preserve">current and future </w:t>
            </w:r>
            <w:r w:rsidRPr="00A03684">
              <w:t>over-allocation</w:t>
            </w:r>
          </w:p>
        </w:tc>
        <w:tc>
          <w:tcPr>
            <w:tcW w:w="1465" w:type="dxa"/>
            <w:shd w:val="clear" w:color="auto" w:fill="FFFFFF" w:themeFill="background1"/>
          </w:tcPr>
          <w:p w:rsidR="00914B10" w:rsidRPr="00A03684" w:rsidRDefault="00483536" w:rsidP="00957670">
            <w:pPr>
              <w:pStyle w:val="TableText"/>
              <w:jc w:val="center"/>
            </w:pPr>
            <w:r w:rsidRPr="00A03684">
              <w:t>o</w:t>
            </w:r>
          </w:p>
          <w:p w:rsidR="00914B10" w:rsidRPr="00A03684" w:rsidRDefault="00914B10" w:rsidP="00957670">
            <w:pPr>
              <w:pStyle w:val="TableText"/>
              <w:jc w:val="center"/>
            </w:pPr>
            <w:r w:rsidRPr="00A03684">
              <w:t>Realigns allocations to levels deemed appropriate to reduce the risk of leakage</w:t>
            </w:r>
          </w:p>
        </w:tc>
        <w:tc>
          <w:tcPr>
            <w:tcW w:w="1644" w:type="dxa"/>
            <w:shd w:val="clear" w:color="auto" w:fill="F0C3A8" w:themeFill="accent6" w:themeFillTint="66"/>
          </w:tcPr>
          <w:p w:rsidR="00914B10" w:rsidRPr="00A03684" w:rsidRDefault="00914B10" w:rsidP="00957670">
            <w:pPr>
              <w:pStyle w:val="TableText"/>
              <w:jc w:val="center"/>
            </w:pPr>
            <w:r w:rsidRPr="00A03684">
              <w:t>x</w:t>
            </w:r>
          </w:p>
          <w:p w:rsidR="00914B10" w:rsidRPr="00A03684" w:rsidRDefault="000C64D4" w:rsidP="00957670">
            <w:pPr>
              <w:pStyle w:val="TableText"/>
              <w:jc w:val="center"/>
            </w:pPr>
            <w:r w:rsidRPr="00A03684">
              <w:t>U</w:t>
            </w:r>
            <w:r w:rsidR="00914B10" w:rsidRPr="00A03684">
              <w:t xml:space="preserve">ncertainty for EITE firms </w:t>
            </w:r>
            <w:r w:rsidRPr="00A03684">
              <w:t xml:space="preserve">about </w:t>
            </w:r>
            <w:r w:rsidR="00914B10" w:rsidRPr="00A03684">
              <w:t>future allocations</w:t>
            </w:r>
          </w:p>
        </w:tc>
        <w:tc>
          <w:tcPr>
            <w:tcW w:w="1531" w:type="dxa"/>
            <w:shd w:val="clear" w:color="auto" w:fill="F0C3A8" w:themeFill="accent6" w:themeFillTint="66"/>
          </w:tcPr>
          <w:p w:rsidR="00914B10" w:rsidRPr="00A03684" w:rsidRDefault="00914B10" w:rsidP="00957670">
            <w:pPr>
              <w:pStyle w:val="TableText"/>
              <w:jc w:val="center"/>
            </w:pPr>
            <w:r w:rsidRPr="00A03684">
              <w:t>x</w:t>
            </w:r>
          </w:p>
          <w:p w:rsidR="00914B10" w:rsidRPr="00A03684" w:rsidRDefault="000C64D4" w:rsidP="00957670">
            <w:pPr>
              <w:pStyle w:val="TableText"/>
              <w:jc w:val="center"/>
            </w:pPr>
            <w:r w:rsidRPr="00A03684">
              <w:t>O</w:t>
            </w:r>
            <w:r w:rsidR="00914B10" w:rsidRPr="00A03684">
              <w:t>ngoing administrative costs</w:t>
            </w:r>
          </w:p>
        </w:tc>
      </w:tr>
      <w:tr w:rsidR="00914B10" w:rsidRPr="00A03684" w:rsidTr="00E533A1">
        <w:trPr>
          <w:trHeight w:val="1247"/>
        </w:trPr>
        <w:tc>
          <w:tcPr>
            <w:tcW w:w="1531" w:type="dxa"/>
            <w:shd w:val="clear" w:color="auto" w:fill="auto"/>
          </w:tcPr>
          <w:p w:rsidR="00914B10" w:rsidRPr="00A03684" w:rsidRDefault="00914B10" w:rsidP="00914B10">
            <w:pPr>
              <w:spacing w:before="60" w:after="60" w:line="240" w:lineRule="atLeast"/>
              <w:jc w:val="left"/>
              <w:rPr>
                <w:sz w:val="18"/>
              </w:rPr>
            </w:pPr>
            <w:r w:rsidRPr="00A03684">
              <w:rPr>
                <w:sz w:val="18"/>
              </w:rPr>
              <w:t xml:space="preserve">Reassessment of baselines every 10 </w:t>
            </w:r>
            <w:r w:rsidR="004D2C72" w:rsidRPr="00A03684">
              <w:rPr>
                <w:sz w:val="18"/>
              </w:rPr>
              <w:t>years</w:t>
            </w:r>
          </w:p>
        </w:tc>
        <w:tc>
          <w:tcPr>
            <w:tcW w:w="1468" w:type="dxa"/>
            <w:shd w:val="clear" w:color="auto" w:fill="CFE5E5"/>
          </w:tcPr>
          <w:p w:rsidR="00914B10" w:rsidRPr="00A03684" w:rsidRDefault="00914B10" w:rsidP="00957670">
            <w:pPr>
              <w:pStyle w:val="TableText"/>
              <w:jc w:val="center"/>
            </w:pPr>
            <w:r w:rsidRPr="00A03684">
              <w:sym w:font="Wingdings" w:char="F0FC"/>
            </w:r>
          </w:p>
          <w:p w:rsidR="00914B10" w:rsidRPr="00A03684" w:rsidRDefault="00914B10" w:rsidP="00957670">
            <w:pPr>
              <w:pStyle w:val="TableText"/>
              <w:jc w:val="center"/>
            </w:pPr>
            <w:r w:rsidRPr="00A03684">
              <w:t xml:space="preserve">Supports alignment of </w:t>
            </w:r>
            <w:r w:rsidR="001437FD" w:rsidRPr="00A03684">
              <w:t>IA</w:t>
            </w:r>
            <w:r w:rsidRPr="00A03684">
              <w:t xml:space="preserve"> volumes and emissions budgets</w:t>
            </w:r>
          </w:p>
        </w:tc>
        <w:tc>
          <w:tcPr>
            <w:tcW w:w="1537" w:type="dxa"/>
            <w:shd w:val="clear" w:color="auto" w:fill="CFE5E5"/>
          </w:tcPr>
          <w:p w:rsidR="00914B10" w:rsidRPr="00A03684" w:rsidRDefault="00914B10" w:rsidP="00957670">
            <w:pPr>
              <w:pStyle w:val="TableText"/>
              <w:jc w:val="center"/>
            </w:pPr>
            <w:r w:rsidRPr="00A03684">
              <w:sym w:font="Wingdings" w:char="F0FC"/>
            </w:r>
          </w:p>
          <w:p w:rsidR="00914B10" w:rsidRPr="00A03684" w:rsidRDefault="00914B10" w:rsidP="00957670">
            <w:pPr>
              <w:pStyle w:val="TableText"/>
              <w:jc w:val="center"/>
            </w:pPr>
            <w:r w:rsidRPr="00A03684">
              <w:t xml:space="preserve">Addresses </w:t>
            </w:r>
            <w:r w:rsidR="006809DE" w:rsidRPr="00A03684">
              <w:t xml:space="preserve">current </w:t>
            </w:r>
            <w:r w:rsidRPr="00A03684">
              <w:t xml:space="preserve">over-allocation but risks some over-allocation </w:t>
            </w:r>
            <w:r w:rsidR="00971B61" w:rsidRPr="00A03684">
              <w:t>longer term</w:t>
            </w:r>
          </w:p>
        </w:tc>
        <w:tc>
          <w:tcPr>
            <w:tcW w:w="1465" w:type="dxa"/>
            <w:shd w:val="clear" w:color="auto" w:fill="FFFFFF" w:themeFill="background1"/>
          </w:tcPr>
          <w:p w:rsidR="00914B10" w:rsidRPr="00A03684" w:rsidRDefault="00483536" w:rsidP="00957670">
            <w:pPr>
              <w:pStyle w:val="TableText"/>
              <w:jc w:val="center"/>
            </w:pPr>
            <w:r w:rsidRPr="00A03684">
              <w:t>o</w:t>
            </w:r>
          </w:p>
          <w:p w:rsidR="00914B10" w:rsidRPr="00A03684" w:rsidRDefault="00914B10" w:rsidP="00957670">
            <w:pPr>
              <w:pStyle w:val="TableText"/>
              <w:jc w:val="center"/>
            </w:pPr>
            <w:r w:rsidRPr="00A03684">
              <w:t>Realigns allocations to levels deemed appropriate to reduce the risk of leakage</w:t>
            </w:r>
          </w:p>
        </w:tc>
        <w:tc>
          <w:tcPr>
            <w:tcW w:w="1644" w:type="dxa"/>
            <w:shd w:val="clear" w:color="auto" w:fill="CFE5E5"/>
          </w:tcPr>
          <w:p w:rsidR="00914B10" w:rsidRPr="00A03684" w:rsidRDefault="00914B10" w:rsidP="00957670">
            <w:pPr>
              <w:pStyle w:val="TableText"/>
              <w:jc w:val="center"/>
            </w:pPr>
            <w:r w:rsidRPr="00A03684">
              <w:sym w:font="Wingdings" w:char="F0FC"/>
            </w:r>
          </w:p>
          <w:p w:rsidR="00914B10" w:rsidRPr="00A03684" w:rsidRDefault="00914B10" w:rsidP="00957670">
            <w:pPr>
              <w:pStyle w:val="TableText"/>
              <w:jc w:val="center"/>
            </w:pPr>
            <w:r w:rsidRPr="00A03684">
              <w:t xml:space="preserve">EITE firms would have certainty </w:t>
            </w:r>
            <w:r w:rsidR="00971B61" w:rsidRPr="00A03684">
              <w:t xml:space="preserve">about </w:t>
            </w:r>
            <w:r w:rsidRPr="00A03684">
              <w:t xml:space="preserve">future levels of allocations over typical investment </w:t>
            </w:r>
            <w:r w:rsidR="00971B61" w:rsidRPr="00A03684">
              <w:t>timeline</w:t>
            </w:r>
          </w:p>
        </w:tc>
        <w:tc>
          <w:tcPr>
            <w:tcW w:w="1531" w:type="dxa"/>
          </w:tcPr>
          <w:p w:rsidR="00914B10" w:rsidRPr="00A03684" w:rsidRDefault="00914B10" w:rsidP="00957670">
            <w:pPr>
              <w:pStyle w:val="TableText"/>
              <w:jc w:val="center"/>
            </w:pPr>
            <w:r w:rsidRPr="00A03684">
              <w:t>o</w:t>
            </w:r>
          </w:p>
          <w:p w:rsidR="00914B10" w:rsidRPr="00A03684" w:rsidRDefault="00914B10" w:rsidP="00957670">
            <w:pPr>
              <w:pStyle w:val="TableText"/>
              <w:jc w:val="center"/>
            </w:pPr>
            <w:r w:rsidRPr="00A03684">
              <w:t>Greater administrative burden from updating baselines, but minimal as updates are infrequent</w:t>
            </w:r>
          </w:p>
        </w:tc>
      </w:tr>
    </w:tbl>
    <w:p w:rsidR="005C171F" w:rsidRPr="00A03684" w:rsidRDefault="005C171F" w:rsidP="00164213">
      <w:pPr>
        <w:pStyle w:val="BodyText"/>
      </w:pPr>
    </w:p>
    <w:p w:rsidR="00A313C7" w:rsidRDefault="00A313C7">
      <w:bookmarkStart w:id="34" w:name="_Hlk73524992"/>
      <w:r>
        <w:rPr>
          <w:b/>
        </w:rPr>
        <w:br w:type="page"/>
      </w: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7B3570" w:rsidRPr="00A03684" w:rsidTr="00164213">
        <w:tc>
          <w:tcPr>
            <w:tcW w:w="0" w:type="auto"/>
            <w:shd w:val="clear" w:color="auto" w:fill="D2DDE2"/>
          </w:tcPr>
          <w:p w:rsidR="000B3AA4" w:rsidRPr="00A03684" w:rsidRDefault="000B3AA4" w:rsidP="007D3D42">
            <w:pPr>
              <w:pStyle w:val="Blueboxheading"/>
              <w:keepNext w:val="0"/>
            </w:pPr>
            <w:r w:rsidRPr="00A03684">
              <w:t>Allocation calculations</w:t>
            </w:r>
          </w:p>
          <w:p w:rsidR="007B3570" w:rsidRPr="00A03684" w:rsidRDefault="008E69BE" w:rsidP="00344EA3">
            <w:pPr>
              <w:pStyle w:val="Blueboxtext"/>
              <w:spacing w:after="80"/>
            </w:pPr>
            <w:r w:rsidRPr="00A03684">
              <w:t>Question 2</w:t>
            </w:r>
            <w:r w:rsidR="007B3570" w:rsidRPr="00A03684">
              <w:t xml:space="preserve">: </w:t>
            </w:r>
            <w:r w:rsidRPr="00A03684">
              <w:t>Should allocative baselines be updated using new base years?</w:t>
            </w:r>
            <w:r w:rsidR="002A4409" w:rsidRPr="00A03684">
              <w:t xml:space="preserve"> Why, or why not? </w:t>
            </w:r>
          </w:p>
          <w:p w:rsidR="007B3570" w:rsidRPr="00A03684" w:rsidRDefault="008E69BE" w:rsidP="00344EA3">
            <w:pPr>
              <w:pStyle w:val="Blueboxtext"/>
              <w:spacing w:after="80"/>
            </w:pPr>
            <w:r w:rsidRPr="00A03684">
              <w:t>Question 3</w:t>
            </w:r>
            <w:r w:rsidR="007B3570" w:rsidRPr="00A03684">
              <w:t>: Should the reassessment be a one-off update, or a periodic update? Why, or why</w:t>
            </w:r>
            <w:r w:rsidR="00344EA3">
              <w:t> </w:t>
            </w:r>
            <w:r w:rsidR="007B3570" w:rsidRPr="00A03684">
              <w:t>not?</w:t>
            </w:r>
          </w:p>
          <w:p w:rsidR="007B3570" w:rsidRPr="00A03684" w:rsidRDefault="008E69BE" w:rsidP="00344EA3">
            <w:pPr>
              <w:pStyle w:val="Blueboxtext"/>
              <w:spacing w:after="240"/>
            </w:pPr>
            <w:r w:rsidRPr="00A03684">
              <w:t>Question 4</w:t>
            </w:r>
            <w:r w:rsidR="007B3570" w:rsidRPr="00A03684">
              <w:t xml:space="preserve">: If periodic reassessment </w:t>
            </w:r>
            <w:r w:rsidR="00FD07C3" w:rsidRPr="00A03684">
              <w:t>is</w:t>
            </w:r>
            <w:r w:rsidR="007B3570" w:rsidRPr="00A03684">
              <w:t xml:space="preserve"> legislated, what would be </w:t>
            </w:r>
            <w:r w:rsidR="00E30FB7" w:rsidRPr="00A03684">
              <w:t>an appropriate period –</w:t>
            </w:r>
            <w:r w:rsidR="00344EA3">
              <w:t> </w:t>
            </w:r>
            <w:r w:rsidR="003E37CE" w:rsidRPr="00A03684">
              <w:t xml:space="preserve">every year, </w:t>
            </w:r>
            <w:r w:rsidR="00E30FB7" w:rsidRPr="00A03684">
              <w:t>5 years, 10 years,</w:t>
            </w:r>
            <w:r w:rsidR="007B3570" w:rsidRPr="00A03684">
              <w:t xml:space="preserve"> or something else? Why?</w:t>
            </w:r>
            <w:bookmarkEnd w:id="34"/>
          </w:p>
        </w:tc>
      </w:tr>
    </w:tbl>
    <w:p w:rsidR="007B3570" w:rsidRPr="00A03684" w:rsidRDefault="007B3570" w:rsidP="007611D9">
      <w:pPr>
        <w:pStyle w:val="Heading2"/>
      </w:pPr>
      <w:bookmarkStart w:id="35" w:name="_Toc75336460"/>
      <w:r w:rsidRPr="00A03684">
        <w:t>Wh</w:t>
      </w:r>
      <w:r w:rsidR="00237685" w:rsidRPr="00A03684">
        <w:t>ich</w:t>
      </w:r>
      <w:r w:rsidRPr="00A03684">
        <w:t xml:space="preserve"> n</w:t>
      </w:r>
      <w:r w:rsidR="00D36B1A" w:rsidRPr="00A03684">
        <w:t>ew base years should be used</w:t>
      </w:r>
      <w:r w:rsidRPr="00A03684">
        <w:t>?</w:t>
      </w:r>
      <w:bookmarkEnd w:id="35"/>
    </w:p>
    <w:p w:rsidR="007B3570" w:rsidRPr="00A03684" w:rsidRDefault="00634EE2" w:rsidP="007611D9">
      <w:pPr>
        <w:pStyle w:val="BodyText"/>
      </w:pPr>
      <w:r w:rsidRPr="00A03684">
        <w:t xml:space="preserve">The </w:t>
      </w:r>
      <w:r w:rsidR="000F3722" w:rsidRPr="00A03684">
        <w:t xml:space="preserve">financial years 2016/17, 2017/18 and 2018/19 </w:t>
      </w:r>
      <w:r w:rsidRPr="00A03684">
        <w:t xml:space="preserve">could be </w:t>
      </w:r>
      <w:r w:rsidR="00483536" w:rsidRPr="00A03684">
        <w:t>the</w:t>
      </w:r>
      <w:r w:rsidRPr="00A03684">
        <w:t xml:space="preserve"> new baseline years</w:t>
      </w:r>
      <w:r w:rsidR="00FD07C3" w:rsidRPr="00A03684">
        <w:t>,</w:t>
      </w:r>
      <w:r w:rsidRPr="00A03684">
        <w:t xml:space="preserve"> provid</w:t>
      </w:r>
      <w:r w:rsidR="00237685" w:rsidRPr="00A03684">
        <w:t>ing</w:t>
      </w:r>
      <w:r w:rsidRPr="00A03684">
        <w:t xml:space="preserve"> data that is relatively recent</w:t>
      </w:r>
      <w:r w:rsidR="00237685" w:rsidRPr="00A03684">
        <w:t>,</w:t>
      </w:r>
      <w:r w:rsidRPr="00A03684">
        <w:t xml:space="preserve"> and reflect</w:t>
      </w:r>
      <w:r w:rsidR="00237685" w:rsidRPr="00A03684">
        <w:t>ing</w:t>
      </w:r>
      <w:r w:rsidRPr="00A03684">
        <w:t xml:space="preserve"> changes to emissions intensities over the last decade. </w:t>
      </w:r>
      <w:r w:rsidR="000F3722" w:rsidRPr="00A03684">
        <w:t>The years 2019/2020 and 2020/21 should be excluded due to production and revenue distortions from COVID-19.</w:t>
      </w:r>
      <w:r w:rsidR="00703F79" w:rsidRPr="00A03684">
        <w:t xml:space="preserve"> </w:t>
      </w:r>
      <w:r w:rsidR="005379F3" w:rsidRPr="00A03684">
        <w:t>Alternatively,</w:t>
      </w:r>
      <w:r w:rsidR="00C819E7" w:rsidRPr="00A03684">
        <w:t xml:space="preserve"> </w:t>
      </w:r>
      <w:r w:rsidR="00C6433E" w:rsidRPr="00A03684">
        <w:t xml:space="preserve">the years 2019/2020 and 2020/21 </w:t>
      </w:r>
      <w:r w:rsidR="00C819E7" w:rsidRPr="00A03684">
        <w:t xml:space="preserve">could be included but weighted to account for distortions. </w:t>
      </w:r>
    </w:p>
    <w:p w:rsidR="008E56C1" w:rsidRPr="00A03684" w:rsidRDefault="008E56C1" w:rsidP="007611D9">
      <w:pPr>
        <w:pStyle w:val="BodyText"/>
      </w:pPr>
      <w:r w:rsidRPr="00A03684">
        <w:t xml:space="preserve">The new base years would also </w:t>
      </w:r>
      <w:r w:rsidR="00237685" w:rsidRPr="00A03684">
        <w:t>apply</w:t>
      </w:r>
      <w:r w:rsidRPr="00A03684">
        <w:t xml:space="preserve"> if eligibility </w:t>
      </w:r>
      <w:r w:rsidR="00ED5BC8" w:rsidRPr="00A03684">
        <w:t>were</w:t>
      </w:r>
      <w:r w:rsidRPr="00A03684">
        <w:t xml:space="preserve"> reassessed.</w:t>
      </w:r>
    </w:p>
    <w:p w:rsidR="000F3722" w:rsidRPr="00A03684" w:rsidRDefault="008E56C1" w:rsidP="007D3D42">
      <w:pPr>
        <w:pStyle w:val="BodyText"/>
        <w:spacing w:after="240"/>
      </w:pPr>
      <w:r w:rsidRPr="00A03684">
        <w:t xml:space="preserve">Future updates to baselines will require </w:t>
      </w:r>
      <w:r w:rsidR="00AF4631" w:rsidRPr="00A03684">
        <w:t>collecting</w:t>
      </w:r>
      <w:r w:rsidRPr="00A03684">
        <w:t xml:space="preserve"> activity from new base years. These would likely be the financial years </w:t>
      </w:r>
      <w:r w:rsidR="00AF4631" w:rsidRPr="00A03684">
        <w:t>before</w:t>
      </w:r>
      <w:r w:rsidRPr="00A03684">
        <w:t xml:space="preserve"> baselines are scheduled to be changed. </w:t>
      </w: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0F3722" w:rsidRPr="00A03684" w:rsidTr="007D3D42">
        <w:tc>
          <w:tcPr>
            <w:tcW w:w="0" w:type="auto"/>
            <w:shd w:val="clear" w:color="auto" w:fill="D2DDE2"/>
          </w:tcPr>
          <w:p w:rsidR="00237685" w:rsidRPr="00A03684" w:rsidRDefault="00237685" w:rsidP="007D3D42">
            <w:pPr>
              <w:pStyle w:val="Blueboxheading"/>
            </w:pPr>
            <w:bookmarkStart w:id="36" w:name="_Hlk73524999"/>
            <w:r w:rsidRPr="00A03684">
              <w:t>Allocation calculations</w:t>
            </w:r>
          </w:p>
          <w:p w:rsidR="000F3722" w:rsidRPr="00A03684" w:rsidRDefault="008E69BE" w:rsidP="00800EBA">
            <w:pPr>
              <w:pStyle w:val="Blueboxtext"/>
              <w:spacing w:after="80"/>
            </w:pPr>
            <w:r w:rsidRPr="00A03684">
              <w:t>Question 5</w:t>
            </w:r>
            <w:r w:rsidR="000F3722" w:rsidRPr="00A03684">
              <w:t xml:space="preserve">: Do you agree the financial years 2016/17, 2017/18 and 2018/19 should be used as new base years to update allocative baselines? </w:t>
            </w:r>
            <w:r w:rsidR="00A53F94" w:rsidRPr="00A03684">
              <w:t xml:space="preserve">Why, or why not? </w:t>
            </w:r>
          </w:p>
          <w:p w:rsidR="008F3BA3" w:rsidRPr="00A03684" w:rsidRDefault="008F3BA3" w:rsidP="007D3D42">
            <w:pPr>
              <w:pStyle w:val="Blueboxtext"/>
              <w:spacing w:after="240"/>
            </w:pPr>
            <w:r w:rsidRPr="00A03684">
              <w:t>Question 6: Should the financial years 2019/20 and 2020/21 be included</w:t>
            </w:r>
            <w:r w:rsidR="00237685" w:rsidRPr="00A03684">
              <w:t>,</w:t>
            </w:r>
            <w:r w:rsidRPr="00A03684">
              <w:t xml:space="preserve"> but with a weighting provision? Why, or why not? </w:t>
            </w:r>
            <w:bookmarkEnd w:id="36"/>
          </w:p>
        </w:tc>
      </w:tr>
    </w:tbl>
    <w:p w:rsidR="00304178" w:rsidRPr="00A03684" w:rsidRDefault="001757EA" w:rsidP="00132DC4">
      <w:pPr>
        <w:pStyle w:val="Heading1"/>
        <w:spacing w:after="280"/>
      </w:pPr>
      <w:r w:rsidRPr="00A03684">
        <w:br w:type="page"/>
      </w:r>
      <w:bookmarkStart w:id="37" w:name="_Toc75336461"/>
      <w:r w:rsidR="003B5C3D" w:rsidRPr="00A03684">
        <w:t>Section 4</w:t>
      </w:r>
      <w:r w:rsidR="00487318" w:rsidRPr="00A03684">
        <w:t xml:space="preserve">: </w:t>
      </w:r>
      <w:r w:rsidR="003B5C3D" w:rsidRPr="00A03684">
        <w:t>O</w:t>
      </w:r>
      <w:r w:rsidR="000660DC" w:rsidRPr="00A03684">
        <w:t>ptions to reform</w:t>
      </w:r>
      <w:r w:rsidR="003B5C3D" w:rsidRPr="00A03684">
        <w:t xml:space="preserve"> eligibility for</w:t>
      </w:r>
      <w:r w:rsidR="009836AA" w:rsidRPr="00A03684">
        <w:t> </w:t>
      </w:r>
      <w:r w:rsidR="000660DC" w:rsidRPr="00A03684">
        <w:t>industrial allocation</w:t>
      </w:r>
      <w:bookmarkEnd w:id="37"/>
    </w:p>
    <w:p w:rsidR="00FD2CBC" w:rsidRPr="00A03684" w:rsidRDefault="003B5C3D" w:rsidP="007611D9">
      <w:pPr>
        <w:pStyle w:val="BodyText"/>
      </w:pPr>
      <w:r w:rsidRPr="00A03684">
        <w:t>This</w:t>
      </w:r>
      <w:r w:rsidR="00FD2CBC" w:rsidRPr="00A03684">
        <w:t xml:space="preserve"> section looks at </w:t>
      </w:r>
      <w:r w:rsidR="00237685" w:rsidRPr="00A03684">
        <w:t>proposals to</w:t>
      </w:r>
      <w:r w:rsidR="00FD2CBC" w:rsidRPr="00A03684">
        <w:t xml:space="preserve"> </w:t>
      </w:r>
      <w:r w:rsidRPr="00A03684">
        <w:t xml:space="preserve">reassess eligibility and improve the eligibility tests. </w:t>
      </w:r>
    </w:p>
    <w:p w:rsidR="00851849" w:rsidRPr="00A03684" w:rsidRDefault="00D578C5" w:rsidP="00132DC4">
      <w:pPr>
        <w:pStyle w:val="Heading2"/>
        <w:spacing w:before="280"/>
      </w:pPr>
      <w:bookmarkStart w:id="38" w:name="_Toc75336462"/>
      <w:r w:rsidRPr="00A03684">
        <w:t>Reassessment</w:t>
      </w:r>
      <w:r w:rsidR="00AE1426" w:rsidRPr="00A03684">
        <w:t xml:space="preserve"> of eligibility</w:t>
      </w:r>
      <w:r w:rsidR="00FC33E3" w:rsidRPr="00A03684">
        <w:t xml:space="preserve"> using new</w:t>
      </w:r>
      <w:r w:rsidR="003B5C3D" w:rsidRPr="00A03684">
        <w:t xml:space="preserve"> base</w:t>
      </w:r>
      <w:r w:rsidR="00851849" w:rsidRPr="00A03684">
        <w:t xml:space="preserve"> years</w:t>
      </w:r>
      <w:bookmarkEnd w:id="38"/>
    </w:p>
    <w:p w:rsidR="00D007C8" w:rsidRPr="00A03684" w:rsidRDefault="003B5C3D" w:rsidP="00132DC4">
      <w:pPr>
        <w:pStyle w:val="BodyText"/>
        <w:spacing w:before="100" w:after="100"/>
      </w:pPr>
      <w:r w:rsidRPr="00A03684">
        <w:t xml:space="preserve">Like allocative baselines, </w:t>
      </w:r>
      <w:r w:rsidR="003A2296" w:rsidRPr="00A03684">
        <w:t xml:space="preserve">eligibility based on emissions intensity (the emissions intensity test) </w:t>
      </w:r>
      <w:r w:rsidR="00AE1426" w:rsidRPr="00A03684">
        <w:t>is</w:t>
      </w:r>
      <w:r w:rsidR="009836AA" w:rsidRPr="00A03684">
        <w:t> </w:t>
      </w:r>
      <w:r w:rsidR="00101019" w:rsidRPr="00A03684">
        <w:t xml:space="preserve">assessed using </w:t>
      </w:r>
      <w:r w:rsidR="00851849" w:rsidRPr="00A03684">
        <w:t xml:space="preserve">historical </w:t>
      </w:r>
      <w:r w:rsidR="00FC33E3" w:rsidRPr="00A03684">
        <w:t>base years</w:t>
      </w:r>
      <w:r w:rsidR="00101019" w:rsidRPr="00A03684">
        <w:t xml:space="preserve">. </w:t>
      </w:r>
      <w:r w:rsidRPr="00A03684">
        <w:t>Current eligibility decisions no longer reflect the impact</w:t>
      </w:r>
      <w:r w:rsidR="009836AA" w:rsidRPr="00A03684">
        <w:t> </w:t>
      </w:r>
      <w:r w:rsidRPr="00A03684">
        <w:t xml:space="preserve">of an emissions price on an activity’s profitability, </w:t>
      </w:r>
      <w:r w:rsidR="00101019" w:rsidRPr="00A03684">
        <w:t xml:space="preserve">which is </w:t>
      </w:r>
      <w:r w:rsidR="00AF4631" w:rsidRPr="00A03684">
        <w:t>leading to</w:t>
      </w:r>
      <w:r w:rsidR="00101019" w:rsidRPr="00A03684">
        <w:t xml:space="preserve"> over-allocations. </w:t>
      </w:r>
      <w:r w:rsidR="00D007C8" w:rsidRPr="00A03684">
        <w:t xml:space="preserve">The Government proposes reassessing eligibility with </w:t>
      </w:r>
      <w:r w:rsidR="00FC33E3" w:rsidRPr="00A03684">
        <w:t>new</w:t>
      </w:r>
      <w:r w:rsidR="00D007C8" w:rsidRPr="00A03684">
        <w:t xml:space="preserve"> base years</w:t>
      </w:r>
      <w:r w:rsidR="00DE771D" w:rsidRPr="00A03684">
        <w:t xml:space="preserve">. </w:t>
      </w:r>
    </w:p>
    <w:p w:rsidR="00851849" w:rsidRPr="00A03684" w:rsidRDefault="00D007C8" w:rsidP="00132DC4">
      <w:pPr>
        <w:pStyle w:val="Heading4"/>
        <w:spacing w:before="240"/>
      </w:pPr>
      <w:r w:rsidRPr="00A03684">
        <w:t>Option 1: Status quo – n</w:t>
      </w:r>
      <w:r w:rsidR="00851849" w:rsidRPr="00A03684">
        <w:t>o</w:t>
      </w:r>
      <w:r w:rsidR="00DC64A4" w:rsidRPr="00A03684">
        <w:t xml:space="preserve"> reassessment </w:t>
      </w:r>
    </w:p>
    <w:p w:rsidR="00124E85" w:rsidRPr="00A03684" w:rsidRDefault="00237685" w:rsidP="00132DC4">
      <w:pPr>
        <w:pStyle w:val="BodyText"/>
        <w:spacing w:before="100" w:after="100"/>
      </w:pPr>
      <w:r w:rsidRPr="00A03684">
        <w:t xml:space="preserve">Under this option, </w:t>
      </w:r>
      <w:r w:rsidR="00DC64A4" w:rsidRPr="00A03684">
        <w:t>current</w:t>
      </w:r>
      <w:r w:rsidR="00664BB9" w:rsidRPr="00A03684">
        <w:t xml:space="preserve"> eligibility decisions remain the sam</w:t>
      </w:r>
      <w:r w:rsidR="00DC64A4" w:rsidRPr="00A03684">
        <w:t>e</w:t>
      </w:r>
      <w:r w:rsidR="00151D80" w:rsidRPr="00A03684">
        <w:t>,</w:t>
      </w:r>
      <w:r w:rsidR="007B3570" w:rsidRPr="00A03684">
        <w:t xml:space="preserve"> and the </w:t>
      </w:r>
      <w:r w:rsidR="00186AC3" w:rsidRPr="00A03684">
        <w:t>eligibility s</w:t>
      </w:r>
      <w:r w:rsidR="007C1BB5" w:rsidRPr="00A03684">
        <w:t>tatus of activities is</w:t>
      </w:r>
      <w:r w:rsidR="00186AC3" w:rsidRPr="00A03684">
        <w:t xml:space="preserve"> unchanged.</w:t>
      </w:r>
      <w:r w:rsidR="00664BB9" w:rsidRPr="00A03684">
        <w:t xml:space="preserve"> </w:t>
      </w:r>
      <w:r w:rsidR="00124E85" w:rsidRPr="00A03684">
        <w:t>This w</w:t>
      </w:r>
      <w:r w:rsidR="007C1BB5" w:rsidRPr="00A03684">
        <w:t>ould perpetuate over-allocation</w:t>
      </w:r>
      <w:r w:rsidR="00124E85" w:rsidRPr="00A03684">
        <w:t xml:space="preserve"> already occurring</w:t>
      </w:r>
      <w:r w:rsidR="00151D80" w:rsidRPr="00A03684">
        <w:t>,</w:t>
      </w:r>
      <w:r w:rsidR="00124E85" w:rsidRPr="00A03684">
        <w:t xml:space="preserve"> and </w:t>
      </w:r>
      <w:r w:rsidR="00664BB9" w:rsidRPr="00A03684">
        <w:t xml:space="preserve">put </w:t>
      </w:r>
      <w:r w:rsidR="00F26AC3" w:rsidRPr="00A03684">
        <w:t xml:space="preserve">unnecessary </w:t>
      </w:r>
      <w:r w:rsidR="00664BB9" w:rsidRPr="00A03684">
        <w:t xml:space="preserve">pressure on </w:t>
      </w:r>
      <w:r w:rsidR="00151D80" w:rsidRPr="00A03684">
        <w:t>our</w:t>
      </w:r>
      <w:r w:rsidR="00124E85" w:rsidRPr="00A03684">
        <w:t xml:space="preserve"> emissions budgets. </w:t>
      </w:r>
    </w:p>
    <w:p w:rsidR="00851849" w:rsidRPr="00A03684" w:rsidRDefault="004737C9" w:rsidP="00132DC4">
      <w:pPr>
        <w:pStyle w:val="Heading4"/>
        <w:spacing w:before="240"/>
      </w:pPr>
      <w:r w:rsidRPr="00A03684">
        <w:t>O</w:t>
      </w:r>
      <w:r w:rsidR="00D007C8" w:rsidRPr="00A03684">
        <w:t>ption 2</w:t>
      </w:r>
      <w:r w:rsidRPr="00A03684">
        <w:t xml:space="preserve">: </w:t>
      </w:r>
      <w:r w:rsidR="00C15E48" w:rsidRPr="00A03684">
        <w:t>R</w:t>
      </w:r>
      <w:r w:rsidR="0086459B" w:rsidRPr="00A03684">
        <w:t xml:space="preserve">eassessment </w:t>
      </w:r>
      <w:r w:rsidR="007C1BB5" w:rsidRPr="00A03684">
        <w:t xml:space="preserve">using </w:t>
      </w:r>
      <w:r w:rsidR="008E69BE" w:rsidRPr="00A03684">
        <w:t xml:space="preserve">new </w:t>
      </w:r>
      <w:r w:rsidR="007C1BB5" w:rsidRPr="00A03684">
        <w:t>base</w:t>
      </w:r>
      <w:r w:rsidR="00A11A3F" w:rsidRPr="00A03684">
        <w:t xml:space="preserve"> years</w:t>
      </w:r>
    </w:p>
    <w:p w:rsidR="008E69BE" w:rsidRPr="00A03684" w:rsidRDefault="007B3570" w:rsidP="00132DC4">
      <w:pPr>
        <w:pStyle w:val="BodyText"/>
        <w:spacing w:before="100" w:after="100"/>
      </w:pPr>
      <w:r w:rsidRPr="00A03684">
        <w:t xml:space="preserve">Under this option, the </w:t>
      </w:r>
      <w:r w:rsidR="00AF4631" w:rsidRPr="00A03684">
        <w:t>G</w:t>
      </w:r>
      <w:r w:rsidR="00186AC3" w:rsidRPr="00A03684">
        <w:t xml:space="preserve">overnment would </w:t>
      </w:r>
      <w:r w:rsidR="003A2296" w:rsidRPr="00A03684">
        <w:t xml:space="preserve">immediately reassess the eligibility of activities currently eligible for </w:t>
      </w:r>
      <w:r w:rsidR="001437FD" w:rsidRPr="00A03684">
        <w:t>IA</w:t>
      </w:r>
      <w:r w:rsidR="00AF4631" w:rsidRPr="00A03684">
        <w:t>,</w:t>
      </w:r>
      <w:r w:rsidR="003A2296" w:rsidRPr="00A03684">
        <w:t xml:space="preserve"> with </w:t>
      </w:r>
      <w:r w:rsidR="00186AC3" w:rsidRPr="00A03684">
        <w:t>new base years</w:t>
      </w:r>
      <w:r w:rsidR="003A2296" w:rsidRPr="00A03684">
        <w:t>.</w:t>
      </w:r>
      <w:r w:rsidR="004E41C9" w:rsidRPr="00A03684">
        <w:t xml:space="preserve"> This proposal was supported by the </w:t>
      </w:r>
      <w:r w:rsidR="001437FD" w:rsidRPr="00A03684">
        <w:t>IA</w:t>
      </w:r>
      <w:r w:rsidR="009836AA" w:rsidRPr="00A03684">
        <w:t> </w:t>
      </w:r>
      <w:r w:rsidR="004E41C9" w:rsidRPr="00A03684">
        <w:t>review</w:t>
      </w:r>
      <w:r w:rsidR="009836AA" w:rsidRPr="00A03684">
        <w:t> </w:t>
      </w:r>
      <w:r w:rsidR="004E41C9" w:rsidRPr="00A03684">
        <w:t xml:space="preserve">TAG. </w:t>
      </w:r>
    </w:p>
    <w:p w:rsidR="00900A3A" w:rsidRPr="00A03684" w:rsidRDefault="008E69BE" w:rsidP="00132DC4">
      <w:pPr>
        <w:pStyle w:val="BodyText"/>
        <w:spacing w:before="100" w:after="100"/>
      </w:pPr>
      <w:r w:rsidRPr="00A03684">
        <w:t xml:space="preserve">If eligibility </w:t>
      </w:r>
      <w:r w:rsidR="007A3B0A" w:rsidRPr="00A03684">
        <w:t>was</w:t>
      </w:r>
      <w:r w:rsidRPr="00A03684">
        <w:t xml:space="preserve"> retested, some h</w:t>
      </w:r>
      <w:r w:rsidR="00486CD9" w:rsidRPr="00A03684">
        <w:t>ighly emissions</w:t>
      </w:r>
      <w:r w:rsidR="00AF4631" w:rsidRPr="00A03684">
        <w:t>-</w:t>
      </w:r>
      <w:r w:rsidR="00486CD9" w:rsidRPr="00A03684">
        <w:t>intensive activitie</w:t>
      </w:r>
      <w:r w:rsidRPr="00A03684">
        <w:t>s could</w:t>
      </w:r>
      <w:r w:rsidR="00486CD9" w:rsidRPr="00A03684">
        <w:t xml:space="preserve"> fall </w:t>
      </w:r>
      <w:r w:rsidRPr="00A03684">
        <w:t>below</w:t>
      </w:r>
      <w:r w:rsidR="00486CD9" w:rsidRPr="00A03684">
        <w:t xml:space="preserve"> </w:t>
      </w:r>
      <w:r w:rsidRPr="00A03684">
        <w:t xml:space="preserve">the </w:t>
      </w:r>
      <w:r w:rsidR="00486CD9" w:rsidRPr="00A03684">
        <w:t>current threshold</w:t>
      </w:r>
      <w:r w:rsidRPr="00A03684">
        <w:t xml:space="preserve">, </w:t>
      </w:r>
      <w:r w:rsidR="00AF4631" w:rsidRPr="00A03684">
        <w:t xml:space="preserve">causing </w:t>
      </w:r>
      <w:r w:rsidRPr="00A03684">
        <w:t>the level of assistance</w:t>
      </w:r>
      <w:r w:rsidR="00AF4631" w:rsidRPr="00A03684">
        <w:t xml:space="preserve"> to drop</w:t>
      </w:r>
      <w:r w:rsidRPr="00A03684">
        <w:t xml:space="preserve">. </w:t>
      </w:r>
      <w:r w:rsidR="00486CD9" w:rsidRPr="00A03684">
        <w:t xml:space="preserve">Moderately </w:t>
      </w:r>
      <w:r w:rsidR="00151D80" w:rsidRPr="00A03684">
        <w:t>i</w:t>
      </w:r>
      <w:r w:rsidR="00486CD9" w:rsidRPr="00A03684">
        <w:t xml:space="preserve">ntensive activities that fall </w:t>
      </w:r>
      <w:r w:rsidRPr="00A03684">
        <w:t>below</w:t>
      </w:r>
      <w:r w:rsidR="00486CD9" w:rsidRPr="00A03684">
        <w:t xml:space="preserve"> </w:t>
      </w:r>
      <w:r w:rsidRPr="00A03684">
        <w:t xml:space="preserve">the </w:t>
      </w:r>
      <w:r w:rsidR="00486CD9" w:rsidRPr="00A03684">
        <w:t xml:space="preserve">current threshold would become ineligible. </w:t>
      </w:r>
      <w:r w:rsidR="00634EE2" w:rsidRPr="00A03684">
        <w:t xml:space="preserve">Of the 26 </w:t>
      </w:r>
      <w:r w:rsidR="007C3364" w:rsidRPr="00A03684">
        <w:t>currently eligible activities</w:t>
      </w:r>
      <w:r w:rsidR="00AF4631" w:rsidRPr="00A03684">
        <w:t>,</w:t>
      </w:r>
      <w:r w:rsidR="007C3364" w:rsidRPr="00A03684">
        <w:t xml:space="preserve"> 11 are </w:t>
      </w:r>
      <w:r w:rsidR="00634EE2" w:rsidRPr="00A03684">
        <w:t>close to a</w:t>
      </w:r>
      <w:r w:rsidR="007C3364" w:rsidRPr="00A03684">
        <w:t xml:space="preserve"> threshold and </w:t>
      </w:r>
      <w:r w:rsidR="00151D80" w:rsidRPr="00A03684">
        <w:t xml:space="preserve">would </w:t>
      </w:r>
      <w:r w:rsidR="007C3364" w:rsidRPr="00A03684">
        <w:t>most likely change eligibility status.</w:t>
      </w:r>
      <w:r w:rsidR="00A03684" w:rsidRPr="00A03684">
        <w:t xml:space="preserve"> </w:t>
      </w:r>
    </w:p>
    <w:p w:rsidR="00094B96" w:rsidRPr="00A03684" w:rsidRDefault="00151D80" w:rsidP="00132DC4">
      <w:pPr>
        <w:pStyle w:val="BodyText"/>
        <w:spacing w:before="100" w:after="100"/>
      </w:pPr>
      <w:r w:rsidRPr="00A03684">
        <w:t>U</w:t>
      </w:r>
      <w:r w:rsidR="00A667E8" w:rsidRPr="00A03684">
        <w:t>sing updated base</w:t>
      </w:r>
      <w:r w:rsidR="00094B96" w:rsidRPr="00A03684">
        <w:t xml:space="preserve"> years </w:t>
      </w:r>
      <w:r w:rsidR="0086459B" w:rsidRPr="00A03684">
        <w:t>w</w:t>
      </w:r>
      <w:r w:rsidR="003A2296" w:rsidRPr="00A03684">
        <w:t xml:space="preserve">ould ensure </w:t>
      </w:r>
      <w:r w:rsidRPr="00A03684">
        <w:t xml:space="preserve">that eligibility decisions reflect </w:t>
      </w:r>
      <w:r w:rsidR="0086459B" w:rsidRPr="00A03684">
        <w:t xml:space="preserve">changes in </w:t>
      </w:r>
      <w:r w:rsidR="003A2296" w:rsidRPr="00A03684">
        <w:t>emissions, production</w:t>
      </w:r>
      <w:r w:rsidR="00124E85" w:rsidRPr="00A03684">
        <w:t xml:space="preserve"> and revenue </w:t>
      </w:r>
      <w:r w:rsidR="006261C2" w:rsidRPr="00A03684">
        <w:t>over the last decade</w:t>
      </w:r>
      <w:r w:rsidR="00124E85" w:rsidRPr="00A03684">
        <w:t>. This could reduce over-allocation</w:t>
      </w:r>
      <w:r w:rsidR="007C1BB5" w:rsidRPr="00A03684">
        <w:t xml:space="preserve"> to firms</w:t>
      </w:r>
      <w:r w:rsidR="00DC64A4" w:rsidRPr="00A03684">
        <w:t xml:space="preserve"> no longer a</w:t>
      </w:r>
      <w:r w:rsidR="0086459B" w:rsidRPr="00A03684">
        <w:t>t risk of emissions leakage</w:t>
      </w:r>
      <w:r w:rsidR="00B63650" w:rsidRPr="00A03684">
        <w:t>.</w:t>
      </w:r>
    </w:p>
    <w:p w:rsidR="00F26AC3" w:rsidRPr="00A03684" w:rsidRDefault="00F26AC3" w:rsidP="00D2629A">
      <w:pPr>
        <w:pStyle w:val="Tableheading"/>
      </w:pPr>
      <w:bookmarkStart w:id="39" w:name="_Toc75262176"/>
      <w:r w:rsidRPr="00A03684">
        <w:t xml:space="preserve">Table </w:t>
      </w:r>
      <w:r w:rsidR="00AC6EA7" w:rsidRPr="00A03684">
        <w:t>7</w:t>
      </w:r>
      <w:r w:rsidR="00900A3A" w:rsidRPr="00A03684">
        <w:t>:</w:t>
      </w:r>
      <w:r w:rsidR="00900A3A" w:rsidRPr="00A03684">
        <w:tab/>
        <w:t xml:space="preserve">Assessment of </w:t>
      </w:r>
      <w:r w:rsidR="00AF4631" w:rsidRPr="00A03684">
        <w:t xml:space="preserve">option to </w:t>
      </w:r>
      <w:r w:rsidR="00900A3A" w:rsidRPr="00A03684">
        <w:t>reassess eligibility</w:t>
      </w:r>
      <w:bookmarkEnd w:id="39"/>
      <w:r w:rsidRPr="00A03684">
        <w:t xml:space="preserve"> </w:t>
      </w:r>
    </w:p>
    <w:tbl>
      <w:tblPr>
        <w:tblStyle w:val="TableGrid1"/>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426"/>
        <w:gridCol w:w="1408"/>
        <w:gridCol w:w="1408"/>
        <w:gridCol w:w="1406"/>
        <w:gridCol w:w="1425"/>
        <w:gridCol w:w="1432"/>
      </w:tblGrid>
      <w:tr w:rsidR="009836AA" w:rsidRPr="00A03684" w:rsidTr="003F4891">
        <w:trPr>
          <w:trHeight w:val="981"/>
          <w:tblHeader/>
        </w:trPr>
        <w:tc>
          <w:tcPr>
            <w:tcW w:w="1443" w:type="dxa"/>
            <w:shd w:val="clear" w:color="auto" w:fill="1C556C"/>
            <w:vAlign w:val="bottom"/>
          </w:tcPr>
          <w:p w:rsidR="007C1BB5" w:rsidRPr="00A03684" w:rsidRDefault="007C1BB5" w:rsidP="00132DC4">
            <w:pPr>
              <w:pStyle w:val="TableTextbold"/>
              <w:spacing w:before="40" w:after="40" w:line="220" w:lineRule="atLeast"/>
              <w:rPr>
                <w:color w:val="FFFFFF" w:themeColor="background1"/>
              </w:rPr>
            </w:pPr>
            <w:r w:rsidRPr="00A03684">
              <w:rPr>
                <w:color w:val="FFFFFF" w:themeColor="background1"/>
              </w:rPr>
              <w:t>Option</w:t>
            </w:r>
          </w:p>
        </w:tc>
        <w:tc>
          <w:tcPr>
            <w:tcW w:w="1443" w:type="dxa"/>
            <w:tcBorders>
              <w:right w:val="single" w:sz="4" w:space="0" w:color="1C556C" w:themeColor="accent1"/>
            </w:tcBorders>
            <w:shd w:val="clear" w:color="auto" w:fill="1C556C"/>
            <w:vAlign w:val="bottom"/>
          </w:tcPr>
          <w:p w:rsidR="007C1BB5" w:rsidRPr="00A03684" w:rsidRDefault="007C1BB5" w:rsidP="00132DC4">
            <w:pPr>
              <w:pStyle w:val="TableTextbold"/>
              <w:spacing w:before="40" w:after="40" w:line="220" w:lineRule="atLeast"/>
              <w:rPr>
                <w:color w:val="FFFFFF" w:themeColor="background1"/>
              </w:rPr>
            </w:pPr>
            <w:r w:rsidRPr="00A03684">
              <w:rPr>
                <w:color w:val="FFFFFF" w:themeColor="background1"/>
              </w:rPr>
              <w:t>Consisten</w:t>
            </w:r>
            <w:r w:rsidR="00AF4631" w:rsidRPr="00A03684">
              <w:rPr>
                <w:color w:val="FFFFFF" w:themeColor="background1"/>
              </w:rPr>
              <w:t>t</w:t>
            </w:r>
            <w:r w:rsidRPr="00A03684">
              <w:rPr>
                <w:color w:val="FFFFFF" w:themeColor="background1"/>
              </w:rPr>
              <w:t xml:space="preserve"> with </w:t>
            </w:r>
            <w:r w:rsidR="0063149F" w:rsidRPr="00A03684">
              <w:rPr>
                <w:color w:val="FFFFFF" w:themeColor="background1"/>
              </w:rPr>
              <w:t xml:space="preserve">NZ ETS </w:t>
            </w:r>
            <w:r w:rsidRPr="00A03684">
              <w:rPr>
                <w:color w:val="FFFFFF" w:themeColor="background1"/>
              </w:rPr>
              <w:t xml:space="preserve">objectives </w:t>
            </w:r>
          </w:p>
        </w:tc>
        <w:tc>
          <w:tcPr>
            <w:tcW w:w="1443" w:type="dxa"/>
            <w:tcBorders>
              <w:top w:val="single" w:sz="4" w:space="0" w:color="1C556C" w:themeColor="accent1"/>
              <w:left w:val="single" w:sz="4" w:space="0" w:color="1C556C" w:themeColor="accent1"/>
              <w:bottom w:val="single" w:sz="4" w:space="0" w:color="1C556C" w:themeColor="accent1"/>
              <w:right w:val="nil"/>
            </w:tcBorders>
            <w:shd w:val="clear" w:color="auto" w:fill="1C556C"/>
            <w:vAlign w:val="bottom"/>
          </w:tcPr>
          <w:p w:rsidR="007C1BB5" w:rsidRPr="00A03684" w:rsidRDefault="007C1BB5" w:rsidP="00132DC4">
            <w:pPr>
              <w:pStyle w:val="TableTextbold"/>
              <w:spacing w:before="40" w:after="40" w:line="220" w:lineRule="atLeast"/>
              <w:rPr>
                <w:color w:val="FFFFFF" w:themeColor="background1"/>
              </w:rPr>
            </w:pPr>
            <w:r w:rsidRPr="00A03684">
              <w:rPr>
                <w:color w:val="FFFFFF" w:themeColor="background1"/>
              </w:rPr>
              <w:t>Addresses over-allocation</w:t>
            </w:r>
          </w:p>
        </w:tc>
        <w:tc>
          <w:tcPr>
            <w:tcW w:w="1443" w:type="dxa"/>
            <w:tcBorders>
              <w:left w:val="nil"/>
            </w:tcBorders>
            <w:shd w:val="clear" w:color="auto" w:fill="1C556C"/>
            <w:vAlign w:val="bottom"/>
          </w:tcPr>
          <w:p w:rsidR="007C1BB5" w:rsidRPr="00A03684" w:rsidRDefault="007C1BB5" w:rsidP="00132DC4">
            <w:pPr>
              <w:pStyle w:val="TableTextbold"/>
              <w:spacing w:before="40" w:after="40" w:line="220" w:lineRule="atLeast"/>
              <w:rPr>
                <w:color w:val="FFFFFF" w:themeColor="background1"/>
              </w:rPr>
            </w:pPr>
            <w:r w:rsidRPr="00A03684">
              <w:rPr>
                <w:color w:val="FFFFFF" w:themeColor="background1"/>
              </w:rPr>
              <w:t>Addresses leakage risk</w:t>
            </w:r>
          </w:p>
        </w:tc>
        <w:tc>
          <w:tcPr>
            <w:tcW w:w="1443" w:type="dxa"/>
            <w:shd w:val="clear" w:color="auto" w:fill="1C556C"/>
            <w:vAlign w:val="bottom"/>
          </w:tcPr>
          <w:p w:rsidR="007C1BB5" w:rsidRPr="00A03684" w:rsidRDefault="007C1BB5" w:rsidP="00132DC4">
            <w:pPr>
              <w:pStyle w:val="TableTextbold"/>
              <w:spacing w:before="40" w:after="40" w:line="220" w:lineRule="atLeast"/>
              <w:rPr>
                <w:color w:val="FFFFFF" w:themeColor="background1"/>
              </w:rPr>
            </w:pPr>
            <w:r w:rsidRPr="00A03684">
              <w:rPr>
                <w:color w:val="FFFFFF" w:themeColor="background1"/>
              </w:rPr>
              <w:t>Regulatory certainty and predictability</w:t>
            </w:r>
          </w:p>
        </w:tc>
        <w:tc>
          <w:tcPr>
            <w:tcW w:w="1443" w:type="dxa"/>
            <w:shd w:val="clear" w:color="auto" w:fill="1C556C"/>
            <w:vAlign w:val="bottom"/>
          </w:tcPr>
          <w:p w:rsidR="007C1BB5" w:rsidRPr="00A03684" w:rsidRDefault="007C1BB5" w:rsidP="00132DC4">
            <w:pPr>
              <w:pStyle w:val="TableTextbold"/>
              <w:spacing w:before="40" w:after="40" w:line="220" w:lineRule="atLeast"/>
              <w:rPr>
                <w:color w:val="FFFFFF" w:themeColor="background1"/>
              </w:rPr>
            </w:pPr>
            <w:r w:rsidRPr="00A03684">
              <w:rPr>
                <w:color w:val="FFFFFF" w:themeColor="background1"/>
              </w:rPr>
              <w:t>Minimise</w:t>
            </w:r>
            <w:r w:rsidR="00AF4631" w:rsidRPr="00A03684">
              <w:rPr>
                <w:color w:val="FFFFFF" w:themeColor="background1"/>
              </w:rPr>
              <w:t>s</w:t>
            </w:r>
            <w:r w:rsidRPr="00A03684">
              <w:rPr>
                <w:color w:val="FFFFFF" w:themeColor="background1"/>
              </w:rPr>
              <w:t xml:space="preserve"> administrative burden, costs and complexity</w:t>
            </w:r>
          </w:p>
        </w:tc>
      </w:tr>
      <w:tr w:rsidR="007C1BB5" w:rsidRPr="00A03684" w:rsidTr="003F4891">
        <w:tc>
          <w:tcPr>
            <w:tcW w:w="1443" w:type="dxa"/>
            <w:shd w:val="clear" w:color="auto" w:fill="auto"/>
          </w:tcPr>
          <w:p w:rsidR="007C1BB5" w:rsidRPr="00A03684" w:rsidRDefault="007C1BB5" w:rsidP="00132DC4">
            <w:pPr>
              <w:pStyle w:val="TableText"/>
              <w:spacing w:before="40" w:after="40" w:line="220" w:lineRule="atLeast"/>
            </w:pPr>
            <w:r w:rsidRPr="00A03684">
              <w:t xml:space="preserve">Status quo – no reassessment of eligibility </w:t>
            </w:r>
          </w:p>
        </w:tc>
        <w:tc>
          <w:tcPr>
            <w:tcW w:w="1443" w:type="dxa"/>
            <w:tcBorders>
              <w:right w:val="single" w:sz="4" w:space="0" w:color="1C556C" w:themeColor="accent1"/>
            </w:tcBorders>
            <w:shd w:val="clear" w:color="auto" w:fill="FFFFFF" w:themeFill="background1"/>
          </w:tcPr>
          <w:p w:rsidR="007C1BB5" w:rsidRPr="00A03684" w:rsidRDefault="001F1F7A" w:rsidP="00132DC4">
            <w:pPr>
              <w:pStyle w:val="TableText"/>
              <w:spacing w:before="40" w:after="40" w:line="220" w:lineRule="atLeast"/>
              <w:jc w:val="center"/>
            </w:pPr>
            <w:r w:rsidRPr="00A03684">
              <w:t>o</w:t>
            </w:r>
          </w:p>
        </w:tc>
        <w:tc>
          <w:tcPr>
            <w:tcW w:w="1443"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shd w:val="clear" w:color="auto" w:fill="FFFFFF" w:themeFill="background1"/>
          </w:tcPr>
          <w:p w:rsidR="007C1BB5" w:rsidRPr="00A03684" w:rsidRDefault="001F1F7A" w:rsidP="00132DC4">
            <w:pPr>
              <w:pStyle w:val="TableText"/>
              <w:spacing w:before="40" w:after="40" w:line="220" w:lineRule="atLeast"/>
              <w:jc w:val="center"/>
            </w:pPr>
            <w:r w:rsidRPr="00A03684">
              <w:t>o</w:t>
            </w:r>
          </w:p>
        </w:tc>
        <w:tc>
          <w:tcPr>
            <w:tcW w:w="1443" w:type="dxa"/>
            <w:tcBorders>
              <w:left w:val="single" w:sz="4" w:space="0" w:color="1C556C" w:themeColor="accent1"/>
            </w:tcBorders>
          </w:tcPr>
          <w:p w:rsidR="007C1BB5" w:rsidRPr="00A03684" w:rsidRDefault="007C1BB5" w:rsidP="00132DC4">
            <w:pPr>
              <w:pStyle w:val="TableText"/>
              <w:spacing w:before="40" w:after="40" w:line="220" w:lineRule="atLeast"/>
              <w:jc w:val="center"/>
            </w:pPr>
            <w:r w:rsidRPr="00A03684">
              <w:t>o</w:t>
            </w:r>
          </w:p>
        </w:tc>
        <w:tc>
          <w:tcPr>
            <w:tcW w:w="1443" w:type="dxa"/>
          </w:tcPr>
          <w:p w:rsidR="007C1BB5" w:rsidRPr="00A03684" w:rsidRDefault="00F77F29" w:rsidP="00132DC4">
            <w:pPr>
              <w:pStyle w:val="TableText"/>
              <w:spacing w:before="40" w:after="40" w:line="220" w:lineRule="atLeast"/>
              <w:jc w:val="center"/>
            </w:pPr>
            <w:r w:rsidRPr="00A03684">
              <w:t>o</w:t>
            </w:r>
          </w:p>
        </w:tc>
        <w:tc>
          <w:tcPr>
            <w:tcW w:w="1443" w:type="dxa"/>
          </w:tcPr>
          <w:p w:rsidR="007C1BB5" w:rsidRPr="00A03684" w:rsidRDefault="007C1BB5" w:rsidP="00132DC4">
            <w:pPr>
              <w:pStyle w:val="TableText"/>
              <w:spacing w:before="40" w:after="40" w:line="220" w:lineRule="atLeast"/>
              <w:jc w:val="center"/>
            </w:pPr>
            <w:r w:rsidRPr="00A03684">
              <w:t>o</w:t>
            </w:r>
          </w:p>
        </w:tc>
      </w:tr>
      <w:tr w:rsidR="007C1BB5" w:rsidRPr="00A03684" w:rsidTr="00E533A1">
        <w:tc>
          <w:tcPr>
            <w:tcW w:w="1443" w:type="dxa"/>
            <w:shd w:val="clear" w:color="auto" w:fill="auto"/>
          </w:tcPr>
          <w:p w:rsidR="007C1BB5" w:rsidRPr="00A03684" w:rsidRDefault="007C1BB5" w:rsidP="00132DC4">
            <w:pPr>
              <w:pStyle w:val="TableText"/>
              <w:spacing w:before="40" w:after="40" w:line="220" w:lineRule="atLeast"/>
              <w:rPr>
                <w:rFonts w:cstheme="minorBidi"/>
                <w:szCs w:val="22"/>
              </w:rPr>
            </w:pPr>
            <w:r w:rsidRPr="00A03684">
              <w:rPr>
                <w:rFonts w:cstheme="minorBidi"/>
                <w:szCs w:val="22"/>
              </w:rPr>
              <w:t xml:space="preserve">Reassessment of eligibility using updated baseline years </w:t>
            </w:r>
          </w:p>
        </w:tc>
        <w:tc>
          <w:tcPr>
            <w:tcW w:w="1443" w:type="dxa"/>
            <w:tcBorders>
              <w:right w:val="single" w:sz="4" w:space="0" w:color="1C556C" w:themeColor="accent1"/>
            </w:tcBorders>
            <w:shd w:val="clear" w:color="auto" w:fill="CFE5E5"/>
          </w:tcPr>
          <w:p w:rsidR="007C1BB5" w:rsidRPr="00A03684" w:rsidRDefault="00D814C2" w:rsidP="00132DC4">
            <w:pPr>
              <w:pStyle w:val="TableText"/>
              <w:spacing w:before="40" w:after="40" w:line="220" w:lineRule="atLeast"/>
              <w:jc w:val="center"/>
              <w:rPr>
                <w:rFonts w:cstheme="minorBidi"/>
                <w:szCs w:val="22"/>
              </w:rPr>
            </w:pPr>
            <w:r w:rsidRPr="00A03684">
              <w:rPr>
                <w:rFonts w:cstheme="minorBidi"/>
                <w:szCs w:val="22"/>
              </w:rPr>
              <w:sym w:font="Wingdings" w:char="F0FC"/>
            </w:r>
          </w:p>
          <w:p w:rsidR="00F77F29" w:rsidRPr="00A03684" w:rsidRDefault="00F77F29" w:rsidP="00132DC4">
            <w:pPr>
              <w:pStyle w:val="TableText"/>
              <w:spacing w:before="40" w:after="40" w:line="220" w:lineRule="atLeast"/>
              <w:jc w:val="center"/>
              <w:rPr>
                <w:rFonts w:cstheme="minorBidi"/>
                <w:szCs w:val="22"/>
              </w:rPr>
            </w:pPr>
            <w:r w:rsidRPr="00A03684">
              <w:rPr>
                <w:rFonts w:cstheme="minorBidi"/>
                <w:szCs w:val="22"/>
              </w:rPr>
              <w:t xml:space="preserve">Supports alignment of </w:t>
            </w:r>
            <w:r w:rsidR="001437FD" w:rsidRPr="00A03684">
              <w:rPr>
                <w:rFonts w:cstheme="minorBidi"/>
                <w:szCs w:val="22"/>
              </w:rPr>
              <w:t>IA</w:t>
            </w:r>
            <w:r w:rsidRPr="00A03684">
              <w:rPr>
                <w:rFonts w:cstheme="minorBidi"/>
                <w:szCs w:val="22"/>
              </w:rPr>
              <w:t xml:space="preserve"> volumes and emissions budgets</w:t>
            </w:r>
          </w:p>
        </w:tc>
        <w:tc>
          <w:tcPr>
            <w:tcW w:w="1443"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shd w:val="clear" w:color="auto" w:fill="CFE5E5"/>
          </w:tcPr>
          <w:p w:rsidR="007C1BB5" w:rsidRPr="00A03684" w:rsidRDefault="00D814C2" w:rsidP="00132DC4">
            <w:pPr>
              <w:pStyle w:val="TableText"/>
              <w:spacing w:before="40" w:after="40" w:line="220" w:lineRule="atLeast"/>
              <w:jc w:val="center"/>
            </w:pPr>
            <w:r w:rsidRPr="00A03684">
              <w:rPr>
                <w:rFonts w:cstheme="minorBidi"/>
                <w:szCs w:val="22"/>
              </w:rPr>
              <w:sym w:font="Wingdings" w:char="F0FC"/>
            </w:r>
          </w:p>
          <w:p w:rsidR="007C1BB5" w:rsidRPr="00A03684" w:rsidRDefault="007C1BB5" w:rsidP="00132DC4">
            <w:pPr>
              <w:pStyle w:val="TableText"/>
              <w:spacing w:before="40" w:after="40" w:line="220" w:lineRule="atLeast"/>
              <w:jc w:val="center"/>
            </w:pPr>
            <w:r w:rsidRPr="00A03684">
              <w:t xml:space="preserve">Realigns eligibility decisions with current emissions intensities of activities, addressing </w:t>
            </w:r>
            <w:r w:rsidR="008E69BE" w:rsidRPr="00A03684">
              <w:t xml:space="preserve">some </w:t>
            </w:r>
            <w:r w:rsidRPr="00A03684">
              <w:t>over-allocation</w:t>
            </w:r>
          </w:p>
        </w:tc>
        <w:tc>
          <w:tcPr>
            <w:tcW w:w="1443" w:type="dxa"/>
            <w:tcBorders>
              <w:left w:val="single" w:sz="4" w:space="0" w:color="1C556C" w:themeColor="accent1"/>
            </w:tcBorders>
          </w:tcPr>
          <w:p w:rsidR="007C1BB5" w:rsidRPr="00A03684" w:rsidRDefault="00F77F29" w:rsidP="00132DC4">
            <w:pPr>
              <w:pStyle w:val="TableText"/>
              <w:spacing w:before="40" w:after="40" w:line="220" w:lineRule="atLeast"/>
              <w:jc w:val="center"/>
              <w:rPr>
                <w:rFonts w:cstheme="minorBidi"/>
                <w:szCs w:val="22"/>
              </w:rPr>
            </w:pPr>
            <w:r w:rsidRPr="00A03684">
              <w:rPr>
                <w:rFonts w:cstheme="minorBidi"/>
                <w:szCs w:val="22"/>
              </w:rPr>
              <w:t>o</w:t>
            </w:r>
          </w:p>
          <w:p w:rsidR="007C1BB5" w:rsidRPr="00A03684" w:rsidRDefault="007C1BB5" w:rsidP="00132DC4">
            <w:pPr>
              <w:pStyle w:val="TableText"/>
              <w:spacing w:before="40" w:after="40" w:line="220" w:lineRule="atLeast"/>
              <w:jc w:val="center"/>
              <w:rPr>
                <w:rFonts w:cstheme="minorBidi"/>
                <w:szCs w:val="18"/>
              </w:rPr>
            </w:pPr>
            <w:r w:rsidRPr="00A03684">
              <w:rPr>
                <w:rFonts w:cs="Calibri"/>
                <w:szCs w:val="18"/>
              </w:rPr>
              <w:t>Realigns eligibility decisions</w:t>
            </w:r>
            <w:r w:rsidR="00F77F29" w:rsidRPr="00A03684">
              <w:rPr>
                <w:rFonts w:cs="Calibri"/>
                <w:szCs w:val="18"/>
              </w:rPr>
              <w:t xml:space="preserve"> to reflect</w:t>
            </w:r>
            <w:r w:rsidR="00F77F29" w:rsidRPr="00A03684">
              <w:rPr>
                <w:rFonts w:cstheme="minorBidi"/>
                <w:szCs w:val="18"/>
              </w:rPr>
              <w:t xml:space="preserve"> actual risk of leakage</w:t>
            </w:r>
          </w:p>
        </w:tc>
        <w:tc>
          <w:tcPr>
            <w:tcW w:w="1443" w:type="dxa"/>
          </w:tcPr>
          <w:p w:rsidR="007C1BB5" w:rsidRPr="00A03684" w:rsidRDefault="00F77F29" w:rsidP="00132DC4">
            <w:pPr>
              <w:pStyle w:val="TableText"/>
              <w:spacing w:before="40" w:after="40" w:line="220" w:lineRule="atLeast"/>
              <w:jc w:val="center"/>
            </w:pPr>
            <w:r w:rsidRPr="00A03684">
              <w:t>o</w:t>
            </w:r>
          </w:p>
          <w:p w:rsidR="00F77F29" w:rsidRPr="00A03684" w:rsidRDefault="00F77F29" w:rsidP="00132DC4">
            <w:pPr>
              <w:pStyle w:val="TableText"/>
              <w:spacing w:before="40" w:after="40" w:line="220" w:lineRule="atLeast"/>
              <w:jc w:val="center"/>
            </w:pPr>
            <w:r w:rsidRPr="00A03684">
              <w:t xml:space="preserve">A one-off reassessment would </w:t>
            </w:r>
            <w:r w:rsidR="00AF4631" w:rsidRPr="00A03684">
              <w:t xml:space="preserve">give </w:t>
            </w:r>
            <w:r w:rsidRPr="00A03684">
              <w:t xml:space="preserve">EITE firms </w:t>
            </w:r>
            <w:r w:rsidR="00AF4631" w:rsidRPr="00A03684">
              <w:t xml:space="preserve">enough </w:t>
            </w:r>
            <w:r w:rsidRPr="00A03684">
              <w:t>certainty on future eligibility status and levels of allocation</w:t>
            </w:r>
          </w:p>
        </w:tc>
        <w:tc>
          <w:tcPr>
            <w:tcW w:w="1443" w:type="dxa"/>
            <w:shd w:val="clear" w:color="auto" w:fill="CFE5E5"/>
          </w:tcPr>
          <w:p w:rsidR="007C1BB5" w:rsidRPr="00A03684" w:rsidRDefault="00D814C2" w:rsidP="00132DC4">
            <w:pPr>
              <w:pStyle w:val="TableText"/>
              <w:spacing w:before="40" w:after="40" w:line="220" w:lineRule="atLeast"/>
              <w:jc w:val="center"/>
              <w:rPr>
                <w:rFonts w:cstheme="minorBidi"/>
                <w:szCs w:val="22"/>
              </w:rPr>
            </w:pPr>
            <w:r w:rsidRPr="00A03684">
              <w:rPr>
                <w:rFonts w:cstheme="minorBidi"/>
                <w:szCs w:val="22"/>
              </w:rPr>
              <w:sym w:font="Wingdings" w:char="F0FC"/>
            </w:r>
          </w:p>
          <w:p w:rsidR="00F77F29" w:rsidRPr="00A03684" w:rsidRDefault="001F1F7A" w:rsidP="00132DC4">
            <w:pPr>
              <w:pStyle w:val="TableText"/>
              <w:spacing w:before="40" w:after="40" w:line="220" w:lineRule="atLeast"/>
              <w:jc w:val="center"/>
              <w:rPr>
                <w:rFonts w:cstheme="minorBidi"/>
                <w:szCs w:val="22"/>
              </w:rPr>
            </w:pPr>
            <w:r w:rsidRPr="00A03684">
              <w:rPr>
                <w:rFonts w:cstheme="minorBidi"/>
                <w:szCs w:val="22"/>
              </w:rPr>
              <w:t>R</w:t>
            </w:r>
            <w:r w:rsidR="00F77F29" w:rsidRPr="00A03684">
              <w:rPr>
                <w:rFonts w:cstheme="minorBidi"/>
                <w:szCs w:val="22"/>
              </w:rPr>
              <w:t>educe</w:t>
            </w:r>
            <w:r w:rsidRPr="00A03684">
              <w:rPr>
                <w:rFonts w:cstheme="minorBidi"/>
                <w:szCs w:val="22"/>
              </w:rPr>
              <w:t>s</w:t>
            </w:r>
            <w:r w:rsidR="00F77F29" w:rsidRPr="00A03684">
              <w:rPr>
                <w:rFonts w:cstheme="minorBidi"/>
                <w:szCs w:val="22"/>
              </w:rPr>
              <w:t xml:space="preserve"> the number of </w:t>
            </w:r>
            <w:r w:rsidR="00AF4631" w:rsidRPr="00A03684">
              <w:rPr>
                <w:rFonts w:cstheme="minorBidi"/>
                <w:szCs w:val="22"/>
              </w:rPr>
              <w:t xml:space="preserve">eligible </w:t>
            </w:r>
            <w:r w:rsidR="00F77F29" w:rsidRPr="00A03684">
              <w:rPr>
                <w:rFonts w:cstheme="minorBidi"/>
                <w:szCs w:val="22"/>
              </w:rPr>
              <w:t xml:space="preserve">activities, </w:t>
            </w:r>
            <w:r w:rsidRPr="00A03684">
              <w:rPr>
                <w:rFonts w:cstheme="minorBidi"/>
                <w:szCs w:val="22"/>
              </w:rPr>
              <w:t>minimising</w:t>
            </w:r>
            <w:r w:rsidR="00F77F29" w:rsidRPr="00A03684">
              <w:rPr>
                <w:rFonts w:cstheme="minorBidi"/>
                <w:szCs w:val="22"/>
              </w:rPr>
              <w:t xml:space="preserve"> administrative burden and costs</w:t>
            </w:r>
          </w:p>
        </w:tc>
      </w:tr>
    </w:tbl>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6261C2" w:rsidRPr="00A03684" w:rsidTr="00933A8D">
        <w:tc>
          <w:tcPr>
            <w:tcW w:w="0" w:type="auto"/>
            <w:shd w:val="clear" w:color="auto" w:fill="D2DDE2"/>
          </w:tcPr>
          <w:p w:rsidR="000B3AA4" w:rsidRPr="00A03684" w:rsidRDefault="000B3AA4" w:rsidP="00933A8D">
            <w:pPr>
              <w:pStyle w:val="Blueboxheading"/>
            </w:pPr>
            <w:bookmarkStart w:id="40" w:name="_Hlk73525008"/>
            <w:bookmarkStart w:id="41" w:name="_Hlk71618729"/>
            <w:r w:rsidRPr="00A03684">
              <w:t>Eligibility</w:t>
            </w:r>
          </w:p>
          <w:p w:rsidR="00F26AC3" w:rsidRPr="00A03684" w:rsidRDefault="008E69BE" w:rsidP="00933A8D">
            <w:pPr>
              <w:pStyle w:val="Blueboxtext"/>
              <w:spacing w:after="240"/>
            </w:pPr>
            <w:r w:rsidRPr="00A03684">
              <w:t xml:space="preserve">Question </w:t>
            </w:r>
            <w:r w:rsidR="0026285C" w:rsidRPr="00A03684">
              <w:t>7</w:t>
            </w:r>
            <w:r w:rsidR="00D25E46" w:rsidRPr="00A03684">
              <w:t xml:space="preserve">: </w:t>
            </w:r>
            <w:r w:rsidR="006261C2" w:rsidRPr="00A03684">
              <w:t>Should eligibility be r</w:t>
            </w:r>
            <w:r w:rsidR="003A2296" w:rsidRPr="00A03684">
              <w:t>eassessed using new</w:t>
            </w:r>
            <w:r w:rsidRPr="00A03684">
              <w:t xml:space="preserve"> base</w:t>
            </w:r>
            <w:r w:rsidR="006261C2" w:rsidRPr="00A03684">
              <w:t xml:space="preserve"> years</w:t>
            </w:r>
            <w:r w:rsidR="0086459B" w:rsidRPr="00A03684">
              <w:t xml:space="preserve">? </w:t>
            </w:r>
            <w:bookmarkEnd w:id="40"/>
          </w:p>
        </w:tc>
      </w:tr>
    </w:tbl>
    <w:p w:rsidR="00DC64A4" w:rsidRPr="00A03684" w:rsidRDefault="0022627E" w:rsidP="00933A8D">
      <w:pPr>
        <w:pStyle w:val="Heading2"/>
        <w:spacing w:before="480"/>
      </w:pPr>
      <w:bookmarkStart w:id="42" w:name="_Toc75336463"/>
      <w:bookmarkEnd w:id="41"/>
      <w:r w:rsidRPr="00A03684">
        <w:t>Other options for reassessing e</w:t>
      </w:r>
      <w:r w:rsidR="00DC64A4" w:rsidRPr="00A03684">
        <w:t>ligibility</w:t>
      </w:r>
      <w:bookmarkEnd w:id="42"/>
      <w:r w:rsidR="00DC64A4" w:rsidRPr="00A03684">
        <w:t xml:space="preserve"> </w:t>
      </w:r>
    </w:p>
    <w:p w:rsidR="00D25E46" w:rsidRPr="00A03684" w:rsidRDefault="00ED5BC8" w:rsidP="007611D9">
      <w:pPr>
        <w:jc w:val="left"/>
      </w:pPr>
      <w:r w:rsidRPr="00A03684">
        <w:t xml:space="preserve">Several </w:t>
      </w:r>
      <w:r w:rsidR="0022627E" w:rsidRPr="00A03684">
        <w:t>options</w:t>
      </w:r>
      <w:r w:rsidR="00DC64A4" w:rsidRPr="00A03684">
        <w:t xml:space="preserve"> fit under the reassess</w:t>
      </w:r>
      <w:r w:rsidR="00FD2CBC" w:rsidRPr="00A03684">
        <w:t>ment of</w:t>
      </w:r>
      <w:r w:rsidR="00900A3A" w:rsidRPr="00A03684">
        <w:t xml:space="preserve"> eligibility and</w:t>
      </w:r>
      <w:r w:rsidR="00740B96" w:rsidRPr="00A03684">
        <w:t xml:space="preserve"> could</w:t>
      </w:r>
      <w:r w:rsidR="003D33E3" w:rsidRPr="00A03684">
        <w:t xml:space="preserve"> improve</w:t>
      </w:r>
      <w:r w:rsidR="00900A3A" w:rsidRPr="00A03684">
        <w:t xml:space="preserve"> the</w:t>
      </w:r>
      <w:r w:rsidR="004C6D72" w:rsidRPr="00A03684">
        <w:t xml:space="preserve"> eligibility tests.</w:t>
      </w:r>
      <w:r w:rsidR="00A03684" w:rsidRPr="00A03684">
        <w:t xml:space="preserve"> </w:t>
      </w:r>
    </w:p>
    <w:p w:rsidR="003D33E3" w:rsidRPr="00A03684" w:rsidRDefault="003D33E3" w:rsidP="007611D9">
      <w:pPr>
        <w:pStyle w:val="Heading3"/>
      </w:pPr>
      <w:r w:rsidRPr="00A03684">
        <w:t>New Zealand</w:t>
      </w:r>
      <w:r w:rsidR="00D25CBA" w:rsidRPr="00A03684">
        <w:t>-</w:t>
      </w:r>
      <w:r w:rsidRPr="00A03684">
        <w:t xml:space="preserve">specific thresholds </w:t>
      </w:r>
    </w:p>
    <w:p w:rsidR="005C54BA" w:rsidRPr="00A03684" w:rsidRDefault="006B2F2F" w:rsidP="007611D9">
      <w:pPr>
        <w:pStyle w:val="BodyText"/>
      </w:pPr>
      <w:r w:rsidRPr="00A03684">
        <w:t xml:space="preserve">The current emissions intensity thresholds </w:t>
      </w:r>
      <w:r w:rsidR="00D25CBA" w:rsidRPr="00A03684">
        <w:t>are:</w:t>
      </w:r>
      <w:r w:rsidR="005C54BA" w:rsidRPr="00A03684">
        <w:t xml:space="preserve"> </w:t>
      </w:r>
    </w:p>
    <w:p w:rsidR="005C54BA" w:rsidRPr="00A03684" w:rsidRDefault="002A4409" w:rsidP="00933A8D">
      <w:pPr>
        <w:pStyle w:val="Bullet"/>
      </w:pPr>
      <w:r w:rsidRPr="00A03684">
        <w:t xml:space="preserve">above </w:t>
      </w:r>
      <w:r w:rsidR="006B2F2F" w:rsidRPr="00A03684">
        <w:t xml:space="preserve">800 for moderately intensive activities </w:t>
      </w:r>
    </w:p>
    <w:p w:rsidR="005C54BA" w:rsidRPr="00A03684" w:rsidRDefault="006B2F2F" w:rsidP="00933A8D">
      <w:pPr>
        <w:pStyle w:val="Bullet"/>
      </w:pPr>
      <w:r w:rsidRPr="00A03684">
        <w:t>above 1600 t CO</w:t>
      </w:r>
      <w:r w:rsidRPr="00A03684">
        <w:rPr>
          <w:vertAlign w:val="subscript"/>
        </w:rPr>
        <w:t>2</w:t>
      </w:r>
      <w:r w:rsidRPr="00A03684">
        <w:t>-e/$1 million revenue for highly intensive activities</w:t>
      </w:r>
      <w:r w:rsidR="00D25CBA" w:rsidRPr="00A03684">
        <w:t>.</w:t>
      </w:r>
      <w:r w:rsidRPr="00A03684">
        <w:t xml:space="preserve"> </w:t>
      </w:r>
    </w:p>
    <w:p w:rsidR="00894B8E" w:rsidRPr="00A03684" w:rsidRDefault="00D25CBA" w:rsidP="007611D9">
      <w:pPr>
        <w:pStyle w:val="BodyText"/>
      </w:pPr>
      <w:r w:rsidRPr="00A03684">
        <w:t xml:space="preserve">They </w:t>
      </w:r>
      <w:r w:rsidR="006B2F2F" w:rsidRPr="00A03684">
        <w:t>were taken</w:t>
      </w:r>
      <w:r w:rsidR="003D33E3" w:rsidRPr="00A03684">
        <w:t xml:space="preserve"> from</w:t>
      </w:r>
      <w:r w:rsidR="006B2F2F" w:rsidRPr="00A03684">
        <w:t xml:space="preserve"> the Australian </w:t>
      </w:r>
      <w:r w:rsidR="00B47639" w:rsidRPr="00A03684">
        <w:t>Carbon Pollution Reduction Scheme</w:t>
      </w:r>
      <w:r w:rsidRPr="00A03684">
        <w:t xml:space="preserve">, </w:t>
      </w:r>
      <w:r w:rsidR="006B2F2F" w:rsidRPr="00A03684">
        <w:t xml:space="preserve">to align </w:t>
      </w:r>
      <w:r w:rsidR="005C54BA" w:rsidRPr="00A03684">
        <w:t xml:space="preserve">with </w:t>
      </w:r>
      <w:r w:rsidR="006B2F2F" w:rsidRPr="00A03684">
        <w:t>the eligibility of trans-T</w:t>
      </w:r>
      <w:r w:rsidR="00900A3A" w:rsidRPr="00A03684">
        <w:t>asman activities. T</w:t>
      </w:r>
      <w:r w:rsidR="006B2F2F" w:rsidRPr="00A03684">
        <w:t>he Australian s</w:t>
      </w:r>
      <w:r w:rsidR="003D33E3" w:rsidRPr="00A03684">
        <w:t>cheme was never implemented, and the</w:t>
      </w:r>
      <w:r w:rsidR="006B2F2F" w:rsidRPr="00A03684">
        <w:t xml:space="preserve"> thresholds </w:t>
      </w:r>
      <w:r w:rsidR="003D33E3" w:rsidRPr="00A03684">
        <w:t>reflect the impact</w:t>
      </w:r>
      <w:r w:rsidR="006B2F2F" w:rsidRPr="00A03684">
        <w:t xml:space="preserve"> of an emissions price on the profitability of Australian industry.</w:t>
      </w:r>
    </w:p>
    <w:p w:rsidR="003B6D4A" w:rsidRPr="00A03684" w:rsidRDefault="003B6D4A" w:rsidP="003B6D4A">
      <w:pPr>
        <w:pStyle w:val="BodyText"/>
      </w:pPr>
      <w:r w:rsidRPr="00A03684">
        <w:t>As the composition of Australia’s EITE sector differs from New Zealand</w:t>
      </w:r>
      <w:r w:rsidR="00DA3D71" w:rsidRPr="00A03684">
        <w:t>’s</w:t>
      </w:r>
      <w:r w:rsidRPr="00A03684">
        <w:t xml:space="preserve">, the thresholds currently used for eligibility decisions may not reflect the cost impact of the NZ ETS on domestic activities. </w:t>
      </w:r>
      <w:r w:rsidR="005C54BA" w:rsidRPr="00A03684">
        <w:t>We could improve t</w:t>
      </w:r>
      <w:r w:rsidRPr="00A03684">
        <w:t xml:space="preserve">he intensity test by developing thresholds specific </w:t>
      </w:r>
      <w:r w:rsidR="00D25CBA" w:rsidRPr="00A03684">
        <w:t>to</w:t>
      </w:r>
      <w:r w:rsidR="00933A8D" w:rsidRPr="00A03684">
        <w:t> </w:t>
      </w:r>
      <w:r w:rsidRPr="00A03684">
        <w:t>New Zealand.</w:t>
      </w:r>
    </w:p>
    <w:p w:rsidR="00475B14" w:rsidRPr="00A03684" w:rsidRDefault="00475B14" w:rsidP="00933A8D">
      <w:pPr>
        <w:pStyle w:val="Heading4"/>
      </w:pPr>
      <w:r w:rsidRPr="00A03684">
        <w:t>Option 1: Status quo – no change to current thresholds</w:t>
      </w:r>
    </w:p>
    <w:p w:rsidR="00475B14" w:rsidRPr="00A03684" w:rsidRDefault="00475B14" w:rsidP="007611D9">
      <w:pPr>
        <w:pStyle w:val="BodyText"/>
      </w:pPr>
      <w:r w:rsidRPr="00A03684">
        <w:t>The current emissions intensity thresholds developed for Australian industry would remain in place to assess the eligibility of domestic activities.</w:t>
      </w:r>
      <w:r w:rsidR="00740B96" w:rsidRPr="00A03684">
        <w:t xml:space="preserve"> If eligibility was reassessed, the current thresholds would </w:t>
      </w:r>
      <w:r w:rsidR="00AB57EB" w:rsidRPr="00A03684">
        <w:t>apply</w:t>
      </w:r>
      <w:r w:rsidR="00740B96" w:rsidRPr="00A03684">
        <w:t>.</w:t>
      </w:r>
      <w:r w:rsidR="00A03684" w:rsidRPr="00A03684">
        <w:t xml:space="preserve"> </w:t>
      </w:r>
    </w:p>
    <w:p w:rsidR="00475B14" w:rsidRPr="00A03684" w:rsidRDefault="00475B14" w:rsidP="007611D9">
      <w:pPr>
        <w:pStyle w:val="Heading4"/>
      </w:pPr>
      <w:r w:rsidRPr="00A03684">
        <w:t xml:space="preserve">Option 2: </w:t>
      </w:r>
      <w:r w:rsidR="00760A35" w:rsidRPr="00A03684">
        <w:t xml:space="preserve">Develop </w:t>
      </w:r>
      <w:r w:rsidR="00B47639" w:rsidRPr="00A03684">
        <w:t>New Zealand</w:t>
      </w:r>
      <w:r w:rsidR="00D25CBA" w:rsidRPr="00A03684">
        <w:t>-</w:t>
      </w:r>
      <w:r w:rsidR="00EA0578" w:rsidRPr="00A03684">
        <w:t>specific thresholds</w:t>
      </w:r>
    </w:p>
    <w:p w:rsidR="00760A35" w:rsidRPr="00A03684" w:rsidRDefault="007C3364" w:rsidP="007611D9">
      <w:pPr>
        <w:pStyle w:val="BodyText"/>
      </w:pPr>
      <w:r w:rsidRPr="00A03684">
        <w:t>N</w:t>
      </w:r>
      <w:r w:rsidR="00760A35" w:rsidRPr="00A03684">
        <w:t xml:space="preserve">ew thresholds </w:t>
      </w:r>
      <w:r w:rsidRPr="00A03684">
        <w:t xml:space="preserve">would be </w:t>
      </w:r>
      <w:r w:rsidR="00760A35" w:rsidRPr="00A03684">
        <w:t xml:space="preserve">based on domestic </w:t>
      </w:r>
      <w:r w:rsidR="00576045" w:rsidRPr="00A03684">
        <w:t>industries</w:t>
      </w:r>
      <w:r w:rsidR="00760A35" w:rsidRPr="00A03684">
        <w:t xml:space="preserve">. These </w:t>
      </w:r>
      <w:r w:rsidR="00AA21D5" w:rsidRPr="00A03684">
        <w:t>would be implemented</w:t>
      </w:r>
      <w:r w:rsidR="00760A35" w:rsidRPr="00A03684">
        <w:t xml:space="preserve"> </w:t>
      </w:r>
      <w:r w:rsidR="00AB57EB" w:rsidRPr="00A03684">
        <w:t>before</w:t>
      </w:r>
      <w:r w:rsidR="00760A35" w:rsidRPr="00A03684">
        <w:t xml:space="preserve"> the reassessment </w:t>
      </w:r>
      <w:r w:rsidR="00ED5BC8" w:rsidRPr="00A03684">
        <w:t>of eligibility</w:t>
      </w:r>
      <w:r w:rsidR="00760A35" w:rsidRPr="00A03684">
        <w:t>.</w:t>
      </w:r>
      <w:r w:rsidR="00A03684" w:rsidRPr="00A03684">
        <w:t xml:space="preserve"> </w:t>
      </w:r>
    </w:p>
    <w:p w:rsidR="00AA21D5" w:rsidRPr="00A03684" w:rsidRDefault="003439AA" w:rsidP="007611D9">
      <w:pPr>
        <w:pStyle w:val="BodyText"/>
      </w:pPr>
      <w:r w:rsidRPr="00A03684">
        <w:t>T</w:t>
      </w:r>
      <w:r w:rsidR="00AA21D5" w:rsidRPr="00A03684">
        <w:t>he</w:t>
      </w:r>
      <w:r w:rsidR="00AB57EB" w:rsidRPr="00A03684">
        <w:t>re could be more</w:t>
      </w:r>
      <w:r w:rsidR="00AA21D5" w:rsidRPr="00A03684">
        <w:t xml:space="preserve"> thresholds</w:t>
      </w:r>
      <w:r w:rsidR="00AB57EB" w:rsidRPr="00A03684">
        <w:t>,</w:t>
      </w:r>
      <w:r w:rsidR="00AA21D5" w:rsidRPr="00A03684">
        <w:t xml:space="preserve"> to better target levels of assistance to specific EITE industries. </w:t>
      </w:r>
      <w:r w:rsidR="007C3364" w:rsidRPr="00A03684">
        <w:t>The current system uses</w:t>
      </w:r>
      <w:r w:rsidR="0048488C" w:rsidRPr="00A03684">
        <w:t xml:space="preserve"> two</w:t>
      </w:r>
      <w:r w:rsidR="00AA21D5" w:rsidRPr="00A03684">
        <w:t xml:space="preserve"> thresholds</w:t>
      </w:r>
      <w:r w:rsidR="00EA0578" w:rsidRPr="00A03684">
        <w:t xml:space="preserve"> to </w:t>
      </w:r>
      <w:r w:rsidR="00AB57EB" w:rsidRPr="00A03684">
        <w:t xml:space="preserve">do this. </w:t>
      </w:r>
      <w:r w:rsidR="00AA21D5" w:rsidRPr="00A03684">
        <w:t>An issue with this approach is that activities wit</w:t>
      </w:r>
      <w:r w:rsidR="00EA0578" w:rsidRPr="00A03684">
        <w:t>h intensities</w:t>
      </w:r>
      <w:r w:rsidR="00AA21D5" w:rsidRPr="00A03684">
        <w:t xml:space="preserve"> close to these thresholds could be under- or over-assisted. For example, an activity </w:t>
      </w:r>
      <w:r w:rsidR="00AB57EB" w:rsidRPr="00A03684">
        <w:t>with</w:t>
      </w:r>
      <w:r w:rsidR="00AA21D5" w:rsidRPr="00A03684">
        <w:t xml:space="preserve"> an emissions intensity of 1590 t CO</w:t>
      </w:r>
      <w:r w:rsidR="00AA21D5" w:rsidRPr="00A03684">
        <w:rPr>
          <w:vertAlign w:val="subscript"/>
        </w:rPr>
        <w:t>2</w:t>
      </w:r>
      <w:r w:rsidR="00AA21D5" w:rsidRPr="00A03684">
        <w:t>-e/$1 million revenue would currently be classified as moderately intensive</w:t>
      </w:r>
      <w:r w:rsidR="00AB57EB" w:rsidRPr="00A03684">
        <w:t>,</w:t>
      </w:r>
      <w:r w:rsidR="00AA21D5" w:rsidRPr="00A03684">
        <w:t xml:space="preserve"> despite being very close to the highly intensive threshold. This small discrepancy </w:t>
      </w:r>
      <w:r w:rsidR="00AB57EB" w:rsidRPr="00A03684">
        <w:t xml:space="preserve">results in </w:t>
      </w:r>
      <w:r w:rsidR="00AA21D5" w:rsidRPr="00A03684">
        <w:t>a significant step</w:t>
      </w:r>
      <w:r w:rsidR="00AB57EB" w:rsidRPr="00A03684">
        <w:t>-</w:t>
      </w:r>
      <w:r w:rsidR="00AA21D5" w:rsidRPr="00A03684">
        <w:t xml:space="preserve">change in support. </w:t>
      </w:r>
    </w:p>
    <w:p w:rsidR="00C649E0" w:rsidRPr="00A03684" w:rsidRDefault="00AA21D5" w:rsidP="007611D9">
      <w:pPr>
        <w:pStyle w:val="BodyText"/>
      </w:pPr>
      <w:r w:rsidRPr="00A03684">
        <w:t xml:space="preserve">A framework could be developed </w:t>
      </w:r>
      <w:r w:rsidR="004E41C9" w:rsidRPr="00A03684">
        <w:t>to</w:t>
      </w:r>
      <w:r w:rsidRPr="00A03684">
        <w:t xml:space="preserve"> pr</w:t>
      </w:r>
      <w:r w:rsidR="004E41C9" w:rsidRPr="00A03684">
        <w:t>ovide</w:t>
      </w:r>
      <w:r w:rsidRPr="00A03684">
        <w:t xml:space="preserve"> ‘higher resolution’ coverage</w:t>
      </w:r>
      <w:r w:rsidR="00FF330E" w:rsidRPr="00A03684">
        <w:t xml:space="preserve"> that more effectively targets assistance levels commensurate with </w:t>
      </w:r>
      <w:r w:rsidR="0048488C" w:rsidRPr="00A03684">
        <w:t xml:space="preserve">an </w:t>
      </w:r>
      <w:r w:rsidRPr="00A03684">
        <w:t>activity</w:t>
      </w:r>
      <w:r w:rsidR="0048488C" w:rsidRPr="00A03684">
        <w:t>’s exposure to an emissions price</w:t>
      </w:r>
      <w:r w:rsidRPr="00A03684">
        <w:t>. This could be the introduction of a third or fourth threshold, or a sliding scale</w:t>
      </w:r>
      <w:r w:rsidR="00EA0578" w:rsidRPr="00A03684">
        <w:t>,</w:t>
      </w:r>
      <w:r w:rsidRPr="00A03684">
        <w:t xml:space="preserve"> which defines a bespoke level of assistance for each activity. </w:t>
      </w:r>
    </w:p>
    <w:p w:rsidR="00EA0578" w:rsidRPr="00A03684" w:rsidRDefault="00EA0578" w:rsidP="007611D9">
      <w:pPr>
        <w:pStyle w:val="BodyText"/>
      </w:pPr>
      <w:r w:rsidRPr="00A03684">
        <w:t xml:space="preserve">How to go about developing </w:t>
      </w:r>
      <w:r w:rsidR="005C54BA" w:rsidRPr="00A03684">
        <w:t>these</w:t>
      </w:r>
      <w:r w:rsidRPr="00A03684">
        <w:t xml:space="preserve"> thresholds is an open question. The benefits would need to be traded</w:t>
      </w:r>
      <w:r w:rsidR="00AB57EB" w:rsidRPr="00A03684">
        <w:t xml:space="preserve"> </w:t>
      </w:r>
      <w:r w:rsidRPr="00A03684">
        <w:t xml:space="preserve">off against </w:t>
      </w:r>
      <w:r w:rsidR="00FF330E" w:rsidRPr="00A03684">
        <w:t>the</w:t>
      </w:r>
      <w:r w:rsidRPr="00A03684">
        <w:t xml:space="preserve"> complexity and effectiveness</w:t>
      </w:r>
      <w:r w:rsidR="00FF330E" w:rsidRPr="00A03684">
        <w:t xml:space="preserve"> of doing so,</w:t>
      </w:r>
      <w:r w:rsidRPr="00A03684">
        <w:t xml:space="preserve"> </w:t>
      </w:r>
      <w:r w:rsidR="00FF330E" w:rsidRPr="00A03684">
        <w:t>when the Australian thresholds c</w:t>
      </w:r>
      <w:r w:rsidRPr="00A03684">
        <w:t xml:space="preserve">ould be suitable enough. </w:t>
      </w:r>
    </w:p>
    <w:p w:rsidR="00EA0578" w:rsidRPr="00A03684" w:rsidRDefault="00900A3A" w:rsidP="00BD1CA7">
      <w:pPr>
        <w:pStyle w:val="BodyText"/>
        <w:spacing w:before="100" w:after="100"/>
      </w:pPr>
      <w:r w:rsidRPr="00A03684">
        <w:t>D</w:t>
      </w:r>
      <w:r w:rsidR="00EA0578" w:rsidRPr="00A03684">
        <w:t>eveloping New Zealand</w:t>
      </w:r>
      <w:r w:rsidR="00AB57EB" w:rsidRPr="00A03684">
        <w:t>-</w:t>
      </w:r>
      <w:r w:rsidR="00EA0578" w:rsidRPr="00A03684">
        <w:t>specific thresholds would be complex and resource</w:t>
      </w:r>
      <w:r w:rsidR="00AB57EB" w:rsidRPr="00A03684">
        <w:t>-</w:t>
      </w:r>
      <w:r w:rsidR="00EA0578" w:rsidRPr="00A03684">
        <w:t>intensive, requiring large amount</w:t>
      </w:r>
      <w:r w:rsidR="0067574E" w:rsidRPr="00A03684">
        <w:t>s</w:t>
      </w:r>
      <w:r w:rsidR="00EA0578" w:rsidRPr="00A03684">
        <w:t xml:space="preserve"> of data from industries.</w:t>
      </w:r>
      <w:r w:rsidR="0067574E" w:rsidRPr="00A03684">
        <w:t xml:space="preserve"> It would also require complex economic modelling</w:t>
      </w:r>
      <w:r w:rsidR="004E41C9" w:rsidRPr="00A03684">
        <w:t xml:space="preserve"> and analysis from the </w:t>
      </w:r>
      <w:r w:rsidR="00AB57EB" w:rsidRPr="00A03684">
        <w:t>G</w:t>
      </w:r>
      <w:r w:rsidR="0067574E" w:rsidRPr="00A03684">
        <w:t xml:space="preserve">overnment. </w:t>
      </w:r>
      <w:r w:rsidR="00477D6C" w:rsidRPr="00A03684">
        <w:t>This proposal</w:t>
      </w:r>
      <w:r w:rsidR="003439AA" w:rsidRPr="00A03684">
        <w:t xml:space="preserve"> would</w:t>
      </w:r>
      <w:r w:rsidR="00477D6C" w:rsidRPr="00A03684">
        <w:t xml:space="preserve"> </w:t>
      </w:r>
      <w:r w:rsidR="00576045" w:rsidRPr="00A03684">
        <w:t xml:space="preserve">therefore </w:t>
      </w:r>
      <w:r w:rsidR="00477D6C" w:rsidRPr="00A03684">
        <w:t>incur significant compliance and administrative costs.</w:t>
      </w:r>
      <w:r w:rsidR="00A03684" w:rsidRPr="00A03684">
        <w:t xml:space="preserve"> </w:t>
      </w:r>
    </w:p>
    <w:p w:rsidR="00477D6C" w:rsidRPr="00A03684" w:rsidRDefault="005706D7" w:rsidP="00BD1CA7">
      <w:pPr>
        <w:pStyle w:val="BodyText"/>
        <w:spacing w:before="100" w:after="100"/>
      </w:pPr>
      <w:r w:rsidRPr="00A03684">
        <w:t xml:space="preserve">It is uncertain whether </w:t>
      </w:r>
      <w:r w:rsidR="005C54BA" w:rsidRPr="00A03684">
        <w:t>these</w:t>
      </w:r>
      <w:r w:rsidRPr="00A03684">
        <w:t xml:space="preserve"> thresholds would be any more effective at categorising domestic industry than the current Australian </w:t>
      </w:r>
      <w:r w:rsidR="00AB57EB" w:rsidRPr="00A03684">
        <w:t>ones.</w:t>
      </w:r>
      <w:r w:rsidRPr="00A03684">
        <w:t xml:space="preserve"> </w:t>
      </w:r>
      <w:r w:rsidR="00477D6C" w:rsidRPr="00A03684">
        <w:t xml:space="preserve">However, there could be some additional benefit from adding </w:t>
      </w:r>
      <w:r w:rsidR="00576045" w:rsidRPr="00A03684">
        <w:t>inter</w:t>
      </w:r>
      <w:r w:rsidR="002A4409" w:rsidRPr="00A03684">
        <w:t>mediate</w:t>
      </w:r>
      <w:r w:rsidR="00576045" w:rsidRPr="00A03684">
        <w:t xml:space="preserve"> </w:t>
      </w:r>
      <w:r w:rsidR="00477D6C" w:rsidRPr="00A03684">
        <w:t>thresholds</w:t>
      </w:r>
      <w:r w:rsidR="00576045" w:rsidRPr="00A03684">
        <w:t xml:space="preserve">, </w:t>
      </w:r>
      <w:r w:rsidR="00AB57EB" w:rsidRPr="00A03684">
        <w:t xml:space="preserve">by </w:t>
      </w:r>
      <w:r w:rsidR="00576045" w:rsidRPr="00A03684">
        <w:t>preventing under- or over-assistance</w:t>
      </w:r>
      <w:r w:rsidR="005619DF" w:rsidRPr="00A03684">
        <w:t xml:space="preserve"> for </w:t>
      </w:r>
      <w:r w:rsidR="007C3364" w:rsidRPr="00A03684">
        <w:t>industries</w:t>
      </w:r>
      <w:r w:rsidR="005619DF" w:rsidRPr="00A03684">
        <w:t xml:space="preserve"> on</w:t>
      </w:r>
      <w:r w:rsidR="00BD1CA7" w:rsidRPr="00A03684">
        <w:t> </w:t>
      </w:r>
      <w:r w:rsidR="005619DF" w:rsidRPr="00A03684">
        <w:t>the margin</w:t>
      </w:r>
      <w:r w:rsidR="00576045" w:rsidRPr="00A03684">
        <w:t xml:space="preserve">. </w:t>
      </w:r>
    </w:p>
    <w:p w:rsidR="00C649E0" w:rsidRPr="00A03684" w:rsidRDefault="00C649E0" w:rsidP="00933A8D">
      <w:pPr>
        <w:pStyle w:val="Tableheading"/>
      </w:pPr>
      <w:bookmarkStart w:id="43" w:name="_Toc75262177"/>
      <w:r w:rsidRPr="00A03684">
        <w:t xml:space="preserve">Table </w:t>
      </w:r>
      <w:r w:rsidR="00AC6EA7" w:rsidRPr="00A03684">
        <w:t>8</w:t>
      </w:r>
      <w:r w:rsidRPr="00A03684">
        <w:t>:</w:t>
      </w:r>
      <w:r w:rsidRPr="00A03684">
        <w:tab/>
      </w:r>
      <w:r w:rsidR="005F1D06" w:rsidRPr="00A03684">
        <w:t>Assessment of New Zealand</w:t>
      </w:r>
      <w:r w:rsidR="00AB57EB" w:rsidRPr="00A03684">
        <w:t>-</w:t>
      </w:r>
      <w:r w:rsidR="005F1D06" w:rsidRPr="00A03684">
        <w:t>specific thresholds</w:t>
      </w:r>
      <w:bookmarkEnd w:id="43"/>
      <w:r w:rsidR="005F1D06" w:rsidRPr="00A03684">
        <w:t xml:space="preserve"> </w:t>
      </w:r>
    </w:p>
    <w:tbl>
      <w:tblPr>
        <w:tblStyle w:val="TableGrid1"/>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476"/>
        <w:gridCol w:w="1430"/>
        <w:gridCol w:w="1371"/>
        <w:gridCol w:w="1323"/>
        <w:gridCol w:w="1448"/>
        <w:gridCol w:w="1457"/>
      </w:tblGrid>
      <w:tr w:rsidR="00933A8D" w:rsidRPr="00A03684" w:rsidTr="00B360F9">
        <w:trPr>
          <w:tblHeader/>
        </w:trPr>
        <w:tc>
          <w:tcPr>
            <w:tcW w:w="1531" w:type="dxa"/>
            <w:shd w:val="clear" w:color="auto" w:fill="1C556C"/>
            <w:vAlign w:val="bottom"/>
          </w:tcPr>
          <w:p w:rsidR="0067574E" w:rsidRPr="00A03684" w:rsidRDefault="0067574E" w:rsidP="00BD1CA7">
            <w:pPr>
              <w:pStyle w:val="TableTextbold"/>
              <w:spacing w:before="40" w:after="40" w:line="230" w:lineRule="atLeast"/>
              <w:rPr>
                <w:color w:val="FFFFFF" w:themeColor="background1"/>
              </w:rPr>
            </w:pPr>
            <w:r w:rsidRPr="00A03684">
              <w:rPr>
                <w:color w:val="FFFFFF" w:themeColor="background1"/>
              </w:rPr>
              <w:t>Option</w:t>
            </w:r>
          </w:p>
        </w:tc>
        <w:tc>
          <w:tcPr>
            <w:tcW w:w="1474" w:type="dxa"/>
            <w:shd w:val="clear" w:color="auto" w:fill="1C556C"/>
            <w:vAlign w:val="bottom"/>
          </w:tcPr>
          <w:p w:rsidR="0067574E" w:rsidRPr="00A03684" w:rsidRDefault="0067574E" w:rsidP="00BD1CA7">
            <w:pPr>
              <w:pStyle w:val="TableTextbold"/>
              <w:spacing w:before="40" w:after="40" w:line="230" w:lineRule="atLeast"/>
              <w:rPr>
                <w:color w:val="FFFFFF" w:themeColor="background1"/>
              </w:rPr>
            </w:pPr>
            <w:r w:rsidRPr="00A03684">
              <w:rPr>
                <w:color w:val="FFFFFF" w:themeColor="background1"/>
              </w:rPr>
              <w:t>Consisten</w:t>
            </w:r>
            <w:r w:rsidR="00AB57EB" w:rsidRPr="00A03684">
              <w:rPr>
                <w:color w:val="FFFFFF" w:themeColor="background1"/>
              </w:rPr>
              <w:t>t</w:t>
            </w:r>
            <w:r w:rsidRPr="00A03684">
              <w:rPr>
                <w:color w:val="FFFFFF" w:themeColor="background1"/>
              </w:rPr>
              <w:t xml:space="preserve"> with </w:t>
            </w:r>
            <w:r w:rsidR="0063149F" w:rsidRPr="00A03684">
              <w:rPr>
                <w:color w:val="FFFFFF" w:themeColor="background1"/>
              </w:rPr>
              <w:t xml:space="preserve">NZ ETS </w:t>
            </w:r>
            <w:r w:rsidRPr="00A03684">
              <w:rPr>
                <w:color w:val="FFFFFF" w:themeColor="background1"/>
              </w:rPr>
              <w:t xml:space="preserve">objectives </w:t>
            </w:r>
          </w:p>
        </w:tc>
        <w:tc>
          <w:tcPr>
            <w:tcW w:w="1413" w:type="dxa"/>
            <w:shd w:val="clear" w:color="auto" w:fill="1C556C"/>
            <w:vAlign w:val="bottom"/>
          </w:tcPr>
          <w:p w:rsidR="0067574E" w:rsidRPr="00A03684" w:rsidRDefault="0067574E" w:rsidP="00BD1CA7">
            <w:pPr>
              <w:pStyle w:val="TableTextbold"/>
              <w:spacing w:before="40" w:after="40" w:line="230" w:lineRule="atLeast"/>
              <w:rPr>
                <w:color w:val="FFFFFF" w:themeColor="background1"/>
              </w:rPr>
            </w:pPr>
            <w:r w:rsidRPr="00A03684">
              <w:rPr>
                <w:color w:val="FFFFFF" w:themeColor="background1"/>
              </w:rPr>
              <w:t>Addresses over-allocation</w:t>
            </w:r>
          </w:p>
        </w:tc>
        <w:tc>
          <w:tcPr>
            <w:tcW w:w="1361" w:type="dxa"/>
            <w:shd w:val="clear" w:color="auto" w:fill="1C556C"/>
            <w:vAlign w:val="bottom"/>
          </w:tcPr>
          <w:p w:rsidR="0067574E" w:rsidRPr="00A03684" w:rsidRDefault="0067574E" w:rsidP="00BD1CA7">
            <w:pPr>
              <w:pStyle w:val="TableTextbold"/>
              <w:spacing w:before="40" w:after="40" w:line="230" w:lineRule="atLeast"/>
              <w:rPr>
                <w:color w:val="FFFFFF" w:themeColor="background1"/>
              </w:rPr>
            </w:pPr>
            <w:r w:rsidRPr="00A03684">
              <w:rPr>
                <w:color w:val="FFFFFF" w:themeColor="background1"/>
              </w:rPr>
              <w:t>Addresses leakage risk</w:t>
            </w:r>
          </w:p>
        </w:tc>
        <w:tc>
          <w:tcPr>
            <w:tcW w:w="1474" w:type="dxa"/>
            <w:shd w:val="clear" w:color="auto" w:fill="1C556C"/>
            <w:vAlign w:val="bottom"/>
          </w:tcPr>
          <w:p w:rsidR="0067574E" w:rsidRPr="00A03684" w:rsidRDefault="0067574E" w:rsidP="00BD1CA7">
            <w:pPr>
              <w:pStyle w:val="TableTextbold"/>
              <w:spacing w:before="40" w:after="40" w:line="230" w:lineRule="atLeast"/>
              <w:rPr>
                <w:color w:val="FFFFFF" w:themeColor="background1"/>
              </w:rPr>
            </w:pPr>
            <w:r w:rsidRPr="00A03684">
              <w:rPr>
                <w:color w:val="FFFFFF" w:themeColor="background1"/>
              </w:rPr>
              <w:t>Regulatory certainty and predictability</w:t>
            </w:r>
          </w:p>
        </w:tc>
        <w:tc>
          <w:tcPr>
            <w:tcW w:w="1474" w:type="dxa"/>
            <w:shd w:val="clear" w:color="auto" w:fill="1C556C"/>
            <w:vAlign w:val="bottom"/>
          </w:tcPr>
          <w:p w:rsidR="0067574E" w:rsidRPr="00A03684" w:rsidRDefault="0067574E" w:rsidP="00BD1CA7">
            <w:pPr>
              <w:pStyle w:val="TableTextbold"/>
              <w:spacing w:before="40" w:after="40" w:line="230" w:lineRule="atLeast"/>
              <w:rPr>
                <w:color w:val="FFFFFF" w:themeColor="background1"/>
              </w:rPr>
            </w:pPr>
            <w:r w:rsidRPr="00A03684">
              <w:rPr>
                <w:color w:val="FFFFFF" w:themeColor="background1"/>
              </w:rPr>
              <w:t>Minimise</w:t>
            </w:r>
            <w:r w:rsidR="00AB57EB" w:rsidRPr="00A03684">
              <w:rPr>
                <w:color w:val="FFFFFF" w:themeColor="background1"/>
              </w:rPr>
              <w:t>s</w:t>
            </w:r>
            <w:r w:rsidRPr="00A03684">
              <w:rPr>
                <w:color w:val="FFFFFF" w:themeColor="background1"/>
              </w:rPr>
              <w:t xml:space="preserve"> administrative burden, costs and complexity</w:t>
            </w:r>
          </w:p>
        </w:tc>
      </w:tr>
      <w:tr w:rsidR="0067574E" w:rsidRPr="00A03684" w:rsidTr="00B360F9">
        <w:tc>
          <w:tcPr>
            <w:tcW w:w="1531" w:type="dxa"/>
            <w:shd w:val="clear" w:color="auto" w:fill="auto"/>
          </w:tcPr>
          <w:p w:rsidR="0067574E" w:rsidRPr="00A03684" w:rsidRDefault="0067574E" w:rsidP="00BD1CA7">
            <w:pPr>
              <w:pStyle w:val="TableText"/>
              <w:spacing w:before="40" w:after="40" w:line="230" w:lineRule="atLeast"/>
            </w:pPr>
            <w:r w:rsidRPr="00A03684">
              <w:t>Status quo – no change to current emissions intensity thresholds</w:t>
            </w:r>
          </w:p>
        </w:tc>
        <w:tc>
          <w:tcPr>
            <w:tcW w:w="1474" w:type="dxa"/>
            <w:shd w:val="clear" w:color="auto" w:fill="FFFFFF" w:themeFill="background1"/>
          </w:tcPr>
          <w:p w:rsidR="00C045E6" w:rsidRPr="00A03684" w:rsidRDefault="001F1F7A" w:rsidP="00BD1CA7">
            <w:pPr>
              <w:pStyle w:val="TableText"/>
              <w:spacing w:before="40" w:after="40" w:line="230" w:lineRule="atLeast"/>
              <w:jc w:val="center"/>
            </w:pPr>
            <w:r w:rsidRPr="00A03684">
              <w:t>o</w:t>
            </w:r>
          </w:p>
        </w:tc>
        <w:tc>
          <w:tcPr>
            <w:tcW w:w="1413" w:type="dxa"/>
            <w:shd w:val="clear" w:color="auto" w:fill="FFFFFF" w:themeFill="background1"/>
          </w:tcPr>
          <w:p w:rsidR="00C045E6" w:rsidRPr="00A03684" w:rsidRDefault="001F1F7A" w:rsidP="00BD1CA7">
            <w:pPr>
              <w:pStyle w:val="TableText"/>
              <w:spacing w:before="40" w:after="40" w:line="230" w:lineRule="atLeast"/>
              <w:jc w:val="center"/>
            </w:pPr>
            <w:r w:rsidRPr="00A03684">
              <w:t>o</w:t>
            </w:r>
          </w:p>
        </w:tc>
        <w:tc>
          <w:tcPr>
            <w:tcW w:w="1361" w:type="dxa"/>
          </w:tcPr>
          <w:p w:rsidR="0067574E" w:rsidRPr="00A03684" w:rsidRDefault="0067574E" w:rsidP="00BD1CA7">
            <w:pPr>
              <w:pStyle w:val="TableText"/>
              <w:spacing w:before="40" w:after="40" w:line="230" w:lineRule="atLeast"/>
              <w:jc w:val="center"/>
            </w:pPr>
            <w:r w:rsidRPr="00A03684">
              <w:t>o</w:t>
            </w:r>
          </w:p>
        </w:tc>
        <w:tc>
          <w:tcPr>
            <w:tcW w:w="1474" w:type="dxa"/>
          </w:tcPr>
          <w:p w:rsidR="0067574E" w:rsidRPr="00A03684" w:rsidRDefault="0067574E" w:rsidP="00BD1CA7">
            <w:pPr>
              <w:pStyle w:val="TableText"/>
              <w:spacing w:before="40" w:after="40" w:line="230" w:lineRule="atLeast"/>
              <w:jc w:val="center"/>
            </w:pPr>
            <w:r w:rsidRPr="00A03684">
              <w:t>o</w:t>
            </w:r>
          </w:p>
        </w:tc>
        <w:tc>
          <w:tcPr>
            <w:tcW w:w="1474" w:type="dxa"/>
          </w:tcPr>
          <w:p w:rsidR="0067574E" w:rsidRPr="00A03684" w:rsidRDefault="0067574E" w:rsidP="00BD1CA7">
            <w:pPr>
              <w:pStyle w:val="TableText"/>
              <w:spacing w:before="40" w:after="40" w:line="230" w:lineRule="atLeast"/>
              <w:jc w:val="center"/>
              <w:rPr>
                <w:szCs w:val="22"/>
              </w:rPr>
            </w:pPr>
            <w:r w:rsidRPr="00A03684">
              <w:rPr>
                <w:szCs w:val="22"/>
              </w:rPr>
              <w:t>o</w:t>
            </w:r>
          </w:p>
        </w:tc>
      </w:tr>
      <w:tr w:rsidR="0067574E" w:rsidRPr="00A03684" w:rsidTr="00C36822">
        <w:tc>
          <w:tcPr>
            <w:tcW w:w="1531" w:type="dxa"/>
            <w:shd w:val="clear" w:color="auto" w:fill="auto"/>
          </w:tcPr>
          <w:p w:rsidR="0067574E" w:rsidRPr="00A03684" w:rsidRDefault="00C045E6" w:rsidP="00BD1CA7">
            <w:pPr>
              <w:pStyle w:val="TableText"/>
              <w:spacing w:before="40" w:after="40" w:line="230" w:lineRule="atLeast"/>
            </w:pPr>
            <w:r w:rsidRPr="00A03684">
              <w:t>New Zealand</w:t>
            </w:r>
            <w:r w:rsidR="00AB57EB" w:rsidRPr="00A03684">
              <w:t>-</w:t>
            </w:r>
            <w:r w:rsidRPr="00A03684">
              <w:t xml:space="preserve">specific </w:t>
            </w:r>
            <w:r w:rsidR="0067574E" w:rsidRPr="00A03684">
              <w:t>thresholds</w:t>
            </w:r>
          </w:p>
        </w:tc>
        <w:tc>
          <w:tcPr>
            <w:tcW w:w="1474" w:type="dxa"/>
            <w:shd w:val="clear" w:color="auto" w:fill="CFE5E5"/>
          </w:tcPr>
          <w:p w:rsidR="005F1D06" w:rsidRPr="00A03684" w:rsidRDefault="00D814C2" w:rsidP="00BD1CA7">
            <w:pPr>
              <w:pStyle w:val="TableText"/>
              <w:spacing w:before="40" w:after="40" w:line="230" w:lineRule="atLeast"/>
              <w:jc w:val="center"/>
            </w:pPr>
            <w:r w:rsidRPr="00A03684">
              <w:rPr>
                <w:szCs w:val="22"/>
              </w:rPr>
              <w:sym w:font="Wingdings" w:char="F0FC"/>
            </w:r>
          </w:p>
          <w:p w:rsidR="0067574E" w:rsidRPr="00A03684" w:rsidRDefault="005F1D06" w:rsidP="00BD1CA7">
            <w:pPr>
              <w:pStyle w:val="TableText"/>
              <w:spacing w:before="40" w:after="40" w:line="230" w:lineRule="atLeast"/>
              <w:jc w:val="center"/>
            </w:pPr>
            <w:r w:rsidRPr="00A03684">
              <w:t>Similar impact to using current thresholds; however, could prev</w:t>
            </w:r>
            <w:r w:rsidR="001F1F7A" w:rsidRPr="00A03684">
              <w:t>ent under- or over-assistance</w:t>
            </w:r>
          </w:p>
        </w:tc>
        <w:tc>
          <w:tcPr>
            <w:tcW w:w="1413" w:type="dxa"/>
            <w:shd w:val="clear" w:color="auto" w:fill="CFE5E5"/>
          </w:tcPr>
          <w:p w:rsidR="0067574E" w:rsidRPr="00A03684" w:rsidRDefault="00D814C2" w:rsidP="00BD1CA7">
            <w:pPr>
              <w:pStyle w:val="TableText"/>
              <w:spacing w:before="40" w:after="40" w:line="230" w:lineRule="atLeast"/>
              <w:jc w:val="center"/>
            </w:pPr>
            <w:r w:rsidRPr="00A03684">
              <w:rPr>
                <w:szCs w:val="22"/>
              </w:rPr>
              <w:sym w:font="Wingdings" w:char="F0FC"/>
            </w:r>
          </w:p>
          <w:p w:rsidR="005F1D06" w:rsidRPr="00A03684" w:rsidRDefault="005F1D06" w:rsidP="00BD1CA7">
            <w:pPr>
              <w:pStyle w:val="TableText"/>
              <w:spacing w:before="40" w:after="40" w:line="230" w:lineRule="atLeast"/>
              <w:jc w:val="center"/>
            </w:pPr>
            <w:r w:rsidRPr="00A03684">
              <w:t>Similar impact to using current thresholds</w:t>
            </w:r>
          </w:p>
        </w:tc>
        <w:tc>
          <w:tcPr>
            <w:tcW w:w="1361" w:type="dxa"/>
          </w:tcPr>
          <w:p w:rsidR="0067574E" w:rsidRPr="00A03684" w:rsidRDefault="0067574E" w:rsidP="00BD1CA7">
            <w:pPr>
              <w:pStyle w:val="TableText"/>
              <w:spacing w:before="40" w:after="40" w:line="230" w:lineRule="atLeast"/>
              <w:jc w:val="center"/>
            </w:pPr>
            <w:r w:rsidRPr="00A03684">
              <w:t>o</w:t>
            </w:r>
          </w:p>
        </w:tc>
        <w:tc>
          <w:tcPr>
            <w:tcW w:w="1474" w:type="dxa"/>
            <w:shd w:val="clear" w:color="auto" w:fill="F7E1D3" w:themeFill="accent6" w:themeFillTint="33"/>
          </w:tcPr>
          <w:p w:rsidR="0067574E" w:rsidRPr="00A03684" w:rsidRDefault="005F1D06" w:rsidP="00BD1CA7">
            <w:pPr>
              <w:pStyle w:val="TableText"/>
              <w:spacing w:before="40" w:after="40" w:line="230" w:lineRule="atLeast"/>
              <w:jc w:val="center"/>
            </w:pPr>
            <w:r w:rsidRPr="00A03684">
              <w:t>x</w:t>
            </w:r>
          </w:p>
          <w:p w:rsidR="005F1D06" w:rsidRPr="00A03684" w:rsidRDefault="0051078E" w:rsidP="00BD1CA7">
            <w:pPr>
              <w:pStyle w:val="TableText"/>
              <w:spacing w:before="40" w:after="40" w:line="230" w:lineRule="atLeast"/>
              <w:jc w:val="center"/>
            </w:pPr>
            <w:r w:rsidRPr="00A03684">
              <w:t>C</w:t>
            </w:r>
            <w:r w:rsidR="005F1D06" w:rsidRPr="00A03684">
              <w:t xml:space="preserve">ould create </w:t>
            </w:r>
            <w:r w:rsidRPr="00A03684">
              <w:t xml:space="preserve">extra </w:t>
            </w:r>
            <w:r w:rsidR="005F1D06" w:rsidRPr="00A03684">
              <w:t xml:space="preserve">uncertainty for EITE firms </w:t>
            </w:r>
            <w:r w:rsidRPr="00A03684">
              <w:t xml:space="preserve">about </w:t>
            </w:r>
            <w:r w:rsidR="005F1D06" w:rsidRPr="00A03684">
              <w:t>future eligibility status</w:t>
            </w:r>
          </w:p>
        </w:tc>
        <w:tc>
          <w:tcPr>
            <w:tcW w:w="1474" w:type="dxa"/>
            <w:shd w:val="clear" w:color="auto" w:fill="E3855F"/>
          </w:tcPr>
          <w:p w:rsidR="0067574E" w:rsidRPr="00A03684" w:rsidRDefault="00C045E6" w:rsidP="00BD1CA7">
            <w:pPr>
              <w:pStyle w:val="TableText"/>
              <w:spacing w:before="40" w:after="40" w:line="230" w:lineRule="atLeast"/>
              <w:jc w:val="center"/>
            </w:pPr>
            <w:r w:rsidRPr="00A03684">
              <w:t>xx</w:t>
            </w:r>
          </w:p>
          <w:p w:rsidR="00C045E6" w:rsidRPr="00A03684" w:rsidRDefault="005C54BA" w:rsidP="00BD1CA7">
            <w:pPr>
              <w:pStyle w:val="TableText"/>
              <w:spacing w:before="40" w:after="40" w:line="230" w:lineRule="atLeast"/>
              <w:jc w:val="center"/>
            </w:pPr>
            <w:r w:rsidRPr="00A03684">
              <w:t>S</w:t>
            </w:r>
            <w:r w:rsidR="00C045E6" w:rsidRPr="00A03684">
              <w:t xml:space="preserve">ignificant administrative </w:t>
            </w:r>
            <w:r w:rsidR="007C3364" w:rsidRPr="00A03684">
              <w:t xml:space="preserve">and compliance </w:t>
            </w:r>
            <w:r w:rsidR="00C045E6" w:rsidRPr="00A03684">
              <w:t>costs</w:t>
            </w:r>
          </w:p>
        </w:tc>
      </w:tr>
    </w:tbl>
    <w:p w:rsidR="000D12C3" w:rsidRPr="00A03684" w:rsidRDefault="000D12C3" w:rsidP="00791444">
      <w:pPr>
        <w:pStyle w:val="BodyText"/>
        <w:spacing w:after="60"/>
      </w:pP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C649E0" w:rsidRPr="00A03684" w:rsidTr="006E2F4F">
        <w:tc>
          <w:tcPr>
            <w:tcW w:w="0" w:type="auto"/>
            <w:shd w:val="clear" w:color="auto" w:fill="D2DDE2"/>
          </w:tcPr>
          <w:p w:rsidR="000B3AA4" w:rsidRPr="00A03684" w:rsidRDefault="000B3AA4" w:rsidP="006E2F4F">
            <w:pPr>
              <w:pStyle w:val="Blueboxheading"/>
            </w:pPr>
            <w:bookmarkStart w:id="44" w:name="_Hlk73525081"/>
            <w:r w:rsidRPr="00A03684">
              <w:t>Eligibility</w:t>
            </w:r>
          </w:p>
          <w:p w:rsidR="00C649E0" w:rsidRPr="00A03684" w:rsidRDefault="00C649E0" w:rsidP="00791444">
            <w:pPr>
              <w:pStyle w:val="Blueboxtext"/>
              <w:spacing w:after="20"/>
            </w:pPr>
            <w:r w:rsidRPr="00A03684">
              <w:t xml:space="preserve">Question </w:t>
            </w:r>
            <w:r w:rsidR="0026285C" w:rsidRPr="00A03684">
              <w:t>8</w:t>
            </w:r>
            <w:r w:rsidRPr="00A03684">
              <w:t>: Should new emissions intensity thresholds for New Zealand industry be developed? Why, or why not?</w:t>
            </w:r>
          </w:p>
          <w:p w:rsidR="00C649E0" w:rsidRPr="00A03684" w:rsidRDefault="00C649E0" w:rsidP="00791444">
            <w:pPr>
              <w:pStyle w:val="Blueboxtext"/>
              <w:spacing w:after="20"/>
            </w:pPr>
            <w:r w:rsidRPr="00A03684">
              <w:t xml:space="preserve">Question </w:t>
            </w:r>
            <w:r w:rsidR="0026285C" w:rsidRPr="00A03684">
              <w:t>9</w:t>
            </w:r>
            <w:r w:rsidRPr="00A03684">
              <w:t>: Should more thresholds be added into the eligibility criteria? Why, or why not? How many would be appropriate?</w:t>
            </w:r>
          </w:p>
          <w:p w:rsidR="00C649E0" w:rsidRPr="00A03684" w:rsidRDefault="00C649E0" w:rsidP="006E2F4F">
            <w:pPr>
              <w:pStyle w:val="Blueboxtext"/>
              <w:spacing w:after="240"/>
            </w:pPr>
            <w:r w:rsidRPr="00A03684">
              <w:t xml:space="preserve">Question </w:t>
            </w:r>
            <w:r w:rsidR="0026285C" w:rsidRPr="00A03684">
              <w:t>10</w:t>
            </w:r>
            <w:r w:rsidRPr="00A03684">
              <w:t>: Would a sliding scale threshold system better target eligibility and assistance? Why, or why not?</w:t>
            </w:r>
            <w:bookmarkEnd w:id="44"/>
          </w:p>
        </w:tc>
      </w:tr>
    </w:tbl>
    <w:p w:rsidR="00894B8E" w:rsidRPr="00A03684" w:rsidRDefault="00752EAC" w:rsidP="00B360F9">
      <w:pPr>
        <w:pStyle w:val="Heading3"/>
        <w:tabs>
          <w:tab w:val="clear" w:pos="851"/>
        </w:tabs>
        <w:spacing w:before="440"/>
      </w:pPr>
      <w:r w:rsidRPr="00A03684">
        <w:t xml:space="preserve">Using </w:t>
      </w:r>
      <w:r w:rsidR="0051078E" w:rsidRPr="00A03684">
        <w:t>the</w:t>
      </w:r>
      <w:r w:rsidR="00D578C5" w:rsidRPr="00A03684">
        <w:t xml:space="preserve"> </w:t>
      </w:r>
      <w:r w:rsidR="00A03DF0" w:rsidRPr="00A03684">
        <w:t xml:space="preserve">electricity allocation factor </w:t>
      </w:r>
      <w:r w:rsidR="007D198B" w:rsidRPr="00A03684">
        <w:t>to assess</w:t>
      </w:r>
      <w:r w:rsidR="00D578C5" w:rsidRPr="00A03684">
        <w:t xml:space="preserve"> </w:t>
      </w:r>
      <w:r w:rsidR="00AC5D15" w:rsidRPr="00A03684">
        <w:t xml:space="preserve">eligibility </w:t>
      </w:r>
    </w:p>
    <w:p w:rsidR="0051078E" w:rsidRPr="00A03684" w:rsidRDefault="0051078E" w:rsidP="00BD1CA7">
      <w:pPr>
        <w:pStyle w:val="BodyText"/>
        <w:spacing w:before="100" w:after="100"/>
      </w:pPr>
      <w:r w:rsidRPr="00A03684">
        <w:t>An electricity allocation factor (EAF) is an estimate of the impact of an emissions price on electricity prices.</w:t>
      </w:r>
    </w:p>
    <w:p w:rsidR="009773E3" w:rsidRPr="00A03684" w:rsidRDefault="00A03DF0" w:rsidP="00BD1CA7">
      <w:pPr>
        <w:pStyle w:val="BodyText"/>
        <w:spacing w:before="100" w:after="100"/>
      </w:pPr>
      <w:r w:rsidRPr="00A03684">
        <w:t>A</w:t>
      </w:r>
      <w:r w:rsidR="00E664B7" w:rsidRPr="00A03684">
        <w:t xml:space="preserve">n emissions price </w:t>
      </w:r>
      <w:r w:rsidR="00A900C9" w:rsidRPr="00A03684">
        <w:t>increases the cost of electricity generation from fossil fuels (such as coal or gas-fired power plants).</w:t>
      </w:r>
      <w:r w:rsidR="00F9755A" w:rsidRPr="00A03684">
        <w:t xml:space="preserve"> For industries that use </w:t>
      </w:r>
      <w:r w:rsidR="0051078E" w:rsidRPr="00A03684">
        <w:t>a lot</w:t>
      </w:r>
      <w:r w:rsidR="00F9755A" w:rsidRPr="00A03684">
        <w:t xml:space="preserve"> of electricity, emissions pri</w:t>
      </w:r>
      <w:r w:rsidR="00900A3A" w:rsidRPr="00A03684">
        <w:t>cing can lead to</w:t>
      </w:r>
      <w:r w:rsidR="00FF330E" w:rsidRPr="00A03684">
        <w:t xml:space="preserve"> significant increases in electricity costs</w:t>
      </w:r>
      <w:r w:rsidR="003F012E" w:rsidRPr="00A03684">
        <w:t xml:space="preserve">. </w:t>
      </w:r>
    </w:p>
    <w:p w:rsidR="0043728E" w:rsidRPr="00A03684" w:rsidRDefault="00AF3143" w:rsidP="00BD1CA7">
      <w:pPr>
        <w:pStyle w:val="BodyText"/>
        <w:spacing w:before="100" w:after="100"/>
      </w:pPr>
      <w:r w:rsidRPr="00A03684">
        <w:t xml:space="preserve">New Zealand’s </w:t>
      </w:r>
      <w:r w:rsidR="001437FD" w:rsidRPr="00A03684">
        <w:t>IA</w:t>
      </w:r>
      <w:r w:rsidR="00F9755A" w:rsidRPr="00A03684">
        <w:t xml:space="preserve"> policy </w:t>
      </w:r>
      <w:r w:rsidRPr="00A03684">
        <w:t>uses an EAF for</w:t>
      </w:r>
      <w:r w:rsidR="00A900C9" w:rsidRPr="00A03684">
        <w:t xml:space="preserve"> bot</w:t>
      </w:r>
      <w:r w:rsidR="00B03785" w:rsidRPr="00A03684">
        <w:t>h allocation calculations and</w:t>
      </w:r>
      <w:r w:rsidR="00A900C9" w:rsidRPr="00A03684">
        <w:t xml:space="preserve"> </w:t>
      </w:r>
      <w:r w:rsidR="009773E3" w:rsidRPr="00A03684">
        <w:t>eligibility</w:t>
      </w:r>
      <w:r w:rsidR="00A900C9" w:rsidRPr="00A03684">
        <w:t>.</w:t>
      </w:r>
      <w:r w:rsidR="0043728E" w:rsidRPr="00A03684">
        <w:t xml:space="preserve"> Calculation of an activity’s emissions intensity</w:t>
      </w:r>
      <w:r w:rsidR="00634E4F" w:rsidRPr="00A03684">
        <w:t>,</w:t>
      </w:r>
      <w:r w:rsidR="0043728E" w:rsidRPr="00A03684">
        <w:t xml:space="preserve"> which determines its eligibility status</w:t>
      </w:r>
      <w:r w:rsidR="00634E4F" w:rsidRPr="00A03684">
        <w:t>,</w:t>
      </w:r>
      <w:r w:rsidR="0043728E" w:rsidRPr="00A03684">
        <w:t xml:space="preserve"> uses the Australian EAF of 1 t CO</w:t>
      </w:r>
      <w:r w:rsidR="0043728E" w:rsidRPr="00A03684">
        <w:rPr>
          <w:vertAlign w:val="subscript"/>
        </w:rPr>
        <w:t>2</w:t>
      </w:r>
      <w:r w:rsidR="0043728E" w:rsidRPr="00A03684">
        <w:t>-e/MWh</w:t>
      </w:r>
      <w:r w:rsidR="0051078E" w:rsidRPr="00A03684">
        <w:t>. C</w:t>
      </w:r>
      <w:r w:rsidR="0043728E" w:rsidRPr="00A03684">
        <w:t xml:space="preserve">alculation of the allocative baselines </w:t>
      </w:r>
      <w:r w:rsidR="00437BB7" w:rsidRPr="00A03684">
        <w:t xml:space="preserve">(which affect how many units a firm is allocated) </w:t>
      </w:r>
      <w:r w:rsidR="0043728E" w:rsidRPr="00A03684">
        <w:t xml:space="preserve">uses the New Zealand EAF </w:t>
      </w:r>
      <w:r w:rsidR="00E664B7" w:rsidRPr="00A03684">
        <w:t>of 0.537 t CO</w:t>
      </w:r>
      <w:r w:rsidR="00E664B7" w:rsidRPr="00A03684">
        <w:rPr>
          <w:vertAlign w:val="subscript"/>
        </w:rPr>
        <w:t>2</w:t>
      </w:r>
      <w:r w:rsidR="00E664B7" w:rsidRPr="00A03684">
        <w:t xml:space="preserve">-e/MWh. </w:t>
      </w:r>
    </w:p>
    <w:p w:rsidR="0043728E" w:rsidRPr="00A03684" w:rsidRDefault="00E664B7" w:rsidP="005625BF">
      <w:pPr>
        <w:pStyle w:val="BodyText"/>
        <w:spacing w:before="100" w:after="100"/>
      </w:pPr>
      <w:r w:rsidRPr="00A03684">
        <w:t>The Australian EAF</w:t>
      </w:r>
      <w:r w:rsidR="0043728E" w:rsidRPr="00A03684">
        <w:t xml:space="preserve"> is considerably higher than New Zealand’s</w:t>
      </w:r>
      <w:r w:rsidR="003463AF" w:rsidRPr="00A03684">
        <w:t xml:space="preserve">. </w:t>
      </w:r>
      <w:r w:rsidR="0043728E" w:rsidRPr="00A03684">
        <w:t xml:space="preserve">This means electricity emissions </w:t>
      </w:r>
      <w:r w:rsidR="00CC3379" w:rsidRPr="00A03684">
        <w:t>are overstated</w:t>
      </w:r>
      <w:r w:rsidR="0043728E" w:rsidRPr="00A03684">
        <w:t xml:space="preserve"> compared to other fuel </w:t>
      </w:r>
      <w:r w:rsidR="00FF330E" w:rsidRPr="00A03684">
        <w:t>emissions</w:t>
      </w:r>
      <w:r w:rsidR="0051078E" w:rsidRPr="00A03684">
        <w:t>. T</w:t>
      </w:r>
      <w:r w:rsidR="0043728E" w:rsidRPr="00A03684">
        <w:t>herefore</w:t>
      </w:r>
      <w:r w:rsidR="00A313C7">
        <w:t>,</w:t>
      </w:r>
      <w:r w:rsidR="0043728E" w:rsidRPr="00A03684">
        <w:t xml:space="preserve"> the cost impact of the NZ ETS on </w:t>
      </w:r>
      <w:r w:rsidR="00CC3379" w:rsidRPr="00A03684">
        <w:t xml:space="preserve">businesses using </w:t>
      </w:r>
      <w:r w:rsidR="0043728E" w:rsidRPr="00A03684">
        <w:t xml:space="preserve">electricity is </w:t>
      </w:r>
      <w:r w:rsidR="00CC3379" w:rsidRPr="00A03684">
        <w:t>overstated</w:t>
      </w:r>
      <w:r w:rsidR="00BD5F0B" w:rsidRPr="00A03684">
        <w:t xml:space="preserve"> for eligibility purposes</w:t>
      </w:r>
      <w:r w:rsidR="0043728E" w:rsidRPr="00A03684">
        <w:t xml:space="preserve">. </w:t>
      </w:r>
    </w:p>
    <w:p w:rsidR="00021E6F" w:rsidRPr="00A03684" w:rsidRDefault="00021E6F" w:rsidP="005625BF">
      <w:pPr>
        <w:pStyle w:val="BodyText"/>
        <w:spacing w:before="100" w:after="100"/>
      </w:pPr>
      <w:r w:rsidRPr="00A03684">
        <w:t>Changing the emissions intensity test to use New Zealand’s EAF could help ensure future eligibility decisions reflect the actual impact of the NZ ETS on the electricity costs EITE firms face</w:t>
      </w:r>
      <w:r w:rsidR="003463AF" w:rsidRPr="00A03684">
        <w:t xml:space="preserve">, and correct an anomaly in </w:t>
      </w:r>
      <w:r w:rsidR="001437FD" w:rsidRPr="00A03684">
        <w:t>IA</w:t>
      </w:r>
      <w:r w:rsidR="003463AF" w:rsidRPr="00A03684">
        <w:t xml:space="preserve"> policy where Australian data is used.</w:t>
      </w:r>
      <w:r w:rsidR="0051078E" w:rsidRPr="00A03684">
        <w:t xml:space="preserve"> </w:t>
      </w:r>
    </w:p>
    <w:p w:rsidR="00D578C5" w:rsidRPr="00A03684" w:rsidRDefault="00CB25E5" w:rsidP="00357FA4">
      <w:pPr>
        <w:pStyle w:val="Heading4"/>
        <w:spacing w:before="240"/>
      </w:pPr>
      <w:r w:rsidRPr="00A03684">
        <w:t xml:space="preserve">Option 1: </w:t>
      </w:r>
      <w:r w:rsidR="00D578C5" w:rsidRPr="00A03684">
        <w:t xml:space="preserve">Status quo – </w:t>
      </w:r>
      <w:r w:rsidR="007D198B" w:rsidRPr="00A03684">
        <w:t>r</w:t>
      </w:r>
      <w:r w:rsidR="0099132A" w:rsidRPr="00A03684">
        <w:t>etain</w:t>
      </w:r>
      <w:r w:rsidR="00D578C5" w:rsidRPr="00A03684">
        <w:t xml:space="preserve"> the Australian EAF </w:t>
      </w:r>
    </w:p>
    <w:p w:rsidR="00D578C5" w:rsidRPr="00A03684" w:rsidRDefault="00AB6C6C" w:rsidP="005625BF">
      <w:pPr>
        <w:pStyle w:val="BodyText"/>
        <w:spacing w:before="100" w:after="100"/>
      </w:pPr>
      <w:r w:rsidRPr="00A03684">
        <w:t xml:space="preserve">Eligibility will continue </w:t>
      </w:r>
      <w:r w:rsidR="00F9755A" w:rsidRPr="00A03684">
        <w:t xml:space="preserve">to be calculated using the </w:t>
      </w:r>
      <w:r w:rsidRPr="00A03684">
        <w:t xml:space="preserve">Australian EAF. </w:t>
      </w:r>
      <w:r w:rsidR="00EB35C2" w:rsidRPr="00A03684">
        <w:t xml:space="preserve">Eligibility decisions would continue to reflect the cost impact of an emissions price on Australian industries, from over </w:t>
      </w:r>
      <w:r w:rsidR="007D198B" w:rsidRPr="00A03684">
        <w:t>10</w:t>
      </w:r>
      <w:r w:rsidR="006E2F4F" w:rsidRPr="00A03684">
        <w:t> </w:t>
      </w:r>
      <w:r w:rsidR="00EB35C2" w:rsidRPr="00A03684">
        <w:t xml:space="preserve">years ago. </w:t>
      </w:r>
    </w:p>
    <w:p w:rsidR="00D578C5" w:rsidRPr="00A03684" w:rsidRDefault="00CB25E5" w:rsidP="00357FA4">
      <w:pPr>
        <w:pStyle w:val="Heading4"/>
        <w:spacing w:before="240"/>
      </w:pPr>
      <w:r w:rsidRPr="00A03684">
        <w:t>Option 2</w:t>
      </w:r>
      <w:r w:rsidR="004737C9" w:rsidRPr="00A03684">
        <w:t xml:space="preserve">: </w:t>
      </w:r>
      <w:r w:rsidR="00D578C5" w:rsidRPr="00A03684">
        <w:t xml:space="preserve">Use </w:t>
      </w:r>
      <w:r w:rsidR="005340BA" w:rsidRPr="00A03684">
        <w:t xml:space="preserve">the </w:t>
      </w:r>
      <w:r w:rsidR="00D578C5" w:rsidRPr="00A03684">
        <w:t xml:space="preserve">New Zealand EAF </w:t>
      </w:r>
    </w:p>
    <w:p w:rsidR="00CB25E5" w:rsidRPr="00A03684" w:rsidRDefault="00CB25E5" w:rsidP="005625BF">
      <w:pPr>
        <w:pStyle w:val="BodyText"/>
        <w:spacing w:before="100" w:after="100"/>
      </w:pPr>
      <w:r w:rsidRPr="00A03684">
        <w:t>The emissions intensities of different industrial activities would be recalculated with</w:t>
      </w:r>
      <w:r w:rsidR="00752EAC" w:rsidRPr="00A03684">
        <w:t xml:space="preserve"> the New</w:t>
      </w:r>
      <w:r w:rsidR="006E2F4F" w:rsidRPr="00A03684">
        <w:t> </w:t>
      </w:r>
      <w:r w:rsidR="00752EAC" w:rsidRPr="00A03684">
        <w:t>Zealand EAF</w:t>
      </w:r>
      <w:r w:rsidRPr="00A03684">
        <w:t xml:space="preserve">. These new </w:t>
      </w:r>
      <w:r w:rsidR="00752EAC" w:rsidRPr="00A03684">
        <w:t>intensities would be applied if eligibility was retested</w:t>
      </w:r>
      <w:r w:rsidRPr="00A03684">
        <w:t xml:space="preserve">. </w:t>
      </w:r>
    </w:p>
    <w:p w:rsidR="005B2895" w:rsidRPr="00A03684" w:rsidRDefault="00752EAC" w:rsidP="005625BF">
      <w:pPr>
        <w:pStyle w:val="BodyText"/>
        <w:spacing w:before="100" w:after="100"/>
      </w:pPr>
      <w:r w:rsidRPr="00A03684">
        <w:t>Using the New Zealand EAF</w:t>
      </w:r>
      <w:r w:rsidR="003463AF" w:rsidRPr="00A03684">
        <w:t xml:space="preserve"> could ensure</w:t>
      </w:r>
      <w:r w:rsidR="005B2895" w:rsidRPr="00A03684">
        <w:t xml:space="preserve"> the eligibil</w:t>
      </w:r>
      <w:r w:rsidRPr="00A03684">
        <w:t>ity test does not overestimate</w:t>
      </w:r>
      <w:r w:rsidR="005B2895" w:rsidRPr="00A03684">
        <w:t xml:space="preserve"> the materiality of an emissions price on electricity use</w:t>
      </w:r>
      <w:r w:rsidR="003463AF" w:rsidRPr="00A03684">
        <w:t>,</w:t>
      </w:r>
      <w:r w:rsidR="005B2895" w:rsidRPr="00A03684">
        <w:t xml:space="preserve"> </w:t>
      </w:r>
      <w:r w:rsidR="003463AF" w:rsidRPr="00A03684">
        <w:t>and align</w:t>
      </w:r>
      <w:r w:rsidR="007D198B" w:rsidRPr="00A03684">
        <w:t>s</w:t>
      </w:r>
      <w:r w:rsidR="003463AF" w:rsidRPr="00A03684">
        <w:t xml:space="preserve"> eligibility</w:t>
      </w:r>
      <w:r w:rsidR="00AE5E0F" w:rsidRPr="00A03684">
        <w:t xml:space="preserve"> with New Zealand industry.</w:t>
      </w:r>
      <w:r w:rsidRPr="00A03684">
        <w:t xml:space="preserve"> If the EAF was periodically updated, </w:t>
      </w:r>
      <w:r w:rsidR="007D198B" w:rsidRPr="00A03684">
        <w:t xml:space="preserve">this would raise the question of </w:t>
      </w:r>
      <w:r w:rsidR="0099132A" w:rsidRPr="00A03684">
        <w:t xml:space="preserve">whether </w:t>
      </w:r>
      <w:r w:rsidR="008970B1" w:rsidRPr="00A03684">
        <w:t xml:space="preserve">future </w:t>
      </w:r>
      <w:r w:rsidR="0099132A" w:rsidRPr="00A03684">
        <w:t>update</w:t>
      </w:r>
      <w:r w:rsidR="00605FE0" w:rsidRPr="00A03684">
        <w:t>s</w:t>
      </w:r>
      <w:r w:rsidR="0099132A" w:rsidRPr="00A03684">
        <w:t xml:space="preserve"> </w:t>
      </w:r>
      <w:r w:rsidR="008970B1" w:rsidRPr="00A03684">
        <w:t xml:space="preserve">of the </w:t>
      </w:r>
      <w:r w:rsidR="0099132A" w:rsidRPr="00A03684">
        <w:t xml:space="preserve">EAF </w:t>
      </w:r>
      <w:r w:rsidR="007D198B" w:rsidRPr="00A03684">
        <w:t xml:space="preserve">should </w:t>
      </w:r>
      <w:r w:rsidR="0099132A" w:rsidRPr="00A03684">
        <w:t>trigger a reassessmen</w:t>
      </w:r>
      <w:r w:rsidRPr="00A03684">
        <w:t>t of eligibility</w:t>
      </w:r>
      <w:r w:rsidR="0099132A" w:rsidRPr="00A03684">
        <w:t xml:space="preserve">. </w:t>
      </w:r>
    </w:p>
    <w:p w:rsidR="00B03785" w:rsidRPr="00A03684" w:rsidRDefault="00B03785" w:rsidP="005625BF">
      <w:pPr>
        <w:pStyle w:val="BodyText"/>
        <w:spacing w:before="100" w:after="100"/>
      </w:pPr>
      <w:r w:rsidRPr="00A03684">
        <w:t xml:space="preserve">This </w:t>
      </w:r>
      <w:r w:rsidR="0022627E" w:rsidRPr="00A03684">
        <w:t>approach</w:t>
      </w:r>
      <w:r w:rsidRPr="00A03684">
        <w:t xml:space="preserve"> would reduce the emissions intensities for activities where electricity is included in </w:t>
      </w:r>
      <w:r w:rsidR="00244749" w:rsidRPr="00A03684">
        <w:t>the calculation</w:t>
      </w:r>
      <w:r w:rsidR="0063149F" w:rsidRPr="00A03684">
        <w:t>. This would</w:t>
      </w:r>
      <w:r w:rsidR="00244749" w:rsidRPr="00A03684">
        <w:t xml:space="preserve"> </w:t>
      </w:r>
      <w:r w:rsidRPr="00A03684">
        <w:t xml:space="preserve">affect the eligibility </w:t>
      </w:r>
      <w:r w:rsidR="00DF2E72" w:rsidRPr="00A03684">
        <w:t>of i</w:t>
      </w:r>
      <w:r w:rsidRPr="00A03684">
        <w:t>ndustries</w:t>
      </w:r>
      <w:r w:rsidR="00DF2E72" w:rsidRPr="00A03684">
        <w:t xml:space="preserve"> heavily dependent on </w:t>
      </w:r>
      <w:r w:rsidR="00634E4F" w:rsidRPr="00A03684">
        <w:t>electricity</w:t>
      </w:r>
      <w:r w:rsidR="00DF2E72" w:rsidRPr="00A03684">
        <w:t xml:space="preserve"> and</w:t>
      </w:r>
      <w:r w:rsidRPr="00A03684">
        <w:t xml:space="preserve"> close to </w:t>
      </w:r>
      <w:r w:rsidR="00DF2E72" w:rsidRPr="00A03684">
        <w:t xml:space="preserve">the </w:t>
      </w:r>
      <w:r w:rsidRPr="00A03684">
        <w:t xml:space="preserve">intensity </w:t>
      </w:r>
      <w:r w:rsidR="00EB35C2" w:rsidRPr="00A03684">
        <w:t xml:space="preserve">thresholds. This </w:t>
      </w:r>
      <w:r w:rsidR="00105599" w:rsidRPr="00A03684">
        <w:t>c</w:t>
      </w:r>
      <w:r w:rsidR="00EB35C2" w:rsidRPr="00A03684">
        <w:t>ould reduce</w:t>
      </w:r>
      <w:r w:rsidR="00366514" w:rsidRPr="00A03684">
        <w:t xml:space="preserve"> some</w:t>
      </w:r>
      <w:r w:rsidR="00AE6629" w:rsidRPr="00A03684">
        <w:t xml:space="preserve"> over-allocation </w:t>
      </w:r>
      <w:r w:rsidR="0063149F" w:rsidRPr="00A03684">
        <w:t xml:space="preserve">if </w:t>
      </w:r>
      <w:r w:rsidR="00105599" w:rsidRPr="00A03684">
        <w:t xml:space="preserve">industries were made eligible due to their high electricity use. </w:t>
      </w:r>
    </w:p>
    <w:p w:rsidR="00B03785" w:rsidRPr="00A03684" w:rsidRDefault="00EB35C2" w:rsidP="005625BF">
      <w:pPr>
        <w:pStyle w:val="BodyText"/>
        <w:spacing w:before="100" w:after="100"/>
      </w:pPr>
      <w:r w:rsidRPr="00A03684">
        <w:t xml:space="preserve">However, </w:t>
      </w:r>
      <w:r w:rsidR="009107E5" w:rsidRPr="00A03684">
        <w:t xml:space="preserve">regular EAF updates and frequent eligibility reviews </w:t>
      </w:r>
      <w:r w:rsidR="00B03785" w:rsidRPr="00A03684">
        <w:t xml:space="preserve">could </w:t>
      </w:r>
      <w:r w:rsidR="0063149F" w:rsidRPr="00A03684">
        <w:t xml:space="preserve">bring </w:t>
      </w:r>
      <w:r w:rsidR="009107E5" w:rsidRPr="00A03684">
        <w:t>some</w:t>
      </w:r>
      <w:r w:rsidR="00B03785" w:rsidRPr="00A03684">
        <w:t xml:space="preserve"> uncertainty for </w:t>
      </w:r>
      <w:r w:rsidRPr="00A03684">
        <w:t>EITE firms</w:t>
      </w:r>
      <w:r w:rsidR="00B03785" w:rsidRPr="00A03684">
        <w:t xml:space="preserve">. </w:t>
      </w:r>
      <w:r w:rsidR="008F3BA3" w:rsidRPr="00A03684">
        <w:t>The</w:t>
      </w:r>
      <w:r w:rsidR="00BD5F0B" w:rsidRPr="00A03684">
        <w:t xml:space="preserve"> EAF depends on many </w:t>
      </w:r>
      <w:r w:rsidR="008F3BA3" w:rsidRPr="00A03684">
        <w:t xml:space="preserve">factors </w:t>
      </w:r>
      <w:r w:rsidR="0063149F" w:rsidRPr="00A03684">
        <w:t xml:space="preserve">that </w:t>
      </w:r>
      <w:r w:rsidR="008F3BA3" w:rsidRPr="00A03684">
        <w:t xml:space="preserve">are not wholly predictable. If eligibility was continually </w:t>
      </w:r>
      <w:r w:rsidR="00675CA6" w:rsidRPr="00A03684">
        <w:t>reassessed</w:t>
      </w:r>
      <w:r w:rsidR="008F3BA3" w:rsidRPr="00A03684">
        <w:t xml:space="preserve"> every time the EAF was updated, high electricity users could find themselves eligible one year and ineligible the next. </w:t>
      </w:r>
      <w:r w:rsidR="0063149F" w:rsidRPr="00A03684">
        <w:t xml:space="preserve">Continuous reassessment </w:t>
      </w:r>
      <w:r w:rsidR="00B03785" w:rsidRPr="00A03684">
        <w:t>would also create some</w:t>
      </w:r>
      <w:r w:rsidR="003463AF" w:rsidRPr="00A03684">
        <w:t xml:space="preserve"> administrative burden for the </w:t>
      </w:r>
      <w:r w:rsidR="0063149F" w:rsidRPr="00A03684">
        <w:t>G</w:t>
      </w:r>
      <w:r w:rsidR="00B03785" w:rsidRPr="00A03684">
        <w:t>overnment.</w:t>
      </w:r>
      <w:r w:rsidR="00244749" w:rsidRPr="00A03684">
        <w:t xml:space="preserve"> </w:t>
      </w:r>
      <w:r w:rsidR="00FD2C7F" w:rsidRPr="00A03684">
        <w:t>This proposal c</w:t>
      </w:r>
      <w:r w:rsidR="00FF330E" w:rsidRPr="00A03684">
        <w:t xml:space="preserve">ould </w:t>
      </w:r>
      <w:r w:rsidR="00FD2C7F" w:rsidRPr="00A03684">
        <w:t xml:space="preserve">also </w:t>
      </w:r>
      <w:r w:rsidR="00FF330E" w:rsidRPr="00A03684">
        <w:t>require adjustment of the thresholds</w:t>
      </w:r>
      <w:r w:rsidR="00FD2C7F" w:rsidRPr="00A03684">
        <w:t>,</w:t>
      </w:r>
      <w:r w:rsidR="00FF330E" w:rsidRPr="00A03684">
        <w:t xml:space="preserve"> </w:t>
      </w:r>
      <w:r w:rsidR="00856372" w:rsidRPr="00A03684">
        <w:t>as th</w:t>
      </w:r>
      <w:r w:rsidR="00675CA6" w:rsidRPr="00A03684">
        <w:t>ese</w:t>
      </w:r>
      <w:r w:rsidR="00856372" w:rsidRPr="00A03684">
        <w:t xml:space="preserve"> were calculated </w:t>
      </w:r>
      <w:r w:rsidR="0063149F" w:rsidRPr="00A03684">
        <w:t>when</w:t>
      </w:r>
      <w:r w:rsidR="00856372" w:rsidRPr="00A03684">
        <w:t xml:space="preserve"> electricity generation had a higher emissions intensity. </w:t>
      </w:r>
    </w:p>
    <w:p w:rsidR="003239C7" w:rsidRPr="00A03684" w:rsidRDefault="003239C7" w:rsidP="006E2F4F">
      <w:pPr>
        <w:pStyle w:val="Tableheading"/>
      </w:pPr>
      <w:bookmarkStart w:id="45" w:name="_Toc75262178"/>
      <w:r w:rsidRPr="00A03684">
        <w:t xml:space="preserve">Table </w:t>
      </w:r>
      <w:r w:rsidR="00AC6EA7" w:rsidRPr="00A03684">
        <w:t>9</w:t>
      </w:r>
      <w:r w:rsidRPr="00A03684">
        <w:t>:</w:t>
      </w:r>
      <w:r w:rsidRPr="00A03684">
        <w:tab/>
      </w:r>
      <w:r w:rsidR="004A5715" w:rsidRPr="00A03684">
        <w:t>Assessment of using the New Zealand EAF to assess eligibility</w:t>
      </w:r>
      <w:bookmarkEnd w:id="45"/>
      <w:r w:rsidR="004A5715" w:rsidRPr="00A03684">
        <w:t xml:space="preserve"> </w:t>
      </w:r>
    </w:p>
    <w:tbl>
      <w:tblPr>
        <w:tblStyle w:val="TableGrid1"/>
        <w:tblW w:w="8508"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418"/>
        <w:gridCol w:w="1418"/>
        <w:gridCol w:w="1418"/>
        <w:gridCol w:w="1418"/>
        <w:gridCol w:w="1418"/>
        <w:gridCol w:w="1418"/>
      </w:tblGrid>
      <w:tr w:rsidR="006E2F4F" w:rsidRPr="00A03684" w:rsidTr="006E2F4F">
        <w:trPr>
          <w:tblHeader/>
        </w:trPr>
        <w:tc>
          <w:tcPr>
            <w:tcW w:w="1418" w:type="dxa"/>
            <w:shd w:val="clear" w:color="auto" w:fill="1C556C"/>
            <w:vAlign w:val="bottom"/>
          </w:tcPr>
          <w:p w:rsidR="00366514" w:rsidRPr="00A03684" w:rsidRDefault="00366514" w:rsidP="005625BF">
            <w:pPr>
              <w:pStyle w:val="TableTextbold"/>
              <w:spacing w:before="40" w:after="40" w:line="230" w:lineRule="atLeast"/>
              <w:rPr>
                <w:color w:val="FFFFFF" w:themeColor="background1"/>
              </w:rPr>
            </w:pPr>
            <w:r w:rsidRPr="00A03684">
              <w:rPr>
                <w:color w:val="FFFFFF" w:themeColor="background1"/>
              </w:rPr>
              <w:t>Option</w:t>
            </w:r>
          </w:p>
        </w:tc>
        <w:tc>
          <w:tcPr>
            <w:tcW w:w="1418" w:type="dxa"/>
            <w:shd w:val="clear" w:color="auto" w:fill="1C556C"/>
            <w:vAlign w:val="bottom"/>
          </w:tcPr>
          <w:p w:rsidR="00366514" w:rsidRPr="00A03684" w:rsidRDefault="00366514" w:rsidP="005625BF">
            <w:pPr>
              <w:pStyle w:val="TableTextbold"/>
              <w:spacing w:before="40" w:after="40" w:line="230" w:lineRule="atLeast"/>
              <w:rPr>
                <w:color w:val="FFFFFF" w:themeColor="background1"/>
              </w:rPr>
            </w:pPr>
            <w:r w:rsidRPr="00A03684">
              <w:rPr>
                <w:color w:val="FFFFFF" w:themeColor="background1"/>
              </w:rPr>
              <w:t>Consisten</w:t>
            </w:r>
            <w:r w:rsidR="0063149F" w:rsidRPr="00A03684">
              <w:rPr>
                <w:color w:val="FFFFFF" w:themeColor="background1"/>
              </w:rPr>
              <w:t>t</w:t>
            </w:r>
            <w:r w:rsidRPr="00A03684">
              <w:rPr>
                <w:color w:val="FFFFFF" w:themeColor="background1"/>
              </w:rPr>
              <w:t xml:space="preserve"> with </w:t>
            </w:r>
            <w:r w:rsidR="0063149F" w:rsidRPr="00A03684">
              <w:rPr>
                <w:color w:val="FFFFFF" w:themeColor="background1"/>
              </w:rPr>
              <w:t xml:space="preserve">NZ ETS </w:t>
            </w:r>
            <w:r w:rsidRPr="00A03684">
              <w:rPr>
                <w:color w:val="FFFFFF" w:themeColor="background1"/>
              </w:rPr>
              <w:t xml:space="preserve">objectives </w:t>
            </w:r>
          </w:p>
        </w:tc>
        <w:tc>
          <w:tcPr>
            <w:tcW w:w="1418" w:type="dxa"/>
            <w:shd w:val="clear" w:color="auto" w:fill="1C556C"/>
            <w:vAlign w:val="bottom"/>
          </w:tcPr>
          <w:p w:rsidR="00366514" w:rsidRPr="00A03684" w:rsidRDefault="00366514" w:rsidP="005625BF">
            <w:pPr>
              <w:pStyle w:val="TableTextbold"/>
              <w:spacing w:before="40" w:after="40" w:line="230" w:lineRule="atLeast"/>
              <w:rPr>
                <w:color w:val="FFFFFF" w:themeColor="background1"/>
              </w:rPr>
            </w:pPr>
            <w:r w:rsidRPr="00A03684">
              <w:rPr>
                <w:color w:val="FFFFFF" w:themeColor="background1"/>
              </w:rPr>
              <w:t xml:space="preserve">Addresses over-allocation </w:t>
            </w:r>
          </w:p>
        </w:tc>
        <w:tc>
          <w:tcPr>
            <w:tcW w:w="1418" w:type="dxa"/>
            <w:shd w:val="clear" w:color="auto" w:fill="1C556C"/>
            <w:vAlign w:val="bottom"/>
          </w:tcPr>
          <w:p w:rsidR="00366514" w:rsidRPr="00A03684" w:rsidRDefault="00366514" w:rsidP="005625BF">
            <w:pPr>
              <w:pStyle w:val="TableTextbold"/>
              <w:spacing w:before="40" w:after="40" w:line="230" w:lineRule="atLeast"/>
              <w:rPr>
                <w:color w:val="FFFFFF" w:themeColor="background1"/>
              </w:rPr>
            </w:pPr>
            <w:r w:rsidRPr="00A03684">
              <w:rPr>
                <w:color w:val="FFFFFF" w:themeColor="background1"/>
              </w:rPr>
              <w:t>Addresses leakage risk</w:t>
            </w:r>
          </w:p>
        </w:tc>
        <w:tc>
          <w:tcPr>
            <w:tcW w:w="1418" w:type="dxa"/>
            <w:shd w:val="clear" w:color="auto" w:fill="1C556C"/>
            <w:vAlign w:val="bottom"/>
          </w:tcPr>
          <w:p w:rsidR="00366514" w:rsidRPr="00A03684" w:rsidRDefault="00366514" w:rsidP="005625BF">
            <w:pPr>
              <w:pStyle w:val="TableTextbold"/>
              <w:spacing w:before="40" w:after="40" w:line="230" w:lineRule="atLeast"/>
              <w:rPr>
                <w:color w:val="FFFFFF" w:themeColor="background1"/>
              </w:rPr>
            </w:pPr>
            <w:r w:rsidRPr="00A03684">
              <w:rPr>
                <w:color w:val="FFFFFF" w:themeColor="background1"/>
              </w:rPr>
              <w:t>Regulatory certainty and predictability</w:t>
            </w:r>
          </w:p>
        </w:tc>
        <w:tc>
          <w:tcPr>
            <w:tcW w:w="1418" w:type="dxa"/>
            <w:shd w:val="clear" w:color="auto" w:fill="1C556C"/>
            <w:vAlign w:val="bottom"/>
          </w:tcPr>
          <w:p w:rsidR="00366514" w:rsidRPr="00A03684" w:rsidRDefault="00366514" w:rsidP="005625BF">
            <w:pPr>
              <w:pStyle w:val="TableTextbold"/>
              <w:spacing w:before="40" w:after="40" w:line="230" w:lineRule="atLeast"/>
              <w:rPr>
                <w:color w:val="FFFFFF" w:themeColor="background1"/>
              </w:rPr>
            </w:pPr>
            <w:r w:rsidRPr="00A03684">
              <w:rPr>
                <w:color w:val="FFFFFF" w:themeColor="background1"/>
              </w:rPr>
              <w:t>Minimise</w:t>
            </w:r>
            <w:r w:rsidR="00EA50EE" w:rsidRPr="00A03684">
              <w:rPr>
                <w:color w:val="FFFFFF" w:themeColor="background1"/>
              </w:rPr>
              <w:t>s</w:t>
            </w:r>
            <w:r w:rsidRPr="00A03684">
              <w:rPr>
                <w:color w:val="FFFFFF" w:themeColor="background1"/>
              </w:rPr>
              <w:t xml:space="preserve"> administrative burden, costs and complexity</w:t>
            </w:r>
          </w:p>
        </w:tc>
      </w:tr>
      <w:tr w:rsidR="00366514" w:rsidRPr="00A03684" w:rsidTr="00800EBA">
        <w:tc>
          <w:tcPr>
            <w:tcW w:w="1418" w:type="dxa"/>
            <w:shd w:val="clear" w:color="auto" w:fill="auto"/>
          </w:tcPr>
          <w:p w:rsidR="00366514" w:rsidRPr="00A03684" w:rsidRDefault="00366514" w:rsidP="005625BF">
            <w:pPr>
              <w:pStyle w:val="TableText"/>
              <w:spacing w:before="40" w:after="40" w:line="230" w:lineRule="atLeast"/>
            </w:pPr>
            <w:r w:rsidRPr="00A03684">
              <w:t xml:space="preserve">Status quo – </w:t>
            </w:r>
            <w:r w:rsidR="00A64A33" w:rsidRPr="00A03684">
              <w:t>r</w:t>
            </w:r>
            <w:r w:rsidRPr="00A03684">
              <w:t xml:space="preserve">etain the Australian EAF </w:t>
            </w:r>
          </w:p>
        </w:tc>
        <w:tc>
          <w:tcPr>
            <w:tcW w:w="1418" w:type="dxa"/>
            <w:shd w:val="clear" w:color="auto" w:fill="auto"/>
          </w:tcPr>
          <w:p w:rsidR="00366514" w:rsidRPr="00A03684" w:rsidRDefault="00366514" w:rsidP="005625BF">
            <w:pPr>
              <w:pStyle w:val="TableText"/>
              <w:spacing w:before="40" w:after="40" w:line="230" w:lineRule="atLeast"/>
              <w:jc w:val="center"/>
            </w:pPr>
            <w:r w:rsidRPr="00A03684">
              <w:t>o</w:t>
            </w:r>
          </w:p>
        </w:tc>
        <w:tc>
          <w:tcPr>
            <w:tcW w:w="1418" w:type="dxa"/>
          </w:tcPr>
          <w:p w:rsidR="00366514" w:rsidRPr="00A03684" w:rsidRDefault="00366514" w:rsidP="005625BF">
            <w:pPr>
              <w:pStyle w:val="TableText"/>
              <w:spacing w:before="40" w:after="40" w:line="230" w:lineRule="atLeast"/>
              <w:jc w:val="center"/>
            </w:pPr>
            <w:r w:rsidRPr="00A03684">
              <w:t>o</w:t>
            </w:r>
          </w:p>
        </w:tc>
        <w:tc>
          <w:tcPr>
            <w:tcW w:w="1418" w:type="dxa"/>
          </w:tcPr>
          <w:p w:rsidR="00366514" w:rsidRPr="00A03684" w:rsidRDefault="00366514" w:rsidP="005625BF">
            <w:pPr>
              <w:pStyle w:val="TableText"/>
              <w:spacing w:before="40" w:after="40" w:line="230" w:lineRule="atLeast"/>
              <w:jc w:val="center"/>
            </w:pPr>
            <w:r w:rsidRPr="00A03684">
              <w:t>o</w:t>
            </w:r>
          </w:p>
        </w:tc>
        <w:tc>
          <w:tcPr>
            <w:tcW w:w="1418" w:type="dxa"/>
          </w:tcPr>
          <w:p w:rsidR="00366514" w:rsidRPr="00A03684" w:rsidRDefault="00366514" w:rsidP="005625BF">
            <w:pPr>
              <w:pStyle w:val="TableText"/>
              <w:spacing w:before="40" w:after="40" w:line="230" w:lineRule="atLeast"/>
              <w:jc w:val="center"/>
            </w:pPr>
            <w:r w:rsidRPr="00A03684">
              <w:t>o</w:t>
            </w:r>
          </w:p>
        </w:tc>
        <w:tc>
          <w:tcPr>
            <w:tcW w:w="1418" w:type="dxa"/>
          </w:tcPr>
          <w:p w:rsidR="00366514" w:rsidRPr="00A03684" w:rsidRDefault="00366514" w:rsidP="005625BF">
            <w:pPr>
              <w:pStyle w:val="TableText"/>
              <w:spacing w:before="40" w:after="40" w:line="230" w:lineRule="atLeast"/>
              <w:jc w:val="center"/>
            </w:pPr>
            <w:r w:rsidRPr="00A03684">
              <w:t>o</w:t>
            </w:r>
          </w:p>
        </w:tc>
      </w:tr>
      <w:tr w:rsidR="00366514" w:rsidRPr="00A03684" w:rsidTr="00E533A1">
        <w:tc>
          <w:tcPr>
            <w:tcW w:w="1418" w:type="dxa"/>
            <w:shd w:val="clear" w:color="auto" w:fill="auto"/>
          </w:tcPr>
          <w:p w:rsidR="00366514" w:rsidRPr="00A03684" w:rsidRDefault="00366514" w:rsidP="005625BF">
            <w:pPr>
              <w:pStyle w:val="TableText"/>
              <w:spacing w:before="40" w:after="40" w:line="230" w:lineRule="atLeast"/>
            </w:pPr>
            <w:r w:rsidRPr="00A03684">
              <w:t xml:space="preserve">Use the </w:t>
            </w:r>
            <w:r w:rsidR="00EA50EE" w:rsidRPr="00A03684">
              <w:t>NZ</w:t>
            </w:r>
            <w:r w:rsidRPr="00A03684">
              <w:t xml:space="preserve"> EAF </w:t>
            </w:r>
          </w:p>
        </w:tc>
        <w:tc>
          <w:tcPr>
            <w:tcW w:w="1418" w:type="dxa"/>
            <w:shd w:val="clear" w:color="auto" w:fill="CFE5E5"/>
          </w:tcPr>
          <w:p w:rsidR="00366514" w:rsidRPr="00A03684" w:rsidRDefault="00D814C2" w:rsidP="005625BF">
            <w:pPr>
              <w:pStyle w:val="TableText"/>
              <w:spacing w:before="40" w:after="40" w:line="230" w:lineRule="atLeast"/>
              <w:jc w:val="center"/>
            </w:pPr>
            <w:r w:rsidRPr="00A03684">
              <w:sym w:font="Wingdings" w:char="F0FC"/>
            </w:r>
          </w:p>
          <w:p w:rsidR="00366514" w:rsidRPr="00A03684" w:rsidRDefault="004A5715" w:rsidP="005625BF">
            <w:pPr>
              <w:pStyle w:val="TableText"/>
              <w:spacing w:before="40" w:after="40" w:line="230" w:lineRule="atLeast"/>
              <w:jc w:val="center"/>
            </w:pPr>
            <w:r w:rsidRPr="00A03684">
              <w:t xml:space="preserve">Supports alignment of </w:t>
            </w:r>
            <w:r w:rsidR="001437FD" w:rsidRPr="00A03684">
              <w:t>IA</w:t>
            </w:r>
            <w:r w:rsidRPr="00A03684">
              <w:t xml:space="preserve"> volumes and emissions budgets</w:t>
            </w:r>
          </w:p>
        </w:tc>
        <w:tc>
          <w:tcPr>
            <w:tcW w:w="1418" w:type="dxa"/>
            <w:shd w:val="clear" w:color="auto" w:fill="CFE5E5"/>
          </w:tcPr>
          <w:p w:rsidR="00366514" w:rsidRPr="00A03684" w:rsidRDefault="00D814C2" w:rsidP="005625BF">
            <w:pPr>
              <w:pStyle w:val="TableText"/>
              <w:spacing w:before="40" w:after="40" w:line="230" w:lineRule="atLeast"/>
              <w:jc w:val="center"/>
            </w:pPr>
            <w:r w:rsidRPr="00A03684">
              <w:sym w:font="Wingdings" w:char="F0FC"/>
            </w:r>
          </w:p>
          <w:p w:rsidR="00366514" w:rsidRPr="00A03684" w:rsidRDefault="00366514" w:rsidP="005625BF">
            <w:pPr>
              <w:pStyle w:val="TableText"/>
              <w:spacing w:before="40" w:after="40" w:line="230" w:lineRule="atLeast"/>
              <w:jc w:val="center"/>
            </w:pPr>
            <w:r w:rsidRPr="00A03684">
              <w:t>Could change the eligibility status of some activities that use electricity an</w:t>
            </w:r>
            <w:r w:rsidR="00BF5BCC" w:rsidRPr="00A03684">
              <w:t>d are currently over-allocated</w:t>
            </w:r>
          </w:p>
        </w:tc>
        <w:tc>
          <w:tcPr>
            <w:tcW w:w="1418" w:type="dxa"/>
          </w:tcPr>
          <w:p w:rsidR="00366514" w:rsidRPr="00A03684" w:rsidRDefault="00366514" w:rsidP="005625BF">
            <w:pPr>
              <w:pStyle w:val="TableText"/>
              <w:spacing w:before="40" w:after="40" w:line="230" w:lineRule="atLeast"/>
              <w:jc w:val="center"/>
            </w:pPr>
            <w:r w:rsidRPr="00A03684">
              <w:t>o</w:t>
            </w:r>
          </w:p>
        </w:tc>
        <w:tc>
          <w:tcPr>
            <w:tcW w:w="1418" w:type="dxa"/>
            <w:shd w:val="clear" w:color="auto" w:fill="F7E1D3" w:themeFill="accent6" w:themeFillTint="33"/>
          </w:tcPr>
          <w:p w:rsidR="00366514" w:rsidRPr="00A03684" w:rsidRDefault="00366514" w:rsidP="005625BF">
            <w:pPr>
              <w:pStyle w:val="TableText"/>
              <w:spacing w:before="40" w:after="40" w:line="230" w:lineRule="atLeast"/>
              <w:jc w:val="center"/>
            </w:pPr>
            <w:r w:rsidRPr="00A03684">
              <w:t>x</w:t>
            </w:r>
          </w:p>
          <w:p w:rsidR="00366514" w:rsidRPr="00A03684" w:rsidRDefault="00366514" w:rsidP="005625BF">
            <w:pPr>
              <w:pStyle w:val="TableText"/>
              <w:spacing w:before="40" w:after="40" w:line="230" w:lineRule="atLeast"/>
              <w:jc w:val="center"/>
            </w:pPr>
            <w:r w:rsidRPr="00A03684">
              <w:t xml:space="preserve">Periodic </w:t>
            </w:r>
            <w:r w:rsidR="00EA50EE" w:rsidRPr="00A03684">
              <w:t xml:space="preserve">EAF </w:t>
            </w:r>
            <w:r w:rsidRPr="00A03684">
              <w:t xml:space="preserve">updates could trigger eligibility reassessments, creating uncertainty for some EITE firms </w:t>
            </w:r>
            <w:r w:rsidR="00EA50EE" w:rsidRPr="00A03684">
              <w:t xml:space="preserve">on </w:t>
            </w:r>
            <w:r w:rsidRPr="00A03684">
              <w:t>eligibility</w:t>
            </w:r>
          </w:p>
        </w:tc>
        <w:tc>
          <w:tcPr>
            <w:tcW w:w="1418" w:type="dxa"/>
            <w:shd w:val="clear" w:color="auto" w:fill="F7E1D3" w:themeFill="accent6" w:themeFillTint="33"/>
          </w:tcPr>
          <w:p w:rsidR="00366514" w:rsidRPr="00A03684" w:rsidRDefault="004A5715" w:rsidP="005625BF">
            <w:pPr>
              <w:pStyle w:val="TableText"/>
              <w:spacing w:before="40" w:after="40" w:line="230" w:lineRule="atLeast"/>
              <w:jc w:val="center"/>
            </w:pPr>
            <w:r w:rsidRPr="00A03684">
              <w:t>x</w:t>
            </w:r>
          </w:p>
          <w:p w:rsidR="00366514" w:rsidRPr="00A03684" w:rsidRDefault="004A5715" w:rsidP="005625BF">
            <w:pPr>
              <w:pStyle w:val="TableText"/>
              <w:spacing w:before="40" w:after="40" w:line="230" w:lineRule="atLeast"/>
              <w:jc w:val="center"/>
            </w:pPr>
            <w:r w:rsidRPr="00A03684">
              <w:t xml:space="preserve">Periodic </w:t>
            </w:r>
            <w:r w:rsidR="00EA50EE" w:rsidRPr="00A03684">
              <w:t xml:space="preserve">EAF </w:t>
            </w:r>
            <w:r w:rsidRPr="00A03684">
              <w:t>updates could trigger eligibility reassessments, creating administrative costs and burden for the Crown</w:t>
            </w:r>
          </w:p>
        </w:tc>
      </w:tr>
    </w:tbl>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605FE0" w:rsidRPr="00A03684" w:rsidTr="00BA1F3D">
        <w:tc>
          <w:tcPr>
            <w:tcW w:w="0" w:type="auto"/>
            <w:shd w:val="clear" w:color="auto" w:fill="D2DDE2"/>
          </w:tcPr>
          <w:p w:rsidR="00D608F2" w:rsidRPr="00A03684" w:rsidRDefault="00D608F2" w:rsidP="00BA1F3D">
            <w:pPr>
              <w:pStyle w:val="Blueboxheading"/>
            </w:pPr>
            <w:bookmarkStart w:id="46" w:name="_Hlk73525103"/>
            <w:bookmarkStart w:id="47" w:name="_Hlk71623080"/>
            <w:r w:rsidRPr="00A03684">
              <w:t>Eligibility</w:t>
            </w:r>
          </w:p>
          <w:p w:rsidR="00605FE0" w:rsidRPr="00A03684" w:rsidRDefault="004676B8" w:rsidP="00800EBA">
            <w:pPr>
              <w:pStyle w:val="Blueboxtext"/>
              <w:spacing w:after="80"/>
            </w:pPr>
            <w:r w:rsidRPr="00A03684">
              <w:t>Question 1</w:t>
            </w:r>
            <w:r w:rsidR="0026285C" w:rsidRPr="00A03684">
              <w:t>1</w:t>
            </w:r>
            <w:r w:rsidRPr="00A03684">
              <w:t xml:space="preserve">: </w:t>
            </w:r>
            <w:r w:rsidR="00605FE0" w:rsidRPr="00A03684">
              <w:t xml:space="preserve">Should the New Zealand EAF be used when determining eligibility? </w:t>
            </w:r>
            <w:r w:rsidR="00E51959" w:rsidRPr="00A03684">
              <w:t>Why, or why</w:t>
            </w:r>
            <w:r w:rsidR="00800EBA">
              <w:t> </w:t>
            </w:r>
            <w:r w:rsidR="00E51959" w:rsidRPr="00A03684">
              <w:t>not?</w:t>
            </w:r>
            <w:r w:rsidR="00605FE0" w:rsidRPr="00A03684">
              <w:t xml:space="preserve"> </w:t>
            </w:r>
          </w:p>
          <w:p w:rsidR="00AE5E0F" w:rsidRPr="00A03684" w:rsidRDefault="004676B8" w:rsidP="0000431A">
            <w:pPr>
              <w:pStyle w:val="Blueboxtext"/>
              <w:spacing w:before="80" w:after="240"/>
            </w:pPr>
            <w:r w:rsidRPr="00A03684">
              <w:t>Question 1</w:t>
            </w:r>
            <w:r w:rsidR="0026285C" w:rsidRPr="00A03684">
              <w:t>2</w:t>
            </w:r>
            <w:r w:rsidRPr="00A03684">
              <w:t xml:space="preserve">: </w:t>
            </w:r>
            <w:r w:rsidR="00605FE0" w:rsidRPr="00A03684">
              <w:t xml:space="preserve">Should periodic updates of the EAF trigger a recalculation of eligibility? </w:t>
            </w:r>
            <w:r w:rsidR="00661561" w:rsidRPr="00A03684">
              <w:t xml:space="preserve">Why, or why not? </w:t>
            </w:r>
            <w:bookmarkEnd w:id="46"/>
          </w:p>
        </w:tc>
      </w:tr>
    </w:tbl>
    <w:bookmarkEnd w:id="47"/>
    <w:p w:rsidR="00BC0B86" w:rsidRPr="00A03684" w:rsidRDefault="00BC0B86" w:rsidP="00BA1F3D">
      <w:pPr>
        <w:pStyle w:val="Heading3"/>
        <w:spacing w:before="440"/>
      </w:pPr>
      <w:r w:rsidRPr="00A03684">
        <w:t>Trade exposure test</w:t>
      </w:r>
    </w:p>
    <w:p w:rsidR="00BC0B86" w:rsidRPr="00A03684" w:rsidRDefault="00BC0B86" w:rsidP="007611D9">
      <w:pPr>
        <w:pStyle w:val="BodyText"/>
      </w:pPr>
      <w:r w:rsidRPr="00A03684">
        <w:t xml:space="preserve">The </w:t>
      </w:r>
      <w:r w:rsidR="00856372" w:rsidRPr="00A03684">
        <w:t>trade exposure test</w:t>
      </w:r>
      <w:r w:rsidR="002655E8" w:rsidRPr="00A03684">
        <w:t xml:space="preserve"> is </w:t>
      </w:r>
      <w:r w:rsidR="00505943" w:rsidRPr="00A03684">
        <w:t>all-inclusive</w:t>
      </w:r>
      <w:r w:rsidR="002655E8" w:rsidRPr="00A03684">
        <w:t xml:space="preserve"> by default. </w:t>
      </w:r>
      <w:r w:rsidR="00615BF9" w:rsidRPr="00A03684">
        <w:t>I</w:t>
      </w:r>
      <w:r w:rsidRPr="00A03684">
        <w:t xml:space="preserve">f the product of any domestic industrial activity is traded overseas, it is automatically considered to have met the trade exposure test. </w:t>
      </w:r>
    </w:p>
    <w:p w:rsidR="00BC0B86" w:rsidRPr="00A03684" w:rsidRDefault="002655E8" w:rsidP="007611D9">
      <w:pPr>
        <w:pStyle w:val="BodyText"/>
      </w:pPr>
      <w:r w:rsidRPr="00A03684">
        <w:t>This broad test is likely capturing some</w:t>
      </w:r>
      <w:r w:rsidR="00BC0B86" w:rsidRPr="00A03684">
        <w:t xml:space="preserve"> activities that are not trade</w:t>
      </w:r>
      <w:r w:rsidR="00A64A33" w:rsidRPr="00A03684">
        <w:t>-</w:t>
      </w:r>
      <w:r w:rsidR="00BC0B86" w:rsidRPr="00A03684">
        <w:t xml:space="preserve">exposed. A more calibrated test could </w:t>
      </w:r>
      <w:r w:rsidR="004A5715" w:rsidRPr="00A03684">
        <w:t xml:space="preserve">ensure </w:t>
      </w:r>
      <w:r w:rsidR="00BC0B86" w:rsidRPr="00A03684">
        <w:t xml:space="preserve">only activities genuinely at a competitive disadvantage are eligible for </w:t>
      </w:r>
      <w:r w:rsidR="001437FD" w:rsidRPr="00A03684">
        <w:t>IA</w:t>
      </w:r>
      <w:r w:rsidR="00BC0B86" w:rsidRPr="00A03684">
        <w:t xml:space="preserve">. </w:t>
      </w:r>
    </w:p>
    <w:p w:rsidR="00BC0B86" w:rsidRPr="00A03684" w:rsidRDefault="00BC0B86" w:rsidP="007611D9">
      <w:pPr>
        <w:pStyle w:val="Heading4"/>
      </w:pPr>
      <w:r w:rsidRPr="00A03684">
        <w:t>Option 1: Status quo – retain the current test</w:t>
      </w:r>
    </w:p>
    <w:p w:rsidR="00BC0B86" w:rsidRPr="00A03684" w:rsidRDefault="00BC0B86" w:rsidP="007611D9">
      <w:pPr>
        <w:pStyle w:val="BodyText"/>
      </w:pPr>
      <w:r w:rsidRPr="00A03684">
        <w:t>The current test for trade exposure would be retained and used to determine eligibility if reassessed</w:t>
      </w:r>
      <w:r w:rsidR="002655E8" w:rsidRPr="00A03684">
        <w:t>.</w:t>
      </w:r>
    </w:p>
    <w:p w:rsidR="00BC0B86" w:rsidRPr="00A03684" w:rsidRDefault="00BC0B86" w:rsidP="007611D9">
      <w:pPr>
        <w:pStyle w:val="Heading4"/>
      </w:pPr>
      <w:r w:rsidRPr="00A03684">
        <w:t xml:space="preserve">Option 2: Change the test </w:t>
      </w:r>
    </w:p>
    <w:p w:rsidR="00615BF9" w:rsidRPr="00A03684" w:rsidRDefault="00BC0B86" w:rsidP="007611D9">
      <w:pPr>
        <w:pStyle w:val="BodyText"/>
      </w:pPr>
      <w:r w:rsidRPr="00A03684">
        <w:t xml:space="preserve">A new, more rigorous test </w:t>
      </w:r>
      <w:r w:rsidR="00A64A33" w:rsidRPr="00A03684">
        <w:t>w</w:t>
      </w:r>
      <w:r w:rsidRPr="00A03684">
        <w:t>ould</w:t>
      </w:r>
      <w:r w:rsidR="00615BF9" w:rsidRPr="00A03684">
        <w:t>:</w:t>
      </w:r>
    </w:p>
    <w:p w:rsidR="00615BF9" w:rsidRPr="00A03684" w:rsidRDefault="00BC0B86" w:rsidP="00BA1F3D">
      <w:pPr>
        <w:pStyle w:val="Bullet"/>
      </w:pPr>
      <w:r w:rsidRPr="00A03684">
        <w:t>more accurately define trade exposure</w:t>
      </w:r>
      <w:r w:rsidR="00B5554B" w:rsidRPr="00A03684">
        <w:t xml:space="preserve"> (or the ability for firms to pass on price)</w:t>
      </w:r>
      <w:r w:rsidRPr="00A03684">
        <w:t xml:space="preserve"> </w:t>
      </w:r>
    </w:p>
    <w:p w:rsidR="00615BF9" w:rsidRPr="00A03684" w:rsidRDefault="00BC0B86" w:rsidP="00BA1F3D">
      <w:pPr>
        <w:pStyle w:val="Bullet"/>
      </w:pPr>
      <w:r w:rsidRPr="00A03684">
        <w:t xml:space="preserve">only capture activities at genuine risk of </w:t>
      </w:r>
      <w:r w:rsidR="004A5715" w:rsidRPr="00A03684">
        <w:t>trade exposure</w:t>
      </w:r>
      <w:r w:rsidRPr="00A03684">
        <w:t xml:space="preserve">. </w:t>
      </w:r>
    </w:p>
    <w:p w:rsidR="00BC0B86" w:rsidRPr="00A03684" w:rsidRDefault="00BC0B86" w:rsidP="00615BF9">
      <w:pPr>
        <w:pStyle w:val="BodyText"/>
      </w:pPr>
      <w:r w:rsidRPr="00A03684">
        <w:t xml:space="preserve">This new test would be applied if eligibility was reassessed. </w:t>
      </w:r>
    </w:p>
    <w:p w:rsidR="00BC0B86" w:rsidRPr="00A03684" w:rsidRDefault="002655E8" w:rsidP="007611D9">
      <w:pPr>
        <w:pStyle w:val="BodyText"/>
      </w:pPr>
      <w:r w:rsidRPr="00A03684">
        <w:t>O</w:t>
      </w:r>
      <w:r w:rsidR="00803E10" w:rsidRPr="00A03684">
        <w:t xml:space="preserve">ther </w:t>
      </w:r>
      <w:r w:rsidR="004A5715" w:rsidRPr="00A03684">
        <w:t xml:space="preserve">emissions </w:t>
      </w:r>
      <w:r w:rsidR="00803E10" w:rsidRPr="00A03684">
        <w:t xml:space="preserve">trading schemes use a quantitative metric to determine trade exposure – usually by finding the percentage of international imports and exports with respect to the total supply of a commodity into the local market (imports + domestic production). </w:t>
      </w:r>
      <w:r w:rsidR="00615BF9" w:rsidRPr="00A03684">
        <w:t>S</w:t>
      </w:r>
      <w:r w:rsidR="004A5715" w:rsidRPr="00A03684">
        <w:t>omething like this could better determine the risk of</w:t>
      </w:r>
      <w:r w:rsidR="00803E10" w:rsidRPr="00A03684">
        <w:t xml:space="preserve"> trade exp</w:t>
      </w:r>
      <w:r w:rsidR="004A5715" w:rsidRPr="00A03684">
        <w:t>osure, and regular updates</w:t>
      </w:r>
      <w:r w:rsidR="00803E10" w:rsidRPr="00A03684">
        <w:t xml:space="preserve"> could account for chang</w:t>
      </w:r>
      <w:r w:rsidRPr="00A03684">
        <w:t>ing international conditions</w:t>
      </w:r>
      <w:r w:rsidR="004A5715" w:rsidRPr="00A03684">
        <w:t xml:space="preserve">. </w:t>
      </w:r>
    </w:p>
    <w:p w:rsidR="00215ADF" w:rsidRPr="00A03684" w:rsidRDefault="00615BF9" w:rsidP="007611D9">
      <w:pPr>
        <w:pStyle w:val="BodyText"/>
      </w:pPr>
      <w:r w:rsidRPr="00A03684">
        <w:t xml:space="preserve">Although </w:t>
      </w:r>
      <w:r w:rsidR="00215ADF" w:rsidRPr="00A03684">
        <w:t xml:space="preserve">the current test is simple, efficient and wide ranging enough to capture most </w:t>
      </w:r>
      <w:r w:rsidR="00B701C9" w:rsidRPr="00A03684">
        <w:t xml:space="preserve">industrial </w:t>
      </w:r>
      <w:r w:rsidR="00215ADF" w:rsidRPr="00A03684">
        <w:t>activities</w:t>
      </w:r>
      <w:r w:rsidR="00B701C9" w:rsidRPr="00A03684">
        <w:t xml:space="preserve"> in New Zealand</w:t>
      </w:r>
      <w:r w:rsidR="00215ADF" w:rsidRPr="00A03684">
        <w:t xml:space="preserve">, it may over-prescribe some activities as trade-exposed. </w:t>
      </w:r>
      <w:r w:rsidR="006C0937" w:rsidRPr="00A03684">
        <w:t>A new test could be better at determining differing levels of exposure</w:t>
      </w:r>
      <w:r w:rsidR="00A64A33" w:rsidRPr="00A03684">
        <w:t>,</w:t>
      </w:r>
      <w:r w:rsidR="006C0937" w:rsidRPr="00A03684">
        <w:t xml:space="preserve"> and targeting eligibility to the most at</w:t>
      </w:r>
      <w:r w:rsidRPr="00A03684">
        <w:t>-</w:t>
      </w:r>
      <w:r w:rsidR="006C0937" w:rsidRPr="00A03684">
        <w:t>risk firms.</w:t>
      </w:r>
    </w:p>
    <w:p w:rsidR="006C0937" w:rsidRPr="00A03684" w:rsidRDefault="006C0937" w:rsidP="007611D9">
      <w:pPr>
        <w:pStyle w:val="BodyText"/>
      </w:pPr>
      <w:r w:rsidRPr="00A03684">
        <w:t xml:space="preserve">However, </w:t>
      </w:r>
      <w:r w:rsidR="00FD2C7F" w:rsidRPr="00A03684">
        <w:t>it is</w:t>
      </w:r>
      <w:r w:rsidR="00B701C9" w:rsidRPr="00A03684">
        <w:t xml:space="preserve"> </w:t>
      </w:r>
      <w:r w:rsidRPr="00A03684">
        <w:t xml:space="preserve">highly </w:t>
      </w:r>
      <w:r w:rsidR="00B701C9" w:rsidRPr="00A03684">
        <w:t xml:space="preserve">likely the largest recipients of </w:t>
      </w:r>
      <w:r w:rsidR="001437FD" w:rsidRPr="00A03684">
        <w:t>IA</w:t>
      </w:r>
      <w:r w:rsidR="00B701C9" w:rsidRPr="00A03684">
        <w:t xml:space="preserve"> would meet a more rigorous test. Steel, aluminium</w:t>
      </w:r>
      <w:r w:rsidR="00B5554B" w:rsidRPr="00A03684">
        <w:t xml:space="preserve"> and</w:t>
      </w:r>
      <w:r w:rsidR="00B701C9" w:rsidRPr="00A03684">
        <w:t xml:space="preserve"> methanol</w:t>
      </w:r>
      <w:r w:rsidR="00B5554B" w:rsidRPr="00A03684">
        <w:t xml:space="preserve"> </w:t>
      </w:r>
      <w:r w:rsidR="00B701C9" w:rsidRPr="00A03684">
        <w:t>are clearly trade</w:t>
      </w:r>
      <w:r w:rsidR="00856372" w:rsidRPr="00A03684">
        <w:t>-</w:t>
      </w:r>
      <w:r w:rsidR="00B701C9" w:rsidRPr="00A03684">
        <w:t xml:space="preserve">exposed. Improving the test would only affect the eligibility of </w:t>
      </w:r>
      <w:r w:rsidR="00634E4F" w:rsidRPr="00A03684">
        <w:t>activities receiving</w:t>
      </w:r>
      <w:r w:rsidR="00B701C9" w:rsidRPr="00A03684">
        <w:t xml:space="preserve"> a small portion of the total </w:t>
      </w:r>
      <w:r w:rsidR="001437FD" w:rsidRPr="00A03684">
        <w:t>IA</w:t>
      </w:r>
      <w:r w:rsidR="00B701C9" w:rsidRPr="00A03684">
        <w:t xml:space="preserve"> volume. </w:t>
      </w:r>
      <w:r w:rsidRPr="00A03684">
        <w:t>C</w:t>
      </w:r>
      <w:r w:rsidR="00B701C9" w:rsidRPr="00A03684">
        <w:t xml:space="preserve">hanging the test would </w:t>
      </w:r>
      <w:r w:rsidR="00FB0C8B" w:rsidRPr="00A03684">
        <w:t xml:space="preserve">likely </w:t>
      </w:r>
      <w:r w:rsidR="00615BF9" w:rsidRPr="00A03684">
        <w:t xml:space="preserve">make only a </w:t>
      </w:r>
      <w:r w:rsidR="00B701C9" w:rsidRPr="00A03684">
        <w:t xml:space="preserve">minimal improvement to </w:t>
      </w:r>
      <w:r w:rsidR="00615BF9" w:rsidRPr="00A03684">
        <w:t xml:space="preserve">current </w:t>
      </w:r>
      <w:r w:rsidR="00B701C9" w:rsidRPr="00A03684">
        <w:t xml:space="preserve">over-allocation. </w:t>
      </w:r>
      <w:r w:rsidRPr="00A03684">
        <w:t xml:space="preserve">It would also be difficult to implement and costly to administer. </w:t>
      </w:r>
    </w:p>
    <w:p w:rsidR="00BC0B86" w:rsidRPr="00A03684" w:rsidRDefault="00BC0B86" w:rsidP="00D2629A">
      <w:pPr>
        <w:pStyle w:val="Tableheading"/>
      </w:pPr>
      <w:bookmarkStart w:id="48" w:name="_Toc75262179"/>
      <w:r w:rsidRPr="00A03684">
        <w:t xml:space="preserve">Table </w:t>
      </w:r>
      <w:r w:rsidR="00AC6EA7" w:rsidRPr="00A03684">
        <w:t>10</w:t>
      </w:r>
      <w:r w:rsidRPr="00A03684">
        <w:t>:</w:t>
      </w:r>
      <w:r w:rsidRPr="00A03684">
        <w:tab/>
        <w:t xml:space="preserve">Assessment of </w:t>
      </w:r>
      <w:r w:rsidR="006C0937" w:rsidRPr="00A03684">
        <w:t>changing the trade exposure test</w:t>
      </w:r>
      <w:bookmarkEnd w:id="48"/>
      <w:r w:rsidRPr="00A03684">
        <w:t xml:space="preserve"> </w:t>
      </w:r>
    </w:p>
    <w:tbl>
      <w:tblPr>
        <w:tblStyle w:val="TableGrid1"/>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342"/>
        <w:gridCol w:w="1430"/>
        <w:gridCol w:w="1397"/>
        <w:gridCol w:w="1397"/>
        <w:gridCol w:w="1458"/>
        <w:gridCol w:w="1481"/>
      </w:tblGrid>
      <w:tr w:rsidR="0029557C" w:rsidRPr="00A03684" w:rsidTr="0029557C">
        <w:trPr>
          <w:trHeight w:val="1003"/>
          <w:tblHeader/>
        </w:trPr>
        <w:tc>
          <w:tcPr>
            <w:tcW w:w="1544" w:type="dxa"/>
            <w:shd w:val="clear" w:color="auto" w:fill="1C556C"/>
            <w:vAlign w:val="bottom"/>
          </w:tcPr>
          <w:p w:rsidR="006C0937" w:rsidRPr="00A03684" w:rsidRDefault="006C0937" w:rsidP="0029557C">
            <w:pPr>
              <w:pStyle w:val="TableTextbold"/>
              <w:rPr>
                <w:color w:val="FFFFFF" w:themeColor="background1"/>
              </w:rPr>
            </w:pPr>
            <w:r w:rsidRPr="00A03684">
              <w:rPr>
                <w:color w:val="FFFFFF" w:themeColor="background1"/>
              </w:rPr>
              <w:t>Option</w:t>
            </w:r>
          </w:p>
        </w:tc>
        <w:tc>
          <w:tcPr>
            <w:tcW w:w="1544" w:type="dxa"/>
            <w:shd w:val="clear" w:color="auto" w:fill="1C556C"/>
            <w:vAlign w:val="bottom"/>
          </w:tcPr>
          <w:p w:rsidR="006C0937" w:rsidRPr="00A03684" w:rsidRDefault="006C0937" w:rsidP="0029557C">
            <w:pPr>
              <w:pStyle w:val="TableTextbold"/>
              <w:rPr>
                <w:color w:val="FFFFFF" w:themeColor="background1"/>
              </w:rPr>
            </w:pPr>
            <w:r w:rsidRPr="00A03684">
              <w:rPr>
                <w:color w:val="FFFFFF" w:themeColor="background1"/>
              </w:rPr>
              <w:t xml:space="preserve">Consistency with </w:t>
            </w:r>
            <w:r w:rsidR="00615BF9" w:rsidRPr="00A03684">
              <w:rPr>
                <w:color w:val="FFFFFF" w:themeColor="background1"/>
              </w:rPr>
              <w:t xml:space="preserve">NZ ETS </w:t>
            </w:r>
            <w:r w:rsidRPr="00A03684">
              <w:rPr>
                <w:color w:val="FFFFFF" w:themeColor="background1"/>
              </w:rPr>
              <w:t xml:space="preserve">objectives </w:t>
            </w:r>
          </w:p>
        </w:tc>
        <w:tc>
          <w:tcPr>
            <w:tcW w:w="1544" w:type="dxa"/>
            <w:shd w:val="clear" w:color="auto" w:fill="1C556C"/>
            <w:vAlign w:val="bottom"/>
          </w:tcPr>
          <w:p w:rsidR="006C0937" w:rsidRPr="00A03684" w:rsidRDefault="000026AA" w:rsidP="0029557C">
            <w:pPr>
              <w:pStyle w:val="TableTextbold"/>
              <w:rPr>
                <w:color w:val="FFFFFF" w:themeColor="background1"/>
              </w:rPr>
            </w:pPr>
            <w:r w:rsidRPr="00A03684">
              <w:rPr>
                <w:color w:val="FFFFFF" w:themeColor="background1"/>
              </w:rPr>
              <w:t>Addresses over-allocation</w:t>
            </w:r>
          </w:p>
        </w:tc>
        <w:tc>
          <w:tcPr>
            <w:tcW w:w="1544" w:type="dxa"/>
            <w:shd w:val="clear" w:color="auto" w:fill="1C556C"/>
            <w:vAlign w:val="bottom"/>
          </w:tcPr>
          <w:p w:rsidR="006C0937" w:rsidRPr="00A03684" w:rsidRDefault="006C0937" w:rsidP="0029557C">
            <w:pPr>
              <w:pStyle w:val="TableTextbold"/>
              <w:rPr>
                <w:color w:val="FFFFFF" w:themeColor="background1"/>
              </w:rPr>
            </w:pPr>
            <w:r w:rsidRPr="00A03684">
              <w:rPr>
                <w:color w:val="FFFFFF" w:themeColor="background1"/>
              </w:rPr>
              <w:t>Addresses leakage risk</w:t>
            </w:r>
          </w:p>
        </w:tc>
        <w:tc>
          <w:tcPr>
            <w:tcW w:w="1544" w:type="dxa"/>
            <w:shd w:val="clear" w:color="auto" w:fill="1C556C"/>
            <w:vAlign w:val="bottom"/>
          </w:tcPr>
          <w:p w:rsidR="006C0937" w:rsidRPr="00A03684" w:rsidRDefault="006C0937" w:rsidP="0029557C">
            <w:pPr>
              <w:pStyle w:val="TableTextbold"/>
              <w:rPr>
                <w:color w:val="FFFFFF" w:themeColor="background1"/>
              </w:rPr>
            </w:pPr>
            <w:r w:rsidRPr="00A03684">
              <w:rPr>
                <w:color w:val="FFFFFF" w:themeColor="background1"/>
              </w:rPr>
              <w:t>Regulatory certainty and predictability</w:t>
            </w:r>
          </w:p>
        </w:tc>
        <w:tc>
          <w:tcPr>
            <w:tcW w:w="1544" w:type="dxa"/>
            <w:shd w:val="clear" w:color="auto" w:fill="1C556C"/>
            <w:vAlign w:val="bottom"/>
          </w:tcPr>
          <w:p w:rsidR="006C0937" w:rsidRPr="00A03684" w:rsidRDefault="006C0937" w:rsidP="0029557C">
            <w:pPr>
              <w:pStyle w:val="TableTextbold"/>
              <w:rPr>
                <w:color w:val="FFFFFF" w:themeColor="background1"/>
              </w:rPr>
            </w:pPr>
            <w:r w:rsidRPr="00A03684">
              <w:rPr>
                <w:color w:val="FFFFFF" w:themeColor="background1"/>
              </w:rPr>
              <w:t>Minimise</w:t>
            </w:r>
            <w:r w:rsidR="00615BF9" w:rsidRPr="00A03684">
              <w:rPr>
                <w:color w:val="FFFFFF" w:themeColor="background1"/>
              </w:rPr>
              <w:t>s</w:t>
            </w:r>
            <w:r w:rsidRPr="00A03684">
              <w:rPr>
                <w:color w:val="FFFFFF" w:themeColor="background1"/>
              </w:rPr>
              <w:t xml:space="preserve"> administrative burden, costs and complexity</w:t>
            </w:r>
          </w:p>
        </w:tc>
      </w:tr>
      <w:tr w:rsidR="006C0937" w:rsidRPr="00A03684" w:rsidTr="00800EBA">
        <w:trPr>
          <w:trHeight w:val="786"/>
        </w:trPr>
        <w:tc>
          <w:tcPr>
            <w:tcW w:w="1544" w:type="dxa"/>
            <w:shd w:val="clear" w:color="auto" w:fill="auto"/>
          </w:tcPr>
          <w:p w:rsidR="006C0937" w:rsidRPr="00A03684" w:rsidRDefault="006C0937" w:rsidP="0029557C">
            <w:pPr>
              <w:pStyle w:val="TableText"/>
            </w:pPr>
            <w:r w:rsidRPr="00A03684">
              <w:t>Status quo – retain the current test</w:t>
            </w:r>
          </w:p>
        </w:tc>
        <w:tc>
          <w:tcPr>
            <w:tcW w:w="1544" w:type="dxa"/>
            <w:shd w:val="clear" w:color="auto" w:fill="auto"/>
          </w:tcPr>
          <w:p w:rsidR="006C0937" w:rsidRPr="00A03684" w:rsidRDefault="006C0937" w:rsidP="0029557C">
            <w:pPr>
              <w:pStyle w:val="TableText"/>
              <w:jc w:val="center"/>
            </w:pPr>
            <w:r w:rsidRPr="00A03684">
              <w:t>o</w:t>
            </w:r>
          </w:p>
        </w:tc>
        <w:tc>
          <w:tcPr>
            <w:tcW w:w="1544" w:type="dxa"/>
          </w:tcPr>
          <w:p w:rsidR="006C0937" w:rsidRPr="00A03684" w:rsidRDefault="006C0937" w:rsidP="0029557C">
            <w:pPr>
              <w:pStyle w:val="TableText"/>
              <w:jc w:val="center"/>
            </w:pPr>
            <w:r w:rsidRPr="00A03684">
              <w:t>o</w:t>
            </w:r>
          </w:p>
        </w:tc>
        <w:tc>
          <w:tcPr>
            <w:tcW w:w="1544" w:type="dxa"/>
          </w:tcPr>
          <w:p w:rsidR="006C0937" w:rsidRPr="00A03684" w:rsidRDefault="006C0937" w:rsidP="0029557C">
            <w:pPr>
              <w:pStyle w:val="TableText"/>
              <w:jc w:val="center"/>
            </w:pPr>
            <w:r w:rsidRPr="00A03684">
              <w:t>o</w:t>
            </w:r>
          </w:p>
        </w:tc>
        <w:tc>
          <w:tcPr>
            <w:tcW w:w="1544" w:type="dxa"/>
          </w:tcPr>
          <w:p w:rsidR="006C0937" w:rsidRPr="00A03684" w:rsidRDefault="006C0937" w:rsidP="0029557C">
            <w:pPr>
              <w:pStyle w:val="TableText"/>
              <w:jc w:val="center"/>
            </w:pPr>
            <w:r w:rsidRPr="00A03684">
              <w:t>o</w:t>
            </w:r>
          </w:p>
        </w:tc>
        <w:tc>
          <w:tcPr>
            <w:tcW w:w="1544" w:type="dxa"/>
          </w:tcPr>
          <w:p w:rsidR="006C0937" w:rsidRPr="00A03684" w:rsidRDefault="006C0937" w:rsidP="0029557C">
            <w:pPr>
              <w:pStyle w:val="TableText"/>
              <w:jc w:val="center"/>
            </w:pPr>
            <w:r w:rsidRPr="00A03684">
              <w:t>o</w:t>
            </w:r>
          </w:p>
        </w:tc>
      </w:tr>
      <w:tr w:rsidR="006C0937" w:rsidRPr="00A03684" w:rsidTr="00C36822">
        <w:trPr>
          <w:trHeight w:val="2455"/>
        </w:trPr>
        <w:tc>
          <w:tcPr>
            <w:tcW w:w="1544" w:type="dxa"/>
            <w:shd w:val="clear" w:color="auto" w:fill="auto"/>
          </w:tcPr>
          <w:p w:rsidR="006C0937" w:rsidRPr="00A03684" w:rsidRDefault="006C0937" w:rsidP="0029557C">
            <w:pPr>
              <w:pStyle w:val="TableText"/>
            </w:pPr>
            <w:r w:rsidRPr="00A03684">
              <w:t>Change the test</w:t>
            </w:r>
          </w:p>
        </w:tc>
        <w:tc>
          <w:tcPr>
            <w:tcW w:w="1544" w:type="dxa"/>
            <w:shd w:val="clear" w:color="auto" w:fill="auto"/>
          </w:tcPr>
          <w:p w:rsidR="006C0937" w:rsidRPr="00A03684" w:rsidRDefault="006C0937" w:rsidP="0029557C">
            <w:pPr>
              <w:pStyle w:val="TableText"/>
              <w:jc w:val="center"/>
            </w:pPr>
            <w:r w:rsidRPr="00A03684">
              <w:t>o</w:t>
            </w:r>
          </w:p>
          <w:p w:rsidR="006C0937" w:rsidRPr="00A03684" w:rsidRDefault="006C0937" w:rsidP="0029557C">
            <w:pPr>
              <w:pStyle w:val="TableText"/>
              <w:jc w:val="center"/>
            </w:pPr>
            <w:r w:rsidRPr="00A03684">
              <w:t>Minimal impact on the NZ ETS price signal and meeting budgets</w:t>
            </w:r>
          </w:p>
        </w:tc>
        <w:tc>
          <w:tcPr>
            <w:tcW w:w="1544" w:type="dxa"/>
          </w:tcPr>
          <w:p w:rsidR="006C0937" w:rsidRPr="00A03684" w:rsidRDefault="006C0937" w:rsidP="0029557C">
            <w:pPr>
              <w:pStyle w:val="TableText"/>
              <w:jc w:val="center"/>
            </w:pPr>
            <w:r w:rsidRPr="00A03684">
              <w:t>o</w:t>
            </w:r>
          </w:p>
          <w:p w:rsidR="006C0937" w:rsidRPr="00A03684" w:rsidRDefault="006C0937" w:rsidP="0029557C">
            <w:pPr>
              <w:pStyle w:val="TableText"/>
              <w:jc w:val="center"/>
            </w:pPr>
            <w:r w:rsidRPr="00A03684">
              <w:t>Minimal impact on over-allocation as most large industrial activities would meet a more rigorous test</w:t>
            </w:r>
          </w:p>
        </w:tc>
        <w:tc>
          <w:tcPr>
            <w:tcW w:w="1544" w:type="dxa"/>
          </w:tcPr>
          <w:p w:rsidR="006C0937" w:rsidRPr="00A03684" w:rsidRDefault="006C0937" w:rsidP="0029557C">
            <w:pPr>
              <w:pStyle w:val="TableText"/>
              <w:jc w:val="center"/>
            </w:pPr>
            <w:r w:rsidRPr="00A03684">
              <w:t>o</w:t>
            </w:r>
          </w:p>
        </w:tc>
        <w:tc>
          <w:tcPr>
            <w:tcW w:w="1544" w:type="dxa"/>
            <w:shd w:val="clear" w:color="auto" w:fill="F7E1D3" w:themeFill="accent6" w:themeFillTint="33"/>
          </w:tcPr>
          <w:p w:rsidR="006C0937" w:rsidRPr="00A03684" w:rsidRDefault="006C0937" w:rsidP="0029557C">
            <w:pPr>
              <w:pStyle w:val="TableText"/>
              <w:jc w:val="center"/>
            </w:pPr>
            <w:r w:rsidRPr="00A03684">
              <w:t>x</w:t>
            </w:r>
          </w:p>
          <w:p w:rsidR="006C0937" w:rsidRPr="00A03684" w:rsidRDefault="00607D58" w:rsidP="0029557C">
            <w:pPr>
              <w:pStyle w:val="TableText"/>
              <w:jc w:val="center"/>
            </w:pPr>
            <w:r w:rsidRPr="00A03684">
              <w:t>U</w:t>
            </w:r>
            <w:r w:rsidR="006C0937" w:rsidRPr="00A03684">
              <w:t xml:space="preserve">ncertainty for EITE firms </w:t>
            </w:r>
            <w:r w:rsidRPr="00A03684">
              <w:t>about</w:t>
            </w:r>
            <w:r w:rsidR="00615BF9" w:rsidRPr="00A03684">
              <w:t xml:space="preserve"> </w:t>
            </w:r>
            <w:r w:rsidR="006C0937" w:rsidRPr="00A03684">
              <w:t>future eligibility</w:t>
            </w:r>
          </w:p>
        </w:tc>
        <w:tc>
          <w:tcPr>
            <w:tcW w:w="1544" w:type="dxa"/>
            <w:shd w:val="clear" w:color="auto" w:fill="E3855F"/>
          </w:tcPr>
          <w:p w:rsidR="006C0937" w:rsidRPr="00A03684" w:rsidRDefault="006C0937" w:rsidP="0029557C">
            <w:pPr>
              <w:pStyle w:val="TableText"/>
              <w:jc w:val="center"/>
            </w:pPr>
            <w:r w:rsidRPr="00A03684">
              <w:t>xx</w:t>
            </w:r>
          </w:p>
          <w:p w:rsidR="006C0937" w:rsidRPr="00A03684" w:rsidRDefault="00607D58" w:rsidP="0029557C">
            <w:pPr>
              <w:pStyle w:val="TableText"/>
              <w:jc w:val="center"/>
            </w:pPr>
            <w:r w:rsidRPr="00A03684">
              <w:t>R</w:t>
            </w:r>
            <w:r w:rsidR="006C0937" w:rsidRPr="00A03684">
              <w:t>esource-intensive</w:t>
            </w:r>
            <w:r w:rsidRPr="00A03684">
              <w:t>;</w:t>
            </w:r>
            <w:r w:rsidR="006C0937" w:rsidRPr="00A03684">
              <w:t xml:space="preserve"> substantial administrative costs</w:t>
            </w:r>
          </w:p>
        </w:tc>
      </w:tr>
    </w:tbl>
    <w:p w:rsidR="00D12229" w:rsidRPr="00A03684" w:rsidRDefault="00D12229" w:rsidP="0029557C">
      <w:pPr>
        <w:pStyle w:val="BodyText"/>
      </w:pP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BC0B86" w:rsidRPr="00A03684" w:rsidTr="0029557C">
        <w:tc>
          <w:tcPr>
            <w:tcW w:w="0" w:type="auto"/>
            <w:shd w:val="clear" w:color="auto" w:fill="D2DDE2"/>
          </w:tcPr>
          <w:p w:rsidR="00D608F2" w:rsidRPr="00A03684" w:rsidRDefault="00D608F2" w:rsidP="0029557C">
            <w:pPr>
              <w:pStyle w:val="Blueboxheading"/>
            </w:pPr>
            <w:bookmarkStart w:id="49" w:name="_Hlk73525121"/>
            <w:r w:rsidRPr="00A03684">
              <w:t>Eligibility</w:t>
            </w:r>
          </w:p>
          <w:p w:rsidR="00F07BB7" w:rsidRPr="00A03684" w:rsidRDefault="00BC0B86" w:rsidP="00A313C7">
            <w:pPr>
              <w:pStyle w:val="Blueboxtext"/>
              <w:spacing w:after="80"/>
            </w:pPr>
            <w:r w:rsidRPr="00A03684">
              <w:t>Question 1</w:t>
            </w:r>
            <w:r w:rsidR="0026285C" w:rsidRPr="00A03684">
              <w:t>3</w:t>
            </w:r>
            <w:r w:rsidRPr="00A03684">
              <w:t>: Should the trade</w:t>
            </w:r>
            <w:r w:rsidR="00BF3112" w:rsidRPr="00A03684">
              <w:t xml:space="preserve"> </w:t>
            </w:r>
            <w:r w:rsidRPr="00A03684">
              <w:t xml:space="preserve">exposure test be changed? </w:t>
            </w:r>
            <w:r w:rsidR="00B5554B" w:rsidRPr="00A03684">
              <w:t xml:space="preserve">Why, or why not? </w:t>
            </w:r>
          </w:p>
          <w:p w:rsidR="00BC0B86" w:rsidRPr="00A03684" w:rsidRDefault="00F07BB7" w:rsidP="0000431A">
            <w:pPr>
              <w:pStyle w:val="Blueboxtext"/>
              <w:spacing w:before="80" w:after="240"/>
            </w:pPr>
            <w:r w:rsidRPr="00A03684">
              <w:t>Question 1</w:t>
            </w:r>
            <w:r w:rsidR="0026285C" w:rsidRPr="00A03684">
              <w:t>4</w:t>
            </w:r>
            <w:r w:rsidRPr="00A03684">
              <w:t xml:space="preserve">: </w:t>
            </w:r>
            <w:r w:rsidR="00BC0B86" w:rsidRPr="00A03684">
              <w:t>What would be a more appropriate method to determine trade</w:t>
            </w:r>
            <w:r w:rsidR="00BF3112" w:rsidRPr="00A03684">
              <w:t xml:space="preserve"> </w:t>
            </w:r>
            <w:r w:rsidR="00BC0B86" w:rsidRPr="00A03684">
              <w:t>exposure?</w:t>
            </w:r>
            <w:bookmarkEnd w:id="49"/>
          </w:p>
        </w:tc>
      </w:tr>
    </w:tbl>
    <w:p w:rsidR="0029557C" w:rsidRPr="00A03684" w:rsidRDefault="0029557C" w:rsidP="0029557C">
      <w:pPr>
        <w:pStyle w:val="BodyText"/>
      </w:pPr>
    </w:p>
    <w:p w:rsidR="00BC0B86" w:rsidRPr="00A03684" w:rsidRDefault="00BC0B86" w:rsidP="0029557C">
      <w:pPr>
        <w:pStyle w:val="BodyText"/>
      </w:pPr>
      <w:r w:rsidRPr="00A03684">
        <w:br w:type="page"/>
      </w:r>
    </w:p>
    <w:p w:rsidR="00E47B91" w:rsidRPr="00A03684" w:rsidRDefault="001A69A7" w:rsidP="0029557C">
      <w:pPr>
        <w:pStyle w:val="Heading1"/>
      </w:pPr>
      <w:bookmarkStart w:id="50" w:name="_Toc75336464"/>
      <w:bookmarkStart w:id="51" w:name="_Hlk74212194"/>
      <w:r w:rsidRPr="00A03684">
        <w:t xml:space="preserve">Section 5: </w:t>
      </w:r>
      <w:r w:rsidR="00E47B91" w:rsidRPr="00A03684">
        <w:t>Other options to reform industrial allocation</w:t>
      </w:r>
      <w:bookmarkEnd w:id="50"/>
      <w:r w:rsidR="00E47B91" w:rsidRPr="00A03684">
        <w:t xml:space="preserve"> </w:t>
      </w:r>
    </w:p>
    <w:bookmarkEnd w:id="51"/>
    <w:p w:rsidR="001A69A7" w:rsidRPr="00A03684" w:rsidRDefault="001A69A7" w:rsidP="007611D9">
      <w:pPr>
        <w:pStyle w:val="BodyText"/>
      </w:pPr>
      <w:r w:rsidRPr="00A03684">
        <w:t xml:space="preserve">This section considers </w:t>
      </w:r>
      <w:r w:rsidR="00BF7419" w:rsidRPr="00A03684">
        <w:t xml:space="preserve">other </w:t>
      </w:r>
      <w:r w:rsidRPr="00A03684">
        <w:t xml:space="preserve">proposals </w:t>
      </w:r>
      <w:r w:rsidR="00F07BB7" w:rsidRPr="00A03684">
        <w:t>identified by the G</w:t>
      </w:r>
      <w:r w:rsidRPr="00A03684">
        <w:t>overnm</w:t>
      </w:r>
      <w:r w:rsidR="00BD5F0B" w:rsidRPr="00A03684">
        <w:t xml:space="preserve">ent and TAG to address </w:t>
      </w:r>
      <w:r w:rsidRPr="00A03684">
        <w:t>technical issues with the current regime</w:t>
      </w:r>
      <w:r w:rsidR="00BF3112" w:rsidRPr="00A03684">
        <w:t>,</w:t>
      </w:r>
      <w:r w:rsidRPr="00A03684">
        <w:t xml:space="preserve"> and help ensure the policy ali</w:t>
      </w:r>
      <w:r w:rsidR="00C377C5" w:rsidRPr="00A03684">
        <w:t>gns with the objectives of the r</w:t>
      </w:r>
      <w:r w:rsidRPr="00A03684">
        <w:t xml:space="preserve">eview. </w:t>
      </w:r>
    </w:p>
    <w:p w:rsidR="00B520D3" w:rsidRPr="00A03684" w:rsidRDefault="00B520D3" w:rsidP="00104CE5">
      <w:pPr>
        <w:pStyle w:val="Heading2"/>
      </w:pPr>
      <w:bookmarkStart w:id="52" w:name="_Toc75336465"/>
      <w:r w:rsidRPr="00A03684">
        <w:t>Streamline updates to allocative baselines</w:t>
      </w:r>
      <w:bookmarkEnd w:id="52"/>
      <w:r w:rsidRPr="00A03684">
        <w:t xml:space="preserve"> </w:t>
      </w:r>
    </w:p>
    <w:p w:rsidR="00B520D3" w:rsidRPr="00A03684" w:rsidRDefault="00B520D3" w:rsidP="00104CE5">
      <w:pPr>
        <w:pStyle w:val="BodyText"/>
      </w:pPr>
      <w:r w:rsidRPr="00A03684">
        <w:t>Under sections 161A</w:t>
      </w:r>
      <w:r w:rsidR="0000431A">
        <w:t>–</w:t>
      </w:r>
      <w:r w:rsidRPr="00A03684">
        <w:t>161E of the</w:t>
      </w:r>
      <w:r w:rsidR="003E15A2">
        <w:t xml:space="preserve"> Climate Change Response</w:t>
      </w:r>
      <w:r w:rsidRPr="00A03684">
        <w:t xml:space="preserve"> Act</w:t>
      </w:r>
      <w:r w:rsidR="003E15A2">
        <w:t xml:space="preserve"> 2002</w:t>
      </w:r>
      <w:r w:rsidRPr="00A03684">
        <w:t xml:space="preserve">, </w:t>
      </w:r>
      <w:r w:rsidR="00BF7419" w:rsidRPr="00A03684">
        <w:t xml:space="preserve">the </w:t>
      </w:r>
      <w:r w:rsidRPr="00A03684">
        <w:t>baselines for an activity cannot be updated without following a prescribed process that requires:</w:t>
      </w:r>
    </w:p>
    <w:p w:rsidR="00B520D3" w:rsidRPr="00A03684" w:rsidRDefault="00BD5F0B" w:rsidP="00104CE5">
      <w:pPr>
        <w:pStyle w:val="Bullet"/>
      </w:pPr>
      <w:r w:rsidRPr="00A03684">
        <w:t xml:space="preserve">a Gazette notice </w:t>
      </w:r>
    </w:p>
    <w:p w:rsidR="00B520D3" w:rsidRPr="00A03684" w:rsidRDefault="00BF3112" w:rsidP="00104CE5">
      <w:pPr>
        <w:pStyle w:val="Bullet"/>
      </w:pPr>
      <w:r w:rsidRPr="00A03684">
        <w:t xml:space="preserve">those </w:t>
      </w:r>
      <w:r w:rsidR="00B520D3" w:rsidRPr="00A03684">
        <w:t>carrying out the activity to calculate specified emissions, revenue and production using a prescribed methodology</w:t>
      </w:r>
      <w:r w:rsidR="00BD5F0B" w:rsidRPr="00A03684">
        <w:t>,</w:t>
      </w:r>
      <w:r w:rsidR="00B520D3" w:rsidRPr="00A03684">
        <w:t xml:space="preserve"> and submit these calculations</w:t>
      </w:r>
    </w:p>
    <w:p w:rsidR="00B520D3" w:rsidRPr="00A03684" w:rsidRDefault="00BF3112" w:rsidP="00104CE5">
      <w:pPr>
        <w:pStyle w:val="Bullet"/>
      </w:pPr>
      <w:r w:rsidRPr="00A03684">
        <w:t xml:space="preserve">using </w:t>
      </w:r>
      <w:r w:rsidR="00B520D3" w:rsidRPr="00A03684">
        <w:t xml:space="preserve">the calculated data </w:t>
      </w:r>
      <w:r w:rsidRPr="00A03684">
        <w:t>when</w:t>
      </w:r>
      <w:r w:rsidR="00B520D3" w:rsidRPr="00A03684">
        <w:t xml:space="preserve"> </w:t>
      </w:r>
      <w:r w:rsidRPr="00A03684">
        <w:t>updating a</w:t>
      </w:r>
      <w:r w:rsidR="00B520D3" w:rsidRPr="00A03684">
        <w:t xml:space="preserve"> baseline. </w:t>
      </w:r>
    </w:p>
    <w:p w:rsidR="00B520D3" w:rsidRPr="00A03684" w:rsidRDefault="00B520D3" w:rsidP="00104CE5">
      <w:pPr>
        <w:pStyle w:val="BodyText"/>
      </w:pPr>
      <w:r w:rsidRPr="00A03684">
        <w:t xml:space="preserve">A consequence is that updates of emissions factors or the EAF cannot be used to directly update allocative baselines. </w:t>
      </w:r>
      <w:r w:rsidR="00BF3112" w:rsidRPr="00A03684">
        <w:t>To update the</w:t>
      </w:r>
      <w:r w:rsidR="00BF7419" w:rsidRPr="00A03684">
        <w:t>m</w:t>
      </w:r>
      <w:r w:rsidRPr="00A03684">
        <w:t xml:space="preserve"> using a new or amended methodology</w:t>
      </w:r>
      <w:r w:rsidR="00BF3112" w:rsidRPr="00A03684">
        <w:t>,</w:t>
      </w:r>
      <w:r w:rsidRPr="00A03684">
        <w:t xml:space="preserve"> the Minister would need </w:t>
      </w:r>
      <w:r w:rsidR="0000431A">
        <w:t xml:space="preserve">to </w:t>
      </w:r>
      <w:r w:rsidRPr="00A03684">
        <w:t xml:space="preserve">follow the process above. </w:t>
      </w:r>
    </w:p>
    <w:p w:rsidR="00B520D3" w:rsidRPr="00A03684" w:rsidRDefault="00B520D3" w:rsidP="00104CE5">
      <w:pPr>
        <w:pStyle w:val="BodyText"/>
      </w:pPr>
      <w:r w:rsidRPr="00A03684">
        <w:t xml:space="preserve">This process is cumbersome and a </w:t>
      </w:r>
      <w:r w:rsidR="00BF3112" w:rsidRPr="00A03684">
        <w:t xml:space="preserve">barrier </w:t>
      </w:r>
      <w:r w:rsidRPr="00A03684">
        <w:t>to updating baselines to account for new emissions factors or EAF. The Government seeks feedback on how to streamline this process.</w:t>
      </w:r>
    </w:p>
    <w:p w:rsidR="00B520D3" w:rsidRPr="00A03684" w:rsidRDefault="00B520D3" w:rsidP="00B520D3">
      <w:pPr>
        <w:pStyle w:val="Heading4"/>
      </w:pPr>
      <w:r w:rsidRPr="00A03684">
        <w:t>Option 1: Status quo – retain Gazette notice requirements</w:t>
      </w:r>
    </w:p>
    <w:p w:rsidR="00B520D3" w:rsidRPr="00A03684" w:rsidRDefault="00B520D3" w:rsidP="00104CE5">
      <w:pPr>
        <w:pStyle w:val="BodyText"/>
      </w:pPr>
      <w:r w:rsidRPr="00A03684">
        <w:t xml:space="preserve">The current process for updating baselines would be retained, requiring a new Gazette notice every time baselines </w:t>
      </w:r>
      <w:r w:rsidR="00BF3112" w:rsidRPr="00A03684">
        <w:t>are</w:t>
      </w:r>
      <w:r w:rsidRPr="00A03684">
        <w:t xml:space="preserve"> changed for new emissions factors or EAF. </w:t>
      </w:r>
    </w:p>
    <w:p w:rsidR="00B520D3" w:rsidRPr="00A03684" w:rsidRDefault="00B520D3" w:rsidP="00B520D3">
      <w:pPr>
        <w:pStyle w:val="Heading4"/>
      </w:pPr>
      <w:r w:rsidRPr="00A03684">
        <w:t xml:space="preserve">Option 2: Simplify the </w:t>
      </w:r>
      <w:r w:rsidR="00BF3112" w:rsidRPr="00A03684">
        <w:t xml:space="preserve">updating </w:t>
      </w:r>
      <w:r w:rsidRPr="00A03684">
        <w:t xml:space="preserve">process to reflect changes </w:t>
      </w:r>
      <w:r w:rsidR="00BF7419" w:rsidRPr="00A03684">
        <w:t>in</w:t>
      </w:r>
      <w:r w:rsidRPr="00A03684">
        <w:t xml:space="preserve"> methodology</w:t>
      </w:r>
    </w:p>
    <w:p w:rsidR="00BF3112" w:rsidRPr="00A03684" w:rsidRDefault="00B520D3" w:rsidP="00B520D3">
      <w:pPr>
        <w:pStyle w:val="BodyText"/>
      </w:pPr>
      <w:r w:rsidRPr="00A03684">
        <w:t xml:space="preserve">The Act would be amended to allow </w:t>
      </w:r>
      <w:r w:rsidR="00BF3112" w:rsidRPr="00A03684">
        <w:t>updates</w:t>
      </w:r>
      <w:r w:rsidRPr="00A03684">
        <w:t xml:space="preserve"> to allocative baselines</w:t>
      </w:r>
      <w:r w:rsidR="00723856" w:rsidRPr="00A03684">
        <w:t>,</w:t>
      </w:r>
      <w:r w:rsidRPr="00A03684">
        <w:t xml:space="preserve"> </w:t>
      </w:r>
      <w:r w:rsidRPr="00A03684">
        <w:rPr>
          <w:b/>
          <w:bCs/>
        </w:rPr>
        <w:t>without</w:t>
      </w:r>
      <w:r w:rsidRPr="00A03684">
        <w:t xml:space="preserve"> requiring</w:t>
      </w:r>
      <w:r w:rsidR="00BF3112" w:rsidRPr="00A03684">
        <w:t>:</w:t>
      </w:r>
    </w:p>
    <w:p w:rsidR="00BF3112" w:rsidRPr="00A03684" w:rsidRDefault="00B520D3" w:rsidP="00104CE5">
      <w:pPr>
        <w:pStyle w:val="Bullet"/>
      </w:pPr>
      <w:r w:rsidRPr="00A03684">
        <w:t>the Gazettal of a ‘call for data’ process</w:t>
      </w:r>
    </w:p>
    <w:p w:rsidR="00BF3112" w:rsidRPr="00A03684" w:rsidRDefault="00BF3112" w:rsidP="00104CE5">
      <w:pPr>
        <w:pStyle w:val="Bullet"/>
      </w:pPr>
      <w:r w:rsidRPr="00A03684">
        <w:t>those carrying out the activity to submit</w:t>
      </w:r>
      <w:r w:rsidR="00B520D3" w:rsidRPr="00A03684">
        <w:t xml:space="preserve"> re-calculated data if the calculation methodology </w:t>
      </w:r>
      <w:r w:rsidR="00A56FFB" w:rsidRPr="00A03684">
        <w:t xml:space="preserve">has </w:t>
      </w:r>
      <w:r w:rsidR="00B520D3" w:rsidRPr="00A03684">
        <w:t xml:space="preserve">changed. </w:t>
      </w:r>
    </w:p>
    <w:p w:rsidR="00B520D3" w:rsidRPr="00A03684" w:rsidRDefault="00B520D3" w:rsidP="00B520D3">
      <w:pPr>
        <w:pStyle w:val="BodyText"/>
      </w:pPr>
      <w:r w:rsidRPr="00A03684">
        <w:t xml:space="preserve">Fuel use or electricity data collected via previous Gazette notices would be used and combined with updated emissions factors or an updated EAF to recalculate emissions and corresponding baselines. </w:t>
      </w:r>
    </w:p>
    <w:p w:rsidR="00B520D3" w:rsidRPr="00A03684" w:rsidRDefault="00BF7419" w:rsidP="00B520D3">
      <w:pPr>
        <w:pStyle w:val="BodyText"/>
      </w:pPr>
      <w:r w:rsidRPr="00A03684">
        <w:t>Annual e</w:t>
      </w:r>
      <w:r w:rsidR="00B520D3" w:rsidRPr="00A03684">
        <w:t>missions returns use emissions factors prescribed in the Act’s regulations. If these factors do not match those used to calculate baselines</w:t>
      </w:r>
      <w:r w:rsidR="00A56FFB" w:rsidRPr="00A03684">
        <w:t>,</w:t>
      </w:r>
      <w:r w:rsidR="00B520D3" w:rsidRPr="00A03684">
        <w:t xml:space="preserve"> emissions subject to an emissions price would not match those </w:t>
      </w:r>
      <w:r w:rsidR="00A56FFB" w:rsidRPr="00A03684">
        <w:t xml:space="preserve">that receive assistance. </w:t>
      </w:r>
      <w:r w:rsidR="003A7831" w:rsidRPr="00A03684">
        <w:t xml:space="preserve">This poses </w:t>
      </w:r>
      <w:r w:rsidR="00B520D3" w:rsidRPr="00A03684">
        <w:t>risk</w:t>
      </w:r>
      <w:r w:rsidR="003A7831" w:rsidRPr="00A03684">
        <w:t>s of</w:t>
      </w:r>
      <w:r w:rsidR="00B520D3" w:rsidRPr="00A03684">
        <w:t xml:space="preserve"> under</w:t>
      </w:r>
      <w:r w:rsidR="00A56FFB" w:rsidRPr="00A03684">
        <w:t>-</w:t>
      </w:r>
      <w:r w:rsidR="00B520D3" w:rsidRPr="00A03684">
        <w:t xml:space="preserve"> or over-allocating units to industry. This option would ensure that emissions costs remain more closely aligned with assistance. It would also support the integrity of the NZ ETS and New Zealand’s climate policy by </w:t>
      </w:r>
      <w:r w:rsidR="00A56FFB" w:rsidRPr="00A03684">
        <w:t xml:space="preserve">promoting </w:t>
      </w:r>
      <w:r w:rsidR="00B520D3" w:rsidRPr="00A03684">
        <w:t xml:space="preserve">best practice </w:t>
      </w:r>
      <w:r w:rsidR="00A56FFB" w:rsidRPr="00A03684">
        <w:t xml:space="preserve">for calculating </w:t>
      </w:r>
      <w:r w:rsidR="00B520D3" w:rsidRPr="00A03684">
        <w:t>emissions within the NZ ETS</w:t>
      </w:r>
      <w:r w:rsidR="00800EBA">
        <w:t>.</w:t>
      </w:r>
      <w:r w:rsidR="00B520D3" w:rsidRPr="00A03684">
        <w:rPr>
          <w:rStyle w:val="FootnoteReference"/>
        </w:rPr>
        <w:footnoteReference w:id="14"/>
      </w:r>
    </w:p>
    <w:p w:rsidR="00B520D3" w:rsidRPr="00A03684" w:rsidRDefault="00B520D3" w:rsidP="00B520D3">
      <w:pPr>
        <w:pStyle w:val="BodyText"/>
      </w:pPr>
      <w:r w:rsidRPr="00A03684">
        <w:t xml:space="preserve">Because updates to emissions factors and the EAF are irregular, this option could cause some uncertainty for EITE industries. </w:t>
      </w:r>
      <w:r w:rsidR="00A56FFB" w:rsidRPr="00A03684">
        <w:t>However, t</w:t>
      </w:r>
      <w:r w:rsidRPr="00A03684">
        <w:t>his would be constrained</w:t>
      </w:r>
      <w:r w:rsidR="00A56FFB" w:rsidRPr="00A03684">
        <w:t>,</w:t>
      </w:r>
      <w:r w:rsidRPr="00A03684">
        <w:t xml:space="preserve"> as any changes to emissions factors or the EAF are subject to consultation and an associated delay in implementation. This approach would also mitigate against NZ ETS costs significantly increasing without a corresponding increase in allocation. </w:t>
      </w:r>
    </w:p>
    <w:p w:rsidR="00B520D3" w:rsidRPr="00A03684" w:rsidRDefault="00B520D3" w:rsidP="00D2629A">
      <w:pPr>
        <w:pStyle w:val="Tableheading"/>
      </w:pPr>
      <w:bookmarkStart w:id="53" w:name="_Toc75262180"/>
      <w:r w:rsidRPr="00A03684">
        <w:t xml:space="preserve">Table </w:t>
      </w:r>
      <w:r w:rsidR="00AC6EA7" w:rsidRPr="00A03684">
        <w:t>11</w:t>
      </w:r>
      <w:r w:rsidRPr="00A03684">
        <w:t>:</w:t>
      </w:r>
      <w:r w:rsidRPr="00A03684">
        <w:tab/>
        <w:t>Assessment of updating baselines due to methodology change</w:t>
      </w:r>
      <w:bookmarkEnd w:id="53"/>
    </w:p>
    <w:tbl>
      <w:tblPr>
        <w:tblStyle w:val="TableGrid1"/>
        <w:tblW w:w="8508"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418"/>
        <w:gridCol w:w="1418"/>
        <w:gridCol w:w="1418"/>
        <w:gridCol w:w="1418"/>
        <w:gridCol w:w="1418"/>
        <w:gridCol w:w="1418"/>
      </w:tblGrid>
      <w:tr w:rsidR="00104CE5" w:rsidRPr="00A03684" w:rsidTr="00104CE5">
        <w:trPr>
          <w:trHeight w:val="941"/>
          <w:tblHeader/>
        </w:trPr>
        <w:tc>
          <w:tcPr>
            <w:tcW w:w="1418" w:type="dxa"/>
            <w:shd w:val="clear" w:color="auto" w:fill="1C556C"/>
            <w:vAlign w:val="bottom"/>
          </w:tcPr>
          <w:p w:rsidR="00B520D3" w:rsidRPr="00A03684" w:rsidRDefault="00B520D3" w:rsidP="00104CE5">
            <w:pPr>
              <w:pStyle w:val="TableTextbold"/>
              <w:rPr>
                <w:color w:val="FFFFFF" w:themeColor="background1"/>
              </w:rPr>
            </w:pPr>
            <w:r w:rsidRPr="00A03684">
              <w:rPr>
                <w:color w:val="FFFFFF" w:themeColor="background1"/>
              </w:rPr>
              <w:t>Option</w:t>
            </w:r>
          </w:p>
        </w:tc>
        <w:tc>
          <w:tcPr>
            <w:tcW w:w="1418" w:type="dxa"/>
            <w:shd w:val="clear" w:color="auto" w:fill="1C556C"/>
            <w:vAlign w:val="bottom"/>
          </w:tcPr>
          <w:p w:rsidR="00B520D3" w:rsidRPr="00A03684" w:rsidRDefault="00B520D3" w:rsidP="00104CE5">
            <w:pPr>
              <w:pStyle w:val="TableTextbold"/>
              <w:rPr>
                <w:color w:val="FFFFFF" w:themeColor="background1"/>
              </w:rPr>
            </w:pPr>
            <w:r w:rsidRPr="00A03684">
              <w:rPr>
                <w:color w:val="FFFFFF" w:themeColor="background1"/>
              </w:rPr>
              <w:t>Consistency with objectives of NZ ETS</w:t>
            </w:r>
          </w:p>
        </w:tc>
        <w:tc>
          <w:tcPr>
            <w:tcW w:w="1418" w:type="dxa"/>
            <w:shd w:val="clear" w:color="auto" w:fill="1C556C"/>
            <w:vAlign w:val="bottom"/>
          </w:tcPr>
          <w:p w:rsidR="00B520D3" w:rsidRPr="00A03684" w:rsidRDefault="00B520D3" w:rsidP="00104CE5">
            <w:pPr>
              <w:pStyle w:val="TableTextbold"/>
              <w:rPr>
                <w:color w:val="FFFFFF" w:themeColor="background1"/>
              </w:rPr>
            </w:pPr>
            <w:r w:rsidRPr="00A03684">
              <w:rPr>
                <w:color w:val="FFFFFF" w:themeColor="background1"/>
              </w:rPr>
              <w:t xml:space="preserve">Addresses over-allocation </w:t>
            </w:r>
          </w:p>
        </w:tc>
        <w:tc>
          <w:tcPr>
            <w:tcW w:w="1418" w:type="dxa"/>
            <w:shd w:val="clear" w:color="auto" w:fill="1C556C"/>
            <w:vAlign w:val="bottom"/>
          </w:tcPr>
          <w:p w:rsidR="00B520D3" w:rsidRPr="00A03684" w:rsidRDefault="00B520D3" w:rsidP="00104CE5">
            <w:pPr>
              <w:pStyle w:val="TableTextbold"/>
              <w:rPr>
                <w:color w:val="FFFFFF" w:themeColor="background1"/>
              </w:rPr>
            </w:pPr>
            <w:r w:rsidRPr="00A03684">
              <w:rPr>
                <w:color w:val="FFFFFF" w:themeColor="background1"/>
              </w:rPr>
              <w:t>Addresses leakage risk</w:t>
            </w:r>
          </w:p>
        </w:tc>
        <w:tc>
          <w:tcPr>
            <w:tcW w:w="1418" w:type="dxa"/>
            <w:shd w:val="clear" w:color="auto" w:fill="1C556C"/>
            <w:vAlign w:val="bottom"/>
          </w:tcPr>
          <w:p w:rsidR="00B520D3" w:rsidRPr="00A03684" w:rsidRDefault="00B520D3" w:rsidP="00104CE5">
            <w:pPr>
              <w:pStyle w:val="TableTextbold"/>
              <w:rPr>
                <w:color w:val="FFFFFF" w:themeColor="background1"/>
              </w:rPr>
            </w:pPr>
            <w:r w:rsidRPr="00A03684">
              <w:rPr>
                <w:color w:val="FFFFFF" w:themeColor="background1"/>
              </w:rPr>
              <w:t>Regulatory certainty and predictability</w:t>
            </w:r>
          </w:p>
        </w:tc>
        <w:tc>
          <w:tcPr>
            <w:tcW w:w="1418" w:type="dxa"/>
            <w:shd w:val="clear" w:color="auto" w:fill="1C556C"/>
            <w:vAlign w:val="bottom"/>
          </w:tcPr>
          <w:p w:rsidR="00B520D3" w:rsidRPr="00A03684" w:rsidRDefault="00B520D3" w:rsidP="00104CE5">
            <w:pPr>
              <w:pStyle w:val="TableTextbold"/>
              <w:rPr>
                <w:color w:val="FFFFFF" w:themeColor="background1"/>
              </w:rPr>
            </w:pPr>
            <w:r w:rsidRPr="00A03684">
              <w:rPr>
                <w:color w:val="FFFFFF" w:themeColor="background1"/>
              </w:rPr>
              <w:t>Minimise administrative burden, costs and complexity</w:t>
            </w:r>
          </w:p>
        </w:tc>
      </w:tr>
      <w:tr w:rsidR="00B520D3" w:rsidRPr="00A03684" w:rsidTr="00104CE5">
        <w:trPr>
          <w:trHeight w:val="737"/>
        </w:trPr>
        <w:tc>
          <w:tcPr>
            <w:tcW w:w="1418" w:type="dxa"/>
            <w:shd w:val="clear" w:color="auto" w:fill="auto"/>
          </w:tcPr>
          <w:p w:rsidR="00B520D3" w:rsidRPr="00A03684" w:rsidRDefault="00B520D3" w:rsidP="00104CE5">
            <w:pPr>
              <w:pStyle w:val="TableText"/>
            </w:pPr>
            <w:r w:rsidRPr="00A03684">
              <w:t>Status quo – retain Gazette notice requirements</w:t>
            </w:r>
          </w:p>
        </w:tc>
        <w:tc>
          <w:tcPr>
            <w:tcW w:w="1418" w:type="dxa"/>
            <w:shd w:val="clear" w:color="auto" w:fill="auto"/>
          </w:tcPr>
          <w:p w:rsidR="00B520D3" w:rsidRPr="00A03684" w:rsidRDefault="00B520D3" w:rsidP="00104CE5">
            <w:pPr>
              <w:pStyle w:val="TableText"/>
              <w:jc w:val="center"/>
            </w:pPr>
            <w:r w:rsidRPr="00A03684">
              <w:t>o</w:t>
            </w:r>
          </w:p>
        </w:tc>
        <w:tc>
          <w:tcPr>
            <w:tcW w:w="1418" w:type="dxa"/>
          </w:tcPr>
          <w:p w:rsidR="00B520D3" w:rsidRPr="00A03684" w:rsidRDefault="00B520D3" w:rsidP="00104CE5">
            <w:pPr>
              <w:pStyle w:val="TableText"/>
              <w:jc w:val="center"/>
            </w:pPr>
            <w:r w:rsidRPr="00A03684">
              <w:t>o</w:t>
            </w:r>
          </w:p>
        </w:tc>
        <w:tc>
          <w:tcPr>
            <w:tcW w:w="1418" w:type="dxa"/>
          </w:tcPr>
          <w:p w:rsidR="00B520D3" w:rsidRPr="00A03684" w:rsidRDefault="00B520D3" w:rsidP="00104CE5">
            <w:pPr>
              <w:pStyle w:val="TableText"/>
              <w:jc w:val="center"/>
            </w:pPr>
            <w:r w:rsidRPr="00A03684">
              <w:t>o</w:t>
            </w:r>
          </w:p>
        </w:tc>
        <w:tc>
          <w:tcPr>
            <w:tcW w:w="1418" w:type="dxa"/>
          </w:tcPr>
          <w:p w:rsidR="00B520D3" w:rsidRPr="00A03684" w:rsidRDefault="00B520D3" w:rsidP="00104CE5">
            <w:pPr>
              <w:pStyle w:val="TableText"/>
              <w:jc w:val="center"/>
            </w:pPr>
            <w:r w:rsidRPr="00A03684">
              <w:t>o</w:t>
            </w:r>
          </w:p>
        </w:tc>
        <w:tc>
          <w:tcPr>
            <w:tcW w:w="1418" w:type="dxa"/>
          </w:tcPr>
          <w:p w:rsidR="00B520D3" w:rsidRPr="00A03684" w:rsidRDefault="00B520D3" w:rsidP="00104CE5">
            <w:pPr>
              <w:pStyle w:val="TableText"/>
              <w:jc w:val="center"/>
            </w:pPr>
            <w:r w:rsidRPr="00A03684">
              <w:t>o</w:t>
            </w:r>
          </w:p>
        </w:tc>
      </w:tr>
      <w:tr w:rsidR="00B520D3" w:rsidRPr="00A03684" w:rsidTr="00C36822">
        <w:trPr>
          <w:trHeight w:val="737"/>
        </w:trPr>
        <w:tc>
          <w:tcPr>
            <w:tcW w:w="1418" w:type="dxa"/>
            <w:shd w:val="clear" w:color="auto" w:fill="auto"/>
          </w:tcPr>
          <w:p w:rsidR="00B520D3" w:rsidRPr="00A03684" w:rsidRDefault="00B520D3" w:rsidP="00104CE5">
            <w:pPr>
              <w:pStyle w:val="TableText"/>
            </w:pPr>
            <w:r w:rsidRPr="00A03684">
              <w:t>Allow allocative baselines to automatically update if the calculation methodology changes</w:t>
            </w:r>
          </w:p>
        </w:tc>
        <w:tc>
          <w:tcPr>
            <w:tcW w:w="1418" w:type="dxa"/>
            <w:shd w:val="clear" w:color="auto" w:fill="CFE5E5"/>
          </w:tcPr>
          <w:p w:rsidR="00B520D3" w:rsidRPr="00A03684" w:rsidRDefault="00B520D3" w:rsidP="00104CE5">
            <w:pPr>
              <w:pStyle w:val="TableText"/>
              <w:jc w:val="center"/>
            </w:pPr>
            <w:r w:rsidRPr="00A03684">
              <w:sym w:font="Wingdings" w:char="F0FC"/>
            </w:r>
          </w:p>
          <w:p w:rsidR="00B520D3" w:rsidRPr="00A03684" w:rsidRDefault="00B520D3" w:rsidP="00104CE5">
            <w:pPr>
              <w:pStyle w:val="TableText"/>
              <w:jc w:val="center"/>
            </w:pPr>
            <w:r w:rsidRPr="00A03684">
              <w:t>Best</w:t>
            </w:r>
            <w:r w:rsidR="00A56FFB" w:rsidRPr="00A03684">
              <w:t>-</w:t>
            </w:r>
            <w:r w:rsidRPr="00A03684">
              <w:t>practi</w:t>
            </w:r>
            <w:r w:rsidR="00A56FFB" w:rsidRPr="00A03684">
              <w:t>c</w:t>
            </w:r>
            <w:r w:rsidRPr="00A03684">
              <w:t xml:space="preserve">e methodology </w:t>
            </w:r>
            <w:r w:rsidR="00A56FFB" w:rsidRPr="00A03684">
              <w:t>for</w:t>
            </w:r>
            <w:r w:rsidRPr="00A03684">
              <w:t xml:space="preserve"> calculating emissions and baselines</w:t>
            </w:r>
          </w:p>
        </w:tc>
        <w:tc>
          <w:tcPr>
            <w:tcW w:w="1418" w:type="dxa"/>
            <w:shd w:val="clear" w:color="auto" w:fill="CFE5E5"/>
          </w:tcPr>
          <w:p w:rsidR="00B520D3" w:rsidRPr="00A03684" w:rsidRDefault="00B520D3" w:rsidP="00104CE5">
            <w:pPr>
              <w:pStyle w:val="TableText"/>
              <w:jc w:val="center"/>
            </w:pPr>
            <w:r w:rsidRPr="00A03684">
              <w:sym w:font="Wingdings" w:char="F0FC"/>
            </w:r>
          </w:p>
          <w:p w:rsidR="00B520D3" w:rsidRPr="00A03684" w:rsidRDefault="00A56FFB" w:rsidP="00104CE5">
            <w:pPr>
              <w:pStyle w:val="TableText"/>
              <w:jc w:val="center"/>
            </w:pPr>
            <w:r w:rsidRPr="00A03684">
              <w:t>No o</w:t>
            </w:r>
            <w:r w:rsidR="00B520D3" w:rsidRPr="00A03684">
              <w:t>ver-allocation due to historical emissions factors or an out-of-date EAF</w:t>
            </w:r>
          </w:p>
        </w:tc>
        <w:tc>
          <w:tcPr>
            <w:tcW w:w="1418" w:type="dxa"/>
          </w:tcPr>
          <w:p w:rsidR="00B520D3" w:rsidRPr="00A03684" w:rsidRDefault="00B520D3" w:rsidP="00104CE5">
            <w:pPr>
              <w:pStyle w:val="TableText"/>
              <w:jc w:val="center"/>
            </w:pPr>
            <w:r w:rsidRPr="00A03684">
              <w:t>o</w:t>
            </w:r>
          </w:p>
        </w:tc>
        <w:tc>
          <w:tcPr>
            <w:tcW w:w="1418" w:type="dxa"/>
            <w:shd w:val="clear" w:color="auto" w:fill="F7E1D3" w:themeFill="accent6" w:themeFillTint="33"/>
          </w:tcPr>
          <w:p w:rsidR="00B520D3" w:rsidRPr="00A03684" w:rsidRDefault="00B520D3" w:rsidP="00104CE5">
            <w:pPr>
              <w:pStyle w:val="TableText"/>
              <w:jc w:val="center"/>
            </w:pPr>
            <w:r w:rsidRPr="00A03684">
              <w:t>x</w:t>
            </w:r>
          </w:p>
          <w:p w:rsidR="00B520D3" w:rsidRPr="00A03684" w:rsidRDefault="00B520D3" w:rsidP="00104CE5">
            <w:pPr>
              <w:pStyle w:val="TableText"/>
              <w:jc w:val="center"/>
            </w:pPr>
            <w:r w:rsidRPr="00A03684">
              <w:t>Updates of emissions factors or the EAF are irregular, and the magnitude of any change is uncertain. This could cause some uncertainty for industry</w:t>
            </w:r>
          </w:p>
        </w:tc>
        <w:tc>
          <w:tcPr>
            <w:tcW w:w="1418" w:type="dxa"/>
            <w:shd w:val="clear" w:color="auto" w:fill="87BDBE"/>
          </w:tcPr>
          <w:p w:rsidR="00B520D3" w:rsidRPr="00A03684" w:rsidRDefault="00B520D3" w:rsidP="00104CE5">
            <w:pPr>
              <w:pStyle w:val="TableText"/>
              <w:jc w:val="center"/>
            </w:pPr>
            <w:r w:rsidRPr="00A03684">
              <w:sym w:font="Wingdings" w:char="F0FC"/>
            </w:r>
            <w:r w:rsidRPr="00A03684">
              <w:sym w:font="Wingdings" w:char="F0FC"/>
            </w:r>
          </w:p>
          <w:p w:rsidR="00B520D3" w:rsidRPr="00A03684" w:rsidRDefault="00B520D3" w:rsidP="00104CE5">
            <w:pPr>
              <w:pStyle w:val="TableText"/>
              <w:jc w:val="center"/>
            </w:pPr>
            <w:r w:rsidRPr="00A03684">
              <w:t xml:space="preserve">Considerably more efficient </w:t>
            </w:r>
            <w:r w:rsidR="00A56FFB" w:rsidRPr="00A03684">
              <w:t>–</w:t>
            </w:r>
            <w:r w:rsidRPr="00A03684">
              <w:t>full data collection not required</w:t>
            </w:r>
          </w:p>
        </w:tc>
      </w:tr>
    </w:tbl>
    <w:p w:rsidR="00B520D3" w:rsidRPr="00A03684" w:rsidRDefault="00B520D3" w:rsidP="00B520D3">
      <w:pPr>
        <w:pStyle w:val="BodyText"/>
      </w:pP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B520D3" w:rsidRPr="00A03684" w:rsidTr="00104CE5">
        <w:tc>
          <w:tcPr>
            <w:tcW w:w="0" w:type="auto"/>
            <w:shd w:val="clear" w:color="auto" w:fill="D2DDE2"/>
          </w:tcPr>
          <w:p w:rsidR="00D608F2" w:rsidRPr="00A03684" w:rsidRDefault="00D608F2" w:rsidP="00104CE5">
            <w:pPr>
              <w:pStyle w:val="Blueboxheading"/>
              <w:keepNext w:val="0"/>
            </w:pPr>
            <w:bookmarkStart w:id="54" w:name="_Hlk73525142"/>
            <w:r w:rsidRPr="00A03684">
              <w:t xml:space="preserve">Other reforms to </w:t>
            </w:r>
            <w:r w:rsidR="0000431A">
              <w:t>industrial allocation</w:t>
            </w:r>
          </w:p>
          <w:p w:rsidR="00B520D3" w:rsidRPr="00A03684" w:rsidRDefault="00B520D3" w:rsidP="00104CE5">
            <w:pPr>
              <w:pStyle w:val="Blueboxtext"/>
            </w:pPr>
            <w:r w:rsidRPr="00A03684">
              <w:t>Question 1</w:t>
            </w:r>
            <w:r w:rsidR="0026285C" w:rsidRPr="00A03684">
              <w:t>5</w:t>
            </w:r>
            <w:r w:rsidRPr="00A03684">
              <w:t xml:space="preserve">: Do you agree </w:t>
            </w:r>
            <w:r w:rsidR="00A56FFB" w:rsidRPr="00A03684">
              <w:t xml:space="preserve">with </w:t>
            </w:r>
            <w:r w:rsidRPr="00A03684">
              <w:t>the proposal to simplify the process to update allocative baselines</w:t>
            </w:r>
            <w:r w:rsidR="00A56FFB" w:rsidRPr="00A03684">
              <w:t>,</w:t>
            </w:r>
            <w:r w:rsidRPr="00A03684">
              <w:t xml:space="preserve"> to reflect changes to emissions factors, EAF or other changes to methodology? Why, or why not? </w:t>
            </w:r>
          </w:p>
          <w:p w:rsidR="00B520D3" w:rsidRPr="00A03684" w:rsidRDefault="00B520D3" w:rsidP="00800EBA">
            <w:pPr>
              <w:pStyle w:val="Blueboxtext"/>
              <w:spacing w:before="80" w:after="240"/>
            </w:pPr>
            <w:r w:rsidRPr="00A03684">
              <w:t>Question 1</w:t>
            </w:r>
            <w:r w:rsidR="0026285C" w:rsidRPr="00A03684">
              <w:t>6</w:t>
            </w:r>
            <w:r w:rsidRPr="00A03684">
              <w:t xml:space="preserve">: Are there other changes to sections 161A-E of the Act that could better streamline </w:t>
            </w:r>
            <w:r w:rsidR="001437FD" w:rsidRPr="00A03684">
              <w:t>IA</w:t>
            </w:r>
            <w:r w:rsidRPr="00A03684">
              <w:t xml:space="preserve"> processes? </w:t>
            </w:r>
            <w:bookmarkEnd w:id="54"/>
          </w:p>
        </w:tc>
      </w:tr>
    </w:tbl>
    <w:p w:rsidR="00E47B91" w:rsidRPr="00A03684" w:rsidRDefault="00E47B91" w:rsidP="00104CE5">
      <w:pPr>
        <w:pStyle w:val="Heading2"/>
        <w:spacing w:before="480"/>
      </w:pPr>
      <w:bookmarkStart w:id="55" w:name="_Toc75336466"/>
      <w:r w:rsidRPr="00A03684">
        <w:t>Allocations for new activities</w:t>
      </w:r>
      <w:bookmarkEnd w:id="55"/>
      <w:r w:rsidRPr="00A03684">
        <w:t xml:space="preserve"> </w:t>
      </w:r>
    </w:p>
    <w:p w:rsidR="004004D2" w:rsidRPr="00A03684" w:rsidRDefault="000E1303" w:rsidP="00104CE5">
      <w:pPr>
        <w:pStyle w:val="Heading3"/>
        <w:spacing w:before="240"/>
      </w:pPr>
      <w:r w:rsidRPr="00A03684">
        <w:t>Unclear e</w:t>
      </w:r>
      <w:r w:rsidR="00A56FFB" w:rsidRPr="00A03684">
        <w:t xml:space="preserve">ligibility process </w:t>
      </w:r>
    </w:p>
    <w:p w:rsidR="004004D2" w:rsidRPr="00A03684" w:rsidRDefault="004004D2" w:rsidP="00104CE5">
      <w:pPr>
        <w:pStyle w:val="BodyText"/>
        <w:keepLines/>
      </w:pPr>
      <w:r w:rsidRPr="00A03684">
        <w:t xml:space="preserve">The Act </w:t>
      </w:r>
      <w:r w:rsidR="002A1B1A" w:rsidRPr="00A03684">
        <w:t xml:space="preserve">currently </w:t>
      </w:r>
      <w:r w:rsidRPr="00A03684">
        <w:t xml:space="preserve">allows new industrial activities to seek eligibility for </w:t>
      </w:r>
      <w:r w:rsidR="001437FD" w:rsidRPr="00A03684">
        <w:t>IA</w:t>
      </w:r>
      <w:r w:rsidRPr="00A03684">
        <w:t xml:space="preserve">. This recognises that technology changes and industry development could give rise to new activities </w:t>
      </w:r>
      <w:r w:rsidR="000E1303" w:rsidRPr="00A03684">
        <w:t xml:space="preserve">that are </w:t>
      </w:r>
      <w:r w:rsidRPr="00A03684">
        <w:t>at risk of emissions leakage.</w:t>
      </w:r>
      <w:r w:rsidR="00C16901" w:rsidRPr="00A03684">
        <w:t xml:space="preserve"> Without an opportunity </w:t>
      </w:r>
      <w:r w:rsidR="00C15189" w:rsidRPr="00A03684">
        <w:t>to receive</w:t>
      </w:r>
      <w:r w:rsidR="00C16901" w:rsidRPr="00A03684">
        <w:t xml:space="preserve"> free allocation, the NZ ETS could become a barrier to new industries – some of which could contribute to New Zealand’s climate change goals (such as a biofuels plant). </w:t>
      </w:r>
    </w:p>
    <w:p w:rsidR="000E1303" w:rsidRPr="00A03684" w:rsidRDefault="00E47B91" w:rsidP="007611D9">
      <w:pPr>
        <w:pStyle w:val="BodyText"/>
      </w:pPr>
      <w:r w:rsidRPr="00A03684">
        <w:t xml:space="preserve">However, </w:t>
      </w:r>
      <w:r w:rsidR="004004D2" w:rsidRPr="00A03684">
        <w:t xml:space="preserve">the process </w:t>
      </w:r>
      <w:r w:rsidR="00C377C5" w:rsidRPr="00A03684">
        <w:t xml:space="preserve">for </w:t>
      </w:r>
      <w:r w:rsidR="004004D2" w:rsidRPr="00A03684">
        <w:t>new activities to seek eligibility is unclear and diffi</w:t>
      </w:r>
      <w:r w:rsidR="003A7831" w:rsidRPr="00A03684">
        <w:t xml:space="preserve">cult for new industries to meet, as it is tied to historical base years. </w:t>
      </w:r>
      <w:r w:rsidR="00C377C5" w:rsidRPr="00A03684">
        <w:t xml:space="preserve">The Act is unclear </w:t>
      </w:r>
      <w:r w:rsidR="000E1303" w:rsidRPr="00A03684">
        <w:t xml:space="preserve">about </w:t>
      </w:r>
      <w:r w:rsidR="00C377C5" w:rsidRPr="00A03684">
        <w:t>how eligibility would</w:t>
      </w:r>
      <w:r w:rsidR="003A7831" w:rsidRPr="00A03684">
        <w:t xml:space="preserve"> be assessed for new </w:t>
      </w:r>
      <w:r w:rsidR="00C377C5" w:rsidRPr="00A03684">
        <w:t>activities not ca</w:t>
      </w:r>
      <w:r w:rsidR="003A7831" w:rsidRPr="00A03684">
        <w:t>rried out in the current</w:t>
      </w:r>
      <w:r w:rsidR="00BB5F36" w:rsidRPr="00A03684">
        <w:t xml:space="preserve"> base years. </w:t>
      </w:r>
      <w:r w:rsidR="00C16901" w:rsidRPr="00A03684">
        <w:t xml:space="preserve">This could </w:t>
      </w:r>
      <w:r w:rsidR="002111F5" w:rsidRPr="00A03684">
        <w:t>be</w:t>
      </w:r>
      <w:r w:rsidR="00634E4F" w:rsidRPr="00A03684">
        <w:t xml:space="preserve"> an</w:t>
      </w:r>
      <w:r w:rsidR="00723D7E">
        <w:t> </w:t>
      </w:r>
      <w:r w:rsidR="00634E4F" w:rsidRPr="00A03684">
        <w:t>issue for</w:t>
      </w:r>
      <w:r w:rsidR="000E1303" w:rsidRPr="00A03684">
        <w:t>:</w:t>
      </w:r>
    </w:p>
    <w:p w:rsidR="000E1303" w:rsidRPr="00A03684" w:rsidRDefault="002111F5" w:rsidP="00104CE5">
      <w:pPr>
        <w:pStyle w:val="Bullet"/>
      </w:pPr>
      <w:r w:rsidRPr="00A03684">
        <w:t>indust</w:t>
      </w:r>
      <w:r w:rsidR="00ED5BC8" w:rsidRPr="00A03684">
        <w:t>ries that have</w:t>
      </w:r>
      <w:r w:rsidRPr="00A03684">
        <w:t xml:space="preserve"> developed since the base years</w:t>
      </w:r>
    </w:p>
    <w:p w:rsidR="000E1303" w:rsidRPr="00A03684" w:rsidRDefault="00ED5BC8" w:rsidP="00104CE5">
      <w:pPr>
        <w:pStyle w:val="Bullet"/>
      </w:pPr>
      <w:r w:rsidRPr="00A03684">
        <w:t>new activities not</w:t>
      </w:r>
      <w:r w:rsidR="00C16901" w:rsidRPr="00A03684">
        <w:t xml:space="preserve"> carried out in New Zealand before. </w:t>
      </w:r>
    </w:p>
    <w:p w:rsidR="00E47B91" w:rsidRPr="00A03684" w:rsidRDefault="000E1303" w:rsidP="007611D9">
      <w:pPr>
        <w:pStyle w:val="BodyText"/>
      </w:pPr>
      <w:r w:rsidRPr="00A03684">
        <w:t xml:space="preserve">In </w:t>
      </w:r>
      <w:r w:rsidR="002111F5" w:rsidRPr="00A03684">
        <w:t>both circumstances</w:t>
      </w:r>
      <w:r w:rsidR="00ED5BC8" w:rsidRPr="00A03684">
        <w:t>,</w:t>
      </w:r>
      <w:r w:rsidR="002111F5" w:rsidRPr="00A03684">
        <w:t xml:space="preserve"> there would </w:t>
      </w:r>
      <w:r w:rsidR="00BB5F36" w:rsidRPr="00A03684">
        <w:t xml:space="preserve">be </w:t>
      </w:r>
      <w:r w:rsidRPr="00A03684">
        <w:t xml:space="preserve">no </w:t>
      </w:r>
      <w:r w:rsidR="00BB5F36" w:rsidRPr="00A03684">
        <w:t>activity data from the leg</w:t>
      </w:r>
      <w:r w:rsidR="002111F5" w:rsidRPr="00A03684">
        <w:t>islated base years to apply the emissions intensity test and assess eligibility</w:t>
      </w:r>
      <w:r w:rsidR="00BB5F36" w:rsidRPr="00A03684">
        <w:t>.</w:t>
      </w:r>
      <w:r w:rsidR="00A03684" w:rsidRPr="00A03684">
        <w:t xml:space="preserve"> </w:t>
      </w:r>
    </w:p>
    <w:p w:rsidR="00BB5F36" w:rsidRPr="00A03684" w:rsidRDefault="000E1303" w:rsidP="007611D9">
      <w:pPr>
        <w:pStyle w:val="BodyText"/>
      </w:pPr>
      <w:r w:rsidRPr="00A03684">
        <w:t>To make it easier for new activities to seek eligibility, t</w:t>
      </w:r>
      <w:r w:rsidR="00BB5F36" w:rsidRPr="00A03684">
        <w:t xml:space="preserve">he intensity test </w:t>
      </w:r>
      <w:r w:rsidR="003A7831" w:rsidRPr="00A03684">
        <w:t xml:space="preserve">could </w:t>
      </w:r>
      <w:r w:rsidR="00772BEA" w:rsidRPr="00A03684">
        <w:t xml:space="preserve">allow firms to use </w:t>
      </w:r>
      <w:r w:rsidRPr="00A03684">
        <w:t xml:space="preserve">their most </w:t>
      </w:r>
      <w:r w:rsidR="00772BEA" w:rsidRPr="00A03684">
        <w:t>recent activi</w:t>
      </w:r>
      <w:r w:rsidR="002111F5" w:rsidRPr="00A03684">
        <w:t xml:space="preserve">ty data. </w:t>
      </w:r>
    </w:p>
    <w:p w:rsidR="002A1B1A" w:rsidRPr="00A03684" w:rsidRDefault="002A1B1A" w:rsidP="0045794D">
      <w:pPr>
        <w:pStyle w:val="BodyText"/>
        <w:spacing w:after="240"/>
      </w:pPr>
      <w:r w:rsidRPr="00A03684">
        <w:t xml:space="preserve">For new activities not carried out in New Zealand before, eligibility could be assessed </w:t>
      </w:r>
      <w:r w:rsidR="00AF1A18" w:rsidRPr="00A03684">
        <w:t xml:space="preserve">using international data. However, this could be complex and difficult for the </w:t>
      </w:r>
      <w:r w:rsidR="000E1303" w:rsidRPr="00A03684">
        <w:t>G</w:t>
      </w:r>
      <w:r w:rsidR="00AF1A18" w:rsidRPr="00A03684">
        <w:t>overnment to verify.</w:t>
      </w:r>
      <w:r w:rsidR="00A03684" w:rsidRPr="00A03684">
        <w:t xml:space="preserve"> </w:t>
      </w: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BB5F36" w:rsidRPr="00A03684" w:rsidTr="0045794D">
        <w:tc>
          <w:tcPr>
            <w:tcW w:w="0" w:type="auto"/>
            <w:shd w:val="clear" w:color="auto" w:fill="D2DDE2"/>
          </w:tcPr>
          <w:p w:rsidR="00BF7419" w:rsidRPr="00A03684" w:rsidRDefault="00BF7419" w:rsidP="0045794D">
            <w:pPr>
              <w:pStyle w:val="Blueboxheading"/>
            </w:pPr>
            <w:bookmarkStart w:id="56" w:name="_Hlk73525156"/>
            <w:r w:rsidRPr="00A03684">
              <w:t xml:space="preserve">Other reforms to </w:t>
            </w:r>
            <w:r w:rsidR="0000431A">
              <w:t>industrial allocation</w:t>
            </w:r>
          </w:p>
          <w:p w:rsidR="00BB5F36" w:rsidRPr="00A03684" w:rsidRDefault="00303829" w:rsidP="0045794D">
            <w:pPr>
              <w:pStyle w:val="Blueboxtext"/>
              <w:spacing w:after="240"/>
            </w:pPr>
            <w:r w:rsidRPr="00A03684">
              <w:t>Question 1</w:t>
            </w:r>
            <w:r w:rsidR="0026285C" w:rsidRPr="00A03684">
              <w:t>7</w:t>
            </w:r>
            <w:r w:rsidRPr="00A03684">
              <w:t xml:space="preserve">: Do you agree </w:t>
            </w:r>
            <w:r w:rsidR="000E1303" w:rsidRPr="00A03684">
              <w:t xml:space="preserve">with </w:t>
            </w:r>
            <w:r w:rsidRPr="00A03684">
              <w:t xml:space="preserve">the proposal to clarify the </w:t>
            </w:r>
            <w:r w:rsidR="000E1303" w:rsidRPr="00A03684">
              <w:t xml:space="preserve">eligibility </w:t>
            </w:r>
            <w:r w:rsidRPr="00A03684">
              <w:t>process for new activities? Why, or why not?</w:t>
            </w:r>
            <w:bookmarkEnd w:id="56"/>
          </w:p>
        </w:tc>
      </w:tr>
    </w:tbl>
    <w:p w:rsidR="00303829" w:rsidRPr="00A03684" w:rsidRDefault="00303829" w:rsidP="0045794D">
      <w:pPr>
        <w:pStyle w:val="Heading3"/>
        <w:spacing w:before="480"/>
      </w:pPr>
      <w:r w:rsidRPr="00A03684">
        <w:t xml:space="preserve">Should new activities be eligible for </w:t>
      </w:r>
      <w:r w:rsidR="0000431A">
        <w:t>industrial allocation</w:t>
      </w:r>
      <w:r w:rsidRPr="00A03684">
        <w:t>?</w:t>
      </w:r>
    </w:p>
    <w:p w:rsidR="00585683" w:rsidRPr="00A03684" w:rsidRDefault="00585683" w:rsidP="0045794D">
      <w:pPr>
        <w:pStyle w:val="BodyText"/>
      </w:pPr>
      <w:r w:rsidRPr="00A03684">
        <w:t xml:space="preserve">Although </w:t>
      </w:r>
      <w:r w:rsidR="00303829" w:rsidRPr="00A03684">
        <w:t xml:space="preserve">new activities </w:t>
      </w:r>
      <w:r w:rsidRPr="00A03684">
        <w:t xml:space="preserve">can </w:t>
      </w:r>
      <w:r w:rsidR="00303829" w:rsidRPr="00A03684">
        <w:t xml:space="preserve">currently seek eligibility for </w:t>
      </w:r>
      <w:r w:rsidR="001437FD" w:rsidRPr="00A03684">
        <w:t>IA</w:t>
      </w:r>
      <w:r w:rsidR="00303829" w:rsidRPr="00A03684">
        <w:t xml:space="preserve">, there is </w:t>
      </w:r>
      <w:r w:rsidRPr="00A03684">
        <w:t xml:space="preserve">the </w:t>
      </w:r>
      <w:r w:rsidR="00303829" w:rsidRPr="00A03684">
        <w:t xml:space="preserve">question </w:t>
      </w:r>
      <w:r w:rsidRPr="00A03684">
        <w:t>of</w:t>
      </w:r>
      <w:r w:rsidR="00303829" w:rsidRPr="00A03684">
        <w:t xml:space="preserve"> whether this should be allowed in future. </w:t>
      </w:r>
      <w:r w:rsidRPr="00A03684">
        <w:t xml:space="preserve">Giving </w:t>
      </w:r>
      <w:r w:rsidR="00303829" w:rsidRPr="00A03684">
        <w:t>allocations to new emissions intensive activities would</w:t>
      </w:r>
      <w:r w:rsidRPr="00A03684">
        <w:t>:</w:t>
      </w:r>
    </w:p>
    <w:p w:rsidR="00585683" w:rsidRPr="00A03684" w:rsidRDefault="00303829" w:rsidP="0045794D">
      <w:pPr>
        <w:pStyle w:val="Bullet"/>
      </w:pPr>
      <w:r w:rsidRPr="00A03684">
        <w:t xml:space="preserve">encourage more emissions </w:t>
      </w:r>
    </w:p>
    <w:p w:rsidR="00585683" w:rsidRPr="00A03684" w:rsidRDefault="00303829" w:rsidP="0045794D">
      <w:pPr>
        <w:pStyle w:val="Bullet"/>
      </w:pPr>
      <w:r w:rsidRPr="00A03684">
        <w:t xml:space="preserve">increase the volume of </w:t>
      </w:r>
      <w:r w:rsidR="001437FD" w:rsidRPr="00A03684">
        <w:t>IA</w:t>
      </w:r>
      <w:r w:rsidRPr="00A03684">
        <w:t xml:space="preserve"> under the NZ ETS cap, making it harder to meet emissions budgets </w:t>
      </w:r>
    </w:p>
    <w:p w:rsidR="00303829" w:rsidRPr="00A03684" w:rsidRDefault="00303829" w:rsidP="0045794D">
      <w:pPr>
        <w:pStyle w:val="Bullet"/>
      </w:pPr>
      <w:r w:rsidRPr="00A03684">
        <w:t xml:space="preserve">increase the direct and indirect fiscal costs </w:t>
      </w:r>
      <w:r w:rsidR="00585683" w:rsidRPr="00A03684">
        <w:t>of</w:t>
      </w:r>
      <w:r w:rsidRPr="00A03684">
        <w:t xml:space="preserve"> </w:t>
      </w:r>
      <w:r w:rsidR="001437FD" w:rsidRPr="00A03684">
        <w:t>IA</w:t>
      </w:r>
      <w:r w:rsidRPr="00A03684">
        <w:t xml:space="preserve"> policy.</w:t>
      </w:r>
    </w:p>
    <w:p w:rsidR="00303829" w:rsidRPr="00A03684" w:rsidRDefault="00303829" w:rsidP="0045794D">
      <w:pPr>
        <w:pStyle w:val="BodyText"/>
      </w:pPr>
      <w:r w:rsidRPr="00A03684">
        <w:t xml:space="preserve">On the other hand, a new activity could be beneficial. </w:t>
      </w:r>
      <w:r w:rsidR="001437FD" w:rsidRPr="00A03684">
        <w:t>IA</w:t>
      </w:r>
      <w:r w:rsidRPr="00A03684">
        <w:t xml:space="preserve"> could support a new industry that competes against a domestic activity with a higher emissions intensity</w:t>
      </w:r>
      <w:r w:rsidR="0045794D" w:rsidRPr="00A03684">
        <w:t>.</w:t>
      </w:r>
      <w:r w:rsidRPr="00A03684">
        <w:rPr>
          <w:rStyle w:val="FootnoteReference"/>
        </w:rPr>
        <w:footnoteReference w:id="15"/>
      </w:r>
      <w:r w:rsidRPr="00A03684">
        <w:t xml:space="preserve"> In this case, </w:t>
      </w:r>
      <w:r w:rsidR="001437FD" w:rsidRPr="00A03684">
        <w:t>IA</w:t>
      </w:r>
      <w:r w:rsidRPr="00A03684">
        <w:t xml:space="preserve"> could help reduce New Zealand’s emissions. </w:t>
      </w:r>
    </w:p>
    <w:p w:rsidR="00585683" w:rsidRPr="00A03684" w:rsidRDefault="00303829" w:rsidP="00303829">
      <w:pPr>
        <w:pStyle w:val="BodyText"/>
      </w:pPr>
      <w:r w:rsidRPr="00A03684">
        <w:t>The Government seeks feedback on</w:t>
      </w:r>
      <w:r w:rsidR="00585683" w:rsidRPr="00A03684">
        <w:t>:</w:t>
      </w:r>
    </w:p>
    <w:p w:rsidR="00585683" w:rsidRPr="00A03684" w:rsidRDefault="00303829" w:rsidP="0045794D">
      <w:pPr>
        <w:pStyle w:val="Bullet"/>
      </w:pPr>
      <w:r w:rsidRPr="00A03684">
        <w:t xml:space="preserve">whether new activities should </w:t>
      </w:r>
      <w:r w:rsidR="00585683" w:rsidRPr="00A03684">
        <w:t xml:space="preserve">still </w:t>
      </w:r>
      <w:r w:rsidRPr="00A03684">
        <w:t xml:space="preserve">be allowed to seek eligibility for </w:t>
      </w:r>
      <w:r w:rsidR="001437FD" w:rsidRPr="00A03684">
        <w:t>IA</w:t>
      </w:r>
      <w:r w:rsidRPr="00A03684">
        <w:t xml:space="preserve"> </w:t>
      </w:r>
    </w:p>
    <w:p w:rsidR="00303829" w:rsidRPr="00A03684" w:rsidRDefault="00303829" w:rsidP="0045794D">
      <w:pPr>
        <w:pStyle w:val="Bullet"/>
      </w:pPr>
      <w:r w:rsidRPr="00A03684">
        <w:t xml:space="preserve">acceptable </w:t>
      </w:r>
      <w:r w:rsidR="00BF7419" w:rsidRPr="00A03684">
        <w:t xml:space="preserve">conditions </w:t>
      </w:r>
      <w:r w:rsidRPr="00A03684">
        <w:t>for new entrants to receive an allocation.</w:t>
      </w:r>
      <w:r w:rsidR="00A03684" w:rsidRPr="00A03684">
        <w:t xml:space="preserve"> </w:t>
      </w:r>
    </w:p>
    <w:p w:rsidR="00E47B91" w:rsidRPr="00A03684" w:rsidRDefault="00593A90" w:rsidP="0045794D">
      <w:pPr>
        <w:pStyle w:val="Heading4"/>
      </w:pPr>
      <w:r w:rsidRPr="00A03684">
        <w:t xml:space="preserve">Option 1: </w:t>
      </w:r>
      <w:r w:rsidR="00E47B91" w:rsidRPr="00A03684">
        <w:t xml:space="preserve">Status quo – </w:t>
      </w:r>
      <w:r w:rsidR="00585683" w:rsidRPr="00A03684">
        <w:t>n</w:t>
      </w:r>
      <w:r w:rsidR="00E47B91" w:rsidRPr="00A03684">
        <w:t xml:space="preserve">ew activities can seek eligibility </w:t>
      </w:r>
    </w:p>
    <w:p w:rsidR="00303829" w:rsidRPr="00A03684" w:rsidRDefault="00303829" w:rsidP="00303829">
      <w:pPr>
        <w:pStyle w:val="BodyText"/>
      </w:pPr>
      <w:r w:rsidRPr="00A03684">
        <w:t>New activities will continue to be allowed to seek eligibility. To better support this, the Act would be amended to improve the process for new entrants.</w:t>
      </w:r>
    </w:p>
    <w:p w:rsidR="00303829" w:rsidRPr="00A03684" w:rsidRDefault="00303829" w:rsidP="00303829">
      <w:pPr>
        <w:pStyle w:val="BodyText"/>
      </w:pPr>
      <w:r w:rsidRPr="00A03684">
        <w:t>Making it easier for new activities to seek eligibility could be inconsistent with the purpose of the NZ ETS</w:t>
      </w:r>
      <w:r w:rsidR="00CA24C9" w:rsidRPr="00A03684">
        <w:t>,</w:t>
      </w:r>
      <w:r w:rsidRPr="00A03684">
        <w:t xml:space="preserve"> if it </w:t>
      </w:r>
      <w:r w:rsidR="00CA24C9" w:rsidRPr="00A03684">
        <w:t>leads to a rise</w:t>
      </w:r>
      <w:r w:rsidRPr="00A03684">
        <w:t xml:space="preserve"> in emissions</w:t>
      </w:r>
      <w:r w:rsidR="00CA24C9" w:rsidRPr="00A03684">
        <w:t>,</w:t>
      </w:r>
      <w:r w:rsidRPr="00A03684">
        <w:t xml:space="preserve"> or makes it harder to meet emissions budgets. </w:t>
      </w:r>
    </w:p>
    <w:p w:rsidR="00303829" w:rsidRPr="00A03684" w:rsidRDefault="003A7831" w:rsidP="00303829">
      <w:pPr>
        <w:pStyle w:val="BodyText"/>
      </w:pPr>
      <w:r w:rsidRPr="00A03684">
        <w:t>I</w:t>
      </w:r>
      <w:r w:rsidR="00303829" w:rsidRPr="00A03684">
        <w:t>t is unlikely that a</w:t>
      </w:r>
      <w:r w:rsidRPr="00A03684">
        <w:t xml:space="preserve"> new</w:t>
      </w:r>
      <w:r w:rsidR="00BF7419" w:rsidRPr="00A03684">
        <w:t>,</w:t>
      </w:r>
      <w:r w:rsidR="00303829" w:rsidRPr="00A03684">
        <w:t xml:space="preserve"> highly emissions</w:t>
      </w:r>
      <w:r w:rsidR="00BF7419" w:rsidRPr="00A03684">
        <w:t>-</w:t>
      </w:r>
      <w:r w:rsidR="00303829" w:rsidRPr="00A03684">
        <w:t>intensive industry would attempt to set up in New</w:t>
      </w:r>
      <w:r w:rsidR="00800EBA">
        <w:t> </w:t>
      </w:r>
      <w:r w:rsidR="00303829" w:rsidRPr="00A03684">
        <w:t xml:space="preserve">Zealand and apply for </w:t>
      </w:r>
      <w:r w:rsidR="001437FD" w:rsidRPr="00A03684">
        <w:t>IA</w:t>
      </w:r>
      <w:r w:rsidR="00CA24C9" w:rsidRPr="00A03684">
        <w:t>,</w:t>
      </w:r>
      <w:r w:rsidR="00303829" w:rsidRPr="00A03684">
        <w:t xml:space="preserve"> given </w:t>
      </w:r>
      <w:r w:rsidR="00CA24C9" w:rsidRPr="00A03684">
        <w:t>the</w:t>
      </w:r>
      <w:r w:rsidR="00303829" w:rsidRPr="00A03684">
        <w:t xml:space="preserve"> economic barriers (</w:t>
      </w:r>
      <w:r w:rsidR="00CA24C9" w:rsidRPr="00A03684">
        <w:t xml:space="preserve">eg, </w:t>
      </w:r>
      <w:r w:rsidR="00303829" w:rsidRPr="00A03684">
        <w:t>increasing NZ ETS costs, phase</w:t>
      </w:r>
      <w:r w:rsidR="00752830">
        <w:noBreakHyphen/>
      </w:r>
      <w:r w:rsidR="00303829" w:rsidRPr="00A03684">
        <w:t xml:space="preserve">out of </w:t>
      </w:r>
      <w:r w:rsidR="001437FD" w:rsidRPr="00A03684">
        <w:t>IA</w:t>
      </w:r>
      <w:r w:rsidR="00303829" w:rsidRPr="00A03684">
        <w:t xml:space="preserve">). It is unlikely </w:t>
      </w:r>
      <w:r w:rsidR="00CA24C9" w:rsidRPr="00A03684">
        <w:t xml:space="preserve">that </w:t>
      </w:r>
      <w:r w:rsidR="00303829" w:rsidRPr="00A03684">
        <w:t>retaining the status quo would have a material impact on</w:t>
      </w:r>
      <w:r w:rsidR="00752830">
        <w:t> </w:t>
      </w:r>
      <w:r w:rsidR="00303829" w:rsidRPr="00A03684">
        <w:t xml:space="preserve">meeting future budgets. </w:t>
      </w:r>
    </w:p>
    <w:p w:rsidR="00303829" w:rsidRPr="00A03684" w:rsidRDefault="00303829" w:rsidP="00303829">
      <w:pPr>
        <w:pStyle w:val="BodyText"/>
      </w:pPr>
      <w:r w:rsidRPr="00A03684">
        <w:t xml:space="preserve">The eligibility of new activities would increase the fiscal costs of </w:t>
      </w:r>
      <w:r w:rsidR="001437FD" w:rsidRPr="00A03684">
        <w:t>IA</w:t>
      </w:r>
      <w:r w:rsidRPr="00A03684">
        <w:t xml:space="preserve">. </w:t>
      </w:r>
      <w:r w:rsidR="00CA24C9" w:rsidRPr="00A03684">
        <w:t xml:space="preserve">Although </w:t>
      </w:r>
      <w:r w:rsidRPr="00A03684">
        <w:t xml:space="preserve">it would not contribute to over-allocation (assuming the new activity would have a current allocative </w:t>
      </w:r>
      <w:r w:rsidR="003F0464" w:rsidRPr="00A03684">
        <w:t>baseline),</w:t>
      </w:r>
      <w:r w:rsidRPr="00A03684">
        <w:t xml:space="preserve"> it would still increase the overall quantum of </w:t>
      </w:r>
      <w:r w:rsidR="001437FD" w:rsidRPr="00A03684">
        <w:t>IA</w:t>
      </w:r>
      <w:r w:rsidRPr="00A03684">
        <w:t>, which would reduce New Zealand’s auction volume.</w:t>
      </w:r>
    </w:p>
    <w:p w:rsidR="00E47B91" w:rsidRPr="00A03684" w:rsidRDefault="00303829" w:rsidP="00303829">
      <w:pPr>
        <w:pStyle w:val="BodyText"/>
      </w:pPr>
      <w:r w:rsidRPr="00A03684">
        <w:t xml:space="preserve">There could be some </w:t>
      </w:r>
      <w:r w:rsidR="00281C50" w:rsidRPr="00A03684">
        <w:t xml:space="preserve">extra </w:t>
      </w:r>
      <w:r w:rsidRPr="00A03684">
        <w:t>administrati</w:t>
      </w:r>
      <w:r w:rsidR="00281C50" w:rsidRPr="00A03684">
        <w:t>on</w:t>
      </w:r>
      <w:r w:rsidRPr="00A03684">
        <w:t xml:space="preserve"> </w:t>
      </w:r>
      <w:r w:rsidR="00281C50" w:rsidRPr="00A03684">
        <w:t>to</w:t>
      </w:r>
      <w:r w:rsidR="00BF7419" w:rsidRPr="00A03684">
        <w:t xml:space="preserve"> </w:t>
      </w:r>
      <w:r w:rsidRPr="00A03684">
        <w:t xml:space="preserve">assess </w:t>
      </w:r>
      <w:r w:rsidR="00104E70" w:rsidRPr="00A03684">
        <w:t>eligibility</w:t>
      </w:r>
      <w:r w:rsidR="00E10233" w:rsidRPr="00A03684">
        <w:t xml:space="preserve">. </w:t>
      </w:r>
    </w:p>
    <w:p w:rsidR="00E47B91" w:rsidRPr="00A03684" w:rsidRDefault="00E10233" w:rsidP="007611D9">
      <w:pPr>
        <w:pStyle w:val="Heading4"/>
      </w:pPr>
      <w:r w:rsidRPr="00A03684">
        <w:t>Option 2</w:t>
      </w:r>
      <w:r w:rsidR="00593A90" w:rsidRPr="00A03684">
        <w:t xml:space="preserve">: </w:t>
      </w:r>
      <w:r w:rsidR="007F519E" w:rsidRPr="00A03684">
        <w:t>No</w:t>
      </w:r>
      <w:r w:rsidRPr="00A03684">
        <w:t xml:space="preserve"> new activities </w:t>
      </w:r>
      <w:r w:rsidR="007F519E" w:rsidRPr="00A03684">
        <w:t>can</w:t>
      </w:r>
      <w:r w:rsidR="00E47B91" w:rsidRPr="00A03684">
        <w:t xml:space="preserve"> seek eligibility </w:t>
      </w:r>
    </w:p>
    <w:p w:rsidR="00303829" w:rsidRPr="00A03684" w:rsidRDefault="00303829" w:rsidP="00303829">
      <w:pPr>
        <w:pStyle w:val="BodyText"/>
      </w:pPr>
      <w:r w:rsidRPr="00A03684">
        <w:t xml:space="preserve">New industrial activities would not be allowed to seek eligibility for </w:t>
      </w:r>
      <w:r w:rsidR="001437FD" w:rsidRPr="00A03684">
        <w:t>IA</w:t>
      </w:r>
      <w:r w:rsidRPr="00A03684">
        <w:t>.</w:t>
      </w:r>
      <w:r w:rsidR="00A03684" w:rsidRPr="00A03684">
        <w:t xml:space="preserve"> </w:t>
      </w:r>
    </w:p>
    <w:p w:rsidR="00F84AA1" w:rsidRPr="00A03684" w:rsidRDefault="00303829" w:rsidP="00303829">
      <w:pPr>
        <w:pStyle w:val="BodyText"/>
      </w:pPr>
      <w:r w:rsidRPr="00A03684">
        <w:t xml:space="preserve">Disallowing new activities measures well against the objectives of the NZ ETS and </w:t>
      </w:r>
      <w:r w:rsidR="00281C50" w:rsidRPr="00A03684">
        <w:t>our</w:t>
      </w:r>
      <w:r w:rsidRPr="00A03684">
        <w:t xml:space="preserve"> climate</w:t>
      </w:r>
      <w:r w:rsidR="00A224C9" w:rsidRPr="00A03684">
        <w:t> </w:t>
      </w:r>
      <w:r w:rsidRPr="00A03684">
        <w:t>commitments in the short</w:t>
      </w:r>
      <w:r w:rsidR="00BF7419" w:rsidRPr="00A03684">
        <w:t xml:space="preserve"> </w:t>
      </w:r>
      <w:r w:rsidRPr="00A03684">
        <w:t xml:space="preserve">term. </w:t>
      </w:r>
      <w:r w:rsidR="00F84AA1" w:rsidRPr="00A03684">
        <w:t xml:space="preserve">It would stop future increases in </w:t>
      </w:r>
      <w:r w:rsidR="001437FD" w:rsidRPr="00A03684">
        <w:t>IA</w:t>
      </w:r>
      <w:r w:rsidR="00F84AA1" w:rsidRPr="00A03684">
        <w:t xml:space="preserve"> volumes</w:t>
      </w:r>
      <w:r w:rsidR="00FC19F4" w:rsidRPr="00A03684">
        <w:t xml:space="preserve"> from new</w:t>
      </w:r>
      <w:r w:rsidR="00A224C9" w:rsidRPr="00A03684">
        <w:t> </w:t>
      </w:r>
      <w:r w:rsidR="00FC19F4" w:rsidRPr="00A03684">
        <w:t>activities</w:t>
      </w:r>
      <w:r w:rsidR="00F84AA1" w:rsidRPr="00A03684">
        <w:t xml:space="preserve">, </w:t>
      </w:r>
      <w:r w:rsidR="00FC19F4" w:rsidRPr="00A03684">
        <w:t>reducing the risk of not</w:t>
      </w:r>
      <w:r w:rsidR="00F84AA1" w:rsidRPr="00A03684">
        <w:t xml:space="preserve"> </w:t>
      </w:r>
      <w:r w:rsidR="00FC19F4" w:rsidRPr="00A03684">
        <w:t xml:space="preserve">meeting emissions budgets. It would also prevent </w:t>
      </w:r>
      <w:r w:rsidR="001437FD" w:rsidRPr="00A03684">
        <w:t>IA</w:t>
      </w:r>
      <w:r w:rsidR="00FC19F4" w:rsidRPr="00A03684">
        <w:t xml:space="preserve"> from </w:t>
      </w:r>
      <w:r w:rsidR="007F519E" w:rsidRPr="00A03684">
        <w:t xml:space="preserve">encouraging </w:t>
      </w:r>
      <w:r w:rsidR="00FC19F4" w:rsidRPr="00A03684">
        <w:t>new EITE firms moving to New Zealand and increasing domestic emissions. Both</w:t>
      </w:r>
      <w:r w:rsidR="0045794D" w:rsidRPr="00A03684">
        <w:t> </w:t>
      </w:r>
      <w:r w:rsidR="00FC19F4" w:rsidRPr="00A03684">
        <w:t>these risks are likely to be low</w:t>
      </w:r>
      <w:r w:rsidR="007F519E" w:rsidRPr="00A03684">
        <w:t>,</w:t>
      </w:r>
      <w:r w:rsidR="00FC19F4" w:rsidRPr="00A03684">
        <w:t xml:space="preserve"> given the barriers for new</w:t>
      </w:r>
      <w:r w:rsidR="007F519E" w:rsidRPr="00A03684">
        <w:t>,</w:t>
      </w:r>
      <w:r w:rsidR="00FC19F4" w:rsidRPr="00A03684">
        <w:t xml:space="preserve"> highly emitting industries to set</w:t>
      </w:r>
      <w:r w:rsidR="00752830">
        <w:t> </w:t>
      </w:r>
      <w:r w:rsidR="00FC19F4" w:rsidRPr="00A03684">
        <w:t>up here.</w:t>
      </w:r>
      <w:r w:rsidR="00A03684" w:rsidRPr="00A03684">
        <w:t xml:space="preserve"> </w:t>
      </w:r>
    </w:p>
    <w:p w:rsidR="002C682A" w:rsidRPr="00A03684" w:rsidRDefault="007F519E" w:rsidP="00303829">
      <w:pPr>
        <w:pStyle w:val="BodyText"/>
      </w:pPr>
      <w:r w:rsidRPr="00A03684">
        <w:t>However, t</w:t>
      </w:r>
      <w:r w:rsidR="00C516D0" w:rsidRPr="00A03684">
        <w:t>here could also be a risk of emissions leakage. If the NZ ETS prevents new industries</w:t>
      </w:r>
      <w:r w:rsidR="00A224C9" w:rsidRPr="00A03684">
        <w:t> </w:t>
      </w:r>
      <w:r w:rsidR="00C516D0" w:rsidRPr="00A03684">
        <w:t xml:space="preserve">from moving to New Zealand that are less emissions-intensive than current activities, this would increase global emissions and be a form of emissions leakage. </w:t>
      </w:r>
    </w:p>
    <w:p w:rsidR="00303829" w:rsidRPr="00A03684" w:rsidRDefault="00FC19F4" w:rsidP="00303829">
      <w:pPr>
        <w:pStyle w:val="BodyText"/>
      </w:pPr>
      <w:r w:rsidRPr="00A03684">
        <w:t>This proposal</w:t>
      </w:r>
      <w:r w:rsidR="00303829" w:rsidRPr="00A03684">
        <w:t xml:space="preserve"> could</w:t>
      </w:r>
      <w:r w:rsidRPr="00A03684">
        <w:t xml:space="preserve"> </w:t>
      </w:r>
      <w:r w:rsidR="00303829" w:rsidRPr="00A03684">
        <w:t xml:space="preserve">unfairly </w:t>
      </w:r>
      <w:r w:rsidR="007F519E" w:rsidRPr="00A03684">
        <w:t xml:space="preserve">favour more emissions-intensive </w:t>
      </w:r>
      <w:r w:rsidR="00303829" w:rsidRPr="00A03684">
        <w:t>industry over alternative</w:t>
      </w:r>
      <w:r w:rsidR="007F519E" w:rsidRPr="00A03684">
        <w:t>,</w:t>
      </w:r>
      <w:r w:rsidR="00303829" w:rsidRPr="00A03684">
        <w:t xml:space="preserve"> l</w:t>
      </w:r>
      <w:r w:rsidR="007F519E" w:rsidRPr="00A03684">
        <w:t>ess</w:t>
      </w:r>
      <w:r w:rsidR="00A224C9" w:rsidRPr="00A03684">
        <w:t> </w:t>
      </w:r>
      <w:r w:rsidR="007F519E" w:rsidRPr="00A03684">
        <w:t xml:space="preserve">intensive </w:t>
      </w:r>
      <w:r w:rsidR="00303829" w:rsidRPr="00A03684">
        <w:t xml:space="preserve">activities that could emerge in the future. </w:t>
      </w:r>
      <w:r w:rsidR="007F519E" w:rsidRPr="00A03684">
        <w:t xml:space="preserve">In </w:t>
      </w:r>
      <w:r w:rsidR="00303829" w:rsidRPr="00A03684">
        <w:t>the long run, New Zealand would</w:t>
      </w:r>
      <w:r w:rsidR="00A224C9" w:rsidRPr="00A03684">
        <w:t> </w:t>
      </w:r>
      <w:r w:rsidR="00303829" w:rsidRPr="00A03684">
        <w:t>miss the economic gains of a new industry, and the climate benefit of a less emissions</w:t>
      </w:r>
      <w:r w:rsidR="00A224C9" w:rsidRPr="00A03684">
        <w:noBreakHyphen/>
      </w:r>
      <w:r w:rsidR="00303829" w:rsidRPr="00A03684">
        <w:t xml:space="preserve">intensive activity. </w:t>
      </w:r>
    </w:p>
    <w:p w:rsidR="00E47B91" w:rsidRPr="00A03684" w:rsidRDefault="00E47B91" w:rsidP="007611D9">
      <w:pPr>
        <w:pStyle w:val="Heading4"/>
      </w:pPr>
      <w:r w:rsidRPr="00A03684">
        <w:t xml:space="preserve">Option </w:t>
      </w:r>
      <w:r w:rsidR="00E10233" w:rsidRPr="00A03684">
        <w:t>3</w:t>
      </w:r>
      <w:r w:rsidRPr="00A03684">
        <w:t xml:space="preserve">: </w:t>
      </w:r>
      <w:r w:rsidR="007F519E" w:rsidRPr="00A03684">
        <w:t>N</w:t>
      </w:r>
      <w:r w:rsidRPr="00A03684">
        <w:t xml:space="preserve">ew activities </w:t>
      </w:r>
      <w:r w:rsidR="007F519E" w:rsidRPr="00A03684">
        <w:t xml:space="preserve">can </w:t>
      </w:r>
      <w:r w:rsidRPr="00A03684">
        <w:t xml:space="preserve">seek eligibility if they can </w:t>
      </w:r>
      <w:r w:rsidR="006425CB" w:rsidRPr="00A03684">
        <w:t>prove</w:t>
      </w:r>
      <w:r w:rsidR="001711C4" w:rsidRPr="00A03684">
        <w:t xml:space="preserve"> </w:t>
      </w:r>
      <w:r w:rsidRPr="00A03684">
        <w:t xml:space="preserve">environmental benefit </w:t>
      </w:r>
    </w:p>
    <w:p w:rsidR="00E10233" w:rsidRPr="00A03684" w:rsidRDefault="00E10233" w:rsidP="00A224C9">
      <w:pPr>
        <w:pStyle w:val="BodyText"/>
      </w:pPr>
      <w:r w:rsidRPr="00A03684">
        <w:t>New activities could seek eligibility</w:t>
      </w:r>
      <w:r w:rsidR="007F519E" w:rsidRPr="00A03684">
        <w:t>,</w:t>
      </w:r>
      <w:r w:rsidRPr="00A03684">
        <w:t xml:space="preserve"> but </w:t>
      </w:r>
      <w:r w:rsidR="001711C4" w:rsidRPr="00A03684">
        <w:t xml:space="preserve">the </w:t>
      </w:r>
      <w:r w:rsidRPr="00A03684">
        <w:t xml:space="preserve">firms would have to </w:t>
      </w:r>
      <w:r w:rsidR="007530C8" w:rsidRPr="00A03684">
        <w:t xml:space="preserve">show </w:t>
      </w:r>
      <w:r w:rsidR="001711C4" w:rsidRPr="00A03684">
        <w:t xml:space="preserve">that </w:t>
      </w:r>
      <w:r w:rsidRPr="00A03684">
        <w:t xml:space="preserve">it would have an environmental benefit over current eligible activities. </w:t>
      </w:r>
    </w:p>
    <w:p w:rsidR="00E47B91" w:rsidRPr="00A03684" w:rsidRDefault="00E47B91" w:rsidP="00A224C9">
      <w:pPr>
        <w:pStyle w:val="BodyText"/>
      </w:pPr>
      <w:r w:rsidRPr="00A03684">
        <w:t xml:space="preserve">Removing </w:t>
      </w:r>
      <w:r w:rsidR="001711C4" w:rsidRPr="00A03684">
        <w:t>eligibility</w:t>
      </w:r>
      <w:r w:rsidRPr="00A03684">
        <w:t xml:space="preserve"> for new activities might support emissions </w:t>
      </w:r>
      <w:r w:rsidR="00486BF4" w:rsidRPr="00A03684">
        <w:t>budgets;</w:t>
      </w:r>
      <w:r w:rsidRPr="00A03684">
        <w:t xml:space="preserve"> however, a blanket ban on all new activities could ha</w:t>
      </w:r>
      <w:r w:rsidR="00945CED" w:rsidRPr="00A03684">
        <w:t>ve perverse incentives</w:t>
      </w:r>
      <w:r w:rsidR="001711C4" w:rsidRPr="00A03684">
        <w:t>,</w:t>
      </w:r>
      <w:r w:rsidR="00945CED" w:rsidRPr="00A03684">
        <w:t xml:space="preserve"> such as preventing</w:t>
      </w:r>
      <w:r w:rsidRPr="00A03684">
        <w:t xml:space="preserve"> lower emissions activities from entering the market.</w:t>
      </w:r>
      <w:r w:rsidR="00C516D0" w:rsidRPr="00A03684">
        <w:t xml:space="preserve"> This would increase the risk of emissions leakage.</w:t>
      </w:r>
      <w:r w:rsidR="00A03684" w:rsidRPr="00A03684">
        <w:t xml:space="preserve"> </w:t>
      </w:r>
    </w:p>
    <w:p w:rsidR="00303829" w:rsidRPr="00A03684" w:rsidRDefault="00303829" w:rsidP="00A224C9">
      <w:pPr>
        <w:pStyle w:val="BodyText"/>
      </w:pPr>
      <w:r w:rsidRPr="00A03684">
        <w:t xml:space="preserve">A possible solution could be to grant eligibility to new activities that </w:t>
      </w:r>
      <w:r w:rsidR="00367AE3" w:rsidRPr="00A03684">
        <w:t xml:space="preserve">can </w:t>
      </w:r>
      <w:r w:rsidRPr="00A03684">
        <w:t xml:space="preserve">demonstrate a positive environmental effect </w:t>
      </w:r>
      <w:r w:rsidR="001711C4" w:rsidRPr="00A03684">
        <w:t>compared</w:t>
      </w:r>
      <w:r w:rsidRPr="00A03684">
        <w:t xml:space="preserve"> to a competing activity. This could ensure that </w:t>
      </w:r>
      <w:r w:rsidR="001711C4" w:rsidRPr="00A03684">
        <w:t xml:space="preserve">these </w:t>
      </w:r>
      <w:r w:rsidR="009405A1" w:rsidRPr="00A03684">
        <w:t>new</w:t>
      </w:r>
      <w:r w:rsidRPr="00A03684">
        <w:t xml:space="preserve"> activities are not cut out of the market. </w:t>
      </w:r>
      <w:r w:rsidR="009405A1" w:rsidRPr="00A03684">
        <w:t>However, t</w:t>
      </w:r>
      <w:r w:rsidRPr="00A03684">
        <w:t xml:space="preserve">his would likely require extensive analysis to quantify why and how </w:t>
      </w:r>
      <w:r w:rsidR="009405A1" w:rsidRPr="00A03684">
        <w:t>they have</w:t>
      </w:r>
      <w:r w:rsidRPr="00A03684">
        <w:t xml:space="preserve"> better outcomes</w:t>
      </w:r>
      <w:r w:rsidR="007530C8" w:rsidRPr="00A03684">
        <w:t xml:space="preserve"> </w:t>
      </w:r>
      <w:r w:rsidRPr="00A03684">
        <w:t xml:space="preserve">– </w:t>
      </w:r>
      <w:r w:rsidR="009405A1" w:rsidRPr="00A03684">
        <w:t xml:space="preserve">which could create </w:t>
      </w:r>
      <w:r w:rsidRPr="00A03684">
        <w:t>significant administrative costs to the Crown. This c</w:t>
      </w:r>
      <w:r w:rsidR="009405A1" w:rsidRPr="00A03684">
        <w:t>o</w:t>
      </w:r>
      <w:r w:rsidRPr="00A03684">
        <w:t>uld be complex and difficult to determine</w:t>
      </w:r>
      <w:r w:rsidR="00317300" w:rsidRPr="00A03684">
        <w:t>.</w:t>
      </w:r>
      <w:r w:rsidRPr="00A03684">
        <w:t xml:space="preserve"> </w:t>
      </w:r>
    </w:p>
    <w:p w:rsidR="00E47B91" w:rsidRPr="00A03684" w:rsidRDefault="00E47B91" w:rsidP="00D2629A">
      <w:pPr>
        <w:pStyle w:val="Tableheading"/>
      </w:pPr>
      <w:bookmarkStart w:id="57" w:name="_Toc75262181"/>
      <w:r w:rsidRPr="00A03684">
        <w:t xml:space="preserve">Table </w:t>
      </w:r>
      <w:r w:rsidR="00AC6EA7" w:rsidRPr="00A03684">
        <w:t>12</w:t>
      </w:r>
      <w:r w:rsidRPr="00A03684">
        <w:t>:</w:t>
      </w:r>
      <w:r w:rsidRPr="00A03684">
        <w:tab/>
        <w:t xml:space="preserve">Assessment of </w:t>
      </w:r>
      <w:r w:rsidR="007530C8" w:rsidRPr="00A03684">
        <w:t>limiting</w:t>
      </w:r>
      <w:r w:rsidR="009405A1" w:rsidRPr="00A03684">
        <w:t xml:space="preserve"> </w:t>
      </w:r>
      <w:r w:rsidR="00486BF4" w:rsidRPr="00A03684">
        <w:t>new activities from seeking eligibility</w:t>
      </w:r>
      <w:bookmarkEnd w:id="57"/>
      <w:r w:rsidR="00486BF4" w:rsidRPr="00A03684">
        <w:t xml:space="preserve"> </w:t>
      </w:r>
    </w:p>
    <w:tbl>
      <w:tblPr>
        <w:tblStyle w:val="TableGrid1"/>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450"/>
        <w:gridCol w:w="1493"/>
        <w:gridCol w:w="1291"/>
        <w:gridCol w:w="1393"/>
        <w:gridCol w:w="1426"/>
        <w:gridCol w:w="1452"/>
      </w:tblGrid>
      <w:tr w:rsidR="00945CED" w:rsidRPr="00A03684" w:rsidTr="00752830">
        <w:trPr>
          <w:tblHeader/>
        </w:trPr>
        <w:tc>
          <w:tcPr>
            <w:tcW w:w="1512" w:type="dxa"/>
            <w:shd w:val="clear" w:color="auto" w:fill="1C556C"/>
            <w:vAlign w:val="bottom"/>
          </w:tcPr>
          <w:p w:rsidR="00945CED" w:rsidRPr="00A03684" w:rsidRDefault="00945CED" w:rsidP="007611D9">
            <w:pPr>
              <w:tabs>
                <w:tab w:val="left" w:pos="3615"/>
              </w:tabs>
              <w:spacing w:before="60" w:after="60" w:line="240" w:lineRule="atLeast"/>
              <w:jc w:val="left"/>
              <w:rPr>
                <w:rFonts w:cstheme="minorBidi"/>
                <w:b/>
                <w:color w:val="FFFFFF" w:themeColor="background1"/>
                <w:sz w:val="18"/>
                <w:szCs w:val="22"/>
              </w:rPr>
            </w:pPr>
            <w:r w:rsidRPr="00A03684">
              <w:rPr>
                <w:rFonts w:cstheme="minorBidi"/>
                <w:b/>
                <w:color w:val="FFFFFF" w:themeColor="background1"/>
                <w:sz w:val="18"/>
                <w:szCs w:val="22"/>
              </w:rPr>
              <w:t>Option</w:t>
            </w:r>
          </w:p>
        </w:tc>
        <w:tc>
          <w:tcPr>
            <w:tcW w:w="1607" w:type="dxa"/>
            <w:shd w:val="clear" w:color="auto" w:fill="1C556C"/>
            <w:vAlign w:val="bottom"/>
          </w:tcPr>
          <w:p w:rsidR="00945CED" w:rsidRPr="00A03684" w:rsidRDefault="00945CED" w:rsidP="007611D9">
            <w:pPr>
              <w:spacing w:before="60" w:after="60" w:line="240" w:lineRule="atLeast"/>
              <w:jc w:val="left"/>
              <w:rPr>
                <w:rFonts w:cstheme="minorBidi"/>
                <w:b/>
                <w:color w:val="FFFFFF" w:themeColor="background1"/>
                <w:sz w:val="18"/>
                <w:szCs w:val="22"/>
              </w:rPr>
            </w:pPr>
            <w:r w:rsidRPr="00A03684">
              <w:rPr>
                <w:rFonts w:cstheme="minorBidi"/>
                <w:b/>
                <w:color w:val="FFFFFF" w:themeColor="background1"/>
                <w:sz w:val="18"/>
                <w:szCs w:val="22"/>
              </w:rPr>
              <w:t>Consisten</w:t>
            </w:r>
            <w:r w:rsidR="009405A1" w:rsidRPr="00A03684">
              <w:rPr>
                <w:rFonts w:cstheme="minorBidi"/>
                <w:b/>
                <w:color w:val="FFFFFF" w:themeColor="background1"/>
                <w:sz w:val="18"/>
                <w:szCs w:val="22"/>
              </w:rPr>
              <w:t>t</w:t>
            </w:r>
            <w:r w:rsidRPr="00A03684">
              <w:rPr>
                <w:rFonts w:cstheme="minorBidi"/>
                <w:b/>
                <w:color w:val="FFFFFF" w:themeColor="background1"/>
                <w:sz w:val="18"/>
                <w:szCs w:val="22"/>
              </w:rPr>
              <w:t xml:space="preserve"> with</w:t>
            </w:r>
            <w:r w:rsidR="00A03684" w:rsidRPr="00A03684">
              <w:rPr>
                <w:rFonts w:cstheme="minorBidi"/>
                <w:b/>
                <w:color w:val="FFFFFF" w:themeColor="background1"/>
                <w:sz w:val="18"/>
                <w:szCs w:val="22"/>
              </w:rPr>
              <w:t xml:space="preserve"> </w:t>
            </w:r>
            <w:r w:rsidR="009405A1" w:rsidRPr="00A03684">
              <w:rPr>
                <w:rFonts w:cstheme="minorBidi"/>
                <w:b/>
                <w:color w:val="FFFFFF" w:themeColor="background1"/>
                <w:sz w:val="18"/>
                <w:szCs w:val="22"/>
              </w:rPr>
              <w:t>NZ ETS</w:t>
            </w:r>
            <w:r w:rsidR="007530C8" w:rsidRPr="00A03684">
              <w:rPr>
                <w:rFonts w:cstheme="minorBidi"/>
                <w:b/>
                <w:color w:val="FFFFFF" w:themeColor="background1"/>
                <w:sz w:val="18"/>
                <w:szCs w:val="22"/>
              </w:rPr>
              <w:t xml:space="preserve"> </w:t>
            </w:r>
            <w:r w:rsidRPr="00A03684">
              <w:rPr>
                <w:rFonts w:cstheme="minorBidi"/>
                <w:b/>
                <w:color w:val="FFFFFF" w:themeColor="background1"/>
                <w:sz w:val="18"/>
                <w:szCs w:val="22"/>
              </w:rPr>
              <w:t xml:space="preserve">objectives </w:t>
            </w:r>
          </w:p>
        </w:tc>
        <w:tc>
          <w:tcPr>
            <w:tcW w:w="1417" w:type="dxa"/>
            <w:shd w:val="clear" w:color="auto" w:fill="1C556C"/>
            <w:vAlign w:val="bottom"/>
          </w:tcPr>
          <w:p w:rsidR="00945CED" w:rsidRPr="00A03684" w:rsidRDefault="00945CED" w:rsidP="007611D9">
            <w:pPr>
              <w:spacing w:before="60" w:after="60" w:line="240" w:lineRule="atLeast"/>
              <w:jc w:val="left"/>
              <w:rPr>
                <w:b/>
                <w:color w:val="FFFFFF" w:themeColor="background1"/>
                <w:sz w:val="18"/>
              </w:rPr>
            </w:pPr>
            <w:r w:rsidRPr="00A03684">
              <w:rPr>
                <w:b/>
                <w:color w:val="FFFFFF" w:themeColor="background1"/>
                <w:sz w:val="18"/>
              </w:rPr>
              <w:t xml:space="preserve">Addresses over-allocation </w:t>
            </w:r>
          </w:p>
        </w:tc>
        <w:tc>
          <w:tcPr>
            <w:tcW w:w="1512" w:type="dxa"/>
            <w:shd w:val="clear" w:color="auto" w:fill="1C556C"/>
            <w:vAlign w:val="bottom"/>
          </w:tcPr>
          <w:p w:rsidR="00945CED" w:rsidRPr="00A03684" w:rsidRDefault="00945CED" w:rsidP="007611D9">
            <w:pPr>
              <w:spacing w:before="60" w:after="60" w:line="240" w:lineRule="atLeast"/>
              <w:jc w:val="left"/>
              <w:rPr>
                <w:b/>
                <w:color w:val="FFFFFF" w:themeColor="background1"/>
                <w:sz w:val="18"/>
              </w:rPr>
            </w:pPr>
            <w:r w:rsidRPr="00A03684">
              <w:rPr>
                <w:b/>
                <w:color w:val="FFFFFF" w:themeColor="background1"/>
                <w:sz w:val="18"/>
              </w:rPr>
              <w:t>Addresses leakage risk</w:t>
            </w:r>
          </w:p>
        </w:tc>
        <w:tc>
          <w:tcPr>
            <w:tcW w:w="1512" w:type="dxa"/>
            <w:shd w:val="clear" w:color="auto" w:fill="1C556C"/>
            <w:vAlign w:val="bottom"/>
          </w:tcPr>
          <w:p w:rsidR="00945CED" w:rsidRPr="00A03684" w:rsidRDefault="00945CED" w:rsidP="007611D9">
            <w:pPr>
              <w:spacing w:before="60" w:after="60" w:line="240" w:lineRule="atLeast"/>
              <w:jc w:val="left"/>
              <w:rPr>
                <w:b/>
                <w:color w:val="FFFFFF" w:themeColor="background1"/>
                <w:sz w:val="18"/>
              </w:rPr>
            </w:pPr>
            <w:r w:rsidRPr="00A03684">
              <w:rPr>
                <w:b/>
                <w:color w:val="FFFFFF" w:themeColor="background1"/>
                <w:sz w:val="18"/>
              </w:rPr>
              <w:t>Regulatory certainty and predictability</w:t>
            </w:r>
          </w:p>
        </w:tc>
        <w:tc>
          <w:tcPr>
            <w:tcW w:w="1512" w:type="dxa"/>
            <w:shd w:val="clear" w:color="auto" w:fill="1C556C"/>
            <w:vAlign w:val="bottom"/>
          </w:tcPr>
          <w:p w:rsidR="00945CED" w:rsidRPr="00A03684" w:rsidRDefault="00945CED" w:rsidP="007611D9">
            <w:pPr>
              <w:spacing w:before="60" w:after="60" w:line="240" w:lineRule="atLeast"/>
              <w:jc w:val="left"/>
              <w:rPr>
                <w:b/>
                <w:color w:val="FFFFFF" w:themeColor="background1"/>
                <w:sz w:val="18"/>
              </w:rPr>
            </w:pPr>
            <w:r w:rsidRPr="00A03684">
              <w:rPr>
                <w:b/>
                <w:color w:val="FFFFFF" w:themeColor="background1"/>
                <w:sz w:val="18"/>
              </w:rPr>
              <w:t>Minimise</w:t>
            </w:r>
            <w:r w:rsidR="009405A1" w:rsidRPr="00A03684">
              <w:rPr>
                <w:b/>
                <w:color w:val="FFFFFF" w:themeColor="background1"/>
                <w:sz w:val="18"/>
              </w:rPr>
              <w:t>s</w:t>
            </w:r>
            <w:r w:rsidRPr="00A03684">
              <w:rPr>
                <w:b/>
                <w:color w:val="FFFFFF" w:themeColor="background1"/>
                <w:sz w:val="18"/>
              </w:rPr>
              <w:t xml:space="preserve"> administrative burden, costs and complexity</w:t>
            </w:r>
          </w:p>
        </w:tc>
      </w:tr>
      <w:tr w:rsidR="00945CED" w:rsidRPr="00A03684" w:rsidTr="00752830">
        <w:tc>
          <w:tcPr>
            <w:tcW w:w="1512" w:type="dxa"/>
            <w:shd w:val="clear" w:color="auto" w:fill="auto"/>
          </w:tcPr>
          <w:p w:rsidR="00945CED" w:rsidRPr="00A03684" w:rsidRDefault="00945CED" w:rsidP="00A224C9">
            <w:pPr>
              <w:pStyle w:val="TableText"/>
            </w:pPr>
            <w:r w:rsidRPr="00A03684">
              <w:t xml:space="preserve">Status quo – </w:t>
            </w:r>
            <w:r w:rsidR="007530C8" w:rsidRPr="00A03684">
              <w:t>n</w:t>
            </w:r>
            <w:r w:rsidRPr="00A03684">
              <w:t>ew activities can seek eligibility</w:t>
            </w:r>
          </w:p>
        </w:tc>
        <w:tc>
          <w:tcPr>
            <w:tcW w:w="1607" w:type="dxa"/>
            <w:shd w:val="clear" w:color="auto" w:fill="auto"/>
          </w:tcPr>
          <w:p w:rsidR="00945CED" w:rsidRPr="00A03684" w:rsidRDefault="00945CED" w:rsidP="00A224C9">
            <w:pPr>
              <w:pStyle w:val="TableText"/>
              <w:jc w:val="center"/>
            </w:pPr>
            <w:r w:rsidRPr="00A03684">
              <w:t>o</w:t>
            </w:r>
          </w:p>
        </w:tc>
        <w:tc>
          <w:tcPr>
            <w:tcW w:w="1417" w:type="dxa"/>
          </w:tcPr>
          <w:p w:rsidR="00945CED" w:rsidRPr="00A03684" w:rsidRDefault="00945CED" w:rsidP="00A224C9">
            <w:pPr>
              <w:pStyle w:val="TableText"/>
              <w:jc w:val="center"/>
            </w:pPr>
            <w:r w:rsidRPr="00A03684">
              <w:t>o</w:t>
            </w:r>
          </w:p>
        </w:tc>
        <w:tc>
          <w:tcPr>
            <w:tcW w:w="1512" w:type="dxa"/>
          </w:tcPr>
          <w:p w:rsidR="00945CED" w:rsidRPr="00A03684" w:rsidRDefault="00945CED" w:rsidP="00A224C9">
            <w:pPr>
              <w:pStyle w:val="TableText"/>
              <w:jc w:val="center"/>
            </w:pPr>
            <w:r w:rsidRPr="00A03684">
              <w:t>o</w:t>
            </w:r>
          </w:p>
        </w:tc>
        <w:tc>
          <w:tcPr>
            <w:tcW w:w="1512" w:type="dxa"/>
          </w:tcPr>
          <w:p w:rsidR="00945CED" w:rsidRPr="00A03684" w:rsidRDefault="00945CED" w:rsidP="00A224C9">
            <w:pPr>
              <w:pStyle w:val="TableText"/>
              <w:jc w:val="center"/>
            </w:pPr>
            <w:r w:rsidRPr="00A03684">
              <w:t>o</w:t>
            </w:r>
          </w:p>
        </w:tc>
        <w:tc>
          <w:tcPr>
            <w:tcW w:w="1512" w:type="dxa"/>
          </w:tcPr>
          <w:p w:rsidR="00945CED" w:rsidRPr="00A03684" w:rsidRDefault="00945CED" w:rsidP="00A224C9">
            <w:pPr>
              <w:pStyle w:val="TableText"/>
              <w:jc w:val="center"/>
            </w:pPr>
            <w:r w:rsidRPr="00A03684">
              <w:t>o</w:t>
            </w:r>
          </w:p>
        </w:tc>
      </w:tr>
      <w:tr w:rsidR="00945CED" w:rsidRPr="00A03684" w:rsidTr="00E533A1">
        <w:tc>
          <w:tcPr>
            <w:tcW w:w="1512" w:type="dxa"/>
            <w:shd w:val="clear" w:color="auto" w:fill="auto"/>
          </w:tcPr>
          <w:p w:rsidR="00945CED" w:rsidRPr="00A03684" w:rsidRDefault="00945CED" w:rsidP="00A224C9">
            <w:pPr>
              <w:pStyle w:val="TableText"/>
            </w:pPr>
            <w:r w:rsidRPr="00A03684">
              <w:t>Disallow any new activities to seek eligibility</w:t>
            </w:r>
          </w:p>
        </w:tc>
        <w:tc>
          <w:tcPr>
            <w:tcW w:w="1607" w:type="dxa"/>
            <w:shd w:val="clear" w:color="auto" w:fill="auto"/>
          </w:tcPr>
          <w:p w:rsidR="00945CED" w:rsidRPr="00A03684" w:rsidRDefault="00945CED" w:rsidP="00A224C9">
            <w:pPr>
              <w:pStyle w:val="TableText"/>
              <w:jc w:val="center"/>
            </w:pPr>
            <w:r w:rsidRPr="00A03684">
              <w:sym w:font="Wingdings" w:char="F0FC"/>
            </w:r>
            <w:r w:rsidR="00481DA8" w:rsidRPr="00A03684">
              <w:t>/</w:t>
            </w:r>
            <w:r w:rsidR="00901F6F" w:rsidRPr="00A03684">
              <w:t>x</w:t>
            </w:r>
          </w:p>
          <w:p w:rsidR="00901F6F" w:rsidRPr="00A03684" w:rsidRDefault="009405A1" w:rsidP="00A224C9">
            <w:pPr>
              <w:pStyle w:val="TableText"/>
              <w:jc w:val="center"/>
            </w:pPr>
            <w:r w:rsidRPr="00A03684">
              <w:t>W</w:t>
            </w:r>
            <w:r w:rsidR="00901F6F" w:rsidRPr="00A03684">
              <w:t>ould prevent future increases in allocation volumes, avoiding increases in emissions and pressure on budgets</w:t>
            </w:r>
          </w:p>
          <w:p w:rsidR="00481DA8" w:rsidRPr="00A03684" w:rsidRDefault="00901F6F" w:rsidP="00A224C9">
            <w:pPr>
              <w:pStyle w:val="TableText"/>
              <w:jc w:val="center"/>
            </w:pPr>
            <w:r w:rsidRPr="00A03684">
              <w:t xml:space="preserve">Lost </w:t>
            </w:r>
            <w:r w:rsidR="00824ED8" w:rsidRPr="00A03684">
              <w:t xml:space="preserve">opportunities </w:t>
            </w:r>
            <w:r w:rsidRPr="00A03684">
              <w:t xml:space="preserve">from </w:t>
            </w:r>
            <w:r w:rsidR="006425CB" w:rsidRPr="00A03684">
              <w:t xml:space="preserve">barring </w:t>
            </w:r>
            <w:r w:rsidRPr="00A03684">
              <w:t>new, less emissions intensive</w:t>
            </w:r>
            <w:r w:rsidR="00824ED8" w:rsidRPr="00A03684">
              <w:t xml:space="preserve"> activities</w:t>
            </w:r>
            <w:r w:rsidRPr="00A03684">
              <w:t xml:space="preserve"> </w:t>
            </w:r>
            <w:r w:rsidR="006425CB" w:rsidRPr="00A03684">
              <w:t>from</w:t>
            </w:r>
            <w:r w:rsidRPr="00A03684">
              <w:t xml:space="preserve"> </w:t>
            </w:r>
            <w:r w:rsidR="0000431A" w:rsidRPr="00A03684">
              <w:t>N</w:t>
            </w:r>
            <w:r w:rsidR="0000431A">
              <w:t>ew Zealand</w:t>
            </w:r>
          </w:p>
        </w:tc>
        <w:tc>
          <w:tcPr>
            <w:tcW w:w="1417" w:type="dxa"/>
          </w:tcPr>
          <w:p w:rsidR="00945CED" w:rsidRPr="00A03684" w:rsidRDefault="00945CED" w:rsidP="00A224C9">
            <w:pPr>
              <w:pStyle w:val="TableText"/>
              <w:jc w:val="center"/>
            </w:pPr>
            <w:r w:rsidRPr="00A03684">
              <w:t>o</w:t>
            </w:r>
          </w:p>
        </w:tc>
        <w:tc>
          <w:tcPr>
            <w:tcW w:w="1512" w:type="dxa"/>
            <w:shd w:val="clear" w:color="auto" w:fill="F7E1D3" w:themeFill="accent6" w:themeFillTint="33"/>
          </w:tcPr>
          <w:p w:rsidR="00945CED" w:rsidRPr="00A03684" w:rsidRDefault="002C682A" w:rsidP="00A224C9">
            <w:pPr>
              <w:pStyle w:val="TableText"/>
              <w:jc w:val="center"/>
            </w:pPr>
            <w:r w:rsidRPr="00A03684">
              <w:t>x</w:t>
            </w:r>
          </w:p>
          <w:p w:rsidR="003F0464" w:rsidRPr="00A03684" w:rsidRDefault="009405A1" w:rsidP="00A224C9">
            <w:pPr>
              <w:pStyle w:val="TableText"/>
              <w:jc w:val="center"/>
            </w:pPr>
            <w:r w:rsidRPr="00A03684">
              <w:t xml:space="preserve">Discourages </w:t>
            </w:r>
            <w:r w:rsidR="002C682A" w:rsidRPr="00A03684">
              <w:t>new</w:t>
            </w:r>
            <w:r w:rsidR="006425CB" w:rsidRPr="00A03684">
              <w:t>,</w:t>
            </w:r>
            <w:r w:rsidR="002C682A" w:rsidRPr="00A03684">
              <w:t xml:space="preserve"> less emissions</w:t>
            </w:r>
            <w:r w:rsidR="007530C8" w:rsidRPr="00A03684">
              <w:t>-</w:t>
            </w:r>
            <w:r w:rsidR="002C682A" w:rsidRPr="00A03684">
              <w:t xml:space="preserve">intensive activities from coming to </w:t>
            </w:r>
            <w:r w:rsidR="0000431A">
              <w:t>New Zealand</w:t>
            </w:r>
            <w:r w:rsidR="002C682A" w:rsidRPr="00A03684">
              <w:t>, resulting in a form of leakage</w:t>
            </w:r>
          </w:p>
        </w:tc>
        <w:tc>
          <w:tcPr>
            <w:tcW w:w="1512" w:type="dxa"/>
            <w:shd w:val="clear" w:color="auto" w:fill="CFE5E5"/>
          </w:tcPr>
          <w:p w:rsidR="00945CED" w:rsidRPr="00A03684" w:rsidRDefault="00945CED" w:rsidP="00A224C9">
            <w:pPr>
              <w:pStyle w:val="TableText"/>
              <w:jc w:val="center"/>
            </w:pPr>
            <w:r w:rsidRPr="00A03684">
              <w:sym w:font="Wingdings" w:char="F0FC"/>
            </w:r>
          </w:p>
          <w:p w:rsidR="00F84AA1" w:rsidRPr="00A03684" w:rsidRDefault="00F84AA1" w:rsidP="00A224C9">
            <w:pPr>
              <w:pStyle w:val="TableText"/>
              <w:jc w:val="center"/>
            </w:pPr>
            <w:r w:rsidRPr="00A03684">
              <w:t xml:space="preserve">Sends a clear signal to industry that new activities </w:t>
            </w:r>
            <w:r w:rsidR="006425CB" w:rsidRPr="00A03684">
              <w:t>are not</w:t>
            </w:r>
            <w:r w:rsidRPr="00A03684">
              <w:t xml:space="preserve"> eligible</w:t>
            </w:r>
          </w:p>
        </w:tc>
        <w:tc>
          <w:tcPr>
            <w:tcW w:w="1512" w:type="dxa"/>
            <w:shd w:val="clear" w:color="auto" w:fill="CFE5E5"/>
          </w:tcPr>
          <w:p w:rsidR="00945CED" w:rsidRPr="00A03684" w:rsidRDefault="00945CED" w:rsidP="00A224C9">
            <w:pPr>
              <w:pStyle w:val="TableText"/>
              <w:jc w:val="center"/>
            </w:pPr>
            <w:r w:rsidRPr="00A03684">
              <w:sym w:font="Wingdings" w:char="F0FC"/>
            </w:r>
          </w:p>
          <w:p w:rsidR="00F84AA1" w:rsidRPr="00A03684" w:rsidDel="003A6526" w:rsidRDefault="006425CB" w:rsidP="00A224C9">
            <w:pPr>
              <w:pStyle w:val="TableText"/>
              <w:jc w:val="center"/>
            </w:pPr>
            <w:r w:rsidRPr="00A03684">
              <w:t>Avoids</w:t>
            </w:r>
            <w:r w:rsidR="007530C8" w:rsidRPr="00A03684">
              <w:t xml:space="preserve"> </w:t>
            </w:r>
            <w:r w:rsidR="00FC19F4" w:rsidRPr="00A03684">
              <w:t>future administrative costs from assess</w:t>
            </w:r>
            <w:r w:rsidRPr="00A03684">
              <w:t>ing</w:t>
            </w:r>
            <w:r w:rsidR="00FC19F4" w:rsidRPr="00A03684">
              <w:t xml:space="preserve"> eligibility</w:t>
            </w:r>
          </w:p>
        </w:tc>
      </w:tr>
      <w:tr w:rsidR="00945CED" w:rsidRPr="00A03684" w:rsidTr="00E533A1">
        <w:tc>
          <w:tcPr>
            <w:tcW w:w="1512" w:type="dxa"/>
            <w:shd w:val="clear" w:color="auto" w:fill="auto"/>
          </w:tcPr>
          <w:p w:rsidR="00945CED" w:rsidRPr="00A03684" w:rsidRDefault="00945CED" w:rsidP="00A224C9">
            <w:pPr>
              <w:pStyle w:val="TableText"/>
            </w:pPr>
            <w:r w:rsidRPr="00A03684">
              <w:t xml:space="preserve">Only allow new activities to seek eligibility if they can </w:t>
            </w:r>
            <w:r w:rsidR="006425CB" w:rsidRPr="00A03684">
              <w:t xml:space="preserve">show </w:t>
            </w:r>
            <w:r w:rsidRPr="00A03684">
              <w:t xml:space="preserve">environmental benefit </w:t>
            </w:r>
          </w:p>
        </w:tc>
        <w:tc>
          <w:tcPr>
            <w:tcW w:w="1607" w:type="dxa"/>
            <w:shd w:val="clear" w:color="auto" w:fill="CFE5E5"/>
          </w:tcPr>
          <w:p w:rsidR="00945CED" w:rsidRPr="00A03684" w:rsidRDefault="00945CED" w:rsidP="00A224C9">
            <w:pPr>
              <w:pStyle w:val="TableText"/>
              <w:jc w:val="center"/>
            </w:pPr>
            <w:r w:rsidRPr="00A03684">
              <w:sym w:font="Wingdings" w:char="F0FC"/>
            </w:r>
          </w:p>
          <w:p w:rsidR="00C516D0" w:rsidRPr="00A03684" w:rsidRDefault="00C516D0" w:rsidP="00A224C9">
            <w:pPr>
              <w:pStyle w:val="TableText"/>
              <w:jc w:val="center"/>
            </w:pPr>
            <w:r w:rsidRPr="00A03684">
              <w:t>Supports new</w:t>
            </w:r>
            <w:r w:rsidR="006425CB" w:rsidRPr="00A03684">
              <w:t>,</w:t>
            </w:r>
            <w:r w:rsidRPr="00A03684">
              <w:t xml:space="preserve"> less emissions</w:t>
            </w:r>
            <w:r w:rsidR="007530C8" w:rsidRPr="00A03684">
              <w:t>-</w:t>
            </w:r>
            <w:r w:rsidRPr="00A03684">
              <w:t xml:space="preserve"> intensive activities coming to </w:t>
            </w:r>
            <w:r w:rsidR="0000431A">
              <w:t>New Zealand</w:t>
            </w:r>
            <w:r w:rsidRPr="00A03684">
              <w:t>, reducing domestic emissions and meeting budgets</w:t>
            </w:r>
          </w:p>
        </w:tc>
        <w:tc>
          <w:tcPr>
            <w:tcW w:w="1417" w:type="dxa"/>
          </w:tcPr>
          <w:p w:rsidR="00945CED" w:rsidRPr="00A03684" w:rsidRDefault="00945CED" w:rsidP="00A224C9">
            <w:pPr>
              <w:pStyle w:val="TableText"/>
              <w:jc w:val="center"/>
            </w:pPr>
            <w:r w:rsidRPr="00A03684">
              <w:t>o</w:t>
            </w:r>
          </w:p>
        </w:tc>
        <w:tc>
          <w:tcPr>
            <w:tcW w:w="1512" w:type="dxa"/>
            <w:shd w:val="clear" w:color="auto" w:fill="CFE5E5"/>
          </w:tcPr>
          <w:p w:rsidR="00945CED" w:rsidRPr="00A03684" w:rsidRDefault="00945CED" w:rsidP="00A224C9">
            <w:pPr>
              <w:pStyle w:val="TableText"/>
              <w:jc w:val="center"/>
            </w:pPr>
            <w:r w:rsidRPr="00A03684">
              <w:sym w:font="Wingdings" w:char="F0FC"/>
            </w:r>
          </w:p>
          <w:p w:rsidR="002C682A" w:rsidRPr="00A03684" w:rsidRDefault="002C682A" w:rsidP="00A224C9">
            <w:pPr>
              <w:pStyle w:val="TableText"/>
              <w:jc w:val="center"/>
            </w:pPr>
            <w:r w:rsidRPr="00A03684">
              <w:t>Supports new</w:t>
            </w:r>
            <w:r w:rsidR="006425CB" w:rsidRPr="00A03684">
              <w:t>,</w:t>
            </w:r>
            <w:r w:rsidRPr="00A03684">
              <w:t xml:space="preserve"> less emissions</w:t>
            </w:r>
            <w:r w:rsidR="007530C8" w:rsidRPr="00A03684">
              <w:t>-</w:t>
            </w:r>
            <w:r w:rsidRPr="00A03684">
              <w:t xml:space="preserve">intensive activities coming to </w:t>
            </w:r>
            <w:r w:rsidR="0000431A" w:rsidRPr="00A03684">
              <w:t>N</w:t>
            </w:r>
            <w:r w:rsidR="0000431A">
              <w:t>ew Zealand</w:t>
            </w:r>
            <w:r w:rsidRPr="00A03684">
              <w:t>, reducing the risk of leakage</w:t>
            </w:r>
          </w:p>
        </w:tc>
        <w:tc>
          <w:tcPr>
            <w:tcW w:w="1512" w:type="dxa"/>
          </w:tcPr>
          <w:p w:rsidR="00945CED" w:rsidRPr="00A03684" w:rsidRDefault="002C682A" w:rsidP="00A224C9">
            <w:pPr>
              <w:pStyle w:val="TableText"/>
              <w:jc w:val="center"/>
            </w:pPr>
            <w:r w:rsidRPr="00A03684">
              <w:t>o</w:t>
            </w:r>
          </w:p>
          <w:p w:rsidR="002C682A" w:rsidRPr="00A03684" w:rsidRDefault="006425CB" w:rsidP="00A224C9">
            <w:pPr>
              <w:pStyle w:val="TableText"/>
              <w:jc w:val="center"/>
            </w:pPr>
            <w:r w:rsidRPr="00A03684">
              <w:t>Retains</w:t>
            </w:r>
            <w:r w:rsidR="002C682A" w:rsidRPr="00A03684">
              <w:t xml:space="preserve"> the possibility of new activities becoming eligible, but more complex assessment could create uncertainty for applying firms</w:t>
            </w:r>
          </w:p>
        </w:tc>
        <w:tc>
          <w:tcPr>
            <w:tcW w:w="1512" w:type="dxa"/>
            <w:shd w:val="clear" w:color="auto" w:fill="F7E1D3" w:themeFill="accent6" w:themeFillTint="33"/>
          </w:tcPr>
          <w:p w:rsidR="00945CED" w:rsidRPr="00A03684" w:rsidRDefault="002C682A" w:rsidP="00A224C9">
            <w:pPr>
              <w:pStyle w:val="TableText"/>
              <w:jc w:val="center"/>
            </w:pPr>
            <w:r w:rsidRPr="00A03684">
              <w:t>x</w:t>
            </w:r>
          </w:p>
          <w:p w:rsidR="002C682A" w:rsidRPr="00A03684" w:rsidRDefault="002C682A" w:rsidP="00A224C9">
            <w:pPr>
              <w:pStyle w:val="TableText"/>
              <w:jc w:val="center"/>
            </w:pPr>
            <w:r w:rsidRPr="00A03684">
              <w:t xml:space="preserve">Assessment of eligibility would be complex and </w:t>
            </w:r>
            <w:r w:rsidR="006425CB" w:rsidRPr="00A03684">
              <w:t>add</w:t>
            </w:r>
            <w:r w:rsidRPr="00A03684">
              <w:t xml:space="preserve"> administrative costs</w:t>
            </w:r>
          </w:p>
        </w:tc>
      </w:tr>
    </w:tbl>
    <w:p w:rsidR="00E47B91" w:rsidRPr="00A03684" w:rsidRDefault="00E47B91" w:rsidP="007611D9">
      <w:pPr>
        <w:pStyle w:val="BodyText"/>
      </w:pP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E47B91" w:rsidRPr="00A03684" w:rsidTr="00C718F0">
        <w:tc>
          <w:tcPr>
            <w:tcW w:w="0" w:type="auto"/>
            <w:shd w:val="clear" w:color="auto" w:fill="D2DDE2"/>
          </w:tcPr>
          <w:p w:rsidR="00D608F2" w:rsidRPr="00A03684" w:rsidRDefault="00D608F2" w:rsidP="00C718F0">
            <w:pPr>
              <w:pStyle w:val="Blueboxheading"/>
              <w:keepNext w:val="0"/>
            </w:pPr>
            <w:bookmarkStart w:id="58" w:name="_Hlk73525173"/>
            <w:r w:rsidRPr="00A03684">
              <w:t xml:space="preserve">Other reforms to </w:t>
            </w:r>
            <w:r w:rsidR="0000431A">
              <w:t>industrial allocation</w:t>
            </w:r>
          </w:p>
          <w:p w:rsidR="00E47B91" w:rsidRPr="00A03684" w:rsidRDefault="002C29FF" w:rsidP="00C718F0">
            <w:pPr>
              <w:pStyle w:val="Blueboxtext"/>
            </w:pPr>
            <w:r w:rsidRPr="00A03684">
              <w:t>Question 1</w:t>
            </w:r>
            <w:r w:rsidR="0026285C" w:rsidRPr="00A03684">
              <w:t>8</w:t>
            </w:r>
            <w:r w:rsidR="00945CED" w:rsidRPr="00A03684">
              <w:t xml:space="preserve">: </w:t>
            </w:r>
            <w:r w:rsidR="00E47B91" w:rsidRPr="00A03684">
              <w:t xml:space="preserve">Should new activities be able to seek eligibility? Why, or why not? </w:t>
            </w:r>
          </w:p>
          <w:p w:rsidR="00E47B91" w:rsidRPr="00A03684" w:rsidRDefault="002C29FF" w:rsidP="005954D0">
            <w:pPr>
              <w:pStyle w:val="Blueboxtext"/>
              <w:spacing w:before="80" w:after="240"/>
            </w:pPr>
            <w:r w:rsidRPr="00A03684">
              <w:t>Question 1</w:t>
            </w:r>
            <w:r w:rsidR="0026285C" w:rsidRPr="00A03684">
              <w:t>9</w:t>
            </w:r>
            <w:r w:rsidR="00945CED" w:rsidRPr="00A03684">
              <w:t>: Should there be any caveats on new activities seeking eligibility, such as proof of environmental benefits</w:t>
            </w:r>
            <w:r w:rsidR="006425CB" w:rsidRPr="00A03684">
              <w:t xml:space="preserve"> compared</w:t>
            </w:r>
            <w:r w:rsidR="00945CED" w:rsidRPr="00A03684">
              <w:t xml:space="preserve"> to existing activities?</w:t>
            </w:r>
            <w:bookmarkEnd w:id="58"/>
          </w:p>
        </w:tc>
      </w:tr>
    </w:tbl>
    <w:p w:rsidR="00E47B91" w:rsidRPr="00A03684" w:rsidRDefault="00E47B91" w:rsidP="00C718F0">
      <w:pPr>
        <w:pStyle w:val="Heading2"/>
      </w:pPr>
      <w:bookmarkStart w:id="59" w:name="_Toc75336467"/>
      <w:r w:rsidRPr="00A03684">
        <w:t>Reporting emissions, production and revenue data</w:t>
      </w:r>
      <w:bookmarkEnd w:id="59"/>
    </w:p>
    <w:p w:rsidR="00E47B91" w:rsidRPr="00A03684" w:rsidRDefault="00E47B91" w:rsidP="00752830">
      <w:pPr>
        <w:pStyle w:val="BodyText"/>
      </w:pPr>
      <w:r w:rsidRPr="00A03684">
        <w:t xml:space="preserve">There is limited data available to monitor </w:t>
      </w:r>
      <w:r w:rsidR="001437FD" w:rsidRPr="00A03684">
        <w:t>IA</w:t>
      </w:r>
      <w:r w:rsidR="005234B9" w:rsidRPr="00A03684">
        <w:t xml:space="preserve"> policy</w:t>
      </w:r>
      <w:r w:rsidRPr="00A03684">
        <w:t>. Because global climate policy is continually evolving</w:t>
      </w:r>
      <w:r w:rsidR="00856372" w:rsidRPr="00A03684">
        <w:t xml:space="preserve">, as </w:t>
      </w:r>
      <w:r w:rsidR="006425CB" w:rsidRPr="00A03684">
        <w:t xml:space="preserve">is </w:t>
      </w:r>
      <w:r w:rsidR="00856372" w:rsidRPr="00A03684">
        <w:t>the trade of global commodities</w:t>
      </w:r>
      <w:r w:rsidRPr="00A03684">
        <w:t>, the risk of emissions leakage</w:t>
      </w:r>
      <w:r w:rsidR="004E19F3" w:rsidRPr="00A03684">
        <w:t xml:space="preserve"> and</w:t>
      </w:r>
      <w:r w:rsidR="00856372" w:rsidRPr="00A03684">
        <w:t xml:space="preserve"> over-allocation is always changing. </w:t>
      </w:r>
      <w:r w:rsidRPr="00A03684">
        <w:t xml:space="preserve">Currently, firms with direct surrender obligations </w:t>
      </w:r>
      <w:r w:rsidR="006425CB" w:rsidRPr="00A03684">
        <w:t>must</w:t>
      </w:r>
      <w:r w:rsidRPr="00A03684">
        <w:t xml:space="preserve"> submit an</w:t>
      </w:r>
      <w:r w:rsidR="00752830">
        <w:t> </w:t>
      </w:r>
      <w:r w:rsidRPr="00A03684">
        <w:t>emissions return, and production data is collec</w:t>
      </w:r>
      <w:r w:rsidR="00772BEA" w:rsidRPr="00A03684">
        <w:t>ted for allocation applications</w:t>
      </w:r>
      <w:r w:rsidR="006425CB" w:rsidRPr="00A03684">
        <w:t>. H</w:t>
      </w:r>
      <w:r w:rsidRPr="00A03684">
        <w:t>owever, most of it is protected under confidentiality provisions</w:t>
      </w:r>
      <w:r w:rsidR="00AA177E" w:rsidRPr="00A03684">
        <w:t>.</w:t>
      </w:r>
      <w:r w:rsidRPr="00A03684">
        <w:rPr>
          <w:rStyle w:val="FootnoteReference"/>
        </w:rPr>
        <w:footnoteReference w:id="16"/>
      </w:r>
      <w:r w:rsidRPr="00A03684">
        <w:t xml:space="preserve"> Indirect </w:t>
      </w:r>
      <w:r w:rsidR="006425CB" w:rsidRPr="00A03684">
        <w:t xml:space="preserve">data for </w:t>
      </w:r>
      <w:r w:rsidRPr="00A03684">
        <w:t>emissions</w:t>
      </w:r>
      <w:r w:rsidRPr="00A03684">
        <w:rPr>
          <w:rStyle w:val="FootnoteReference"/>
        </w:rPr>
        <w:footnoteReference w:id="17"/>
      </w:r>
      <w:r w:rsidRPr="00A03684">
        <w:t xml:space="preserve"> and revenue is</w:t>
      </w:r>
      <w:r w:rsidR="004F3AEA" w:rsidRPr="00A03684">
        <w:t xml:space="preserve"> no</w:t>
      </w:r>
      <w:r w:rsidRPr="00A03684">
        <w:t>t gathered</w:t>
      </w:r>
      <w:r w:rsidR="000C5FC5" w:rsidRPr="00A03684">
        <w:t xml:space="preserve"> at all</w:t>
      </w:r>
      <w:r w:rsidR="00177B89" w:rsidRPr="00A03684">
        <w:t xml:space="preserve"> for allocation purposes</w:t>
      </w:r>
      <w:r w:rsidRPr="00A03684">
        <w:t xml:space="preserve">. </w:t>
      </w:r>
    </w:p>
    <w:p w:rsidR="00772BEA" w:rsidRPr="00A03684" w:rsidRDefault="00772BEA" w:rsidP="007611D9">
      <w:pPr>
        <w:pStyle w:val="BodyText"/>
      </w:pPr>
      <w:r w:rsidRPr="00A03684">
        <w:t xml:space="preserve">To improve the </w:t>
      </w:r>
      <w:r w:rsidR="006425CB" w:rsidRPr="00A03684">
        <w:t>G</w:t>
      </w:r>
      <w:r w:rsidRPr="00A03684">
        <w:t xml:space="preserve">overnment’s ability to monitor </w:t>
      </w:r>
      <w:r w:rsidR="001437FD" w:rsidRPr="00A03684">
        <w:t>IA</w:t>
      </w:r>
      <w:r w:rsidRPr="00A03684">
        <w:t xml:space="preserve"> policy</w:t>
      </w:r>
      <w:r w:rsidR="00247ED7" w:rsidRPr="00A03684">
        <w:t xml:space="preserve"> in future</w:t>
      </w:r>
      <w:r w:rsidRPr="00A03684">
        <w:t xml:space="preserve">, </w:t>
      </w:r>
      <w:r w:rsidR="006425CB" w:rsidRPr="00A03684">
        <w:t xml:space="preserve">we are considering </w:t>
      </w:r>
      <w:r w:rsidRPr="00A03684">
        <w:t>new mandatory</w:t>
      </w:r>
      <w:r w:rsidR="000C5FC5" w:rsidRPr="00A03684">
        <w:t xml:space="preserve"> and voluntary data reporting</w:t>
      </w:r>
      <w:r w:rsidRPr="00A03684">
        <w:t xml:space="preserve"> obligations. </w:t>
      </w:r>
    </w:p>
    <w:p w:rsidR="00E47B91" w:rsidRPr="00A03684" w:rsidRDefault="00772BEA" w:rsidP="007611D9">
      <w:pPr>
        <w:pStyle w:val="Heading4"/>
      </w:pPr>
      <w:r w:rsidRPr="00A03684">
        <w:t xml:space="preserve">Option 1: </w:t>
      </w:r>
      <w:r w:rsidR="00E47B91" w:rsidRPr="00A03684">
        <w:t xml:space="preserve">Status quo – </w:t>
      </w:r>
      <w:r w:rsidRPr="00A03684">
        <w:t>l</w:t>
      </w:r>
      <w:r w:rsidR="00E47B91" w:rsidRPr="00A03684">
        <w:t xml:space="preserve">imited reporting </w:t>
      </w:r>
    </w:p>
    <w:p w:rsidR="00E47B91" w:rsidRPr="00A03684" w:rsidRDefault="0024028D" w:rsidP="007611D9">
      <w:pPr>
        <w:pStyle w:val="BodyText"/>
      </w:pPr>
      <w:r w:rsidRPr="00A03684">
        <w:t xml:space="preserve">Under this option, the current limited reporting of activity data would continue. The </w:t>
      </w:r>
      <w:r w:rsidR="00ED5E17" w:rsidRPr="00A03684">
        <w:t>G</w:t>
      </w:r>
      <w:r w:rsidRPr="00A03684">
        <w:t>overnment would continue to have little over</w:t>
      </w:r>
      <w:r w:rsidR="00E47B91" w:rsidRPr="00A03684">
        <w:t xml:space="preserve">sight on </w:t>
      </w:r>
      <w:r w:rsidR="00ED5E17" w:rsidRPr="00A03684">
        <w:t xml:space="preserve">the </w:t>
      </w:r>
      <w:r w:rsidR="00E47B91" w:rsidRPr="00A03684">
        <w:t>current leakage risk to industry</w:t>
      </w:r>
      <w:r w:rsidR="00C56899" w:rsidRPr="00A03684">
        <w:t xml:space="preserve"> or</w:t>
      </w:r>
      <w:r w:rsidR="00800C77" w:rsidRPr="00A03684">
        <w:t> </w:t>
      </w:r>
      <w:r w:rsidR="00C56899" w:rsidRPr="00A03684">
        <w:t>over-allocation</w:t>
      </w:r>
      <w:r w:rsidR="00E47B91" w:rsidRPr="00A03684">
        <w:t xml:space="preserve">. </w:t>
      </w:r>
      <w:r w:rsidR="005234B9" w:rsidRPr="00A03684">
        <w:t>The consequence is that future allocation decisions will be ill</w:t>
      </w:r>
      <w:r w:rsidR="002E17A5" w:rsidRPr="00A03684">
        <w:t>-</w:t>
      </w:r>
      <w:r w:rsidR="005234B9" w:rsidRPr="00A03684">
        <w:t>informed and</w:t>
      </w:r>
      <w:r w:rsidR="00800C77" w:rsidRPr="00A03684">
        <w:t> </w:t>
      </w:r>
      <w:r w:rsidR="005234B9" w:rsidRPr="00A03684">
        <w:t>based on incomplete data</w:t>
      </w:r>
      <w:r w:rsidR="000C5FC5" w:rsidRPr="00A03684">
        <w:t>, i</w:t>
      </w:r>
      <w:r w:rsidR="005234B9" w:rsidRPr="00A03684">
        <w:t>ncreas</w:t>
      </w:r>
      <w:r w:rsidR="000C5FC5" w:rsidRPr="00A03684">
        <w:t>ing</w:t>
      </w:r>
      <w:r w:rsidRPr="00A03684">
        <w:t xml:space="preserve"> the risk of leakage</w:t>
      </w:r>
      <w:r w:rsidR="005234B9" w:rsidRPr="00A03684">
        <w:t xml:space="preserve"> or over-allocation. </w:t>
      </w:r>
    </w:p>
    <w:p w:rsidR="00E47B91" w:rsidRPr="00A03684" w:rsidRDefault="0024028D" w:rsidP="007611D9">
      <w:pPr>
        <w:pStyle w:val="Heading4"/>
      </w:pPr>
      <w:r w:rsidRPr="00A03684">
        <w:t xml:space="preserve">Option 2: </w:t>
      </w:r>
      <w:r w:rsidR="00E47B91" w:rsidRPr="00A03684">
        <w:t xml:space="preserve">Mandatory reporting </w:t>
      </w:r>
    </w:p>
    <w:p w:rsidR="0024028D" w:rsidRPr="00A03684" w:rsidRDefault="0024028D" w:rsidP="007611D9">
      <w:pPr>
        <w:pStyle w:val="BodyText"/>
      </w:pPr>
      <w:r w:rsidRPr="00A03684">
        <w:t xml:space="preserve">The </w:t>
      </w:r>
      <w:r w:rsidR="00ED5E17" w:rsidRPr="00A03684">
        <w:t>G</w:t>
      </w:r>
      <w:r w:rsidRPr="00A03684">
        <w:t>overnment</w:t>
      </w:r>
      <w:r w:rsidR="00E47B91" w:rsidRPr="00A03684">
        <w:t xml:space="preserve"> could better </w:t>
      </w:r>
      <w:r w:rsidR="000C5FC5" w:rsidRPr="00A03684">
        <w:t xml:space="preserve">monitor and assess </w:t>
      </w:r>
      <w:r w:rsidR="00E47B91" w:rsidRPr="00A03684">
        <w:t>the risk of leakage if recipient</w:t>
      </w:r>
      <w:r w:rsidR="00C56899" w:rsidRPr="00A03684">
        <w:t xml:space="preserve"> firms</w:t>
      </w:r>
      <w:r w:rsidR="00E47B91" w:rsidRPr="00A03684">
        <w:t xml:space="preserve"> </w:t>
      </w:r>
      <w:r w:rsidR="00461695" w:rsidRPr="00A03684">
        <w:t>had</w:t>
      </w:r>
      <w:r w:rsidR="00E47B91" w:rsidRPr="00A03684">
        <w:t xml:space="preserve"> to</w:t>
      </w:r>
      <w:r w:rsidR="00800C77" w:rsidRPr="00A03684">
        <w:t> </w:t>
      </w:r>
      <w:r w:rsidR="00E47B91" w:rsidRPr="00A03684">
        <w:t>submit their annual production, emissions and revenue data. Doing so would allow better</w:t>
      </w:r>
      <w:r w:rsidR="00800C77" w:rsidRPr="00A03684">
        <w:t> </w:t>
      </w:r>
      <w:r w:rsidR="00E47B91" w:rsidRPr="00A03684">
        <w:t xml:space="preserve">oversight and ensure that </w:t>
      </w:r>
      <w:r w:rsidR="001437FD" w:rsidRPr="00A03684">
        <w:t>IA</w:t>
      </w:r>
      <w:r w:rsidR="00E47B91" w:rsidRPr="00A03684">
        <w:t xml:space="preserve"> polic</w:t>
      </w:r>
      <w:r w:rsidRPr="00A03684">
        <w:t>y</w:t>
      </w:r>
      <w:r w:rsidR="00E47B91" w:rsidRPr="00A03684">
        <w:t xml:space="preserve"> is meeting its objectives and not providing windfall gains to firms</w:t>
      </w:r>
      <w:r w:rsidRPr="00A03684">
        <w:t xml:space="preserve">. </w:t>
      </w:r>
    </w:p>
    <w:p w:rsidR="001E5ED6" w:rsidRPr="00A03684" w:rsidRDefault="0024028D" w:rsidP="007611D9">
      <w:pPr>
        <w:pStyle w:val="BodyText"/>
      </w:pPr>
      <w:r w:rsidRPr="00A03684">
        <w:t xml:space="preserve">This </w:t>
      </w:r>
      <w:r w:rsidR="001E5ED6" w:rsidRPr="00A03684">
        <w:t xml:space="preserve">option </w:t>
      </w:r>
      <w:r w:rsidRPr="00A03684">
        <w:t>would be burdensome for</w:t>
      </w:r>
      <w:r w:rsidR="00E47B91" w:rsidRPr="00A03684">
        <w:t xml:space="preserve"> both </w:t>
      </w:r>
      <w:r w:rsidRPr="00A03684">
        <w:t xml:space="preserve">the </w:t>
      </w:r>
      <w:r w:rsidR="00461695" w:rsidRPr="00A03684">
        <w:t>G</w:t>
      </w:r>
      <w:r w:rsidRPr="00A03684">
        <w:t>overnment and industry</w:t>
      </w:r>
      <w:r w:rsidR="00461695" w:rsidRPr="00A03684">
        <w:t>. H</w:t>
      </w:r>
      <w:r w:rsidR="00E47B91" w:rsidRPr="00A03684">
        <w:t>owever</w:t>
      </w:r>
      <w:r w:rsidRPr="00A03684">
        <w:t>,</w:t>
      </w:r>
      <w:r w:rsidR="00E47B91" w:rsidRPr="00A03684">
        <w:t xml:space="preserve"> the benefit of update</w:t>
      </w:r>
      <w:r w:rsidR="00177B89" w:rsidRPr="00A03684">
        <w:t>d</w:t>
      </w:r>
      <w:r w:rsidR="00E47B91" w:rsidRPr="00A03684">
        <w:t xml:space="preserve"> information could outweigh this. </w:t>
      </w:r>
    </w:p>
    <w:p w:rsidR="00D25487" w:rsidRPr="00A03684" w:rsidRDefault="001E5ED6" w:rsidP="007611D9">
      <w:pPr>
        <w:pStyle w:val="BodyText"/>
      </w:pPr>
      <w:r w:rsidRPr="00A03684">
        <w:t>Another issue is that not all EITE firms have surrender obligations in the NZ ETS</w:t>
      </w:r>
      <w:r w:rsidR="00461695" w:rsidRPr="00A03684">
        <w:t>,</w:t>
      </w:r>
      <w:r w:rsidRPr="00A03684">
        <w:t xml:space="preserve"> and therefore do not routinely collect emissions data. Having to provide this data on an annual basis would be</w:t>
      </w:r>
      <w:r w:rsidR="00303829" w:rsidRPr="00A03684">
        <w:t xml:space="preserve"> a</w:t>
      </w:r>
      <w:r w:rsidRPr="00A03684">
        <w:t xml:space="preserve"> burden for these firms. </w:t>
      </w:r>
      <w:r w:rsidR="005619DF" w:rsidRPr="00A03684">
        <w:t>However, there is a strong argument that taxpayer</w:t>
      </w:r>
      <w:r w:rsidR="00461695" w:rsidRPr="00A03684">
        <w:t>-</w:t>
      </w:r>
      <w:r w:rsidR="005619DF" w:rsidRPr="00A03684">
        <w:t xml:space="preserve">funded </w:t>
      </w:r>
      <w:r w:rsidR="001437FD" w:rsidRPr="00A03684">
        <w:t>IA</w:t>
      </w:r>
      <w:r w:rsidR="005619DF" w:rsidRPr="00A03684">
        <w:t xml:space="preserve"> should </w:t>
      </w:r>
      <w:r w:rsidR="00461695" w:rsidRPr="00A03684">
        <w:t>require</w:t>
      </w:r>
      <w:r w:rsidR="005619DF" w:rsidRPr="00A03684">
        <w:t xml:space="preserve"> regular </w:t>
      </w:r>
      <w:r w:rsidR="00461695" w:rsidRPr="00A03684">
        <w:t xml:space="preserve">data </w:t>
      </w:r>
      <w:r w:rsidR="005619DF" w:rsidRPr="00A03684">
        <w:t>collection</w:t>
      </w:r>
      <w:r w:rsidR="00461695" w:rsidRPr="00A03684">
        <w:t>,</w:t>
      </w:r>
      <w:r w:rsidR="005619DF" w:rsidRPr="00A03684">
        <w:t xml:space="preserve"> to provide confidence that appropriate levels of allocation are being administered. </w:t>
      </w:r>
    </w:p>
    <w:p w:rsidR="00E47B91" w:rsidRPr="00A03684" w:rsidRDefault="00D25487" w:rsidP="007611D9">
      <w:pPr>
        <w:pStyle w:val="BodyText"/>
      </w:pPr>
      <w:r w:rsidRPr="00A03684">
        <w:t>The Ministry of Business, Innovation and Employment is investigating an energy and emissions reporting scheme for large energy users</w:t>
      </w:r>
      <w:r w:rsidR="00461695" w:rsidRPr="00A03684">
        <w:t>. This</w:t>
      </w:r>
      <w:r w:rsidRPr="00A03684">
        <w:t xml:space="preserve"> follow</w:t>
      </w:r>
      <w:r w:rsidR="00461695" w:rsidRPr="00A03684">
        <w:t>s</w:t>
      </w:r>
      <w:r w:rsidRPr="00A03684">
        <w:t xml:space="preserve"> consultation on such a proposal </w:t>
      </w:r>
      <w:r w:rsidR="002436C6" w:rsidRPr="00A03684">
        <w:t xml:space="preserve">set out </w:t>
      </w:r>
      <w:r w:rsidRPr="00A03684">
        <w:t xml:space="preserve">in </w:t>
      </w:r>
      <w:hyperlink r:id="rId27" w:history="1">
        <w:r w:rsidRPr="0000431A">
          <w:rPr>
            <w:rStyle w:val="Hyperlink"/>
            <w:i/>
            <w:iCs/>
          </w:rPr>
          <w:t>Accelerating renewable energy and energy efficiency discussion document</w:t>
        </w:r>
      </w:hyperlink>
      <w:r w:rsidR="00B35546" w:rsidRPr="00A03684">
        <w:t>.</w:t>
      </w:r>
      <w:r w:rsidRPr="00A03684">
        <w:t xml:space="preserve"> Depending on whether Cabinet agrees to progress such a scheme, officials will consider whether </w:t>
      </w:r>
      <w:r w:rsidR="00461695" w:rsidRPr="00A03684">
        <w:t>it</w:t>
      </w:r>
      <w:r w:rsidRPr="00A03684">
        <w:t xml:space="preserve"> could support </w:t>
      </w:r>
      <w:r w:rsidR="001437FD" w:rsidRPr="00A03684">
        <w:t>IA</w:t>
      </w:r>
      <w:r w:rsidRPr="00A03684">
        <w:t xml:space="preserve"> data requirements. </w:t>
      </w:r>
    </w:p>
    <w:p w:rsidR="00E47B91" w:rsidRPr="00A03684" w:rsidRDefault="0024028D" w:rsidP="007611D9">
      <w:pPr>
        <w:pStyle w:val="Heading4"/>
      </w:pPr>
      <w:r w:rsidRPr="00A03684">
        <w:t xml:space="preserve">Option 3: </w:t>
      </w:r>
      <w:r w:rsidR="00E47B91" w:rsidRPr="00A03684">
        <w:t xml:space="preserve">Voluntary reporting </w:t>
      </w:r>
    </w:p>
    <w:p w:rsidR="00BA47AD" w:rsidRPr="00A03684" w:rsidRDefault="00E47B91" w:rsidP="007611D9">
      <w:pPr>
        <w:pStyle w:val="BodyText"/>
      </w:pPr>
      <w:r w:rsidRPr="00A03684">
        <w:t>A less restrictive option would be to allow the voluntary provision of emissions, production and revenue data</w:t>
      </w:r>
      <w:r w:rsidR="00461695" w:rsidRPr="00A03684">
        <w:t>.</w:t>
      </w:r>
      <w:r w:rsidRPr="00A03684">
        <w:t xml:space="preserve"> </w:t>
      </w:r>
      <w:r w:rsidR="00461695" w:rsidRPr="00A03684">
        <w:t>W</w:t>
      </w:r>
      <w:r w:rsidRPr="00A03684">
        <w:t xml:space="preserve">hen a firm </w:t>
      </w:r>
      <w:r w:rsidR="00461695" w:rsidRPr="00A03684">
        <w:t>applies for</w:t>
      </w:r>
      <w:r w:rsidRPr="00A03684">
        <w:t xml:space="preserve"> allocation</w:t>
      </w:r>
      <w:r w:rsidR="002436C6" w:rsidRPr="00A03684">
        <w:t>,</w:t>
      </w:r>
      <w:r w:rsidR="00BA47AD" w:rsidRPr="00A03684">
        <w:t xml:space="preserve"> </w:t>
      </w:r>
      <w:r w:rsidR="00461695" w:rsidRPr="00A03684">
        <w:t xml:space="preserve">they </w:t>
      </w:r>
      <w:r w:rsidR="00BA47AD" w:rsidRPr="00A03684">
        <w:t xml:space="preserve">would be invited to </w:t>
      </w:r>
      <w:r w:rsidR="00461695" w:rsidRPr="00A03684">
        <w:t xml:space="preserve">give </w:t>
      </w:r>
      <w:r w:rsidR="00BA47AD" w:rsidRPr="00A03684">
        <w:t xml:space="preserve">additional activity data and consent for </w:t>
      </w:r>
      <w:r w:rsidR="00461695" w:rsidRPr="00A03684">
        <w:t>the Government to use it, to</w:t>
      </w:r>
      <w:r w:rsidR="00BA47AD" w:rsidRPr="00A03684">
        <w:t xml:space="preserve"> </w:t>
      </w:r>
      <w:r w:rsidR="00177B89" w:rsidRPr="00A03684">
        <w:t xml:space="preserve">inform </w:t>
      </w:r>
      <w:r w:rsidR="001437FD" w:rsidRPr="00A03684">
        <w:t>IA</w:t>
      </w:r>
      <w:r w:rsidR="00177B89" w:rsidRPr="00A03684">
        <w:t xml:space="preserve"> policy. </w:t>
      </w:r>
    </w:p>
    <w:p w:rsidR="00E47B91" w:rsidRPr="00A03684" w:rsidRDefault="00BA47AD" w:rsidP="007611D9">
      <w:pPr>
        <w:pStyle w:val="BodyText"/>
      </w:pPr>
      <w:r w:rsidRPr="00A03684">
        <w:t>T</w:t>
      </w:r>
      <w:r w:rsidR="00E47B91" w:rsidRPr="00A03684">
        <w:t>he uptake of this</w:t>
      </w:r>
      <w:r w:rsidRPr="00A03684">
        <w:t xml:space="preserve"> option</w:t>
      </w:r>
      <w:r w:rsidR="00E47B91" w:rsidRPr="00A03684">
        <w:t xml:space="preserve"> would likely be poor</w:t>
      </w:r>
      <w:r w:rsidR="00461695" w:rsidRPr="00A03684">
        <w:t>,</w:t>
      </w:r>
      <w:r w:rsidR="00E47B91" w:rsidRPr="00A03684">
        <w:t xml:space="preserve"> due t</w:t>
      </w:r>
      <w:r w:rsidR="0024028D" w:rsidRPr="00A03684">
        <w:t>o the compliance</w:t>
      </w:r>
      <w:r w:rsidR="00E47B91" w:rsidRPr="00A03684">
        <w:t xml:space="preserve"> requirement</w:t>
      </w:r>
      <w:r w:rsidR="0024028D" w:rsidRPr="00A03684">
        <w:t>s and costs</w:t>
      </w:r>
      <w:r w:rsidR="0092616C" w:rsidRPr="00A03684">
        <w:t> </w:t>
      </w:r>
      <w:r w:rsidR="0024028D" w:rsidRPr="00A03684">
        <w:t>for firms</w:t>
      </w:r>
      <w:r w:rsidR="00C56899" w:rsidRPr="00A03684">
        <w:t xml:space="preserve">. </w:t>
      </w:r>
      <w:r w:rsidR="00461695" w:rsidRPr="00A03684">
        <w:t>Still,</w:t>
      </w:r>
      <w:r w:rsidRPr="00A03684">
        <w:t xml:space="preserve"> i</w:t>
      </w:r>
      <w:r w:rsidR="0024028D" w:rsidRPr="00A03684">
        <w:t>t could</w:t>
      </w:r>
      <w:r w:rsidR="004F3AEA" w:rsidRPr="00A03684">
        <w:t xml:space="preserve"> provide </w:t>
      </w:r>
      <w:r w:rsidRPr="00A03684">
        <w:t xml:space="preserve">some </w:t>
      </w:r>
      <w:r w:rsidR="004F3AEA" w:rsidRPr="00A03684">
        <w:t xml:space="preserve">useful data to help the </w:t>
      </w:r>
      <w:r w:rsidR="00461695" w:rsidRPr="00A03684">
        <w:t>G</w:t>
      </w:r>
      <w:r w:rsidR="004F3AEA" w:rsidRPr="00A03684">
        <w:t xml:space="preserve">overnment make </w:t>
      </w:r>
      <w:r w:rsidRPr="00A03684">
        <w:t xml:space="preserve">future allocation </w:t>
      </w:r>
      <w:r w:rsidR="004F3AEA" w:rsidRPr="00A03684">
        <w:t xml:space="preserve">decisions. </w:t>
      </w:r>
    </w:p>
    <w:p w:rsidR="00E47B91" w:rsidRPr="00A03684" w:rsidRDefault="00E47B91" w:rsidP="00D2629A">
      <w:pPr>
        <w:pStyle w:val="Tableheading"/>
      </w:pPr>
      <w:bookmarkStart w:id="60" w:name="_Toc75262182"/>
      <w:r w:rsidRPr="00A03684">
        <w:t xml:space="preserve">Table </w:t>
      </w:r>
      <w:r w:rsidR="00AC6EA7" w:rsidRPr="00A03684">
        <w:t>13</w:t>
      </w:r>
      <w:r w:rsidRPr="00A03684">
        <w:t>:</w:t>
      </w:r>
      <w:r w:rsidRPr="00A03684">
        <w:tab/>
        <w:t>Assessment of</w:t>
      </w:r>
      <w:r w:rsidR="00D2629A" w:rsidRPr="00A03684">
        <w:t xml:space="preserve"> mandatory and voluntary reporting</w:t>
      </w:r>
      <w:bookmarkEnd w:id="60"/>
      <w:r w:rsidRPr="00A03684">
        <w:t xml:space="preserve"> </w:t>
      </w:r>
    </w:p>
    <w:tbl>
      <w:tblPr>
        <w:tblStyle w:val="TableGrid1"/>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361"/>
        <w:gridCol w:w="1423"/>
        <w:gridCol w:w="1423"/>
        <w:gridCol w:w="1423"/>
        <w:gridCol w:w="1422"/>
        <w:gridCol w:w="1453"/>
      </w:tblGrid>
      <w:tr w:rsidR="0092616C" w:rsidRPr="00A03684" w:rsidTr="0092616C">
        <w:trPr>
          <w:trHeight w:val="1025"/>
          <w:tblHeader/>
        </w:trPr>
        <w:tc>
          <w:tcPr>
            <w:tcW w:w="1527" w:type="dxa"/>
            <w:shd w:val="clear" w:color="auto" w:fill="1C556C"/>
            <w:vAlign w:val="bottom"/>
          </w:tcPr>
          <w:p w:rsidR="0024028D" w:rsidRPr="00A03684" w:rsidRDefault="0024028D" w:rsidP="0092616C">
            <w:pPr>
              <w:pStyle w:val="TableTextbold"/>
              <w:rPr>
                <w:color w:val="FFFFFF" w:themeColor="background1"/>
              </w:rPr>
            </w:pPr>
            <w:r w:rsidRPr="00A03684">
              <w:rPr>
                <w:color w:val="FFFFFF" w:themeColor="background1"/>
              </w:rPr>
              <w:t>Option</w:t>
            </w:r>
          </w:p>
        </w:tc>
        <w:tc>
          <w:tcPr>
            <w:tcW w:w="1527" w:type="dxa"/>
            <w:shd w:val="clear" w:color="auto" w:fill="1C556C"/>
            <w:vAlign w:val="bottom"/>
          </w:tcPr>
          <w:p w:rsidR="0024028D" w:rsidRPr="00A03684" w:rsidRDefault="0024028D" w:rsidP="0092616C">
            <w:pPr>
              <w:pStyle w:val="TableTextbold"/>
              <w:rPr>
                <w:color w:val="FFFFFF" w:themeColor="background1"/>
              </w:rPr>
            </w:pPr>
            <w:r w:rsidRPr="00A03684">
              <w:rPr>
                <w:color w:val="FFFFFF" w:themeColor="background1"/>
              </w:rPr>
              <w:t>Consisten</w:t>
            </w:r>
            <w:r w:rsidR="00461695" w:rsidRPr="00A03684">
              <w:rPr>
                <w:color w:val="FFFFFF" w:themeColor="background1"/>
              </w:rPr>
              <w:t>t</w:t>
            </w:r>
            <w:r w:rsidRPr="00A03684">
              <w:rPr>
                <w:color w:val="FFFFFF" w:themeColor="background1"/>
              </w:rPr>
              <w:t xml:space="preserve"> with NZ ETS</w:t>
            </w:r>
            <w:r w:rsidR="00461695" w:rsidRPr="00A03684">
              <w:rPr>
                <w:color w:val="FFFFFF" w:themeColor="background1"/>
              </w:rPr>
              <w:t xml:space="preserve"> objectives</w:t>
            </w:r>
          </w:p>
        </w:tc>
        <w:tc>
          <w:tcPr>
            <w:tcW w:w="1527" w:type="dxa"/>
            <w:shd w:val="clear" w:color="auto" w:fill="1C556C"/>
            <w:vAlign w:val="bottom"/>
          </w:tcPr>
          <w:p w:rsidR="0024028D" w:rsidRPr="00A03684" w:rsidRDefault="0024028D" w:rsidP="0092616C">
            <w:pPr>
              <w:pStyle w:val="TableTextbold"/>
              <w:rPr>
                <w:color w:val="FFFFFF" w:themeColor="background1"/>
              </w:rPr>
            </w:pPr>
            <w:r w:rsidRPr="00A03684">
              <w:rPr>
                <w:color w:val="FFFFFF" w:themeColor="background1"/>
              </w:rPr>
              <w:t>Addresses over-allocation</w:t>
            </w:r>
          </w:p>
        </w:tc>
        <w:tc>
          <w:tcPr>
            <w:tcW w:w="1527" w:type="dxa"/>
            <w:shd w:val="clear" w:color="auto" w:fill="1C556C"/>
            <w:vAlign w:val="bottom"/>
          </w:tcPr>
          <w:p w:rsidR="0024028D" w:rsidRPr="00A03684" w:rsidRDefault="0024028D" w:rsidP="0092616C">
            <w:pPr>
              <w:pStyle w:val="TableTextbold"/>
              <w:rPr>
                <w:color w:val="FFFFFF" w:themeColor="background1"/>
              </w:rPr>
            </w:pPr>
            <w:r w:rsidRPr="00A03684">
              <w:rPr>
                <w:color w:val="FFFFFF" w:themeColor="background1"/>
              </w:rPr>
              <w:t>Addresses leakage risk</w:t>
            </w:r>
          </w:p>
        </w:tc>
        <w:tc>
          <w:tcPr>
            <w:tcW w:w="1527" w:type="dxa"/>
            <w:shd w:val="clear" w:color="auto" w:fill="1C556C"/>
            <w:vAlign w:val="bottom"/>
          </w:tcPr>
          <w:p w:rsidR="0024028D" w:rsidRPr="00A03684" w:rsidRDefault="0024028D" w:rsidP="0092616C">
            <w:pPr>
              <w:pStyle w:val="TableTextbold"/>
              <w:rPr>
                <w:color w:val="FFFFFF" w:themeColor="background1"/>
              </w:rPr>
            </w:pPr>
            <w:r w:rsidRPr="00A03684">
              <w:rPr>
                <w:color w:val="FFFFFF" w:themeColor="background1"/>
              </w:rPr>
              <w:t>Regulatory certainty and predictability</w:t>
            </w:r>
          </w:p>
        </w:tc>
        <w:tc>
          <w:tcPr>
            <w:tcW w:w="1527" w:type="dxa"/>
            <w:shd w:val="clear" w:color="auto" w:fill="1C556C"/>
            <w:vAlign w:val="bottom"/>
          </w:tcPr>
          <w:p w:rsidR="0024028D" w:rsidRPr="00A03684" w:rsidRDefault="0024028D" w:rsidP="0092616C">
            <w:pPr>
              <w:pStyle w:val="TableTextbold"/>
              <w:rPr>
                <w:color w:val="FFFFFF" w:themeColor="background1"/>
              </w:rPr>
            </w:pPr>
            <w:r w:rsidRPr="00A03684">
              <w:rPr>
                <w:color w:val="FFFFFF" w:themeColor="background1"/>
              </w:rPr>
              <w:t>Minimise</w:t>
            </w:r>
            <w:r w:rsidR="002436C6" w:rsidRPr="00A03684">
              <w:rPr>
                <w:color w:val="FFFFFF" w:themeColor="background1"/>
              </w:rPr>
              <w:t>s</w:t>
            </w:r>
            <w:r w:rsidRPr="00A03684">
              <w:rPr>
                <w:color w:val="FFFFFF" w:themeColor="background1"/>
              </w:rPr>
              <w:t xml:space="preserve"> administrative burden, costs and complexity</w:t>
            </w:r>
          </w:p>
        </w:tc>
      </w:tr>
      <w:tr w:rsidR="0024028D" w:rsidRPr="00A03684" w:rsidTr="0092616C">
        <w:trPr>
          <w:trHeight w:val="345"/>
        </w:trPr>
        <w:tc>
          <w:tcPr>
            <w:tcW w:w="1527" w:type="dxa"/>
            <w:shd w:val="clear" w:color="auto" w:fill="auto"/>
          </w:tcPr>
          <w:p w:rsidR="0024028D" w:rsidRPr="00A03684" w:rsidRDefault="00247ED7" w:rsidP="0092616C">
            <w:pPr>
              <w:pStyle w:val="TableText"/>
            </w:pPr>
            <w:r w:rsidRPr="00A03684">
              <w:t xml:space="preserve">Status quo – limited reporting </w:t>
            </w:r>
          </w:p>
        </w:tc>
        <w:tc>
          <w:tcPr>
            <w:tcW w:w="1527" w:type="dxa"/>
            <w:shd w:val="clear" w:color="auto" w:fill="auto"/>
          </w:tcPr>
          <w:p w:rsidR="0024028D" w:rsidRPr="00A03684" w:rsidRDefault="009C7FC3" w:rsidP="0092616C">
            <w:pPr>
              <w:pStyle w:val="TableText"/>
              <w:jc w:val="center"/>
            </w:pPr>
            <w:r w:rsidRPr="00A03684">
              <w:t>o</w:t>
            </w:r>
          </w:p>
        </w:tc>
        <w:tc>
          <w:tcPr>
            <w:tcW w:w="1527" w:type="dxa"/>
          </w:tcPr>
          <w:p w:rsidR="0024028D" w:rsidRPr="00A03684" w:rsidRDefault="009C7FC3" w:rsidP="0092616C">
            <w:pPr>
              <w:pStyle w:val="TableText"/>
              <w:jc w:val="center"/>
            </w:pPr>
            <w:r w:rsidRPr="00A03684">
              <w:t>o</w:t>
            </w:r>
          </w:p>
        </w:tc>
        <w:tc>
          <w:tcPr>
            <w:tcW w:w="1527" w:type="dxa"/>
          </w:tcPr>
          <w:p w:rsidR="0024028D" w:rsidRPr="00A03684" w:rsidRDefault="009C7FC3" w:rsidP="0092616C">
            <w:pPr>
              <w:pStyle w:val="TableText"/>
              <w:jc w:val="center"/>
            </w:pPr>
            <w:r w:rsidRPr="00A03684">
              <w:t>o</w:t>
            </w:r>
          </w:p>
        </w:tc>
        <w:tc>
          <w:tcPr>
            <w:tcW w:w="1527" w:type="dxa"/>
          </w:tcPr>
          <w:p w:rsidR="0024028D" w:rsidRPr="00A03684" w:rsidRDefault="009C7FC3" w:rsidP="0092616C">
            <w:pPr>
              <w:pStyle w:val="TableText"/>
              <w:jc w:val="center"/>
            </w:pPr>
            <w:r w:rsidRPr="00A03684">
              <w:t>o</w:t>
            </w:r>
          </w:p>
        </w:tc>
        <w:tc>
          <w:tcPr>
            <w:tcW w:w="1527" w:type="dxa"/>
          </w:tcPr>
          <w:p w:rsidR="0024028D" w:rsidRPr="00A03684" w:rsidRDefault="0024028D" w:rsidP="0092616C">
            <w:pPr>
              <w:pStyle w:val="TableText"/>
              <w:jc w:val="center"/>
            </w:pPr>
            <w:r w:rsidRPr="00A03684">
              <w:t>o</w:t>
            </w:r>
          </w:p>
        </w:tc>
      </w:tr>
      <w:tr w:rsidR="0024028D" w:rsidRPr="00A03684" w:rsidTr="00C36822">
        <w:trPr>
          <w:trHeight w:val="2051"/>
        </w:trPr>
        <w:tc>
          <w:tcPr>
            <w:tcW w:w="1527" w:type="dxa"/>
            <w:shd w:val="clear" w:color="auto" w:fill="auto"/>
          </w:tcPr>
          <w:p w:rsidR="0024028D" w:rsidRPr="00A03684" w:rsidRDefault="0024028D" w:rsidP="0092616C">
            <w:pPr>
              <w:pStyle w:val="TableText"/>
            </w:pPr>
            <w:r w:rsidRPr="00A03684">
              <w:t xml:space="preserve">Mandatory reporting </w:t>
            </w:r>
          </w:p>
        </w:tc>
        <w:tc>
          <w:tcPr>
            <w:tcW w:w="1527" w:type="dxa"/>
            <w:shd w:val="clear" w:color="auto" w:fill="87BDBE"/>
          </w:tcPr>
          <w:p w:rsidR="0024028D" w:rsidRPr="00A03684" w:rsidRDefault="003A6526" w:rsidP="0092616C">
            <w:pPr>
              <w:pStyle w:val="TableText"/>
              <w:jc w:val="center"/>
            </w:pPr>
            <w:r w:rsidRPr="00A03684">
              <w:sym w:font="Wingdings" w:char="F0FC"/>
            </w:r>
            <w:r w:rsidRPr="00A03684">
              <w:sym w:font="Wingdings" w:char="F0FC"/>
            </w:r>
          </w:p>
          <w:p w:rsidR="009C7FC3" w:rsidRPr="00A03684" w:rsidRDefault="009C7FC3" w:rsidP="0092616C">
            <w:pPr>
              <w:pStyle w:val="TableText"/>
              <w:jc w:val="center"/>
            </w:pPr>
            <w:r w:rsidRPr="00A03684">
              <w:t xml:space="preserve">Supports the NZ ETS by allowing the </w:t>
            </w:r>
            <w:r w:rsidR="00461695" w:rsidRPr="00A03684">
              <w:t>G</w:t>
            </w:r>
            <w:r w:rsidRPr="00A03684">
              <w:t>overnment to continually assess the risk of leakage and over-allocation</w:t>
            </w:r>
          </w:p>
        </w:tc>
        <w:tc>
          <w:tcPr>
            <w:tcW w:w="1527" w:type="dxa"/>
            <w:shd w:val="clear" w:color="auto" w:fill="CFE5E5"/>
          </w:tcPr>
          <w:p w:rsidR="0024028D" w:rsidRPr="00A03684" w:rsidRDefault="003A6526" w:rsidP="0092616C">
            <w:pPr>
              <w:pStyle w:val="TableText"/>
              <w:jc w:val="center"/>
            </w:pPr>
            <w:r w:rsidRPr="00A03684">
              <w:sym w:font="Wingdings" w:char="F0FC"/>
            </w:r>
          </w:p>
          <w:p w:rsidR="0024028D" w:rsidRPr="00A03684" w:rsidRDefault="002436C6" w:rsidP="0092616C">
            <w:pPr>
              <w:pStyle w:val="TableText"/>
              <w:jc w:val="center"/>
            </w:pPr>
            <w:r w:rsidRPr="00A03684">
              <w:t>H</w:t>
            </w:r>
            <w:r w:rsidR="0024028D" w:rsidRPr="00A03684">
              <w:t>elp</w:t>
            </w:r>
            <w:r w:rsidRPr="00A03684">
              <w:t>s</w:t>
            </w:r>
            <w:r w:rsidR="0024028D" w:rsidRPr="00A03684">
              <w:t xml:space="preserve"> the </w:t>
            </w:r>
            <w:r w:rsidR="00461695" w:rsidRPr="00A03684">
              <w:t>G</w:t>
            </w:r>
            <w:r w:rsidR="0024028D" w:rsidRPr="00A03684">
              <w:t>overnment monitor and respond to the risk of over-allocation</w:t>
            </w:r>
          </w:p>
        </w:tc>
        <w:tc>
          <w:tcPr>
            <w:tcW w:w="1527" w:type="dxa"/>
            <w:shd w:val="clear" w:color="auto" w:fill="CFE5E5"/>
          </w:tcPr>
          <w:p w:rsidR="0024028D" w:rsidRPr="00A03684" w:rsidRDefault="003A6526" w:rsidP="0092616C">
            <w:pPr>
              <w:pStyle w:val="TableText"/>
              <w:jc w:val="center"/>
            </w:pPr>
            <w:r w:rsidRPr="00A03684">
              <w:sym w:font="Wingdings" w:char="F0FC"/>
            </w:r>
          </w:p>
          <w:p w:rsidR="0024028D" w:rsidRPr="00A03684" w:rsidRDefault="002436C6" w:rsidP="0092616C">
            <w:pPr>
              <w:pStyle w:val="TableText"/>
              <w:jc w:val="center"/>
            </w:pPr>
            <w:r w:rsidRPr="00A03684">
              <w:t>H</w:t>
            </w:r>
            <w:r w:rsidR="0024028D" w:rsidRPr="00A03684">
              <w:t>elp</w:t>
            </w:r>
            <w:r w:rsidRPr="00A03684">
              <w:t>s</w:t>
            </w:r>
            <w:r w:rsidR="0024028D" w:rsidRPr="00A03684">
              <w:t xml:space="preserve"> the </w:t>
            </w:r>
            <w:r w:rsidR="00461695" w:rsidRPr="00A03684">
              <w:t>G</w:t>
            </w:r>
            <w:r w:rsidR="0024028D" w:rsidRPr="00A03684">
              <w:t>overnment monitor and respond to the risk of leakage</w:t>
            </w:r>
          </w:p>
        </w:tc>
        <w:tc>
          <w:tcPr>
            <w:tcW w:w="1527" w:type="dxa"/>
          </w:tcPr>
          <w:p w:rsidR="0024028D" w:rsidRPr="00A03684" w:rsidRDefault="0024028D" w:rsidP="0092616C">
            <w:pPr>
              <w:pStyle w:val="TableText"/>
              <w:jc w:val="center"/>
            </w:pPr>
            <w:r w:rsidRPr="00A03684">
              <w:t>o</w:t>
            </w:r>
          </w:p>
          <w:p w:rsidR="0024028D" w:rsidRPr="00A03684" w:rsidRDefault="0024028D" w:rsidP="0092616C">
            <w:pPr>
              <w:pStyle w:val="TableText"/>
              <w:jc w:val="center"/>
            </w:pPr>
          </w:p>
        </w:tc>
        <w:tc>
          <w:tcPr>
            <w:tcW w:w="1527" w:type="dxa"/>
            <w:shd w:val="clear" w:color="auto" w:fill="F7E1D3" w:themeFill="accent6" w:themeFillTint="33"/>
          </w:tcPr>
          <w:p w:rsidR="0024028D" w:rsidRPr="00A03684" w:rsidRDefault="0024028D" w:rsidP="0092616C">
            <w:pPr>
              <w:pStyle w:val="TableText"/>
              <w:jc w:val="center"/>
            </w:pPr>
            <w:r w:rsidRPr="00A03684">
              <w:t>x</w:t>
            </w:r>
          </w:p>
          <w:p w:rsidR="0024028D" w:rsidRPr="00A03684" w:rsidRDefault="002436C6" w:rsidP="0092616C">
            <w:pPr>
              <w:pStyle w:val="TableText"/>
              <w:jc w:val="center"/>
            </w:pPr>
            <w:r w:rsidRPr="00A03684">
              <w:t>A</w:t>
            </w:r>
            <w:r w:rsidR="0024028D" w:rsidRPr="00A03684">
              <w:t>dditional compliance costs for fir</w:t>
            </w:r>
            <w:r w:rsidR="009C7FC3" w:rsidRPr="00A03684">
              <w:t xml:space="preserve">ms to </w:t>
            </w:r>
            <w:r w:rsidR="00461695" w:rsidRPr="00A03684">
              <w:t xml:space="preserve">report </w:t>
            </w:r>
            <w:r w:rsidR="009C7FC3" w:rsidRPr="00A03684">
              <w:t>annually</w:t>
            </w:r>
          </w:p>
        </w:tc>
      </w:tr>
      <w:tr w:rsidR="0024028D" w:rsidRPr="00A03684" w:rsidTr="0092616C">
        <w:trPr>
          <w:trHeight w:val="680"/>
        </w:trPr>
        <w:tc>
          <w:tcPr>
            <w:tcW w:w="1527" w:type="dxa"/>
            <w:shd w:val="clear" w:color="auto" w:fill="auto"/>
          </w:tcPr>
          <w:p w:rsidR="0024028D" w:rsidRPr="00A03684" w:rsidRDefault="0024028D" w:rsidP="0092616C">
            <w:pPr>
              <w:pStyle w:val="TableText"/>
            </w:pPr>
            <w:r w:rsidRPr="00A03684">
              <w:t xml:space="preserve">Voluntary reporting </w:t>
            </w:r>
          </w:p>
        </w:tc>
        <w:tc>
          <w:tcPr>
            <w:tcW w:w="1527" w:type="dxa"/>
            <w:shd w:val="clear" w:color="auto" w:fill="auto"/>
          </w:tcPr>
          <w:p w:rsidR="0024028D" w:rsidRPr="00A03684" w:rsidRDefault="009C7FC3" w:rsidP="0092616C">
            <w:pPr>
              <w:pStyle w:val="TableText"/>
              <w:jc w:val="center"/>
            </w:pPr>
            <w:r w:rsidRPr="00A03684">
              <w:t>o</w:t>
            </w:r>
          </w:p>
          <w:p w:rsidR="009C7FC3" w:rsidRPr="00A03684" w:rsidRDefault="009C7FC3" w:rsidP="0092616C">
            <w:pPr>
              <w:pStyle w:val="TableText"/>
              <w:jc w:val="center"/>
            </w:pPr>
            <w:r w:rsidRPr="00A03684">
              <w:t xml:space="preserve">Minor improvement as </w:t>
            </w:r>
            <w:r w:rsidR="00461695" w:rsidRPr="00A03684">
              <w:t>reporting</w:t>
            </w:r>
            <w:r w:rsidRPr="00A03684">
              <w:t xml:space="preserve"> would likely be minimal</w:t>
            </w:r>
          </w:p>
        </w:tc>
        <w:tc>
          <w:tcPr>
            <w:tcW w:w="1527" w:type="dxa"/>
          </w:tcPr>
          <w:p w:rsidR="0024028D" w:rsidRPr="00A03684" w:rsidRDefault="009C7FC3" w:rsidP="0092616C">
            <w:pPr>
              <w:pStyle w:val="TableText"/>
              <w:jc w:val="center"/>
            </w:pPr>
            <w:r w:rsidRPr="00A03684">
              <w:t>o</w:t>
            </w:r>
          </w:p>
          <w:p w:rsidR="0024028D" w:rsidRPr="00A03684" w:rsidRDefault="009C7FC3" w:rsidP="0092616C">
            <w:pPr>
              <w:pStyle w:val="TableText"/>
              <w:jc w:val="center"/>
            </w:pPr>
            <w:r w:rsidRPr="00A03684">
              <w:t xml:space="preserve">Minor improvement as </w:t>
            </w:r>
            <w:r w:rsidR="0093246A" w:rsidRPr="00A03684">
              <w:t>reporting</w:t>
            </w:r>
            <w:r w:rsidRPr="00A03684">
              <w:t xml:space="preserve"> would likely be minimal</w:t>
            </w:r>
          </w:p>
        </w:tc>
        <w:tc>
          <w:tcPr>
            <w:tcW w:w="1527" w:type="dxa"/>
          </w:tcPr>
          <w:p w:rsidR="0024028D" w:rsidRPr="00A03684" w:rsidRDefault="009C7FC3" w:rsidP="0092616C">
            <w:pPr>
              <w:pStyle w:val="TableText"/>
              <w:jc w:val="center"/>
            </w:pPr>
            <w:r w:rsidRPr="00A03684">
              <w:t>o</w:t>
            </w:r>
          </w:p>
          <w:p w:rsidR="009C7FC3" w:rsidRPr="00A03684" w:rsidRDefault="009C7FC3" w:rsidP="0092616C">
            <w:pPr>
              <w:pStyle w:val="TableText"/>
              <w:jc w:val="center"/>
            </w:pPr>
            <w:r w:rsidRPr="00A03684">
              <w:t xml:space="preserve">Minor improvement as </w:t>
            </w:r>
            <w:r w:rsidR="0093246A" w:rsidRPr="00A03684">
              <w:t>reporting</w:t>
            </w:r>
            <w:r w:rsidRPr="00A03684">
              <w:t xml:space="preserve"> would likely be minimal</w:t>
            </w:r>
          </w:p>
        </w:tc>
        <w:tc>
          <w:tcPr>
            <w:tcW w:w="1527" w:type="dxa"/>
          </w:tcPr>
          <w:p w:rsidR="0024028D" w:rsidRPr="00A03684" w:rsidRDefault="009C7FC3" w:rsidP="0092616C">
            <w:pPr>
              <w:pStyle w:val="TableText"/>
              <w:jc w:val="center"/>
            </w:pPr>
            <w:r w:rsidRPr="00A03684">
              <w:t>o</w:t>
            </w:r>
          </w:p>
        </w:tc>
        <w:tc>
          <w:tcPr>
            <w:tcW w:w="1527" w:type="dxa"/>
          </w:tcPr>
          <w:p w:rsidR="0024028D" w:rsidRPr="00A03684" w:rsidRDefault="009C7FC3" w:rsidP="0092616C">
            <w:pPr>
              <w:pStyle w:val="TableText"/>
              <w:jc w:val="center"/>
            </w:pPr>
            <w:r w:rsidRPr="00A03684">
              <w:t>o</w:t>
            </w:r>
          </w:p>
          <w:p w:rsidR="009C7FC3" w:rsidRPr="00A03684" w:rsidRDefault="009C7FC3" w:rsidP="0092616C">
            <w:pPr>
              <w:pStyle w:val="TableText"/>
              <w:jc w:val="center"/>
            </w:pPr>
            <w:r w:rsidRPr="00A03684">
              <w:t xml:space="preserve">Minimal additional compliance burden as firms would </w:t>
            </w:r>
            <w:r w:rsidR="0093246A" w:rsidRPr="00A03684">
              <w:t xml:space="preserve">report </w:t>
            </w:r>
            <w:r w:rsidRPr="00A03684">
              <w:t>voluntarily</w:t>
            </w:r>
            <w:r w:rsidR="0093246A" w:rsidRPr="00A03684">
              <w:t xml:space="preserve"> and</w:t>
            </w:r>
            <w:r w:rsidRPr="00A03684">
              <w:t xml:space="preserve"> accept the costs</w:t>
            </w:r>
          </w:p>
        </w:tc>
      </w:tr>
    </w:tbl>
    <w:p w:rsidR="005234B9" w:rsidRPr="00A03684" w:rsidRDefault="005234B9" w:rsidP="007611D9">
      <w:pPr>
        <w:pStyle w:val="BodyText"/>
      </w:pP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5234B9" w:rsidRPr="00A03684" w:rsidTr="0092616C">
        <w:tc>
          <w:tcPr>
            <w:tcW w:w="0" w:type="auto"/>
            <w:shd w:val="clear" w:color="auto" w:fill="D2DDE2"/>
          </w:tcPr>
          <w:p w:rsidR="00D608F2" w:rsidRPr="00A03684" w:rsidRDefault="00D608F2" w:rsidP="0092616C">
            <w:pPr>
              <w:pStyle w:val="Blueboxheading"/>
            </w:pPr>
            <w:bookmarkStart w:id="61" w:name="_Hlk73525189"/>
            <w:r w:rsidRPr="00A03684">
              <w:t xml:space="preserve">Other reforms to </w:t>
            </w:r>
            <w:r w:rsidR="003748EA">
              <w:t>industrial allocation</w:t>
            </w:r>
          </w:p>
          <w:p w:rsidR="009C7FC3" w:rsidRPr="00A03684" w:rsidRDefault="002C29FF" w:rsidP="0092616C">
            <w:pPr>
              <w:pStyle w:val="Blueboxtext"/>
            </w:pPr>
            <w:r w:rsidRPr="00A03684">
              <w:t xml:space="preserve">Question </w:t>
            </w:r>
            <w:r w:rsidR="0026285C" w:rsidRPr="00A03684">
              <w:t>20</w:t>
            </w:r>
            <w:r w:rsidR="009C7FC3" w:rsidRPr="00A03684">
              <w:t xml:space="preserve">: Should firms </w:t>
            </w:r>
            <w:r w:rsidR="00B32193" w:rsidRPr="00A03684">
              <w:t xml:space="preserve">that </w:t>
            </w:r>
            <w:r w:rsidR="00177B89" w:rsidRPr="00A03684">
              <w:t xml:space="preserve">receive </w:t>
            </w:r>
            <w:r w:rsidR="001437FD" w:rsidRPr="00A03684">
              <w:t>IA</w:t>
            </w:r>
            <w:r w:rsidR="009C7FC3" w:rsidRPr="00A03684">
              <w:t xml:space="preserve"> be required to </w:t>
            </w:r>
            <w:r w:rsidR="00D12CD7" w:rsidRPr="00A03684">
              <w:t>report</w:t>
            </w:r>
            <w:r w:rsidR="009C7FC3" w:rsidRPr="00A03684">
              <w:t xml:space="preserve"> their emissions, revenue and production data</w:t>
            </w:r>
            <w:r w:rsidR="00D12CD7" w:rsidRPr="00A03684">
              <w:t xml:space="preserve"> annually</w:t>
            </w:r>
            <w:r w:rsidR="009C7FC3" w:rsidRPr="00A03684">
              <w:t>? Why, or why not?</w:t>
            </w:r>
          </w:p>
          <w:p w:rsidR="00CE0D69" w:rsidRPr="00A03684" w:rsidRDefault="00303829" w:rsidP="005954D0">
            <w:pPr>
              <w:pStyle w:val="Blueboxtext"/>
              <w:spacing w:before="80" w:after="240"/>
            </w:pPr>
            <w:r w:rsidRPr="00A03684">
              <w:t xml:space="preserve">Question </w:t>
            </w:r>
            <w:r w:rsidR="0026285C" w:rsidRPr="00A03684">
              <w:t>21</w:t>
            </w:r>
            <w:r w:rsidRPr="00A03684">
              <w:t>: Would voluntary reporting be more appropriate</w:t>
            </w:r>
            <w:r w:rsidR="0093246A" w:rsidRPr="00A03684">
              <w:t>,</w:t>
            </w:r>
            <w:r w:rsidRPr="00A03684">
              <w:t xml:space="preserve"> and still provide some oversight of leakage and over-allocation risk? Why, or why not?</w:t>
            </w:r>
            <w:bookmarkEnd w:id="61"/>
          </w:p>
        </w:tc>
      </w:tr>
    </w:tbl>
    <w:p w:rsidR="00803E10" w:rsidRPr="00A03684" w:rsidRDefault="00803E10" w:rsidP="0092616C">
      <w:pPr>
        <w:pStyle w:val="Heading2"/>
        <w:spacing w:before="480"/>
      </w:pPr>
      <w:bookmarkStart w:id="62" w:name="_Toc75336468"/>
      <w:r w:rsidRPr="00A03684">
        <w:t>Transition period for changes to eligibility</w:t>
      </w:r>
      <w:bookmarkEnd w:id="62"/>
      <w:r w:rsidRPr="00A03684">
        <w:t xml:space="preserve"> </w:t>
      </w:r>
    </w:p>
    <w:p w:rsidR="006E79C3" w:rsidRPr="00A03684" w:rsidRDefault="00803E10" w:rsidP="0092616C">
      <w:pPr>
        <w:pStyle w:val="BodyText"/>
      </w:pPr>
      <w:r w:rsidRPr="00A03684">
        <w:t xml:space="preserve">Under current legislation, </w:t>
      </w:r>
      <w:r w:rsidR="002436C6" w:rsidRPr="00A03684">
        <w:t xml:space="preserve">it takes five years to implement </w:t>
      </w:r>
      <w:r w:rsidRPr="00A03684">
        <w:t xml:space="preserve">a change in eligibility </w:t>
      </w:r>
      <w:r w:rsidR="00505943" w:rsidRPr="00A03684">
        <w:t xml:space="preserve">from highly </w:t>
      </w:r>
      <w:r w:rsidR="0093246A" w:rsidRPr="00A03684">
        <w:t>to</w:t>
      </w:r>
      <w:r w:rsidR="005954D0" w:rsidRPr="00A03684">
        <w:t> </w:t>
      </w:r>
      <w:r w:rsidR="0093246A" w:rsidRPr="00A03684">
        <w:t xml:space="preserve">moderately </w:t>
      </w:r>
      <w:r w:rsidR="00505943" w:rsidRPr="00A03684">
        <w:t>emissions</w:t>
      </w:r>
      <w:r w:rsidR="002436C6" w:rsidRPr="00A03684">
        <w:t>-</w:t>
      </w:r>
      <w:r w:rsidR="00505943" w:rsidRPr="00A03684">
        <w:t>intensive</w:t>
      </w:r>
      <w:r w:rsidRPr="00A03684">
        <w:t xml:space="preserve">, or from moderately intensive to ineligible. In </w:t>
      </w:r>
      <w:r w:rsidR="0093246A" w:rsidRPr="00A03684">
        <w:t>that time</w:t>
      </w:r>
      <w:r w:rsidR="00486BF4" w:rsidRPr="00A03684">
        <w:t>,</w:t>
      </w:r>
      <w:r w:rsidRPr="00A03684">
        <w:t xml:space="preserve"> an</w:t>
      </w:r>
      <w:r w:rsidR="00E97FC5">
        <w:t> </w:t>
      </w:r>
      <w:r w:rsidRPr="00A03684">
        <w:t>activity would continue to be eligible at its prior level of assistance</w:t>
      </w:r>
      <w:r w:rsidR="006E79C3" w:rsidRPr="00A03684">
        <w:t>,</w:t>
      </w:r>
      <w:r w:rsidRPr="00A03684">
        <w:t xml:space="preserve"> </w:t>
      </w:r>
      <w:r w:rsidR="008A57D4" w:rsidRPr="00A03684">
        <w:t xml:space="preserve">perpetuating current </w:t>
      </w:r>
      <w:r w:rsidRPr="00A03684">
        <w:t>over</w:t>
      </w:r>
      <w:r w:rsidR="005954D0" w:rsidRPr="00A03684">
        <w:noBreakHyphen/>
      </w:r>
      <w:r w:rsidRPr="00A03684">
        <w:t xml:space="preserve">allocation. </w:t>
      </w:r>
      <w:r w:rsidR="006E79C3" w:rsidRPr="00A03684">
        <w:t xml:space="preserve">It would be a perverse outcome and an unnecessary cost to the taxpayer if some industries continue to get more support than they need for an additional </w:t>
      </w:r>
      <w:r w:rsidR="0093246A" w:rsidRPr="00A03684">
        <w:t>five</w:t>
      </w:r>
      <w:r w:rsidR="006E79C3" w:rsidRPr="00A03684">
        <w:t xml:space="preserve"> years. </w:t>
      </w:r>
    </w:p>
    <w:p w:rsidR="00FC345A" w:rsidRPr="00A03684" w:rsidRDefault="007C15BE" w:rsidP="0092616C">
      <w:pPr>
        <w:pStyle w:val="BodyText"/>
      </w:pPr>
      <w:r w:rsidRPr="00A03684">
        <w:t>However, the five</w:t>
      </w:r>
      <w:r w:rsidR="003748EA">
        <w:t>-</w:t>
      </w:r>
      <w:r w:rsidRPr="00A03684">
        <w:t>year transition period c</w:t>
      </w:r>
      <w:r w:rsidR="006E79C3" w:rsidRPr="00A03684">
        <w:t>ould</w:t>
      </w:r>
      <w:r w:rsidR="00803E10" w:rsidRPr="00A03684">
        <w:t xml:space="preserve"> </w:t>
      </w:r>
      <w:r w:rsidR="0093246A" w:rsidRPr="00A03684">
        <w:t xml:space="preserve">allow time for </w:t>
      </w:r>
      <w:r w:rsidR="00803E10" w:rsidRPr="00A03684">
        <w:t xml:space="preserve">firms </w:t>
      </w:r>
      <w:r w:rsidR="0093246A" w:rsidRPr="00A03684">
        <w:t xml:space="preserve">to adjust to </w:t>
      </w:r>
      <w:r w:rsidR="00803E10" w:rsidRPr="00A03684">
        <w:t xml:space="preserve">a change in eligibility. </w:t>
      </w:r>
      <w:r w:rsidR="0093246A" w:rsidRPr="00A03684">
        <w:t xml:space="preserve">This </w:t>
      </w:r>
      <w:r w:rsidR="00803E10" w:rsidRPr="00A03684">
        <w:t xml:space="preserve">transition period would avoid </w:t>
      </w:r>
      <w:r w:rsidR="0093246A" w:rsidRPr="00A03684">
        <w:t>the</w:t>
      </w:r>
      <w:r w:rsidR="00803E10" w:rsidRPr="00A03684">
        <w:t xml:space="preserve"> abrupt cost </w:t>
      </w:r>
      <w:r w:rsidR="0093246A" w:rsidRPr="00A03684">
        <w:t xml:space="preserve">of </w:t>
      </w:r>
      <w:r w:rsidR="00803E10" w:rsidRPr="00A03684">
        <w:t>a firm becoming ineligible and</w:t>
      </w:r>
      <w:r w:rsidR="005954D0" w:rsidRPr="00A03684">
        <w:t> </w:t>
      </w:r>
      <w:r w:rsidR="0093246A" w:rsidRPr="00A03684">
        <w:t xml:space="preserve">losing </w:t>
      </w:r>
      <w:r w:rsidR="00803E10" w:rsidRPr="00A03684">
        <w:t xml:space="preserve">their allocation. </w:t>
      </w:r>
    </w:p>
    <w:p w:rsidR="00803E10" w:rsidRPr="00A03684" w:rsidRDefault="00FC345A" w:rsidP="00D41C5C">
      <w:pPr>
        <w:pStyle w:val="BodyText"/>
        <w:spacing w:before="100" w:after="100"/>
      </w:pPr>
      <w:r w:rsidRPr="00A03684">
        <w:t xml:space="preserve">The transition period becomes important if the </w:t>
      </w:r>
      <w:r w:rsidR="0093246A" w:rsidRPr="00A03684">
        <w:t>G</w:t>
      </w:r>
      <w:r w:rsidRPr="00A03684">
        <w:t xml:space="preserve">overnment reassesses eligibility. We would like feedback on whether </w:t>
      </w:r>
      <w:r w:rsidR="0093246A" w:rsidRPr="00A03684">
        <w:t xml:space="preserve">to retain </w:t>
      </w:r>
      <w:r w:rsidRPr="00A03684">
        <w:t>the five-year period</w:t>
      </w:r>
      <w:r w:rsidR="0093246A" w:rsidRPr="00A03684">
        <w:t>,</w:t>
      </w:r>
      <w:r w:rsidRPr="00A03684">
        <w:t xml:space="preserve"> to </w:t>
      </w:r>
      <w:r w:rsidR="0093246A" w:rsidRPr="00A03684">
        <w:t>assist</w:t>
      </w:r>
      <w:r w:rsidRPr="00A03684">
        <w:t xml:space="preserve"> firms whose eligibility has </w:t>
      </w:r>
      <w:r w:rsidR="00BA47AD" w:rsidRPr="00A03684">
        <w:t xml:space="preserve">been </w:t>
      </w:r>
      <w:r w:rsidRPr="00A03684">
        <w:t>affected.</w:t>
      </w:r>
      <w:r w:rsidR="00A03684" w:rsidRPr="00A03684">
        <w:t xml:space="preserve"> </w:t>
      </w:r>
    </w:p>
    <w:p w:rsidR="00803E10" w:rsidRPr="00A03684" w:rsidRDefault="00803E10" w:rsidP="001F4F10">
      <w:pPr>
        <w:pStyle w:val="Heading4"/>
        <w:spacing w:before="240"/>
      </w:pPr>
      <w:r w:rsidRPr="00A03684">
        <w:t xml:space="preserve">Option 1: Status quo – retain the five-year transition period </w:t>
      </w:r>
    </w:p>
    <w:p w:rsidR="00303829" w:rsidRPr="00A03684" w:rsidRDefault="00303829" w:rsidP="00D41C5C">
      <w:pPr>
        <w:pStyle w:val="BodyText"/>
        <w:spacing w:before="100" w:after="100"/>
      </w:pPr>
      <w:r w:rsidRPr="00A03684">
        <w:t xml:space="preserve">If eligibility was reassessed, keeping this provision would </w:t>
      </w:r>
      <w:r w:rsidR="0093246A" w:rsidRPr="00A03684">
        <w:t xml:space="preserve">give </w:t>
      </w:r>
      <w:r w:rsidRPr="00A03684">
        <w:t xml:space="preserve">industry </w:t>
      </w:r>
      <w:r w:rsidR="0093246A" w:rsidRPr="00A03684">
        <w:t xml:space="preserve">time </w:t>
      </w:r>
      <w:r w:rsidRPr="00A03684">
        <w:t xml:space="preserve">to </w:t>
      </w:r>
      <w:r w:rsidR="0093246A" w:rsidRPr="00A03684">
        <w:t xml:space="preserve">move </w:t>
      </w:r>
      <w:r w:rsidRPr="00A03684">
        <w:t>to a full</w:t>
      </w:r>
      <w:r w:rsidR="004F121C">
        <w:t> </w:t>
      </w:r>
      <w:r w:rsidRPr="00A03684">
        <w:t xml:space="preserve">emissions price. It would continue some over-allocations for a further five years. </w:t>
      </w:r>
    </w:p>
    <w:p w:rsidR="00803E10" w:rsidRPr="00A03684" w:rsidRDefault="00803E10" w:rsidP="001F4F10">
      <w:pPr>
        <w:pStyle w:val="Heading4"/>
        <w:spacing w:before="240"/>
      </w:pPr>
      <w:r w:rsidRPr="00A03684">
        <w:t xml:space="preserve">Option 2: Remove the transition period </w:t>
      </w:r>
    </w:p>
    <w:p w:rsidR="00303829" w:rsidRPr="00A03684" w:rsidRDefault="00303829" w:rsidP="00D41C5C">
      <w:pPr>
        <w:pStyle w:val="BodyText"/>
        <w:spacing w:before="100" w:after="100"/>
      </w:pPr>
      <w:r w:rsidRPr="00A03684">
        <w:t>Given the evidence of over-allocation already occurring, this lag time could undermine New</w:t>
      </w:r>
      <w:r w:rsidR="005954D0" w:rsidRPr="00A03684">
        <w:t> </w:t>
      </w:r>
      <w:r w:rsidRPr="00A03684">
        <w:t>Zealand’s progress towards emissions targets – particularly the short</w:t>
      </w:r>
      <w:r w:rsidR="002436C6" w:rsidRPr="00A03684">
        <w:t>-</w:t>
      </w:r>
      <w:r w:rsidRPr="00A03684">
        <w:t>term 2030 target.</w:t>
      </w:r>
      <w:r w:rsidR="005954D0" w:rsidRPr="00A03684">
        <w:t> </w:t>
      </w:r>
      <w:r w:rsidRPr="00A03684">
        <w:t xml:space="preserve">Removing the transition period would reduce over-allocation in the short term. </w:t>
      </w:r>
      <w:r w:rsidR="002436C6" w:rsidRPr="00A03684">
        <w:t>Over</w:t>
      </w:r>
      <w:r w:rsidR="005954D0" w:rsidRPr="00A03684">
        <w:t> </w:t>
      </w:r>
      <w:r w:rsidR="002436C6" w:rsidRPr="00A03684">
        <w:t>five years</w:t>
      </w:r>
      <w:r w:rsidR="0055030F" w:rsidRPr="00A03684">
        <w:t>,</w:t>
      </w:r>
      <w:r w:rsidR="002436C6" w:rsidRPr="00A03684">
        <w:t xml:space="preserve"> t</w:t>
      </w:r>
      <w:r w:rsidR="00C44091" w:rsidRPr="00A03684">
        <w:t>he</w:t>
      </w:r>
      <w:r w:rsidR="002436C6" w:rsidRPr="00A03684">
        <w:t>re could be</w:t>
      </w:r>
      <w:r w:rsidR="00C44091" w:rsidRPr="00A03684">
        <w:t xml:space="preserve"> </w:t>
      </w:r>
      <w:r w:rsidR="002436C6" w:rsidRPr="00A03684">
        <w:t xml:space="preserve">significant </w:t>
      </w:r>
      <w:r w:rsidR="00C44091" w:rsidRPr="00A03684">
        <w:t xml:space="preserve">over-allocation if there are eligibility changes. </w:t>
      </w:r>
    </w:p>
    <w:p w:rsidR="00303829" w:rsidRPr="00A03684" w:rsidRDefault="0055030F" w:rsidP="00D41C5C">
      <w:pPr>
        <w:pStyle w:val="BodyText"/>
        <w:spacing w:before="100" w:after="100"/>
      </w:pPr>
      <w:r w:rsidRPr="00A03684">
        <w:t>However, r</w:t>
      </w:r>
      <w:r w:rsidR="00303829" w:rsidRPr="00A03684">
        <w:t xml:space="preserve">emoving </w:t>
      </w:r>
      <w:r w:rsidR="004653B7" w:rsidRPr="00A03684">
        <w:t>this</w:t>
      </w:r>
      <w:r w:rsidR="00303829" w:rsidRPr="00A03684">
        <w:t xml:space="preserve"> </w:t>
      </w:r>
      <w:r w:rsidR="004653B7" w:rsidRPr="00A03684">
        <w:t xml:space="preserve">lag </w:t>
      </w:r>
      <w:r w:rsidR="00303829" w:rsidRPr="00A03684">
        <w:t xml:space="preserve">would create uncertainty for firms if it </w:t>
      </w:r>
      <w:r w:rsidR="004653B7" w:rsidRPr="00A03684">
        <w:t>led to</w:t>
      </w:r>
      <w:r w:rsidR="00303829" w:rsidRPr="00A03684">
        <w:t xml:space="preserve"> a sudden change to</w:t>
      </w:r>
      <w:r w:rsidR="005954D0" w:rsidRPr="00A03684">
        <w:t> </w:t>
      </w:r>
      <w:r w:rsidR="00303829" w:rsidRPr="00A03684">
        <w:t xml:space="preserve">their allocation, preventing </w:t>
      </w:r>
      <w:r w:rsidR="004653B7" w:rsidRPr="00A03684">
        <w:t xml:space="preserve">them </w:t>
      </w:r>
      <w:r w:rsidR="00303829" w:rsidRPr="00A03684">
        <w:t xml:space="preserve">from </w:t>
      </w:r>
      <w:r w:rsidR="004653B7" w:rsidRPr="00A03684">
        <w:t xml:space="preserve">transitioning </w:t>
      </w:r>
      <w:r w:rsidR="00303829" w:rsidRPr="00A03684">
        <w:t>efficiently and adjust</w:t>
      </w:r>
      <w:r w:rsidR="004653B7" w:rsidRPr="00A03684">
        <w:t>ing</w:t>
      </w:r>
      <w:r w:rsidR="00303829" w:rsidRPr="00A03684">
        <w:t xml:space="preserve"> to a full emissions price. </w:t>
      </w:r>
    </w:p>
    <w:p w:rsidR="00803E10" w:rsidRPr="00A03684" w:rsidRDefault="00803E10" w:rsidP="001F4F10">
      <w:pPr>
        <w:pStyle w:val="Heading4"/>
        <w:spacing w:before="240"/>
      </w:pPr>
      <w:r w:rsidRPr="00A03684">
        <w:t>Option 3: Reduce the transition period to one or two years</w:t>
      </w:r>
    </w:p>
    <w:p w:rsidR="00303829" w:rsidRPr="00A03684" w:rsidRDefault="00303829" w:rsidP="00D41C5C">
      <w:pPr>
        <w:pStyle w:val="BodyText"/>
        <w:spacing w:before="100" w:after="100"/>
      </w:pPr>
      <w:r w:rsidRPr="00A03684">
        <w:t xml:space="preserve">This </w:t>
      </w:r>
      <w:r w:rsidR="004653B7" w:rsidRPr="00A03684">
        <w:t xml:space="preserve">option </w:t>
      </w:r>
      <w:r w:rsidRPr="00A03684">
        <w:t xml:space="preserve">would provide some transitional assistance to firms </w:t>
      </w:r>
      <w:r w:rsidR="004653B7" w:rsidRPr="00A03684">
        <w:t xml:space="preserve">affected </w:t>
      </w:r>
      <w:r w:rsidRPr="00A03684">
        <w:t xml:space="preserve">by an eligibility change, while reducing the </w:t>
      </w:r>
      <w:r w:rsidR="004653B7" w:rsidRPr="00A03684">
        <w:t>time during which</w:t>
      </w:r>
      <w:r w:rsidRPr="00A03684">
        <w:t xml:space="preserve"> over-allocation would occur. Windfall gains to</w:t>
      </w:r>
      <w:r w:rsidR="005954D0" w:rsidRPr="00A03684">
        <w:t> </w:t>
      </w:r>
      <w:r w:rsidRPr="00A03684">
        <w:t xml:space="preserve">industry could still be in the tens of millions. </w:t>
      </w:r>
    </w:p>
    <w:p w:rsidR="00803E10" w:rsidRPr="00A03684" w:rsidRDefault="00803E10" w:rsidP="001F4F10">
      <w:pPr>
        <w:pStyle w:val="Heading4"/>
        <w:spacing w:before="240"/>
      </w:pPr>
      <w:r w:rsidRPr="00A03684">
        <w:t xml:space="preserve">Option 4: Increase the transition period to </w:t>
      </w:r>
      <w:r w:rsidR="004653B7" w:rsidRPr="00A03684">
        <w:t xml:space="preserve">10 </w:t>
      </w:r>
      <w:r w:rsidRPr="00A03684">
        <w:t>year</w:t>
      </w:r>
      <w:r w:rsidR="00DB15A8" w:rsidRPr="00A03684">
        <w:t>s</w:t>
      </w:r>
    </w:p>
    <w:p w:rsidR="004653B7" w:rsidRPr="00A03684" w:rsidRDefault="004653B7" w:rsidP="00D41C5C">
      <w:pPr>
        <w:pStyle w:val="BodyText"/>
        <w:spacing w:before="100" w:after="100"/>
      </w:pPr>
      <w:r w:rsidRPr="00A03684">
        <w:t>This option would give</w:t>
      </w:r>
      <w:r w:rsidR="00803E10" w:rsidRPr="00A03684">
        <w:t xml:space="preserve"> long-term certainty </w:t>
      </w:r>
      <w:r w:rsidRPr="00A03684">
        <w:t>to</w:t>
      </w:r>
      <w:r w:rsidR="00803E10" w:rsidRPr="00A03684">
        <w:t>r firms affected by an eligibility change if retested. The downside</w:t>
      </w:r>
      <w:r w:rsidRPr="00A03684">
        <w:t>s are:</w:t>
      </w:r>
    </w:p>
    <w:p w:rsidR="004653B7" w:rsidRPr="00A03684" w:rsidRDefault="00803E10" w:rsidP="005954D0">
      <w:pPr>
        <w:pStyle w:val="Bullet"/>
      </w:pPr>
      <w:r w:rsidRPr="00A03684">
        <w:t xml:space="preserve">a longer period </w:t>
      </w:r>
      <w:r w:rsidR="004653B7" w:rsidRPr="00A03684">
        <w:t>for</w:t>
      </w:r>
      <w:r w:rsidRPr="00A03684">
        <w:t xml:space="preserve"> over-allocation </w:t>
      </w:r>
    </w:p>
    <w:p w:rsidR="00803E10" w:rsidRPr="00A03684" w:rsidRDefault="00803E10" w:rsidP="005954D0">
      <w:pPr>
        <w:pStyle w:val="Bullet"/>
      </w:pPr>
      <w:r w:rsidRPr="00A03684">
        <w:t xml:space="preserve">long-term administrative burden. </w:t>
      </w:r>
    </w:p>
    <w:p w:rsidR="008D4466" w:rsidRDefault="008D4466">
      <w:pPr>
        <w:spacing w:before="0" w:after="200" w:line="276" w:lineRule="auto"/>
        <w:jc w:val="left"/>
        <w:rPr>
          <w:b/>
          <w:sz w:val="20"/>
        </w:rPr>
      </w:pPr>
      <w:r>
        <w:br w:type="page"/>
      </w:r>
    </w:p>
    <w:p w:rsidR="00803E10" w:rsidRPr="00A03684" w:rsidRDefault="00803E10" w:rsidP="00D2629A">
      <w:pPr>
        <w:pStyle w:val="Tableheading"/>
      </w:pPr>
      <w:bookmarkStart w:id="63" w:name="_Toc75262183"/>
      <w:r w:rsidRPr="00A03684">
        <w:t xml:space="preserve">Table </w:t>
      </w:r>
      <w:r w:rsidR="00AC6EA7" w:rsidRPr="00A03684">
        <w:t>14</w:t>
      </w:r>
      <w:r w:rsidRPr="00A03684">
        <w:t>:</w:t>
      </w:r>
      <w:r w:rsidRPr="00A03684">
        <w:tab/>
        <w:t>Assessment of</w:t>
      </w:r>
      <w:r w:rsidR="00EC658F" w:rsidRPr="00A03684">
        <w:t xml:space="preserve"> eligibility</w:t>
      </w:r>
      <w:r w:rsidRPr="00A03684">
        <w:t xml:space="preserve"> </w:t>
      </w:r>
      <w:r w:rsidR="00EC658F" w:rsidRPr="00A03684">
        <w:t>transition period</w:t>
      </w:r>
      <w:r w:rsidR="0055030F" w:rsidRPr="00A03684">
        <w:t>s</w:t>
      </w:r>
      <w:bookmarkEnd w:id="63"/>
      <w:r w:rsidR="00EC658F" w:rsidRPr="00A03684">
        <w:t xml:space="preserve"> </w:t>
      </w:r>
    </w:p>
    <w:tbl>
      <w:tblPr>
        <w:tblStyle w:val="TableGrid1"/>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414"/>
        <w:gridCol w:w="1418"/>
        <w:gridCol w:w="1414"/>
        <w:gridCol w:w="1283"/>
        <w:gridCol w:w="1552"/>
        <w:gridCol w:w="1424"/>
      </w:tblGrid>
      <w:tr w:rsidR="00CC2F1F" w:rsidRPr="00A03684" w:rsidTr="001F4F10">
        <w:trPr>
          <w:tblHeader/>
        </w:trPr>
        <w:tc>
          <w:tcPr>
            <w:tcW w:w="1414" w:type="dxa"/>
            <w:shd w:val="clear" w:color="auto" w:fill="1C556C"/>
            <w:vAlign w:val="bottom"/>
          </w:tcPr>
          <w:p w:rsidR="00AA34C1" w:rsidRPr="00A03684" w:rsidRDefault="00AA34C1" w:rsidP="00DD1F1E">
            <w:pPr>
              <w:pStyle w:val="TableTextbold"/>
              <w:spacing w:before="40" w:after="40" w:line="230" w:lineRule="atLeast"/>
              <w:rPr>
                <w:color w:val="FFFFFF" w:themeColor="background1"/>
              </w:rPr>
            </w:pPr>
            <w:r w:rsidRPr="00A03684">
              <w:rPr>
                <w:color w:val="FFFFFF" w:themeColor="background1"/>
              </w:rPr>
              <w:t>Option</w:t>
            </w:r>
          </w:p>
        </w:tc>
        <w:tc>
          <w:tcPr>
            <w:tcW w:w="1418" w:type="dxa"/>
            <w:shd w:val="clear" w:color="auto" w:fill="1C556C"/>
            <w:vAlign w:val="bottom"/>
          </w:tcPr>
          <w:p w:rsidR="00AA34C1" w:rsidRPr="00A03684" w:rsidRDefault="00AA34C1" w:rsidP="00DD1F1E">
            <w:pPr>
              <w:pStyle w:val="TableTextbold"/>
              <w:spacing w:before="40" w:after="40" w:line="230" w:lineRule="atLeast"/>
              <w:rPr>
                <w:color w:val="FFFFFF" w:themeColor="background1"/>
              </w:rPr>
            </w:pPr>
            <w:r w:rsidRPr="00A03684">
              <w:rPr>
                <w:color w:val="FFFFFF" w:themeColor="background1"/>
              </w:rPr>
              <w:t>Consistency with objectives of NZ ETS</w:t>
            </w:r>
          </w:p>
        </w:tc>
        <w:tc>
          <w:tcPr>
            <w:tcW w:w="1414" w:type="dxa"/>
            <w:shd w:val="clear" w:color="auto" w:fill="1C556C"/>
            <w:vAlign w:val="bottom"/>
          </w:tcPr>
          <w:p w:rsidR="00AA34C1" w:rsidRPr="00A03684" w:rsidRDefault="00AA34C1" w:rsidP="00DD1F1E">
            <w:pPr>
              <w:pStyle w:val="TableTextbold"/>
              <w:spacing w:before="40" w:after="40" w:line="230" w:lineRule="atLeast"/>
              <w:rPr>
                <w:color w:val="FFFFFF" w:themeColor="background1"/>
              </w:rPr>
            </w:pPr>
            <w:r w:rsidRPr="00A03684">
              <w:rPr>
                <w:color w:val="FFFFFF" w:themeColor="background1"/>
              </w:rPr>
              <w:t>Addresses over-allocation</w:t>
            </w:r>
          </w:p>
        </w:tc>
        <w:tc>
          <w:tcPr>
            <w:tcW w:w="1283" w:type="dxa"/>
            <w:shd w:val="clear" w:color="auto" w:fill="1C556C"/>
            <w:vAlign w:val="bottom"/>
          </w:tcPr>
          <w:p w:rsidR="00AA34C1" w:rsidRPr="00A03684" w:rsidRDefault="00AA34C1" w:rsidP="00DD1F1E">
            <w:pPr>
              <w:pStyle w:val="TableTextbold"/>
              <w:spacing w:before="40" w:after="40" w:line="230" w:lineRule="atLeast"/>
              <w:rPr>
                <w:color w:val="FFFFFF" w:themeColor="background1"/>
              </w:rPr>
            </w:pPr>
            <w:r w:rsidRPr="00A03684">
              <w:rPr>
                <w:color w:val="FFFFFF" w:themeColor="background1"/>
              </w:rPr>
              <w:t>Addresses leakage risk</w:t>
            </w:r>
          </w:p>
        </w:tc>
        <w:tc>
          <w:tcPr>
            <w:tcW w:w="1552" w:type="dxa"/>
            <w:shd w:val="clear" w:color="auto" w:fill="1C556C"/>
            <w:vAlign w:val="bottom"/>
          </w:tcPr>
          <w:p w:rsidR="00AA34C1" w:rsidRPr="00A03684" w:rsidRDefault="00AA34C1" w:rsidP="00DD1F1E">
            <w:pPr>
              <w:pStyle w:val="TableTextbold"/>
              <w:spacing w:before="40" w:after="40" w:line="230" w:lineRule="atLeast"/>
              <w:rPr>
                <w:color w:val="FFFFFF" w:themeColor="background1"/>
              </w:rPr>
            </w:pPr>
            <w:r w:rsidRPr="00A03684">
              <w:rPr>
                <w:color w:val="FFFFFF" w:themeColor="background1"/>
              </w:rPr>
              <w:t>Regulatory certainty and predictability</w:t>
            </w:r>
          </w:p>
        </w:tc>
        <w:tc>
          <w:tcPr>
            <w:tcW w:w="1424" w:type="dxa"/>
            <w:shd w:val="clear" w:color="auto" w:fill="1C556C"/>
            <w:vAlign w:val="bottom"/>
          </w:tcPr>
          <w:p w:rsidR="00AA34C1" w:rsidRPr="00A03684" w:rsidRDefault="00AA34C1" w:rsidP="00DD1F1E">
            <w:pPr>
              <w:pStyle w:val="TableTextbold"/>
              <w:spacing w:before="40" w:after="40" w:line="230" w:lineRule="atLeast"/>
              <w:rPr>
                <w:color w:val="FFFFFF" w:themeColor="background1"/>
              </w:rPr>
            </w:pPr>
            <w:r w:rsidRPr="00A03684">
              <w:rPr>
                <w:color w:val="FFFFFF" w:themeColor="background1"/>
              </w:rPr>
              <w:t>Minimise</w:t>
            </w:r>
            <w:r w:rsidR="0055030F" w:rsidRPr="00A03684">
              <w:rPr>
                <w:color w:val="FFFFFF" w:themeColor="background1"/>
              </w:rPr>
              <w:t>s</w:t>
            </w:r>
            <w:r w:rsidRPr="00A03684">
              <w:rPr>
                <w:color w:val="FFFFFF" w:themeColor="background1"/>
              </w:rPr>
              <w:t xml:space="preserve"> administrative burden, costs and complexity</w:t>
            </w:r>
          </w:p>
        </w:tc>
      </w:tr>
      <w:tr w:rsidR="00AA34C1" w:rsidRPr="00A03684" w:rsidTr="001F4F10">
        <w:tc>
          <w:tcPr>
            <w:tcW w:w="1414" w:type="dxa"/>
            <w:shd w:val="clear" w:color="auto" w:fill="auto"/>
          </w:tcPr>
          <w:p w:rsidR="00AA34C1" w:rsidRPr="00A03684" w:rsidRDefault="00AA34C1" w:rsidP="00DD1F1E">
            <w:pPr>
              <w:pStyle w:val="TableText"/>
              <w:spacing w:before="40" w:after="40" w:line="230" w:lineRule="atLeast"/>
            </w:pPr>
            <w:r w:rsidRPr="00A03684">
              <w:t xml:space="preserve">Status quo – retain the five-year transition </w:t>
            </w:r>
          </w:p>
        </w:tc>
        <w:tc>
          <w:tcPr>
            <w:tcW w:w="1418" w:type="dxa"/>
            <w:shd w:val="clear" w:color="auto" w:fill="auto"/>
          </w:tcPr>
          <w:p w:rsidR="00AA34C1" w:rsidRPr="00A03684" w:rsidRDefault="00AA34C1" w:rsidP="00DD1F1E">
            <w:pPr>
              <w:pStyle w:val="TableText"/>
              <w:spacing w:before="40" w:after="40" w:line="230" w:lineRule="atLeast"/>
              <w:jc w:val="center"/>
            </w:pPr>
            <w:r w:rsidRPr="00A03684">
              <w:t>o</w:t>
            </w:r>
          </w:p>
        </w:tc>
        <w:tc>
          <w:tcPr>
            <w:tcW w:w="1414" w:type="dxa"/>
            <w:shd w:val="clear" w:color="auto" w:fill="FFFFFF" w:themeFill="background1"/>
          </w:tcPr>
          <w:p w:rsidR="00AA34C1" w:rsidRPr="00A03684" w:rsidRDefault="00945CED" w:rsidP="00B02FBF">
            <w:pPr>
              <w:pStyle w:val="TableText"/>
              <w:spacing w:before="40" w:after="40" w:line="230" w:lineRule="atLeast"/>
              <w:jc w:val="center"/>
            </w:pPr>
            <w:r w:rsidRPr="00A03684">
              <w:t>o</w:t>
            </w:r>
          </w:p>
        </w:tc>
        <w:tc>
          <w:tcPr>
            <w:tcW w:w="1283" w:type="dxa"/>
          </w:tcPr>
          <w:p w:rsidR="00AA34C1" w:rsidRPr="00A03684" w:rsidRDefault="00AA34C1" w:rsidP="00DD1F1E">
            <w:pPr>
              <w:pStyle w:val="TableText"/>
              <w:spacing w:before="40" w:after="40" w:line="230" w:lineRule="atLeast"/>
              <w:jc w:val="center"/>
            </w:pPr>
            <w:r w:rsidRPr="00A03684">
              <w:t>o</w:t>
            </w:r>
          </w:p>
        </w:tc>
        <w:tc>
          <w:tcPr>
            <w:tcW w:w="1552" w:type="dxa"/>
          </w:tcPr>
          <w:p w:rsidR="00AA34C1" w:rsidRPr="00A03684" w:rsidRDefault="00AA34C1" w:rsidP="00DD1F1E">
            <w:pPr>
              <w:pStyle w:val="TableText"/>
              <w:spacing w:before="40" w:after="40" w:line="230" w:lineRule="atLeast"/>
              <w:jc w:val="center"/>
            </w:pPr>
            <w:r w:rsidRPr="00A03684">
              <w:t>o</w:t>
            </w:r>
          </w:p>
        </w:tc>
        <w:tc>
          <w:tcPr>
            <w:tcW w:w="1424" w:type="dxa"/>
          </w:tcPr>
          <w:p w:rsidR="00AA34C1" w:rsidRPr="00A03684" w:rsidRDefault="00174718" w:rsidP="00DD1F1E">
            <w:pPr>
              <w:pStyle w:val="TableText"/>
              <w:spacing w:before="40" w:after="40" w:line="230" w:lineRule="atLeast"/>
              <w:jc w:val="center"/>
            </w:pPr>
            <w:r w:rsidRPr="00A03684">
              <w:t>o</w:t>
            </w:r>
          </w:p>
        </w:tc>
      </w:tr>
      <w:tr w:rsidR="00AA34C1" w:rsidRPr="00A03684" w:rsidTr="00C36822">
        <w:tc>
          <w:tcPr>
            <w:tcW w:w="1414" w:type="dxa"/>
            <w:shd w:val="clear" w:color="auto" w:fill="auto"/>
          </w:tcPr>
          <w:p w:rsidR="00AA34C1" w:rsidRPr="00A03684" w:rsidRDefault="00AA34C1" w:rsidP="00DD1F1E">
            <w:pPr>
              <w:pStyle w:val="TableText"/>
              <w:spacing w:before="40" w:after="40" w:line="230" w:lineRule="atLeast"/>
            </w:pPr>
            <w:r w:rsidRPr="00A03684">
              <w:t xml:space="preserve">Remove </w:t>
            </w:r>
            <w:r w:rsidR="004653B7" w:rsidRPr="00A03684">
              <w:t xml:space="preserve">the </w:t>
            </w:r>
            <w:r w:rsidRPr="00A03684">
              <w:t xml:space="preserve">five-year transition </w:t>
            </w:r>
          </w:p>
        </w:tc>
        <w:tc>
          <w:tcPr>
            <w:tcW w:w="1418" w:type="dxa"/>
            <w:shd w:val="clear" w:color="auto" w:fill="CFE5E5"/>
          </w:tcPr>
          <w:p w:rsidR="00AA34C1" w:rsidRPr="00A03684" w:rsidRDefault="003A6526" w:rsidP="00E533A1">
            <w:pPr>
              <w:pStyle w:val="TableText"/>
              <w:shd w:val="clear" w:color="auto" w:fill="CFE5E5"/>
              <w:spacing w:before="40" w:after="40" w:line="230" w:lineRule="atLeast"/>
              <w:jc w:val="center"/>
            </w:pPr>
            <w:r w:rsidRPr="00A03684">
              <w:sym w:font="Wingdings" w:char="F0FC"/>
            </w:r>
          </w:p>
          <w:p w:rsidR="00174718" w:rsidRPr="00A03684" w:rsidRDefault="0055030F" w:rsidP="00E533A1">
            <w:pPr>
              <w:pStyle w:val="TableText"/>
              <w:shd w:val="clear" w:color="auto" w:fill="CFE5E5"/>
              <w:spacing w:before="40" w:after="40" w:line="230" w:lineRule="atLeast"/>
              <w:jc w:val="center"/>
            </w:pPr>
            <w:r w:rsidRPr="00A03684">
              <w:t>C</w:t>
            </w:r>
            <w:r w:rsidR="00174718" w:rsidRPr="00A03684">
              <w:t>ould make it easier to meet 2030 target</w:t>
            </w:r>
          </w:p>
        </w:tc>
        <w:tc>
          <w:tcPr>
            <w:tcW w:w="1414" w:type="dxa"/>
            <w:shd w:val="clear" w:color="auto" w:fill="87BDBE"/>
          </w:tcPr>
          <w:p w:rsidR="00AA34C1" w:rsidRPr="00A03684" w:rsidRDefault="003A6526" w:rsidP="00DD1F1E">
            <w:pPr>
              <w:pStyle w:val="TableText"/>
              <w:spacing w:before="40" w:after="40" w:line="230" w:lineRule="atLeast"/>
              <w:jc w:val="center"/>
            </w:pPr>
            <w:r w:rsidRPr="00A03684">
              <w:sym w:font="Wingdings" w:char="F0FC"/>
            </w:r>
            <w:r w:rsidRPr="00A03684">
              <w:sym w:font="Wingdings" w:char="F0FC"/>
            </w:r>
          </w:p>
          <w:p w:rsidR="00AA34C1" w:rsidRPr="00A03684" w:rsidRDefault="0055030F" w:rsidP="00DD1F1E">
            <w:pPr>
              <w:pStyle w:val="TableText"/>
              <w:spacing w:before="40" w:after="40" w:line="230" w:lineRule="atLeast"/>
              <w:jc w:val="center"/>
            </w:pPr>
            <w:r w:rsidRPr="00A03684">
              <w:t>R</w:t>
            </w:r>
            <w:r w:rsidR="00AA34C1" w:rsidRPr="00A03684">
              <w:t>educ</w:t>
            </w:r>
            <w:r w:rsidRPr="00A03684">
              <w:t>es</w:t>
            </w:r>
            <w:r w:rsidR="00AA34C1" w:rsidRPr="00A03684">
              <w:t xml:space="preserve"> over-allocation in the short</w:t>
            </w:r>
            <w:r w:rsidR="004653B7" w:rsidRPr="00A03684">
              <w:t xml:space="preserve"> </w:t>
            </w:r>
            <w:r w:rsidR="00AA34C1" w:rsidRPr="00A03684">
              <w:t>term</w:t>
            </w:r>
          </w:p>
        </w:tc>
        <w:tc>
          <w:tcPr>
            <w:tcW w:w="1283" w:type="dxa"/>
          </w:tcPr>
          <w:p w:rsidR="00AA34C1" w:rsidRPr="00A03684" w:rsidRDefault="00AA34C1" w:rsidP="00DD1F1E">
            <w:pPr>
              <w:pStyle w:val="TableText"/>
              <w:spacing w:before="40" w:after="40" w:line="230" w:lineRule="atLeast"/>
              <w:jc w:val="center"/>
            </w:pPr>
            <w:r w:rsidRPr="00A03684">
              <w:t>o</w:t>
            </w:r>
          </w:p>
        </w:tc>
        <w:tc>
          <w:tcPr>
            <w:tcW w:w="1552" w:type="dxa"/>
            <w:shd w:val="clear" w:color="auto" w:fill="E3855F"/>
          </w:tcPr>
          <w:p w:rsidR="00AA34C1" w:rsidRPr="00A03684" w:rsidRDefault="00174718" w:rsidP="00DD1F1E">
            <w:pPr>
              <w:pStyle w:val="TableText"/>
              <w:spacing w:before="40" w:after="40" w:line="230" w:lineRule="atLeast"/>
              <w:jc w:val="center"/>
            </w:pPr>
            <w:r w:rsidRPr="00A03684">
              <w:t>x</w:t>
            </w:r>
            <w:r w:rsidR="00AA34C1" w:rsidRPr="00A03684">
              <w:t>x</w:t>
            </w:r>
          </w:p>
          <w:p w:rsidR="00174718" w:rsidRPr="00A03684" w:rsidRDefault="00174718" w:rsidP="00DD1F1E">
            <w:pPr>
              <w:pStyle w:val="TableText"/>
              <w:spacing w:before="40" w:after="40" w:line="230" w:lineRule="atLeast"/>
              <w:jc w:val="center"/>
            </w:pPr>
            <w:r w:rsidRPr="00A03684">
              <w:t xml:space="preserve">EITE firms would </w:t>
            </w:r>
            <w:r w:rsidR="004653B7" w:rsidRPr="00A03684">
              <w:t xml:space="preserve">face </w:t>
            </w:r>
            <w:r w:rsidRPr="00A03684">
              <w:t>an abrupt change in eligibility and allocations</w:t>
            </w:r>
          </w:p>
        </w:tc>
        <w:tc>
          <w:tcPr>
            <w:tcW w:w="1424" w:type="dxa"/>
          </w:tcPr>
          <w:p w:rsidR="00AA34C1" w:rsidRPr="00A03684" w:rsidRDefault="00174718" w:rsidP="00DD1F1E">
            <w:pPr>
              <w:pStyle w:val="TableText"/>
              <w:spacing w:before="40" w:after="40" w:line="230" w:lineRule="atLeast"/>
              <w:jc w:val="center"/>
            </w:pPr>
            <w:r w:rsidRPr="00A03684">
              <w:t>o</w:t>
            </w:r>
          </w:p>
        </w:tc>
      </w:tr>
      <w:tr w:rsidR="00AA34C1" w:rsidRPr="00A03684" w:rsidTr="00E533A1">
        <w:tc>
          <w:tcPr>
            <w:tcW w:w="1414" w:type="dxa"/>
            <w:shd w:val="clear" w:color="auto" w:fill="auto"/>
          </w:tcPr>
          <w:p w:rsidR="00AA34C1" w:rsidRPr="00A03684" w:rsidRDefault="00AA34C1" w:rsidP="00DD1F1E">
            <w:pPr>
              <w:pStyle w:val="TableText"/>
              <w:spacing w:before="40" w:after="40" w:line="230" w:lineRule="atLeast"/>
            </w:pPr>
            <w:r w:rsidRPr="00A03684">
              <w:t xml:space="preserve">Reduce </w:t>
            </w:r>
            <w:r w:rsidR="004653B7" w:rsidRPr="00A03684">
              <w:t xml:space="preserve">the </w:t>
            </w:r>
            <w:r w:rsidRPr="00A03684">
              <w:t>transition to one or two years</w:t>
            </w:r>
          </w:p>
        </w:tc>
        <w:tc>
          <w:tcPr>
            <w:tcW w:w="1418" w:type="dxa"/>
            <w:shd w:val="clear" w:color="auto" w:fill="CFE5E5"/>
          </w:tcPr>
          <w:p w:rsidR="00AA34C1" w:rsidRPr="00A03684" w:rsidRDefault="003A6526" w:rsidP="00DD1F1E">
            <w:pPr>
              <w:pStyle w:val="TableText"/>
              <w:spacing w:before="40" w:after="40" w:line="230" w:lineRule="atLeast"/>
              <w:jc w:val="center"/>
            </w:pPr>
            <w:r w:rsidRPr="00A03684">
              <w:sym w:font="Wingdings" w:char="F0FC"/>
            </w:r>
          </w:p>
          <w:p w:rsidR="00174718" w:rsidRPr="00A03684" w:rsidRDefault="004653B7" w:rsidP="00DD1F1E">
            <w:pPr>
              <w:pStyle w:val="TableText"/>
              <w:spacing w:before="40" w:after="40" w:line="230" w:lineRule="atLeast"/>
              <w:jc w:val="center"/>
            </w:pPr>
            <w:r w:rsidRPr="00A03684">
              <w:t>C</w:t>
            </w:r>
            <w:r w:rsidR="00174718" w:rsidRPr="00A03684">
              <w:t>ould make it easier to meet 2030 target</w:t>
            </w:r>
          </w:p>
        </w:tc>
        <w:tc>
          <w:tcPr>
            <w:tcW w:w="1414" w:type="dxa"/>
            <w:shd w:val="clear" w:color="auto" w:fill="CFE5E5"/>
          </w:tcPr>
          <w:p w:rsidR="00AA34C1" w:rsidRPr="00A03684" w:rsidRDefault="003A6526" w:rsidP="00DD1F1E">
            <w:pPr>
              <w:pStyle w:val="TableText"/>
              <w:spacing w:before="40" w:after="40" w:line="230" w:lineRule="atLeast"/>
              <w:jc w:val="center"/>
            </w:pPr>
            <w:r w:rsidRPr="00A03684">
              <w:sym w:font="Wingdings" w:char="F0FC"/>
            </w:r>
          </w:p>
          <w:p w:rsidR="00AA34C1" w:rsidRPr="00A03684" w:rsidRDefault="0055030F" w:rsidP="00DD1F1E">
            <w:pPr>
              <w:pStyle w:val="TableText"/>
              <w:spacing w:before="40" w:after="40" w:line="230" w:lineRule="atLeast"/>
              <w:jc w:val="center"/>
            </w:pPr>
            <w:r w:rsidRPr="00A03684">
              <w:t>Reduces</w:t>
            </w:r>
            <w:r w:rsidR="00AA34C1" w:rsidRPr="00A03684">
              <w:t xml:space="preserve"> over-allocation in the near</w:t>
            </w:r>
            <w:r w:rsidR="004653B7" w:rsidRPr="00A03684">
              <w:t xml:space="preserve"> </w:t>
            </w:r>
            <w:r w:rsidR="00AA34C1" w:rsidRPr="00A03684">
              <w:t>term</w:t>
            </w:r>
          </w:p>
        </w:tc>
        <w:tc>
          <w:tcPr>
            <w:tcW w:w="1283" w:type="dxa"/>
          </w:tcPr>
          <w:p w:rsidR="00AA34C1" w:rsidRPr="00A03684" w:rsidRDefault="00AA34C1" w:rsidP="00DD1F1E">
            <w:pPr>
              <w:pStyle w:val="TableText"/>
              <w:spacing w:before="40" w:after="40" w:line="230" w:lineRule="atLeast"/>
              <w:jc w:val="center"/>
            </w:pPr>
            <w:r w:rsidRPr="00A03684">
              <w:t>o</w:t>
            </w:r>
          </w:p>
        </w:tc>
        <w:tc>
          <w:tcPr>
            <w:tcW w:w="1552" w:type="dxa"/>
            <w:shd w:val="clear" w:color="auto" w:fill="F7E1D3" w:themeFill="accent6" w:themeFillTint="33"/>
          </w:tcPr>
          <w:p w:rsidR="00AA34C1" w:rsidRPr="00A03684" w:rsidRDefault="00174718" w:rsidP="00DD1F1E">
            <w:pPr>
              <w:pStyle w:val="TableText"/>
              <w:spacing w:before="40" w:after="40" w:line="230" w:lineRule="atLeast"/>
              <w:jc w:val="center"/>
            </w:pPr>
            <w:r w:rsidRPr="00A03684">
              <w:t>x</w:t>
            </w:r>
          </w:p>
          <w:p w:rsidR="00174718" w:rsidRPr="00A03684" w:rsidRDefault="00174718" w:rsidP="00DD1F1E">
            <w:pPr>
              <w:pStyle w:val="TableText"/>
              <w:spacing w:before="40" w:after="40" w:line="230" w:lineRule="atLeast"/>
              <w:jc w:val="center"/>
            </w:pPr>
            <w:r w:rsidRPr="00A03684">
              <w:t xml:space="preserve">EITE firms would </w:t>
            </w:r>
            <w:r w:rsidR="004653B7" w:rsidRPr="00A03684">
              <w:t>have</w:t>
            </w:r>
            <w:r w:rsidRPr="00A03684">
              <w:t xml:space="preserve"> a small window of assistance before </w:t>
            </w:r>
            <w:r w:rsidR="004653B7" w:rsidRPr="00A03684">
              <w:t xml:space="preserve">a change in </w:t>
            </w:r>
            <w:r w:rsidRPr="00A03684">
              <w:t>eligibility</w:t>
            </w:r>
          </w:p>
        </w:tc>
        <w:tc>
          <w:tcPr>
            <w:tcW w:w="1424" w:type="dxa"/>
          </w:tcPr>
          <w:p w:rsidR="00AA34C1" w:rsidRPr="00A03684" w:rsidRDefault="00174718" w:rsidP="00DD1F1E">
            <w:pPr>
              <w:pStyle w:val="TableText"/>
              <w:spacing w:before="40" w:after="40" w:line="230" w:lineRule="atLeast"/>
              <w:jc w:val="center"/>
            </w:pPr>
            <w:r w:rsidRPr="00A03684">
              <w:t>o</w:t>
            </w:r>
          </w:p>
        </w:tc>
      </w:tr>
      <w:tr w:rsidR="00AA34C1" w:rsidRPr="00A03684" w:rsidTr="00C36822">
        <w:tc>
          <w:tcPr>
            <w:tcW w:w="1414" w:type="dxa"/>
            <w:shd w:val="clear" w:color="auto" w:fill="auto"/>
          </w:tcPr>
          <w:p w:rsidR="00AA34C1" w:rsidRPr="00A03684" w:rsidRDefault="00AA34C1" w:rsidP="00DD1F1E">
            <w:pPr>
              <w:pStyle w:val="TableText"/>
              <w:spacing w:before="40" w:after="40" w:line="230" w:lineRule="atLeast"/>
            </w:pPr>
            <w:r w:rsidRPr="00A03684">
              <w:t>Increase the transition to 10</w:t>
            </w:r>
            <w:r w:rsidR="00B02FBF">
              <w:t> </w:t>
            </w:r>
            <w:r w:rsidRPr="00A03684">
              <w:t>years</w:t>
            </w:r>
          </w:p>
        </w:tc>
        <w:tc>
          <w:tcPr>
            <w:tcW w:w="1418" w:type="dxa"/>
            <w:shd w:val="clear" w:color="auto" w:fill="F7E1D3" w:themeFill="accent6" w:themeFillTint="33"/>
          </w:tcPr>
          <w:p w:rsidR="00AA34C1" w:rsidRPr="00A03684" w:rsidRDefault="00174718" w:rsidP="00DD1F1E">
            <w:pPr>
              <w:pStyle w:val="TableText"/>
              <w:spacing w:before="40" w:after="40" w:line="230" w:lineRule="atLeast"/>
              <w:jc w:val="center"/>
            </w:pPr>
            <w:r w:rsidRPr="00A03684">
              <w:t>x</w:t>
            </w:r>
          </w:p>
          <w:p w:rsidR="00174718" w:rsidRPr="00A03684" w:rsidRDefault="00174718" w:rsidP="00DD1F1E">
            <w:pPr>
              <w:pStyle w:val="TableText"/>
              <w:spacing w:before="40" w:after="40" w:line="230" w:lineRule="atLeast"/>
              <w:jc w:val="center"/>
            </w:pPr>
            <w:r w:rsidRPr="00A03684">
              <w:t xml:space="preserve">Long-term risk of over-allocation could make it harder to meet </w:t>
            </w:r>
            <w:r w:rsidR="00BB4F4E" w:rsidRPr="00A03684">
              <w:t>2030 target</w:t>
            </w:r>
          </w:p>
        </w:tc>
        <w:tc>
          <w:tcPr>
            <w:tcW w:w="1414" w:type="dxa"/>
            <w:shd w:val="clear" w:color="auto" w:fill="E3855F"/>
          </w:tcPr>
          <w:p w:rsidR="00AA34C1" w:rsidRPr="00A03684" w:rsidRDefault="00AA34C1" w:rsidP="00DD1F1E">
            <w:pPr>
              <w:pStyle w:val="TableText"/>
              <w:spacing w:before="40" w:after="40" w:line="230" w:lineRule="atLeast"/>
              <w:jc w:val="center"/>
            </w:pPr>
            <w:r w:rsidRPr="00A03684">
              <w:t>xx</w:t>
            </w:r>
          </w:p>
          <w:p w:rsidR="00AA34C1" w:rsidRPr="00A03684" w:rsidRDefault="00AA34C1" w:rsidP="00DD1F1E">
            <w:pPr>
              <w:pStyle w:val="TableText"/>
              <w:spacing w:before="40" w:after="40" w:line="230" w:lineRule="atLeast"/>
              <w:jc w:val="center"/>
            </w:pPr>
            <w:r w:rsidRPr="00A03684">
              <w:t xml:space="preserve">Risks long-term over-allocation after </w:t>
            </w:r>
            <w:r w:rsidR="004653B7" w:rsidRPr="00A03684">
              <w:t xml:space="preserve">a change in </w:t>
            </w:r>
            <w:r w:rsidRPr="00A03684">
              <w:t>eligibility</w:t>
            </w:r>
          </w:p>
        </w:tc>
        <w:tc>
          <w:tcPr>
            <w:tcW w:w="1283" w:type="dxa"/>
          </w:tcPr>
          <w:p w:rsidR="00AA34C1" w:rsidRPr="00A03684" w:rsidRDefault="00AA34C1" w:rsidP="00DD1F1E">
            <w:pPr>
              <w:pStyle w:val="TableText"/>
              <w:spacing w:before="40" w:after="40" w:line="230" w:lineRule="atLeast"/>
              <w:jc w:val="center"/>
            </w:pPr>
            <w:r w:rsidRPr="00A03684">
              <w:t>o</w:t>
            </w:r>
          </w:p>
        </w:tc>
        <w:tc>
          <w:tcPr>
            <w:tcW w:w="1552" w:type="dxa"/>
            <w:shd w:val="clear" w:color="auto" w:fill="87BDBE"/>
          </w:tcPr>
          <w:p w:rsidR="00AA34C1" w:rsidRPr="00A03684" w:rsidRDefault="003A6526" w:rsidP="00DD1F1E">
            <w:pPr>
              <w:pStyle w:val="TableText"/>
              <w:spacing w:before="40" w:after="40" w:line="230" w:lineRule="atLeast"/>
              <w:jc w:val="center"/>
            </w:pPr>
            <w:r w:rsidRPr="00A03684">
              <w:sym w:font="Wingdings" w:char="F0FC"/>
            </w:r>
            <w:r w:rsidRPr="00A03684">
              <w:sym w:font="Wingdings" w:char="F0FC"/>
            </w:r>
          </w:p>
          <w:p w:rsidR="00174718" w:rsidRPr="00A03684" w:rsidRDefault="00174718" w:rsidP="00DD1F1E">
            <w:pPr>
              <w:pStyle w:val="TableText"/>
              <w:spacing w:before="40" w:after="40" w:line="230" w:lineRule="atLeast"/>
              <w:jc w:val="center"/>
            </w:pPr>
            <w:r w:rsidRPr="00A03684">
              <w:t xml:space="preserve">EITE firms would </w:t>
            </w:r>
            <w:r w:rsidR="00177B89" w:rsidRPr="00A03684">
              <w:t xml:space="preserve">have </w:t>
            </w:r>
            <w:r w:rsidRPr="00A03684">
              <w:t xml:space="preserve">long-term certainty </w:t>
            </w:r>
            <w:r w:rsidR="0055030F" w:rsidRPr="00A03684">
              <w:t>about</w:t>
            </w:r>
            <w:r w:rsidR="004653B7" w:rsidRPr="00A03684">
              <w:t xml:space="preserve"> </w:t>
            </w:r>
            <w:r w:rsidRPr="00A03684">
              <w:t>eligibility status and allocation levels</w:t>
            </w:r>
          </w:p>
        </w:tc>
        <w:tc>
          <w:tcPr>
            <w:tcW w:w="1424" w:type="dxa"/>
            <w:shd w:val="clear" w:color="auto" w:fill="F7E1D3" w:themeFill="accent6" w:themeFillTint="33"/>
          </w:tcPr>
          <w:p w:rsidR="00AA34C1" w:rsidRPr="00A03684" w:rsidRDefault="001A7871" w:rsidP="00DD1F1E">
            <w:pPr>
              <w:pStyle w:val="TableText"/>
              <w:spacing w:before="40" w:after="40" w:line="230" w:lineRule="atLeast"/>
              <w:jc w:val="center"/>
            </w:pPr>
            <w:r w:rsidRPr="00A03684">
              <w:t>x</w:t>
            </w:r>
          </w:p>
          <w:p w:rsidR="001A7871" w:rsidRPr="00A03684" w:rsidRDefault="001A7871" w:rsidP="00DD1F1E">
            <w:pPr>
              <w:pStyle w:val="TableText"/>
              <w:spacing w:before="40" w:after="40" w:line="230" w:lineRule="atLeast"/>
              <w:jc w:val="center"/>
            </w:pPr>
            <w:r w:rsidRPr="00A03684">
              <w:t xml:space="preserve">Would prolong administrative </w:t>
            </w:r>
            <w:r w:rsidR="004653B7" w:rsidRPr="00A03684">
              <w:t xml:space="preserve">IA </w:t>
            </w:r>
            <w:r w:rsidRPr="00A03684">
              <w:t>costs after a change in eligibility</w:t>
            </w:r>
          </w:p>
          <w:p w:rsidR="00174718" w:rsidRPr="00A03684" w:rsidRDefault="00174718" w:rsidP="00DD1F1E">
            <w:pPr>
              <w:pStyle w:val="TableText"/>
              <w:spacing w:before="40" w:after="40" w:line="230" w:lineRule="atLeast"/>
              <w:jc w:val="center"/>
            </w:pPr>
          </w:p>
        </w:tc>
      </w:tr>
    </w:tbl>
    <w:p w:rsidR="00803E10" w:rsidRPr="00A03684" w:rsidRDefault="00803E10" w:rsidP="007611D9">
      <w:pPr>
        <w:pStyle w:val="BodyText"/>
      </w:pP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803E10" w:rsidRPr="00A03684" w:rsidTr="00DD1F1E">
        <w:tc>
          <w:tcPr>
            <w:tcW w:w="0" w:type="auto"/>
            <w:shd w:val="clear" w:color="auto" w:fill="D2DDE2"/>
          </w:tcPr>
          <w:p w:rsidR="00D608F2" w:rsidRPr="00A03684" w:rsidRDefault="00D608F2" w:rsidP="00DD1F1E">
            <w:pPr>
              <w:pStyle w:val="Blueboxheading"/>
            </w:pPr>
            <w:bookmarkStart w:id="64" w:name="_Hlk73525208"/>
            <w:r w:rsidRPr="00A03684">
              <w:t xml:space="preserve">Other reforms to </w:t>
            </w:r>
            <w:r w:rsidR="003748EA">
              <w:t>industrial allocation</w:t>
            </w:r>
          </w:p>
          <w:p w:rsidR="00803E10" w:rsidRPr="00A03684" w:rsidRDefault="002C29FF" w:rsidP="00DD1F1E">
            <w:pPr>
              <w:pStyle w:val="Blueboxtext"/>
              <w:spacing w:after="240"/>
            </w:pPr>
            <w:r w:rsidRPr="00A03684">
              <w:t>Question 2</w:t>
            </w:r>
            <w:r w:rsidR="0026285C" w:rsidRPr="00A03684">
              <w:t>2</w:t>
            </w:r>
            <w:r w:rsidR="00803E10" w:rsidRPr="00A03684">
              <w:t>: Should the five</w:t>
            </w:r>
            <w:r w:rsidR="004653B7" w:rsidRPr="00A03684">
              <w:t>-</w:t>
            </w:r>
            <w:r w:rsidR="00803E10" w:rsidRPr="00A03684">
              <w:t>year transition period for changes in eligibility status remain</w:t>
            </w:r>
            <w:r w:rsidR="003E76E5" w:rsidRPr="00A03684">
              <w:t>,</w:t>
            </w:r>
            <w:r w:rsidR="0069470A" w:rsidRPr="00A03684">
              <w:t xml:space="preserve"> or be changed</w:t>
            </w:r>
            <w:r w:rsidR="00803E10" w:rsidRPr="00A03684">
              <w:t xml:space="preserve">? </w:t>
            </w:r>
            <w:r w:rsidR="00303829" w:rsidRPr="00A03684">
              <w:t xml:space="preserve">Why, or why not? </w:t>
            </w:r>
            <w:bookmarkEnd w:id="64"/>
          </w:p>
        </w:tc>
      </w:tr>
    </w:tbl>
    <w:p w:rsidR="00DD1F1E" w:rsidRPr="00A03684" w:rsidRDefault="00DD1F1E" w:rsidP="007611D9">
      <w:pPr>
        <w:spacing w:before="0" w:after="200" w:line="276" w:lineRule="auto"/>
        <w:jc w:val="left"/>
      </w:pPr>
    </w:p>
    <w:p w:rsidR="00803E10" w:rsidRPr="00A03684" w:rsidRDefault="00803E10" w:rsidP="00DD1F1E">
      <w:r w:rsidRPr="00A03684">
        <w:br w:type="page"/>
      </w:r>
    </w:p>
    <w:p w:rsidR="006B240E" w:rsidRPr="00A03684" w:rsidRDefault="006B240E" w:rsidP="007611D9">
      <w:pPr>
        <w:pStyle w:val="Heading1"/>
      </w:pPr>
      <w:bookmarkStart w:id="65" w:name="_Toc75336469"/>
      <w:r w:rsidRPr="00A03684">
        <w:t>Section 6: Future of industrial allocation</w:t>
      </w:r>
      <w:r w:rsidR="00B7698B" w:rsidRPr="00A03684">
        <w:t> </w:t>
      </w:r>
      <w:r w:rsidRPr="00A03684">
        <w:t>policy</w:t>
      </w:r>
      <w:bookmarkEnd w:id="65"/>
      <w:r w:rsidRPr="00A03684">
        <w:t xml:space="preserve"> </w:t>
      </w:r>
    </w:p>
    <w:p w:rsidR="006B240E" w:rsidRPr="00A03684" w:rsidRDefault="006B240E" w:rsidP="007611D9">
      <w:pPr>
        <w:pStyle w:val="BodyText"/>
      </w:pPr>
      <w:r w:rsidRPr="00A03684">
        <w:t xml:space="preserve">As international </w:t>
      </w:r>
      <w:r w:rsidR="002E3FA6" w:rsidRPr="00A03684">
        <w:t xml:space="preserve">efforts to reduce emissions strengthen and </w:t>
      </w:r>
      <w:r w:rsidR="00352391" w:rsidRPr="00A03684">
        <w:t>become more ambitious</w:t>
      </w:r>
      <w:r w:rsidR="002E3FA6" w:rsidRPr="00A03684">
        <w:t>,</w:t>
      </w:r>
      <w:r w:rsidRPr="00A03684">
        <w:t xml:space="preserve"> </w:t>
      </w:r>
      <w:r w:rsidR="001437FD" w:rsidRPr="00A03684">
        <w:t>IA</w:t>
      </w:r>
      <w:r w:rsidR="008E3790" w:rsidRPr="00A03684">
        <w:t xml:space="preserve"> policy</w:t>
      </w:r>
      <w:r w:rsidR="00B7698B" w:rsidRPr="00A03684">
        <w:t> </w:t>
      </w:r>
      <w:r w:rsidR="00352391" w:rsidRPr="00A03684">
        <w:t xml:space="preserve">will need </w:t>
      </w:r>
      <w:r w:rsidR="008E3790" w:rsidRPr="00A03684">
        <w:t>to be</w:t>
      </w:r>
      <w:r w:rsidRPr="00A03684">
        <w:t xml:space="preserve"> flexible, resilient and compatible with a low-</w:t>
      </w:r>
      <w:r w:rsidR="00177B89" w:rsidRPr="00A03684">
        <w:t xml:space="preserve">emissions </w:t>
      </w:r>
      <w:r w:rsidR="002E3FA6" w:rsidRPr="00A03684">
        <w:t>future and a just</w:t>
      </w:r>
      <w:r w:rsidR="00B02FBF">
        <w:t> </w:t>
      </w:r>
      <w:r w:rsidR="002E3FA6" w:rsidRPr="00A03684">
        <w:t xml:space="preserve">transition. </w:t>
      </w:r>
      <w:r w:rsidR="00352391" w:rsidRPr="00A03684">
        <w:t xml:space="preserve">It </w:t>
      </w:r>
      <w:r w:rsidRPr="00A03684">
        <w:t>will also need to evolve in step with emissions pricing regimes in other countries</w:t>
      </w:r>
      <w:r w:rsidR="00352391" w:rsidRPr="00A03684">
        <w:t>,</w:t>
      </w:r>
      <w:r w:rsidRPr="00A03684">
        <w:t xml:space="preserve"> and the changing risk of emissions leakage. </w:t>
      </w:r>
    </w:p>
    <w:p w:rsidR="006B240E" w:rsidRPr="00A03684" w:rsidRDefault="00DA1D01" w:rsidP="007611D9">
      <w:pPr>
        <w:pStyle w:val="BodyText"/>
      </w:pPr>
      <w:r w:rsidRPr="00A03684">
        <w:t>Changing the settings will address t</w:t>
      </w:r>
      <w:r w:rsidR="006B240E" w:rsidRPr="00A03684">
        <w:t xml:space="preserve">he current issues with </w:t>
      </w:r>
      <w:r w:rsidR="001437FD" w:rsidRPr="00A03684">
        <w:t>IA</w:t>
      </w:r>
      <w:r w:rsidR="008E3790" w:rsidRPr="00A03684">
        <w:t xml:space="preserve"> in the short</w:t>
      </w:r>
      <w:r w:rsidR="00352391" w:rsidRPr="00A03684">
        <w:t xml:space="preserve"> </w:t>
      </w:r>
      <w:r w:rsidR="006B240E" w:rsidRPr="00A03684">
        <w:t>term</w:t>
      </w:r>
      <w:r w:rsidRPr="00A03684">
        <w:t>.</w:t>
      </w:r>
      <w:r w:rsidR="00352391" w:rsidRPr="00A03684">
        <w:t xml:space="preserve"> However</w:t>
      </w:r>
      <w:r w:rsidR="006B240E" w:rsidRPr="00A03684">
        <w:t>, over</w:t>
      </w:r>
      <w:r w:rsidR="00B02FBF">
        <w:t> </w:t>
      </w:r>
      <w:r w:rsidR="006B240E" w:rsidRPr="00A03684">
        <w:t>time</w:t>
      </w:r>
      <w:r w:rsidR="00CA7700" w:rsidRPr="00A03684">
        <w:t>,</w:t>
      </w:r>
      <w:r w:rsidR="006B240E" w:rsidRPr="00A03684">
        <w:t xml:space="preserve"> </w:t>
      </w:r>
      <w:r w:rsidR="00352391" w:rsidRPr="00A03684">
        <w:t xml:space="preserve">we could need </w:t>
      </w:r>
      <w:r w:rsidR="006B240E" w:rsidRPr="00A03684">
        <w:t xml:space="preserve">fundamental </w:t>
      </w:r>
      <w:r w:rsidR="00352391" w:rsidRPr="00A03684">
        <w:t xml:space="preserve">changes in </w:t>
      </w:r>
      <w:r w:rsidR="006B240E" w:rsidRPr="00A03684">
        <w:t>policy</w:t>
      </w:r>
      <w:r w:rsidR="00352391" w:rsidRPr="00A03684">
        <w:t>,</w:t>
      </w:r>
      <w:r w:rsidR="006B240E" w:rsidRPr="00A03684">
        <w:t xml:space="preserve"> to </w:t>
      </w:r>
      <w:r w:rsidR="00352391" w:rsidRPr="00A03684">
        <w:t>keep</w:t>
      </w:r>
      <w:r w:rsidR="006B240E" w:rsidRPr="00A03684">
        <w:t xml:space="preserve"> assistance </w:t>
      </w:r>
      <w:r w:rsidR="00352391" w:rsidRPr="00A03684">
        <w:t xml:space="preserve">in line </w:t>
      </w:r>
      <w:r w:rsidR="006B240E" w:rsidRPr="00A03684">
        <w:t>with wider</w:t>
      </w:r>
      <w:r w:rsidR="00B02FBF">
        <w:t> </w:t>
      </w:r>
      <w:r w:rsidR="006B240E" w:rsidRPr="00A03684">
        <w:t xml:space="preserve">climate </w:t>
      </w:r>
      <w:r w:rsidR="00352391" w:rsidRPr="00A03684">
        <w:t>targets</w:t>
      </w:r>
      <w:r w:rsidR="006B240E" w:rsidRPr="00A03684">
        <w:t xml:space="preserve">. </w:t>
      </w:r>
    </w:p>
    <w:p w:rsidR="00352391" w:rsidRPr="00A03684" w:rsidRDefault="00352391" w:rsidP="00B7698B">
      <w:pPr>
        <w:pStyle w:val="Heading4"/>
      </w:pPr>
      <w:r w:rsidRPr="00A03684">
        <w:t>Your feedback</w:t>
      </w:r>
    </w:p>
    <w:p w:rsidR="008E3790" w:rsidRPr="00A03684" w:rsidRDefault="008E3790" w:rsidP="00B7698B">
      <w:pPr>
        <w:pStyle w:val="BodyText"/>
      </w:pPr>
      <w:r w:rsidRPr="00A03684">
        <w:t>The Government intends</w:t>
      </w:r>
      <w:r w:rsidR="006B240E" w:rsidRPr="00A03684">
        <w:t xml:space="preserve"> to start a</w:t>
      </w:r>
      <w:r w:rsidR="00824ED8" w:rsidRPr="00A03684">
        <w:t xml:space="preserve"> conversation </w:t>
      </w:r>
      <w:r w:rsidR="00FC0B8D" w:rsidRPr="00A03684">
        <w:t>with industry and the public on the long</w:t>
      </w:r>
      <w:r w:rsidRPr="00A03684">
        <w:t>er</w:t>
      </w:r>
      <w:r w:rsidR="004F121C">
        <w:noBreakHyphen/>
      </w:r>
      <w:r w:rsidR="006B240E" w:rsidRPr="00A03684">
        <w:t>term direction o</w:t>
      </w:r>
      <w:r w:rsidR="001E5ED6" w:rsidRPr="00A03684">
        <w:t>f</w:t>
      </w:r>
      <w:r w:rsidR="000C4D1E" w:rsidRPr="00A03684">
        <w:t xml:space="preserve"> </w:t>
      </w:r>
      <w:r w:rsidR="001437FD" w:rsidRPr="00A03684">
        <w:t>IA</w:t>
      </w:r>
      <w:r w:rsidR="000C4D1E" w:rsidRPr="00A03684">
        <w:t xml:space="preserve"> policy. </w:t>
      </w:r>
      <w:r w:rsidR="00352391" w:rsidRPr="00A03684">
        <w:t>This</w:t>
      </w:r>
      <w:r w:rsidR="006B240E" w:rsidRPr="00A03684">
        <w:t xml:space="preserve"> </w:t>
      </w:r>
      <w:r w:rsidR="00C43367">
        <w:t>consultation</w:t>
      </w:r>
      <w:r w:rsidR="00C43367" w:rsidRPr="00A03684">
        <w:t xml:space="preserve"> </w:t>
      </w:r>
      <w:r w:rsidR="006B240E" w:rsidRPr="00A03684">
        <w:t xml:space="preserve">document </w:t>
      </w:r>
      <w:r w:rsidR="00352391" w:rsidRPr="00A03684">
        <w:t xml:space="preserve">sets out </w:t>
      </w:r>
      <w:r w:rsidR="006B240E" w:rsidRPr="00A03684">
        <w:t>alternative policies to mitigate leakage</w:t>
      </w:r>
      <w:r w:rsidR="00B467DC" w:rsidRPr="00A03684">
        <w:t>. We would like your views on these</w:t>
      </w:r>
      <w:r w:rsidR="002E3FA6" w:rsidRPr="00A03684">
        <w:t xml:space="preserve">. </w:t>
      </w:r>
      <w:r w:rsidR="00352391" w:rsidRPr="00A03684">
        <w:t>We do</w:t>
      </w:r>
      <w:r w:rsidR="00824ED8" w:rsidRPr="00A03684">
        <w:t xml:space="preserve"> not anticipate moving to an alternative policy in the c</w:t>
      </w:r>
      <w:r w:rsidR="007252B6" w:rsidRPr="00A03684">
        <w:t>urrent emissions budget period (2021</w:t>
      </w:r>
      <w:r w:rsidR="00B7698B" w:rsidRPr="00A03684">
        <w:t>–</w:t>
      </w:r>
      <w:r w:rsidR="007252B6" w:rsidRPr="00A03684">
        <w:t>26)</w:t>
      </w:r>
      <w:r w:rsidR="004B2DB8" w:rsidRPr="00A03684">
        <w:t>, and any move</w:t>
      </w:r>
      <w:r w:rsidR="00352391" w:rsidRPr="00A03684">
        <w:t xml:space="preserve"> </w:t>
      </w:r>
      <w:r w:rsidR="004B2DB8" w:rsidRPr="00A03684">
        <w:t xml:space="preserve">will </w:t>
      </w:r>
      <w:r w:rsidR="00352391" w:rsidRPr="00A03684">
        <w:t>need</w:t>
      </w:r>
      <w:r w:rsidR="004F121C">
        <w:t> </w:t>
      </w:r>
      <w:r w:rsidR="004B2DB8" w:rsidRPr="00A03684">
        <w:t>careful consideration.</w:t>
      </w:r>
      <w:r w:rsidR="007252B6" w:rsidRPr="00A03684">
        <w:t xml:space="preserve"> </w:t>
      </w:r>
    </w:p>
    <w:p w:rsidR="006B240E" w:rsidRPr="00A03684" w:rsidRDefault="006B240E" w:rsidP="00B7698B">
      <w:pPr>
        <w:pStyle w:val="Heading2"/>
      </w:pPr>
      <w:bookmarkStart w:id="66" w:name="_Toc75336470"/>
      <w:r w:rsidRPr="00A03684">
        <w:t>Alternative mechanisms to reduce emissions leakage</w:t>
      </w:r>
      <w:bookmarkEnd w:id="66"/>
      <w:r w:rsidRPr="00A03684">
        <w:t xml:space="preserve"> </w:t>
      </w:r>
    </w:p>
    <w:p w:rsidR="006B240E" w:rsidRPr="00A03684" w:rsidRDefault="006B240E" w:rsidP="00B7698B">
      <w:pPr>
        <w:pStyle w:val="Heading3"/>
        <w:spacing w:before="240"/>
      </w:pPr>
      <w:r w:rsidRPr="00A03684">
        <w:t>Carbon border adjustment mechanism</w:t>
      </w:r>
      <w:r w:rsidR="007656E7" w:rsidRPr="00A03684">
        <w:t>s</w:t>
      </w:r>
    </w:p>
    <w:p w:rsidR="007656E7" w:rsidRPr="00A03684" w:rsidRDefault="00153751" w:rsidP="00153751">
      <w:pPr>
        <w:pStyle w:val="BodyText"/>
      </w:pPr>
      <w:r w:rsidRPr="00A03684">
        <w:t xml:space="preserve">A </w:t>
      </w:r>
      <w:r w:rsidR="00BA62C0">
        <w:t>carbon boarder adjustment mechanism (</w:t>
      </w:r>
      <w:r w:rsidRPr="00A03684">
        <w:t>CBAM</w:t>
      </w:r>
      <w:r w:rsidR="00BA62C0">
        <w:t>)</w:t>
      </w:r>
      <w:r w:rsidRPr="00A03684">
        <w:t xml:space="preserve"> is a measure to compensate for the difference between the carbon pricing applied to</w:t>
      </w:r>
      <w:r w:rsidR="00B7698B" w:rsidRPr="00A03684">
        <w:t> </w:t>
      </w:r>
      <w:r w:rsidRPr="00A03684">
        <w:t xml:space="preserve">domestic goods, and the carbon pricing (or lack </w:t>
      </w:r>
      <w:r w:rsidR="007656E7" w:rsidRPr="00A03684">
        <w:t>of it</w:t>
      </w:r>
      <w:r w:rsidRPr="00A03684">
        <w:t>) applied to imports in their country of</w:t>
      </w:r>
      <w:r w:rsidR="00B7698B" w:rsidRPr="00A03684">
        <w:t> </w:t>
      </w:r>
      <w:r w:rsidRPr="00A03684">
        <w:t xml:space="preserve">origin. </w:t>
      </w:r>
    </w:p>
    <w:p w:rsidR="00153751" w:rsidRPr="00A03684" w:rsidRDefault="00153751" w:rsidP="00153751">
      <w:pPr>
        <w:pStyle w:val="BodyText"/>
      </w:pPr>
      <w:r w:rsidRPr="00A03684">
        <w:t>CBAMs can take different forms, including a tax on imports equivalent to a domestic carbon cost (adjusted at either the point of sale/consumption or at the border); an extension of a domestic emissions trading scheme to imports; or a rebate of carbon cost on export</w:t>
      </w:r>
      <w:r w:rsidR="007656E7" w:rsidRPr="00A03684">
        <w:t>.</w:t>
      </w:r>
      <w:r w:rsidRPr="00A03684">
        <w:t xml:space="preserve"> </w:t>
      </w:r>
      <w:r w:rsidR="007656E7" w:rsidRPr="00A03684">
        <w:t xml:space="preserve">They </w:t>
      </w:r>
      <w:r w:rsidRPr="00A03684">
        <w:t>are</w:t>
      </w:r>
      <w:r w:rsidR="00B7698B" w:rsidRPr="00A03684">
        <w:t> </w:t>
      </w:r>
      <w:r w:rsidRPr="00A03684">
        <w:t>broadly aimed at incorporating the cost of carbon emissions into the pricing of imports. CBAMs raise issues of consistency with international trade obligations, and any introduction in</w:t>
      </w:r>
      <w:r w:rsidR="00B7698B" w:rsidRPr="00A03684">
        <w:t> </w:t>
      </w:r>
      <w:r w:rsidRPr="00A03684">
        <w:t xml:space="preserve">New Zealand would require a complex and lengthy development process. </w:t>
      </w:r>
    </w:p>
    <w:p w:rsidR="00153751" w:rsidRPr="00A03684" w:rsidRDefault="00153751" w:rsidP="00153751">
      <w:pPr>
        <w:pStyle w:val="BodyText"/>
      </w:pPr>
      <w:r w:rsidRPr="00A03684">
        <w:t>A CBAM could help ensure equitable emissions pricing is applied to emissions intensive imports and exports. By levelling domestic and international commodity prices, a CBAM would</w:t>
      </w:r>
      <w:r w:rsidR="004F121C">
        <w:t> </w:t>
      </w:r>
      <w:r w:rsidRPr="00A03684">
        <w:t xml:space="preserve">ensure the NZ ETS price signal is better reflected in the domestic economy. </w:t>
      </w:r>
      <w:r w:rsidR="001437FD" w:rsidRPr="00A03684">
        <w:t>IA</w:t>
      </w:r>
      <w:r w:rsidRPr="00A03684">
        <w:t xml:space="preserve"> on the other hand compensates EITE firms so they can compete with cheaper offshore production</w:t>
      </w:r>
      <w:r w:rsidR="00DA1D01" w:rsidRPr="00A03684">
        <w:t>,</w:t>
      </w:r>
      <w:r w:rsidRPr="00A03684">
        <w:t xml:space="preserve"> subject to weaker emissions pricing. This results in lower prices for emissions</w:t>
      </w:r>
      <w:r w:rsidR="007656E7" w:rsidRPr="00A03684">
        <w:t>-</w:t>
      </w:r>
      <w:r w:rsidRPr="00A03684">
        <w:t>intensive goods</w:t>
      </w:r>
      <w:r w:rsidR="007656E7" w:rsidRPr="00A03684">
        <w:t>,</w:t>
      </w:r>
      <w:r w:rsidRPr="00A03684">
        <w:t xml:space="preserve"> which can</w:t>
      </w:r>
      <w:r w:rsidR="00B02FBF">
        <w:t> </w:t>
      </w:r>
      <w:r w:rsidRPr="00A03684">
        <w:t>disadvantage the purchase of lower</w:t>
      </w:r>
      <w:r w:rsidR="00DA1D01" w:rsidRPr="00A03684">
        <w:t>-</w:t>
      </w:r>
      <w:r w:rsidRPr="00A03684">
        <w:t xml:space="preserve">emissions products </w:t>
      </w:r>
      <w:r w:rsidR="007656E7" w:rsidRPr="00A03684">
        <w:t>such as</w:t>
      </w:r>
      <w:r w:rsidRPr="00A03684">
        <w:t xml:space="preserve"> timber. A CBAM would also</w:t>
      </w:r>
      <w:r w:rsidR="00B02FBF">
        <w:t> </w:t>
      </w:r>
      <w:r w:rsidRPr="00A03684">
        <w:t xml:space="preserve">generate revenue for the Crown that could fund </w:t>
      </w:r>
      <w:r w:rsidR="007656E7" w:rsidRPr="00A03684">
        <w:t xml:space="preserve">projects </w:t>
      </w:r>
      <w:r w:rsidR="00DA1D01" w:rsidRPr="00A03684">
        <w:t>for</w:t>
      </w:r>
      <w:r w:rsidR="007656E7" w:rsidRPr="00A03684">
        <w:t xml:space="preserve"> mitigat</w:t>
      </w:r>
      <w:r w:rsidR="00DA1D01" w:rsidRPr="00A03684">
        <w:t>ing</w:t>
      </w:r>
      <w:r w:rsidR="007656E7" w:rsidRPr="00A03684">
        <w:t xml:space="preserve"> or adapt</w:t>
      </w:r>
      <w:r w:rsidR="00DA1D01" w:rsidRPr="00A03684">
        <w:t>ing</w:t>
      </w:r>
      <w:r w:rsidR="007656E7" w:rsidRPr="00A03684">
        <w:t xml:space="preserve"> to </w:t>
      </w:r>
      <w:r w:rsidRPr="00A03684">
        <w:t xml:space="preserve">climate change. </w:t>
      </w:r>
    </w:p>
    <w:p w:rsidR="00153751" w:rsidRPr="00A03684" w:rsidRDefault="00153751" w:rsidP="00153751">
      <w:pPr>
        <w:pStyle w:val="BodyText"/>
      </w:pPr>
      <w:r w:rsidRPr="00A03684">
        <w:t>CBAMs are often viewed as difficult to design and implement</w:t>
      </w:r>
      <w:r w:rsidR="007656E7" w:rsidRPr="00A03684">
        <w:t>,</w:t>
      </w:r>
      <w:r w:rsidRPr="00A03684">
        <w:t xml:space="preserve"> given the need to be transparent, administratively efficient, environmentally effective, scientifically robust and compliant with World Trade Organisation rules. Some jurisdictions are currently considering CBAM proposals. It is not yet clear how these will be designed or implemented. </w:t>
      </w:r>
    </w:p>
    <w:p w:rsidR="004B2DB8" w:rsidRPr="00A03684" w:rsidRDefault="004B2DB8" w:rsidP="004B2DB8">
      <w:pPr>
        <w:pStyle w:val="Heading3"/>
      </w:pPr>
      <w:r w:rsidRPr="00A03684">
        <w:t>Direct payments to EITE firms</w:t>
      </w:r>
    </w:p>
    <w:p w:rsidR="00824ED8" w:rsidRPr="00A03684" w:rsidRDefault="00824ED8" w:rsidP="007611D9">
      <w:pPr>
        <w:pStyle w:val="BodyText"/>
      </w:pPr>
      <w:r w:rsidRPr="00A03684">
        <w:t>In lieu of allocating free NZUs</w:t>
      </w:r>
      <w:r w:rsidR="006B240E" w:rsidRPr="00A03684">
        <w:t xml:space="preserve">, direct cash payments to EITE firms </w:t>
      </w:r>
      <w:r w:rsidR="007656E7" w:rsidRPr="00A03684">
        <w:t xml:space="preserve">would </w:t>
      </w:r>
      <w:r w:rsidR="006B240E" w:rsidRPr="00A03684">
        <w:t xml:space="preserve">offset the cost impact of the NZ ETS. </w:t>
      </w:r>
      <w:r w:rsidR="000C4D1E" w:rsidRPr="00A03684">
        <w:t xml:space="preserve">The payments could be ring-fenced for </w:t>
      </w:r>
      <w:r w:rsidR="007656E7" w:rsidRPr="00A03684">
        <w:t xml:space="preserve">investment in reducing </w:t>
      </w:r>
      <w:r w:rsidR="000C4D1E" w:rsidRPr="00A03684">
        <w:t xml:space="preserve">emissions, and require repayment if not used for that purpose. </w:t>
      </w:r>
    </w:p>
    <w:p w:rsidR="00192A7E" w:rsidRPr="00A03684" w:rsidRDefault="006B240E" w:rsidP="007611D9">
      <w:pPr>
        <w:pStyle w:val="BodyText"/>
      </w:pPr>
      <w:r w:rsidRPr="00A03684">
        <w:t xml:space="preserve">Payments could be made on </w:t>
      </w:r>
      <w:r w:rsidR="007656E7" w:rsidRPr="00A03684">
        <w:t xml:space="preserve">the basis of </w:t>
      </w:r>
      <w:r w:rsidRPr="00A03684">
        <w:t xml:space="preserve">output and intensity, similar to the current </w:t>
      </w:r>
      <w:r w:rsidR="001437FD" w:rsidRPr="00A03684">
        <w:t>IA</w:t>
      </w:r>
      <w:r w:rsidRPr="00A03684">
        <w:t xml:space="preserve"> system. The valu</w:t>
      </w:r>
      <w:r w:rsidR="00192A7E" w:rsidRPr="00A03684">
        <w:t>e of the payment could be</w:t>
      </w:r>
      <w:r w:rsidR="00591D39" w:rsidRPr="00A03684">
        <w:t xml:space="preserve"> linked to New Zealand’s </w:t>
      </w:r>
      <w:r w:rsidR="002C29FF" w:rsidRPr="00A03684">
        <w:t>emissions</w:t>
      </w:r>
      <w:r w:rsidRPr="00A03684">
        <w:t xml:space="preserve"> price</w:t>
      </w:r>
      <w:r w:rsidR="002E3FA6" w:rsidRPr="00A03684">
        <w:t>. An alternative approach could</w:t>
      </w:r>
      <w:r w:rsidR="002C29FF" w:rsidRPr="00A03684">
        <w:t xml:space="preserve"> </w:t>
      </w:r>
      <w:r w:rsidRPr="00A03684">
        <w:t>decouple t</w:t>
      </w:r>
      <w:r w:rsidR="00192A7E" w:rsidRPr="00A03684">
        <w:t>he level of assistance from</w:t>
      </w:r>
      <w:r w:rsidR="002E3FA6" w:rsidRPr="00A03684">
        <w:t xml:space="preserve"> NZUs</w:t>
      </w:r>
      <w:r w:rsidRPr="00A03684">
        <w:t xml:space="preserve"> entirely, and be based on an estimate of the payment needed to keep the industry in New Zealand.</w:t>
      </w:r>
      <w:r w:rsidR="000C4D1E" w:rsidRPr="00A03684">
        <w:t xml:space="preserve"> This option could create some risk of over-paying firms, particularly </w:t>
      </w:r>
      <w:r w:rsidR="00180A61" w:rsidRPr="00A03684">
        <w:t>under</w:t>
      </w:r>
      <w:r w:rsidR="000C4D1E" w:rsidRPr="00A03684">
        <w:t xml:space="preserve"> the current </w:t>
      </w:r>
      <w:r w:rsidR="007656E7" w:rsidRPr="00A03684">
        <w:t xml:space="preserve">IA </w:t>
      </w:r>
      <w:r w:rsidR="000C4D1E" w:rsidRPr="00A03684">
        <w:t>approach and settings.</w:t>
      </w:r>
      <w:r w:rsidR="00A03684" w:rsidRPr="00A03684">
        <w:t xml:space="preserve"> </w:t>
      </w:r>
    </w:p>
    <w:p w:rsidR="002C29FF" w:rsidRPr="00A03684" w:rsidRDefault="00192A7E" w:rsidP="00192A7E">
      <w:pPr>
        <w:pStyle w:val="BodyText"/>
      </w:pPr>
      <w:r w:rsidRPr="00A03684">
        <w:t xml:space="preserve">The EU ETS </w:t>
      </w:r>
      <w:r w:rsidR="00180A61" w:rsidRPr="00A03684">
        <w:t xml:space="preserve">gives </w:t>
      </w:r>
      <w:r w:rsidRPr="00A03684">
        <w:t xml:space="preserve">cash-based support for indirect </w:t>
      </w:r>
      <w:r w:rsidR="003735FE" w:rsidRPr="00A03684">
        <w:t xml:space="preserve">electricity </w:t>
      </w:r>
      <w:r w:rsidRPr="00A03684">
        <w:t>emissions. Something like this, but extended to all emissions, could be an effective way of targeting support to reduce the risk of emissions leakage.</w:t>
      </w:r>
    </w:p>
    <w:p w:rsidR="00192A7E" w:rsidRPr="00A03684" w:rsidRDefault="00192A7E" w:rsidP="00192A7E">
      <w:pPr>
        <w:pStyle w:val="BodyText"/>
      </w:pPr>
      <w:r w:rsidRPr="00A03684">
        <w:t>Anoth</w:t>
      </w:r>
      <w:r w:rsidR="00604A8B" w:rsidRPr="00A03684">
        <w:t>er option could be a</w:t>
      </w:r>
      <w:r w:rsidRPr="00A03684">
        <w:t xml:space="preserve"> </w:t>
      </w:r>
      <w:r w:rsidR="00604A8B" w:rsidRPr="00A03684">
        <w:t xml:space="preserve">fund that EITE firms could access for research, development and </w:t>
      </w:r>
      <w:r w:rsidR="00180A61" w:rsidRPr="00A03684">
        <w:t>use</w:t>
      </w:r>
      <w:r w:rsidR="009B4557">
        <w:t> </w:t>
      </w:r>
      <w:r w:rsidR="00604A8B" w:rsidRPr="00A03684">
        <w:t>of low-emissions technologies. This would be similar to existing schemes to support industry improvements in energy efficiency and process heat.</w:t>
      </w:r>
      <w:r w:rsidR="003E56D6" w:rsidRPr="00A03684">
        <w:t xml:space="preserve"> Unlike free allocation, </w:t>
      </w:r>
      <w:r w:rsidR="00180A61" w:rsidRPr="00A03684">
        <w:t xml:space="preserve">which </w:t>
      </w:r>
      <w:r w:rsidR="003E56D6" w:rsidRPr="00A03684">
        <w:t xml:space="preserve">compensates industries, a fund would support emissions reductions, allowing firms to reduce their NZ ETS costs. </w:t>
      </w:r>
    </w:p>
    <w:p w:rsidR="009F413B" w:rsidRPr="00A03684" w:rsidRDefault="009F413B" w:rsidP="00192A7E">
      <w:pPr>
        <w:pStyle w:val="BodyText"/>
      </w:pPr>
      <w:r w:rsidRPr="00A03684">
        <w:t xml:space="preserve">Providing cash </w:t>
      </w:r>
      <w:r w:rsidR="00FD7366" w:rsidRPr="00A03684">
        <w:t>instead of</w:t>
      </w:r>
      <w:r w:rsidRPr="00A03684">
        <w:t xml:space="preserve"> NZUs would remove a source of unit supply in the NZ ETS market. This</w:t>
      </w:r>
      <w:r w:rsidR="009B4557">
        <w:t> </w:t>
      </w:r>
      <w:r w:rsidRPr="00A03684">
        <w:t xml:space="preserve">could have complex and unpredictable impacts on the emissions price, meeting emissions budgets, and calculating future auction volumes. More work is needed to understand the implications of this proposal. It is also unclear if this proposal would better address emissions leakage than </w:t>
      </w:r>
      <w:r w:rsidR="001437FD" w:rsidRPr="00A03684">
        <w:t>IA</w:t>
      </w:r>
      <w:r w:rsidRPr="00A03684">
        <w:t xml:space="preserve">. </w:t>
      </w:r>
    </w:p>
    <w:p w:rsidR="00153751" w:rsidRPr="00A03684" w:rsidRDefault="00153751" w:rsidP="00192A7E">
      <w:pPr>
        <w:pStyle w:val="BodyText"/>
      </w:pPr>
      <w:r w:rsidRPr="00A03684">
        <w:t xml:space="preserve">The implementation of a support scheme that provides cash support would need </w:t>
      </w:r>
      <w:r w:rsidR="007C15BE" w:rsidRPr="00A03684">
        <w:t>to consider consistency with World Trade Organisation</w:t>
      </w:r>
      <w:r w:rsidRPr="00A03684">
        <w:t xml:space="preserve"> rules</w:t>
      </w:r>
      <w:r w:rsidR="00DC1C3C" w:rsidRPr="00A03684">
        <w:t>. H</w:t>
      </w:r>
      <w:r w:rsidRPr="00A03684">
        <w:t xml:space="preserve">owever, other jurisdictions already </w:t>
      </w:r>
      <w:r w:rsidR="00412249" w:rsidRPr="00A03684">
        <w:t xml:space="preserve">successfully </w:t>
      </w:r>
      <w:r w:rsidRPr="00A03684">
        <w:t xml:space="preserve">use such measures. </w:t>
      </w:r>
    </w:p>
    <w:p w:rsidR="006B240E" w:rsidRPr="00A03684" w:rsidRDefault="006B240E" w:rsidP="007611D9">
      <w:pPr>
        <w:pStyle w:val="Heading3"/>
      </w:pPr>
      <w:r w:rsidRPr="00A03684">
        <w:t>Partial exemptions from NZ ETS surrender obligations</w:t>
      </w:r>
    </w:p>
    <w:p w:rsidR="006B240E" w:rsidRPr="00A03684" w:rsidRDefault="00180A61" w:rsidP="004026A1">
      <w:pPr>
        <w:pStyle w:val="BodyText"/>
      </w:pPr>
      <w:r w:rsidRPr="00A03684">
        <w:t>In this option, a</w:t>
      </w:r>
      <w:r w:rsidR="00DA1D01" w:rsidRPr="00A03684">
        <w:t xml:space="preserve"> </w:t>
      </w:r>
      <w:r w:rsidR="000C4D1E" w:rsidRPr="00A03684">
        <w:t>partial exemption</w:t>
      </w:r>
      <w:r w:rsidR="006B240E" w:rsidRPr="00A03684">
        <w:t xml:space="preserve"> would be indexed to a fi</w:t>
      </w:r>
      <w:r w:rsidR="0037702C" w:rsidRPr="00A03684">
        <w:t xml:space="preserve">rm’s emissions, rather than </w:t>
      </w:r>
      <w:r w:rsidR="006B240E" w:rsidRPr="00A03684">
        <w:t xml:space="preserve">output (as is the case with </w:t>
      </w:r>
      <w:r w:rsidR="001437FD" w:rsidRPr="00A03684">
        <w:t>IA</w:t>
      </w:r>
      <w:r w:rsidR="006B240E" w:rsidRPr="00A03684">
        <w:t>). Instead of receiving an allocation based on annual levels of production and fixed allocative baselines, a firm would simply have their surrender obligation reduced by a set percentage. For example, a highly emissions</w:t>
      </w:r>
      <w:r w:rsidRPr="00A03684">
        <w:t>-</w:t>
      </w:r>
      <w:r w:rsidR="006B240E" w:rsidRPr="00A03684">
        <w:t>intensive firm c</w:t>
      </w:r>
      <w:r w:rsidR="006B2145" w:rsidRPr="00A03684">
        <w:t>ould be exempt from 89</w:t>
      </w:r>
      <w:r w:rsidR="004F121C">
        <w:t> </w:t>
      </w:r>
      <w:r w:rsidR="006B240E" w:rsidRPr="00A03684">
        <w:t xml:space="preserve">per cent of its obligation. The exemption could be </w:t>
      </w:r>
      <w:r w:rsidR="000C4D1E" w:rsidRPr="00A03684">
        <w:t>reduced</w:t>
      </w:r>
      <w:r w:rsidR="006B240E" w:rsidRPr="00A03684">
        <w:t xml:space="preserve"> over time in line with the assessed risk of emissions leakage. </w:t>
      </w:r>
    </w:p>
    <w:p w:rsidR="006B240E" w:rsidRPr="00A03684" w:rsidRDefault="006B240E" w:rsidP="004026A1">
      <w:pPr>
        <w:pStyle w:val="BodyText"/>
      </w:pPr>
      <w:r w:rsidRPr="00A03684">
        <w:t xml:space="preserve">This </w:t>
      </w:r>
      <w:r w:rsidR="000C4D1E" w:rsidRPr="00A03684">
        <w:t xml:space="preserve">option </w:t>
      </w:r>
      <w:r w:rsidRPr="00A03684">
        <w:t xml:space="preserve">would link the level of support </w:t>
      </w:r>
      <w:r w:rsidR="00180A61" w:rsidRPr="00A03684">
        <w:t>for</w:t>
      </w:r>
      <w:r w:rsidRPr="00A03684">
        <w:t xml:space="preserve"> firms with thei</w:t>
      </w:r>
      <w:r w:rsidR="0037702C" w:rsidRPr="00A03684">
        <w:t>r actual direct NZ ETS costs, eliminating</w:t>
      </w:r>
      <w:r w:rsidRPr="00A03684">
        <w:t xml:space="preserve"> any </w:t>
      </w:r>
      <w:r w:rsidR="0037702C" w:rsidRPr="00A03684">
        <w:t xml:space="preserve">future </w:t>
      </w:r>
      <w:r w:rsidRPr="00A03684">
        <w:t>risk of over-allocation, as n</w:t>
      </w:r>
      <w:r w:rsidR="0053039B" w:rsidRPr="00A03684">
        <w:t>o units would be allocated. It c</w:t>
      </w:r>
      <w:r w:rsidRPr="00A03684">
        <w:t xml:space="preserve">ould also </w:t>
      </w:r>
      <w:r w:rsidR="0053039B" w:rsidRPr="00A03684">
        <w:t xml:space="preserve">better </w:t>
      </w:r>
      <w:r w:rsidRPr="00A03684">
        <w:t xml:space="preserve">align with the public’s understanding of how the current </w:t>
      </w:r>
      <w:r w:rsidR="001437FD" w:rsidRPr="00A03684">
        <w:t>IA</w:t>
      </w:r>
      <w:r w:rsidRPr="00A03684">
        <w:t xml:space="preserve"> policy works – rather than the actual complex system that links the level of support to production. </w:t>
      </w:r>
    </w:p>
    <w:p w:rsidR="006B240E" w:rsidRPr="00A03684" w:rsidRDefault="0037702C" w:rsidP="004026A1">
      <w:pPr>
        <w:pStyle w:val="BodyText"/>
        <w:spacing w:after="240"/>
      </w:pPr>
      <w:r w:rsidRPr="00A03684">
        <w:t>However, this option would not help EITE firms that do not</w:t>
      </w:r>
      <w:r w:rsidR="006B240E" w:rsidRPr="00A03684">
        <w:t xml:space="preserve"> have surrender obligations but still incur indirect costs from higher </w:t>
      </w:r>
      <w:r w:rsidR="00177B89" w:rsidRPr="00A03684">
        <w:t xml:space="preserve">fuel or </w:t>
      </w:r>
      <w:r w:rsidR="006B240E" w:rsidRPr="00A03684">
        <w:t xml:space="preserve">electricity prices. </w:t>
      </w: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6B240E" w:rsidRPr="00A03684" w:rsidTr="004026A1">
        <w:tc>
          <w:tcPr>
            <w:tcW w:w="0" w:type="auto"/>
            <w:shd w:val="clear" w:color="auto" w:fill="D2DDE2"/>
          </w:tcPr>
          <w:p w:rsidR="00D608F2" w:rsidRPr="00A03684" w:rsidRDefault="00D608F2" w:rsidP="004026A1">
            <w:pPr>
              <w:pStyle w:val="Blueboxheading"/>
            </w:pPr>
            <w:bookmarkStart w:id="67" w:name="_Hlk73525222"/>
            <w:bookmarkStart w:id="68" w:name="_Hlk73521755"/>
            <w:r w:rsidRPr="00A03684">
              <w:t xml:space="preserve">Future of </w:t>
            </w:r>
            <w:r w:rsidR="00444E17">
              <w:t>industrial allocation</w:t>
            </w:r>
          </w:p>
          <w:p w:rsidR="006B240E" w:rsidRPr="00A03684" w:rsidRDefault="006B240E" w:rsidP="004026A1">
            <w:pPr>
              <w:pStyle w:val="Blueboxtext"/>
            </w:pPr>
            <w:r w:rsidRPr="00A03684">
              <w:t>Question</w:t>
            </w:r>
            <w:r w:rsidR="002C29FF" w:rsidRPr="00A03684">
              <w:t xml:space="preserve"> 2</w:t>
            </w:r>
            <w:r w:rsidR="0026285C" w:rsidRPr="00A03684">
              <w:t>3</w:t>
            </w:r>
            <w:r w:rsidRPr="00A03684">
              <w:t>: Should we look at an alternative mechanism to address emissions leakage</w:t>
            </w:r>
            <w:r w:rsidR="002C29FF" w:rsidRPr="00A03684">
              <w:t>?</w:t>
            </w:r>
            <w:r w:rsidRPr="00A03684">
              <w:t xml:space="preserve"> Why, or why not? </w:t>
            </w:r>
          </w:p>
          <w:p w:rsidR="006B240E" w:rsidRPr="00A03684" w:rsidRDefault="006B240E" w:rsidP="00EF58FA">
            <w:pPr>
              <w:pStyle w:val="Blueboxtext"/>
              <w:spacing w:before="60" w:after="240"/>
            </w:pPr>
            <w:r w:rsidRPr="00A03684">
              <w:t>Question</w:t>
            </w:r>
            <w:r w:rsidR="002C29FF" w:rsidRPr="00A03684">
              <w:t xml:space="preserve"> 2</w:t>
            </w:r>
            <w:r w:rsidR="0026285C" w:rsidRPr="00A03684">
              <w:t>4</w:t>
            </w:r>
            <w:r w:rsidRPr="00A03684">
              <w:t xml:space="preserve">: What alternative mechanisms to </w:t>
            </w:r>
            <w:r w:rsidR="001437FD" w:rsidRPr="00A03684">
              <w:t>IA</w:t>
            </w:r>
            <w:r w:rsidRPr="00A03684">
              <w:t xml:space="preserve"> would better address the risk of emissions leakage, and support domestic and international emissions reduction targets</w:t>
            </w:r>
            <w:r w:rsidR="000C3008" w:rsidRPr="00A03684">
              <w:t>?</w:t>
            </w:r>
            <w:r w:rsidR="00180A61" w:rsidRPr="00A03684">
              <w:t xml:space="preserve"> </w:t>
            </w:r>
            <w:bookmarkEnd w:id="67"/>
          </w:p>
        </w:tc>
      </w:tr>
    </w:tbl>
    <w:p w:rsidR="00941E9E" w:rsidRPr="00A03684" w:rsidRDefault="008B4136" w:rsidP="00DF67AE">
      <w:pPr>
        <w:pStyle w:val="Heading2"/>
        <w:spacing w:before="440"/>
      </w:pPr>
      <w:bookmarkStart w:id="69" w:name="_Toc75336471"/>
      <w:bookmarkEnd w:id="68"/>
      <w:r w:rsidRPr="00A03684">
        <w:t xml:space="preserve">Explicitly </w:t>
      </w:r>
      <w:r w:rsidR="00DB723C" w:rsidRPr="00A03684">
        <w:t>support</w:t>
      </w:r>
      <w:r w:rsidR="00180A61" w:rsidRPr="00A03684">
        <w:t xml:space="preserve">ing </w:t>
      </w:r>
      <w:r w:rsidRPr="00A03684">
        <w:t>emissions reductions</w:t>
      </w:r>
      <w:bookmarkEnd w:id="69"/>
      <w:r w:rsidRPr="00A03684">
        <w:t xml:space="preserve"> </w:t>
      </w:r>
    </w:p>
    <w:p w:rsidR="00E742A0" w:rsidRPr="00A03684" w:rsidRDefault="001437FD" w:rsidP="00EF58FA">
      <w:pPr>
        <w:pStyle w:val="BodyText"/>
        <w:spacing w:before="100" w:after="100"/>
      </w:pPr>
      <w:r w:rsidRPr="00A03684">
        <w:t>IA</w:t>
      </w:r>
      <w:r w:rsidR="00941E9E" w:rsidRPr="00A03684">
        <w:t xml:space="preserve"> policy </w:t>
      </w:r>
      <w:r w:rsidR="008B4136" w:rsidRPr="00A03684">
        <w:t>or an alternative method</w:t>
      </w:r>
      <w:r w:rsidR="00E90708" w:rsidRPr="00A03684">
        <w:t xml:space="preserve"> could be adapted</w:t>
      </w:r>
      <w:r w:rsidR="008B4136" w:rsidRPr="00A03684">
        <w:t xml:space="preserve"> </w:t>
      </w:r>
      <w:r w:rsidR="00941E9E" w:rsidRPr="00A03684">
        <w:t>to</w:t>
      </w:r>
      <w:r w:rsidR="00E90708" w:rsidRPr="00A03684">
        <w:t xml:space="preserve"> explicitly</w:t>
      </w:r>
      <w:r w:rsidR="00941E9E" w:rsidRPr="00A03684">
        <w:t xml:space="preserve"> </w:t>
      </w:r>
      <w:r w:rsidR="00180A61" w:rsidRPr="00A03684">
        <w:t xml:space="preserve">promote reductions in </w:t>
      </w:r>
      <w:r w:rsidR="00941E9E" w:rsidRPr="00A03684">
        <w:t>emissions</w:t>
      </w:r>
      <w:r w:rsidR="007252B6" w:rsidRPr="00A03684">
        <w:t>.</w:t>
      </w:r>
      <w:r w:rsidR="00E90708" w:rsidRPr="00A03684">
        <w:t xml:space="preserve"> </w:t>
      </w:r>
      <w:r w:rsidR="007252B6" w:rsidRPr="00A03684">
        <w:t>H</w:t>
      </w:r>
      <w:r w:rsidR="00E90708" w:rsidRPr="00A03684">
        <w:t>owever</w:t>
      </w:r>
      <w:r w:rsidR="007252B6" w:rsidRPr="00A03684">
        <w:t>,</w:t>
      </w:r>
      <w:r w:rsidR="00E90708" w:rsidRPr="00A03684">
        <w:t xml:space="preserve"> it is uncertain how this could be achieved</w:t>
      </w:r>
      <w:r w:rsidR="00941E9E" w:rsidRPr="00A03684">
        <w:t xml:space="preserve">. </w:t>
      </w:r>
      <w:r w:rsidR="00180A61" w:rsidRPr="00A03684">
        <w:t>C</w:t>
      </w:r>
      <w:r w:rsidR="008B4136" w:rsidRPr="00A03684">
        <w:t xml:space="preserve">urrent </w:t>
      </w:r>
      <w:r w:rsidRPr="00A03684">
        <w:t>IA</w:t>
      </w:r>
      <w:r w:rsidR="008B4136" w:rsidRPr="00A03684">
        <w:t xml:space="preserve"> policy does provide some incentive to reduce emissions via increasing emissions efficiency</w:t>
      </w:r>
      <w:r w:rsidR="00180A61" w:rsidRPr="00A03684">
        <w:t>. H</w:t>
      </w:r>
      <w:r w:rsidR="00941E9E" w:rsidRPr="00A03684">
        <w:t>owever</w:t>
      </w:r>
      <w:r w:rsidR="007252B6" w:rsidRPr="00A03684">
        <w:t>,</w:t>
      </w:r>
      <w:r w:rsidR="00941E9E" w:rsidRPr="00A03684">
        <w:t xml:space="preserve"> this is not the primary intent of the </w:t>
      </w:r>
      <w:r w:rsidR="00E90708" w:rsidRPr="00A03684">
        <w:t>policy, and it does require allocative baselines to remain constant over an extended period</w:t>
      </w:r>
      <w:r w:rsidR="007252B6" w:rsidRPr="00A03684">
        <w:t>,</w:t>
      </w:r>
      <w:r w:rsidR="00E90708" w:rsidRPr="00A03684">
        <w:t xml:space="preserve"> which leads to over-allocation</w:t>
      </w:r>
      <w:r w:rsidR="00941E9E" w:rsidRPr="00A03684">
        <w:t xml:space="preserve">. </w:t>
      </w:r>
    </w:p>
    <w:p w:rsidR="00941E9E" w:rsidRPr="00A03684" w:rsidRDefault="00E90708" w:rsidP="00EF58FA">
      <w:pPr>
        <w:pStyle w:val="BodyText"/>
        <w:spacing w:before="100" w:after="240"/>
      </w:pPr>
      <w:r w:rsidRPr="00A03684">
        <w:t xml:space="preserve">Expanding the policy to explicitly </w:t>
      </w:r>
      <w:r w:rsidR="00DB723C" w:rsidRPr="00A03684">
        <w:t>support</w:t>
      </w:r>
      <w:r w:rsidR="00180A61" w:rsidRPr="00A03684">
        <w:t xml:space="preserve"> </w:t>
      </w:r>
      <w:r w:rsidRPr="00A03684">
        <w:t>emissions reductions</w:t>
      </w:r>
      <w:r w:rsidR="00941E9E" w:rsidRPr="00A03684">
        <w:t xml:space="preserve"> </w:t>
      </w:r>
      <w:r w:rsidRPr="00A03684">
        <w:t>c</w:t>
      </w:r>
      <w:r w:rsidR="00941E9E" w:rsidRPr="00A03684">
        <w:t xml:space="preserve">ould undermine the </w:t>
      </w:r>
      <w:r w:rsidRPr="00A03684">
        <w:t xml:space="preserve">objective </w:t>
      </w:r>
      <w:r w:rsidR="00941E9E" w:rsidRPr="00A03684">
        <w:t>to protect New Zealand firms from emissions leakage</w:t>
      </w:r>
      <w:r w:rsidR="00180A61" w:rsidRPr="00A03684">
        <w:t>. I</w:t>
      </w:r>
      <w:r w:rsidRPr="00A03684">
        <w:t xml:space="preserve">t could be more appropriate to look at other </w:t>
      </w:r>
      <w:r w:rsidR="007252B6" w:rsidRPr="00A03684">
        <w:t xml:space="preserve">ways to </w:t>
      </w:r>
      <w:r w:rsidR="00180A61" w:rsidRPr="00A03684">
        <w:t>promote</w:t>
      </w:r>
      <w:r w:rsidR="00DA1D01" w:rsidRPr="00A03684">
        <w:t xml:space="preserve"> </w:t>
      </w:r>
      <w:r w:rsidRPr="00A03684">
        <w:t>reduction</w:t>
      </w:r>
      <w:r w:rsidR="007252B6" w:rsidRPr="00A03684">
        <w:t>s</w:t>
      </w:r>
      <w:r w:rsidRPr="00A03684">
        <w:t xml:space="preserve">. The </w:t>
      </w:r>
      <w:r w:rsidR="00180A61" w:rsidRPr="00A03684">
        <w:t>G</w:t>
      </w:r>
      <w:r w:rsidRPr="00A03684">
        <w:t xml:space="preserve">overnment is interested in </w:t>
      </w:r>
      <w:r w:rsidR="00DD7513" w:rsidRPr="00A03684">
        <w:t xml:space="preserve">whether </w:t>
      </w:r>
      <w:r w:rsidR="001437FD" w:rsidRPr="00A03684">
        <w:t>IA</w:t>
      </w:r>
      <w:r w:rsidR="00DD7513" w:rsidRPr="00A03684">
        <w:t xml:space="preserve"> policy or an alternative</w:t>
      </w:r>
      <w:r w:rsidR="007252B6" w:rsidRPr="00A03684">
        <w:t xml:space="preserve"> measure</w:t>
      </w:r>
      <w:r w:rsidR="00DD7513" w:rsidRPr="00A03684">
        <w:t xml:space="preserve"> could, or should</w:t>
      </w:r>
      <w:r w:rsidR="00E742A0" w:rsidRPr="00A03684">
        <w:t>,</w:t>
      </w:r>
      <w:r w:rsidR="00DD7513" w:rsidRPr="00A03684">
        <w:t xml:space="preserve"> </w:t>
      </w:r>
      <w:r w:rsidR="00180A61" w:rsidRPr="00A03684">
        <w:t xml:space="preserve">encourage </w:t>
      </w:r>
      <w:r w:rsidR="00951CEC" w:rsidRPr="00A03684">
        <w:t xml:space="preserve">lower </w:t>
      </w:r>
      <w:r w:rsidR="00DD7513" w:rsidRPr="00A03684">
        <w:t xml:space="preserve">emissions. </w:t>
      </w:r>
      <w:r w:rsidR="00E742A0" w:rsidRPr="00A03684">
        <w:t>A CBAM could be</w:t>
      </w:r>
      <w:r w:rsidR="00440768" w:rsidRPr="00A03684">
        <w:t xml:space="preserve"> a feasible </w:t>
      </w:r>
      <w:r w:rsidR="00180A61" w:rsidRPr="00A03684">
        <w:t xml:space="preserve">way </w:t>
      </w:r>
      <w:r w:rsidR="00440768" w:rsidRPr="00A03684">
        <w:t>to incorporate incentives</w:t>
      </w:r>
      <w:r w:rsidR="00180A61" w:rsidRPr="00A03684">
        <w:t>,</w:t>
      </w:r>
      <w:r w:rsidR="00440768" w:rsidRPr="00A03684">
        <w:t xml:space="preserve"> by adjusting the emissions price that higher</w:t>
      </w:r>
      <w:r w:rsidR="00180A61" w:rsidRPr="00A03684">
        <w:t>-</w:t>
      </w:r>
      <w:r w:rsidR="00440768" w:rsidRPr="00A03684">
        <w:t xml:space="preserve">emitting industries are exposed to, relative to lower alternatives. </w:t>
      </w: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DD7513" w:rsidRPr="00A03684" w:rsidTr="004026A1">
        <w:tc>
          <w:tcPr>
            <w:tcW w:w="0" w:type="auto"/>
            <w:shd w:val="clear" w:color="auto" w:fill="D2DDE2"/>
          </w:tcPr>
          <w:p w:rsidR="000C3008" w:rsidRPr="00A03684" w:rsidRDefault="000C3008" w:rsidP="004026A1">
            <w:pPr>
              <w:pStyle w:val="Blueboxheading"/>
            </w:pPr>
            <w:bookmarkStart w:id="70" w:name="_Hlk73525257"/>
            <w:r w:rsidRPr="00A03684">
              <w:t xml:space="preserve">Future of </w:t>
            </w:r>
            <w:r w:rsidR="00444E17">
              <w:t>industrial allocation</w:t>
            </w:r>
          </w:p>
          <w:p w:rsidR="00DD7513" w:rsidRPr="00A03684" w:rsidRDefault="00DD7513" w:rsidP="004026A1">
            <w:pPr>
              <w:pStyle w:val="Blueboxtext"/>
            </w:pPr>
            <w:r w:rsidRPr="00A03684">
              <w:t>Question 2</w:t>
            </w:r>
            <w:r w:rsidR="0026285C" w:rsidRPr="00A03684">
              <w:t>5</w:t>
            </w:r>
            <w:r w:rsidRPr="00A03684">
              <w:t xml:space="preserve">: Should </w:t>
            </w:r>
            <w:r w:rsidR="001437FD" w:rsidRPr="00A03684">
              <w:t>IA</w:t>
            </w:r>
            <w:r w:rsidRPr="00A03684">
              <w:t xml:space="preserve"> policy or any alternative </w:t>
            </w:r>
            <w:r w:rsidR="00424DCF" w:rsidRPr="00A03684">
              <w:t>explicitly</w:t>
            </w:r>
            <w:r w:rsidRPr="00A03684">
              <w:t xml:space="preserve"> </w:t>
            </w:r>
            <w:r w:rsidR="00180A61" w:rsidRPr="00A03684">
              <w:t xml:space="preserve">encourage firms to reduce </w:t>
            </w:r>
            <w:r w:rsidRPr="00A03684">
              <w:t xml:space="preserve">emissions? Why, or why not? </w:t>
            </w:r>
          </w:p>
          <w:p w:rsidR="00DD7513" w:rsidRPr="00A03684" w:rsidRDefault="00DD7513" w:rsidP="00EF58FA">
            <w:pPr>
              <w:pStyle w:val="Blueboxtext"/>
              <w:spacing w:before="60" w:after="240"/>
            </w:pPr>
            <w:r w:rsidRPr="00A03684">
              <w:t>Question 2</w:t>
            </w:r>
            <w:r w:rsidR="0026285C" w:rsidRPr="00A03684">
              <w:t>6</w:t>
            </w:r>
            <w:r w:rsidRPr="00A03684">
              <w:t xml:space="preserve">: </w:t>
            </w:r>
            <w:r w:rsidR="001368A8" w:rsidRPr="00A03684">
              <w:t xml:space="preserve">What method could be used to </w:t>
            </w:r>
            <w:r w:rsidR="00180A61" w:rsidRPr="00A03684">
              <w:t xml:space="preserve">encourage </w:t>
            </w:r>
            <w:r w:rsidR="001368A8" w:rsidRPr="00A03684">
              <w:t>emissions reductions</w:t>
            </w:r>
            <w:r w:rsidR="00D740FB" w:rsidRPr="00A03684">
              <w:t xml:space="preserve">? </w:t>
            </w:r>
            <w:bookmarkEnd w:id="70"/>
          </w:p>
        </w:tc>
      </w:tr>
    </w:tbl>
    <w:p w:rsidR="00E90708" w:rsidRPr="00A03684" w:rsidRDefault="00E90708" w:rsidP="00DF67AE">
      <w:pPr>
        <w:pStyle w:val="Heading2"/>
        <w:spacing w:before="440"/>
      </w:pPr>
      <w:bookmarkStart w:id="71" w:name="_Toc75336472"/>
      <w:r w:rsidRPr="00A03684">
        <w:t xml:space="preserve">Incorporating other </w:t>
      </w:r>
      <w:r w:rsidR="00DD7513" w:rsidRPr="00A03684">
        <w:t>considerations into policy</w:t>
      </w:r>
      <w:bookmarkEnd w:id="71"/>
      <w:r w:rsidR="00DD7513" w:rsidRPr="00A03684">
        <w:t xml:space="preserve"> </w:t>
      </w:r>
    </w:p>
    <w:p w:rsidR="00424DCF" w:rsidRPr="00A03684" w:rsidRDefault="007252B6" w:rsidP="00EF58FA">
      <w:pPr>
        <w:pStyle w:val="BodyText"/>
        <w:spacing w:before="100"/>
      </w:pPr>
      <w:r w:rsidRPr="00A03684">
        <w:t xml:space="preserve">There is also a question as to whether </w:t>
      </w:r>
      <w:r w:rsidR="001437FD" w:rsidRPr="00A03684">
        <w:t>IA</w:t>
      </w:r>
      <w:r w:rsidRPr="00A03684">
        <w:t xml:space="preserve"> decisions should </w:t>
      </w:r>
      <w:r w:rsidR="00D740FB" w:rsidRPr="00A03684">
        <w:t xml:space="preserve">take into account </w:t>
      </w:r>
      <w:r w:rsidR="008C345F" w:rsidRPr="00A03684">
        <w:t xml:space="preserve">the wider benefits of </w:t>
      </w:r>
      <w:r w:rsidR="001437FD" w:rsidRPr="00A03684">
        <w:t>IA</w:t>
      </w:r>
      <w:r w:rsidR="008C345F" w:rsidRPr="00A03684">
        <w:t xml:space="preserve"> policy (or an alternative mechanism) to industries. </w:t>
      </w:r>
      <w:r w:rsidR="00424DCF" w:rsidRPr="00A03684">
        <w:t xml:space="preserve">Allowing </w:t>
      </w:r>
      <w:r w:rsidR="008C345F" w:rsidRPr="00A03684">
        <w:t xml:space="preserve">for </w:t>
      </w:r>
      <w:r w:rsidR="00424DCF" w:rsidRPr="00A03684">
        <w:t xml:space="preserve">economic </w:t>
      </w:r>
      <w:r w:rsidR="00D740FB" w:rsidRPr="00A03684">
        <w:t>issues could help industry make a smooth and just transition. Considerations could include</w:t>
      </w:r>
      <w:r w:rsidR="00424DCF" w:rsidRPr="00A03684">
        <w:t xml:space="preserve"> the financial benefit of keeping New Zealand production, or the social benefit of supporting employment in</w:t>
      </w:r>
      <w:r w:rsidR="00DF67AE" w:rsidRPr="00A03684">
        <w:t> </w:t>
      </w:r>
      <w:r w:rsidR="00424DCF" w:rsidRPr="00A03684">
        <w:t xml:space="preserve">regions. </w:t>
      </w:r>
    </w:p>
    <w:p w:rsidR="00941E9E" w:rsidRPr="00A03684" w:rsidRDefault="006B2145" w:rsidP="00EF58FA">
      <w:pPr>
        <w:pStyle w:val="BodyText"/>
        <w:spacing w:before="100" w:after="240"/>
      </w:pPr>
      <w:r w:rsidRPr="00A03684">
        <w:t>Incorporating other factors c</w:t>
      </w:r>
      <w:r w:rsidR="00DD7513" w:rsidRPr="00A03684">
        <w:t xml:space="preserve">ould complicate the policy and undermine its </w:t>
      </w:r>
      <w:r w:rsidR="008C345F" w:rsidRPr="00A03684">
        <w:t>purpose</w:t>
      </w:r>
      <w:r w:rsidRPr="00A03684">
        <w:t xml:space="preserve"> to reduce</w:t>
      </w:r>
      <w:r w:rsidR="00DD7513" w:rsidRPr="00A03684">
        <w:t xml:space="preserve"> leakage. </w:t>
      </w:r>
      <w:r w:rsidR="00424DCF" w:rsidRPr="00A03684">
        <w:t xml:space="preserve">The </w:t>
      </w:r>
      <w:r w:rsidR="00D740FB" w:rsidRPr="00A03684">
        <w:t>G</w:t>
      </w:r>
      <w:r w:rsidR="00424DCF" w:rsidRPr="00A03684">
        <w:t xml:space="preserve">overnment is interested in public opinion on whether </w:t>
      </w:r>
      <w:r w:rsidR="00D740FB" w:rsidRPr="00A03684">
        <w:t xml:space="preserve">to include </w:t>
      </w:r>
      <w:r w:rsidR="00424DCF" w:rsidRPr="00A03684">
        <w:t xml:space="preserve">wider factors </w:t>
      </w:r>
      <w:r w:rsidR="00D740FB" w:rsidRPr="00A03684">
        <w:t>in</w:t>
      </w:r>
      <w:r w:rsidR="00424DCF" w:rsidRPr="00A03684">
        <w:t xml:space="preserve"> the policy. </w:t>
      </w:r>
      <w:bookmarkStart w:id="72" w:name="_Hlk74662919"/>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424DCF" w:rsidRPr="00A03684" w:rsidTr="00DF67AE">
        <w:tc>
          <w:tcPr>
            <w:tcW w:w="0" w:type="auto"/>
            <w:shd w:val="clear" w:color="auto" w:fill="D2DDE2"/>
          </w:tcPr>
          <w:p w:rsidR="006C1455" w:rsidRPr="00A03684" w:rsidRDefault="006C1455" w:rsidP="00EF58FA">
            <w:pPr>
              <w:pStyle w:val="Blueboxheading"/>
              <w:keepNext w:val="0"/>
            </w:pPr>
            <w:bookmarkStart w:id="73" w:name="_Hlk74662895"/>
            <w:bookmarkStart w:id="74" w:name="_Hlk73525262"/>
            <w:r w:rsidRPr="00A03684">
              <w:t xml:space="preserve">Future of </w:t>
            </w:r>
            <w:r w:rsidR="00444E17">
              <w:t>industrial allocation</w:t>
            </w:r>
          </w:p>
          <w:p w:rsidR="00424DCF" w:rsidRPr="00A03684" w:rsidRDefault="00424DCF" w:rsidP="00DF67AE">
            <w:pPr>
              <w:pStyle w:val="Blueboxtext"/>
            </w:pPr>
            <w:r w:rsidRPr="00A03684">
              <w:t>Question 2</w:t>
            </w:r>
            <w:r w:rsidR="0026285C" w:rsidRPr="00A03684">
              <w:t>7</w:t>
            </w:r>
            <w:r w:rsidRPr="00A03684">
              <w:t xml:space="preserve">: Should </w:t>
            </w:r>
            <w:r w:rsidR="001437FD" w:rsidRPr="00A03684">
              <w:t>IA</w:t>
            </w:r>
            <w:r w:rsidRPr="00A03684">
              <w:t xml:space="preserve"> </w:t>
            </w:r>
            <w:r w:rsidR="008C345F" w:rsidRPr="00A03684">
              <w:t xml:space="preserve">decisions </w:t>
            </w:r>
            <w:r w:rsidRPr="00A03684">
              <w:t xml:space="preserve">or any alternative include </w:t>
            </w:r>
            <w:r w:rsidR="00DA3D71" w:rsidRPr="00A03684">
              <w:t>wider considerations</w:t>
            </w:r>
            <w:r w:rsidR="00D740FB" w:rsidRPr="00A03684">
              <w:t xml:space="preserve"> –</w:t>
            </w:r>
            <w:r w:rsidRPr="00A03684">
              <w:t xml:space="preserve"> </w:t>
            </w:r>
            <w:r w:rsidR="00DA3D71" w:rsidRPr="00A03684">
              <w:t xml:space="preserve">such as economic, social, cultural and environmental factors </w:t>
            </w:r>
            <w:r w:rsidR="00D740FB" w:rsidRPr="00A03684">
              <w:t xml:space="preserve">– </w:t>
            </w:r>
            <w:r w:rsidRPr="00A03684">
              <w:t xml:space="preserve">when determining support </w:t>
            </w:r>
            <w:r w:rsidR="00D740FB" w:rsidRPr="00A03684">
              <w:t>for</w:t>
            </w:r>
            <w:r w:rsidRPr="00A03684">
              <w:t xml:space="preserve"> industry? Why, or why not? </w:t>
            </w:r>
          </w:p>
          <w:bookmarkEnd w:id="73"/>
          <w:p w:rsidR="00424DCF" w:rsidRPr="00A03684" w:rsidRDefault="00424DCF" w:rsidP="00EF58FA">
            <w:pPr>
              <w:pStyle w:val="Blueboxtext"/>
              <w:spacing w:before="60" w:after="240"/>
            </w:pPr>
            <w:r w:rsidRPr="00A03684">
              <w:t>Question 2</w:t>
            </w:r>
            <w:r w:rsidR="0026285C" w:rsidRPr="00A03684">
              <w:t>8</w:t>
            </w:r>
            <w:r w:rsidRPr="00A03684">
              <w:t xml:space="preserve">: How would these new considerations interact with the </w:t>
            </w:r>
            <w:r w:rsidR="00D740FB" w:rsidRPr="00A03684">
              <w:t xml:space="preserve">goal </w:t>
            </w:r>
            <w:r w:rsidRPr="00A03684">
              <w:t>of reducing emissions leakage?</w:t>
            </w:r>
            <w:r w:rsidR="00A03684" w:rsidRPr="00A03684">
              <w:t xml:space="preserve"> </w:t>
            </w:r>
            <w:bookmarkEnd w:id="74"/>
          </w:p>
        </w:tc>
      </w:tr>
    </w:tbl>
    <w:p w:rsidR="006B240E" w:rsidRPr="00A03684" w:rsidRDefault="006B240E" w:rsidP="00EF58FA">
      <w:pPr>
        <w:pStyle w:val="Heading1"/>
        <w:pageBreakBefore/>
      </w:pPr>
      <w:bookmarkStart w:id="75" w:name="_Toc75336473"/>
      <w:bookmarkEnd w:id="72"/>
      <w:r w:rsidRPr="00A03684">
        <w:t>Section 7: Impacts of updating baselines and reassessing eligibility</w:t>
      </w:r>
      <w:bookmarkEnd w:id="75"/>
    </w:p>
    <w:p w:rsidR="006B240E" w:rsidRDefault="006B240E" w:rsidP="00581A23">
      <w:pPr>
        <w:pStyle w:val="BodyText"/>
      </w:pPr>
      <w:r w:rsidRPr="00A03684">
        <w:t>This section considers the impacts of updating allocative baselines and reassessing eligibility</w:t>
      </w:r>
      <w:r w:rsidR="00581A23" w:rsidRPr="00A03684">
        <w:t> </w:t>
      </w:r>
      <w:r w:rsidRPr="00A03684">
        <w:t>on</w:t>
      </w:r>
      <w:r w:rsidR="00581A23" w:rsidRPr="00A03684">
        <w:t> </w:t>
      </w:r>
      <w:r w:rsidRPr="00A03684">
        <w:t xml:space="preserve">EITE firms, the </w:t>
      </w:r>
      <w:r w:rsidR="00E16473" w:rsidRPr="00A03684">
        <w:t>G</w:t>
      </w:r>
      <w:r w:rsidRPr="00A03684">
        <w:t>overnment</w:t>
      </w:r>
      <w:r w:rsidR="00F00136">
        <w:t>,</w:t>
      </w:r>
      <w:r w:rsidRPr="00A03684">
        <w:t xml:space="preserve"> and regions where an EITE firm is a large part of the</w:t>
      </w:r>
      <w:r w:rsidR="00581A23" w:rsidRPr="00A03684">
        <w:t> </w:t>
      </w:r>
      <w:r w:rsidRPr="00A03684">
        <w:t xml:space="preserve">local economy. </w:t>
      </w:r>
      <w:r w:rsidR="00B22288" w:rsidRPr="00A03684">
        <w:t>It also considers the impacts of the proposals on Māori</w:t>
      </w:r>
      <w:r w:rsidR="00E16473" w:rsidRPr="00A03684">
        <w:t>,</w:t>
      </w:r>
      <w:r w:rsidR="00B22288" w:rsidRPr="00A03684">
        <w:t xml:space="preserve"> and</w:t>
      </w:r>
      <w:r w:rsidR="00317300" w:rsidRPr="00A03684">
        <w:t xml:space="preserve"> </w:t>
      </w:r>
      <w:r w:rsidR="00B22288" w:rsidRPr="00A03684">
        <w:t>Te Tiriti o</w:t>
      </w:r>
      <w:r w:rsidR="00581A23" w:rsidRPr="00A03684">
        <w:t> </w:t>
      </w:r>
      <w:r w:rsidR="00B22288" w:rsidRPr="00A03684">
        <w:t xml:space="preserve">Waitangi implications. </w:t>
      </w:r>
    </w:p>
    <w:p w:rsidR="00FD12AF" w:rsidRDefault="00FD12AF" w:rsidP="00F00136">
      <w:pPr>
        <w:pStyle w:val="Heading2"/>
      </w:pPr>
      <w:bookmarkStart w:id="76" w:name="_Toc75336474"/>
      <w:r w:rsidRPr="00216DB3">
        <w:t>About this analysis</w:t>
      </w:r>
      <w:bookmarkEnd w:id="76"/>
    </w:p>
    <w:p w:rsidR="00FD12AF" w:rsidRDefault="00FD12AF" w:rsidP="00FD12AF">
      <w:pPr>
        <w:pStyle w:val="BodyText"/>
        <w:spacing w:before="100"/>
      </w:pPr>
      <w:r>
        <w:t>The impact analysis focused on two proposals:</w:t>
      </w:r>
    </w:p>
    <w:p w:rsidR="00FD12AF" w:rsidRPr="007459CE" w:rsidRDefault="00FD12AF" w:rsidP="00F00136">
      <w:pPr>
        <w:pStyle w:val="Bullets"/>
        <w:numPr>
          <w:ilvl w:val="0"/>
          <w:numId w:val="46"/>
        </w:numPr>
      </w:pPr>
      <w:r w:rsidRPr="007459CE">
        <w:t xml:space="preserve">Updating baselines using new base years </w:t>
      </w:r>
    </w:p>
    <w:p w:rsidR="00FD12AF" w:rsidRPr="007459CE" w:rsidRDefault="00FD12AF" w:rsidP="00F00136">
      <w:pPr>
        <w:pStyle w:val="Bullets"/>
        <w:numPr>
          <w:ilvl w:val="0"/>
          <w:numId w:val="46"/>
        </w:numPr>
      </w:pPr>
      <w:r w:rsidRPr="007459CE">
        <w:t>Reassessing eligibility using new base years</w:t>
      </w:r>
      <w:r>
        <w:t xml:space="preserve">. </w:t>
      </w:r>
    </w:p>
    <w:p w:rsidR="00FD12AF" w:rsidRDefault="00FD12AF" w:rsidP="00FD12AF">
      <w:pPr>
        <w:pStyle w:val="BodyText"/>
        <w:spacing w:before="100"/>
      </w:pPr>
      <w:r>
        <w:t xml:space="preserve">These proposals would have the greatest impact on allocations as they directly address the cause of over-allocation: historical baseline years. The impacts of the other proposals are expected to be comparatively small. Assessing the two main options provides a good indication of the economic costs and benefits of updating industrial allocation policy. </w:t>
      </w:r>
    </w:p>
    <w:p w:rsidR="00FD12AF" w:rsidRDefault="00FD12AF" w:rsidP="00FD12AF">
      <w:pPr>
        <w:pStyle w:val="BodyText"/>
        <w:spacing w:before="100"/>
      </w:pPr>
      <w:r>
        <w:t xml:space="preserve">The Government has limited industry data due to restrictions in the Act. This puts limitations on the impact assessment for all 26 activities. The basis for this analysis is the data collected from the four EITE activities subject to the 2020 data collection: the production of burnt lime, the production of fresh cucumbers, the production of cementitious products, and the production of cartonboard. When extrapolating these findings to all EITE activities, conservative assumptions have been used to ensure impacts and conclusions are not overestimated. </w:t>
      </w:r>
    </w:p>
    <w:p w:rsidR="00FD12AF" w:rsidRDefault="00FD12AF" w:rsidP="00FD12AF">
      <w:pPr>
        <w:pStyle w:val="BodyText"/>
        <w:spacing w:before="100"/>
      </w:pPr>
      <w:r>
        <w:t>T</w:t>
      </w:r>
      <w:r w:rsidRPr="0039225C">
        <w:t xml:space="preserve">he </w:t>
      </w:r>
      <w:r>
        <w:t>direct financial impacts on EITE firms can be determined,</w:t>
      </w:r>
      <w:r w:rsidRPr="0039225C">
        <w:t xml:space="preserve"> </w:t>
      </w:r>
      <w:r>
        <w:t xml:space="preserve">but </w:t>
      </w:r>
      <w:r w:rsidRPr="0039225C">
        <w:t>the</w:t>
      </w:r>
      <w:r>
        <w:t xml:space="preserve"> impact on emissions is more </w:t>
      </w:r>
      <w:r w:rsidRPr="0039225C">
        <w:t>difficult</w:t>
      </w:r>
      <w:r>
        <w:t xml:space="preserve"> to assess. This is because</w:t>
      </w:r>
      <w:r w:rsidRPr="0039225C">
        <w:t xml:space="preserve"> the financial incentive to reduce emissions will not change. For this reason, it is uncertain how addressing over-allocation would affect business decisions and subsequently emissions.</w:t>
      </w:r>
      <w:r>
        <w:t xml:space="preserve"> </w:t>
      </w:r>
    </w:p>
    <w:p w:rsidR="00FD12AF" w:rsidRDefault="00FD12AF" w:rsidP="00FD12AF">
      <w:pPr>
        <w:pStyle w:val="BodyText"/>
        <w:spacing w:before="100"/>
      </w:pPr>
      <w:r>
        <w:t xml:space="preserve">Impacts on other proposals, such as updating the emissions intensity thresholds, or the trade exposure test is not possible. Impact analysis of these would require extensive data collection and modelling. </w:t>
      </w:r>
    </w:p>
    <w:p w:rsidR="00F00136" w:rsidRDefault="00F00136">
      <w:pPr>
        <w:spacing w:before="0" w:after="200" w:line="276" w:lineRule="auto"/>
        <w:jc w:val="left"/>
        <w:rPr>
          <w:b/>
          <w:sz w:val="20"/>
        </w:rPr>
      </w:pPr>
      <w:r>
        <w:br w:type="page"/>
      </w:r>
    </w:p>
    <w:p w:rsidR="00FD12AF" w:rsidRDefault="00FD12AF" w:rsidP="00FD12AF">
      <w:pPr>
        <w:pStyle w:val="Tableheading"/>
      </w:pPr>
      <w:bookmarkStart w:id="77" w:name="_Toc75262184"/>
      <w:r>
        <w:t xml:space="preserve">Table 15: </w:t>
      </w:r>
      <w:r w:rsidR="00DE20FD">
        <w:tab/>
      </w:r>
      <w:r>
        <w:t>Summary of costs and benefits of updating baselines and reassessing eligibility</w:t>
      </w:r>
      <w:bookmarkEnd w:id="77"/>
    </w:p>
    <w:tbl>
      <w:tblPr>
        <w:tblStyle w:val="TableGrid1"/>
        <w:tblW w:w="8540" w:type="dxa"/>
        <w:tblInd w:w="113"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2135"/>
        <w:gridCol w:w="2135"/>
        <w:gridCol w:w="2135"/>
        <w:gridCol w:w="2135"/>
      </w:tblGrid>
      <w:tr w:rsidR="00FD12AF" w:rsidRPr="003C6050" w:rsidTr="00B51DA4">
        <w:trPr>
          <w:trHeight w:val="469"/>
          <w:tblHeader/>
        </w:trPr>
        <w:tc>
          <w:tcPr>
            <w:tcW w:w="2135" w:type="dxa"/>
            <w:shd w:val="clear" w:color="auto" w:fill="1C556C"/>
          </w:tcPr>
          <w:p w:rsidR="00FD12AF" w:rsidRPr="00F26AC3" w:rsidRDefault="00FD12AF" w:rsidP="00B51DA4">
            <w:pPr>
              <w:tabs>
                <w:tab w:val="left" w:pos="3615"/>
              </w:tabs>
              <w:spacing w:before="60" w:after="60" w:line="240" w:lineRule="atLeast"/>
              <w:jc w:val="left"/>
              <w:rPr>
                <w:rFonts w:cstheme="minorBidi"/>
                <w:b/>
                <w:color w:val="FFFFFF" w:themeColor="background1"/>
                <w:sz w:val="18"/>
                <w:szCs w:val="22"/>
              </w:rPr>
            </w:pPr>
            <w:r>
              <w:rPr>
                <w:rFonts w:cstheme="minorBidi"/>
                <w:b/>
                <w:color w:val="FFFFFF" w:themeColor="background1"/>
                <w:sz w:val="18"/>
                <w:szCs w:val="22"/>
              </w:rPr>
              <w:t>Affected groups</w:t>
            </w:r>
          </w:p>
        </w:tc>
        <w:tc>
          <w:tcPr>
            <w:tcW w:w="2135" w:type="dxa"/>
            <w:shd w:val="clear" w:color="auto" w:fill="1C556C"/>
          </w:tcPr>
          <w:p w:rsidR="00FD12AF" w:rsidRPr="00230936" w:rsidRDefault="00FD12AF" w:rsidP="00B51DA4">
            <w:pPr>
              <w:spacing w:before="60" w:after="60" w:line="240" w:lineRule="atLeast"/>
              <w:jc w:val="left"/>
              <w:rPr>
                <w:rFonts w:cstheme="minorBidi"/>
                <w:b/>
                <w:color w:val="FFFFFF" w:themeColor="background1"/>
                <w:sz w:val="18"/>
                <w:szCs w:val="22"/>
              </w:rPr>
            </w:pPr>
            <w:r>
              <w:rPr>
                <w:rFonts w:cstheme="minorBidi"/>
                <w:b/>
                <w:color w:val="FFFFFF" w:themeColor="background1"/>
                <w:sz w:val="18"/>
                <w:szCs w:val="22"/>
              </w:rPr>
              <w:t>Comment</w:t>
            </w:r>
          </w:p>
        </w:tc>
        <w:tc>
          <w:tcPr>
            <w:tcW w:w="2135" w:type="dxa"/>
            <w:shd w:val="clear" w:color="auto" w:fill="1C556C"/>
          </w:tcPr>
          <w:p w:rsidR="00FD12AF" w:rsidRDefault="00FD12AF" w:rsidP="00B51DA4">
            <w:pPr>
              <w:spacing w:before="60" w:after="60" w:line="240" w:lineRule="atLeast"/>
              <w:jc w:val="left"/>
              <w:rPr>
                <w:b/>
                <w:color w:val="FFFFFF" w:themeColor="background1"/>
                <w:sz w:val="18"/>
              </w:rPr>
            </w:pPr>
            <w:r>
              <w:rPr>
                <w:b/>
                <w:color w:val="FFFFFF" w:themeColor="background1"/>
                <w:sz w:val="18"/>
              </w:rPr>
              <w:t xml:space="preserve">Impact </w:t>
            </w:r>
          </w:p>
        </w:tc>
        <w:tc>
          <w:tcPr>
            <w:tcW w:w="2135" w:type="dxa"/>
            <w:shd w:val="clear" w:color="auto" w:fill="1C556C"/>
          </w:tcPr>
          <w:p w:rsidR="00FD12AF" w:rsidRPr="003C6050" w:rsidRDefault="00FD12AF" w:rsidP="00B51DA4">
            <w:pPr>
              <w:spacing w:before="60" w:after="60" w:line="240" w:lineRule="atLeast"/>
              <w:jc w:val="left"/>
              <w:rPr>
                <w:b/>
                <w:color w:val="FFFFFF" w:themeColor="background1"/>
                <w:sz w:val="18"/>
              </w:rPr>
            </w:pPr>
            <w:r>
              <w:rPr>
                <w:b/>
                <w:color w:val="FFFFFF" w:themeColor="background1"/>
                <w:sz w:val="18"/>
              </w:rPr>
              <w:t>Evidence certainty</w:t>
            </w:r>
          </w:p>
        </w:tc>
      </w:tr>
      <w:tr w:rsidR="00FD12AF" w:rsidRPr="003C6050" w:rsidTr="00F00136">
        <w:trPr>
          <w:trHeight w:val="384"/>
        </w:trPr>
        <w:tc>
          <w:tcPr>
            <w:tcW w:w="8540" w:type="dxa"/>
            <w:gridSpan w:val="4"/>
            <w:shd w:val="clear" w:color="auto" w:fill="auto"/>
          </w:tcPr>
          <w:p w:rsidR="00FD12AF" w:rsidRPr="00F00136" w:rsidRDefault="00FD12AF" w:rsidP="00F00136">
            <w:pPr>
              <w:pStyle w:val="TableText"/>
              <w:rPr>
                <w:b/>
                <w:bCs/>
              </w:rPr>
            </w:pPr>
            <w:r w:rsidRPr="00F00136">
              <w:rPr>
                <w:rFonts w:eastAsia="Calibri"/>
                <w:b/>
                <w:bCs/>
              </w:rPr>
              <w:t>Additional costs of updating allocative baselines and reassessing eligibility compared to taking no action</w:t>
            </w:r>
          </w:p>
        </w:tc>
      </w:tr>
      <w:tr w:rsidR="00FD12AF" w:rsidRPr="003C6050" w:rsidTr="00B51DA4">
        <w:trPr>
          <w:trHeight w:val="775"/>
        </w:trPr>
        <w:tc>
          <w:tcPr>
            <w:tcW w:w="2135" w:type="dxa"/>
            <w:shd w:val="clear" w:color="auto" w:fill="auto"/>
          </w:tcPr>
          <w:p w:rsidR="00FD12AF" w:rsidRPr="00A4268D" w:rsidRDefault="00FD12AF" w:rsidP="00F00136">
            <w:pPr>
              <w:pStyle w:val="TableText"/>
            </w:pPr>
            <w:r w:rsidRPr="00A4268D">
              <w:t>EITE firms</w:t>
            </w:r>
          </w:p>
        </w:tc>
        <w:tc>
          <w:tcPr>
            <w:tcW w:w="2135" w:type="dxa"/>
            <w:shd w:val="clear" w:color="auto" w:fill="auto"/>
          </w:tcPr>
          <w:p w:rsidR="00FD12AF" w:rsidRDefault="00FD12AF" w:rsidP="00F00136">
            <w:pPr>
              <w:pStyle w:val="TableBullet"/>
            </w:pPr>
            <w:r>
              <w:t xml:space="preserve">Reduction in allocations for most EITE firms </w:t>
            </w:r>
          </w:p>
          <w:p w:rsidR="00FD12AF" w:rsidRDefault="00FD12AF" w:rsidP="00F00136">
            <w:pPr>
              <w:pStyle w:val="TableBullet"/>
            </w:pPr>
            <w:r>
              <w:t xml:space="preserve">Eligibility status of EITE firms close to </w:t>
            </w:r>
            <w:r w:rsidRPr="00A4268D">
              <w:t>emissions inte</w:t>
            </w:r>
            <w:r>
              <w:t>nsity thresholds could change, reducing</w:t>
            </w:r>
            <w:r w:rsidRPr="00A4268D">
              <w:t xml:space="preserve"> al</w:t>
            </w:r>
            <w:r>
              <w:t>locations or making some firms ineligible</w:t>
            </w:r>
          </w:p>
          <w:p w:rsidR="00FD12AF" w:rsidRDefault="00FD12AF" w:rsidP="00F00136">
            <w:pPr>
              <w:pStyle w:val="TableBullet"/>
            </w:pPr>
            <w:r>
              <w:t>Higher NZ ETS costs from reduced allocations</w:t>
            </w:r>
          </w:p>
          <w:p w:rsidR="00FD12AF" w:rsidRPr="00014106" w:rsidRDefault="00FD12AF" w:rsidP="00F00136">
            <w:pPr>
              <w:pStyle w:val="TableBullet"/>
            </w:pPr>
            <w:r>
              <w:t>Allocations would remain at a level to reduce the risk of leakage</w:t>
            </w:r>
            <w:r w:rsidRPr="00A4268D">
              <w:t xml:space="preserve"> </w:t>
            </w:r>
          </w:p>
        </w:tc>
        <w:tc>
          <w:tcPr>
            <w:tcW w:w="2135" w:type="dxa"/>
            <w:shd w:val="clear" w:color="auto" w:fill="auto"/>
          </w:tcPr>
          <w:p w:rsidR="00FD12AF" w:rsidRDefault="00FD12AF" w:rsidP="00F00136">
            <w:pPr>
              <w:pStyle w:val="TableBullet"/>
            </w:pPr>
            <w:r>
              <w:t xml:space="preserve">Updating baselines is estimated to reduce allocations </w:t>
            </w:r>
            <w:r w:rsidRPr="002A6246">
              <w:t>by $31.5 million</w:t>
            </w:r>
            <w:r w:rsidRPr="00F00136">
              <w:rPr>
                <w:rStyle w:val="FootnoteReference"/>
                <w:sz w:val="18"/>
                <w:szCs w:val="18"/>
              </w:rPr>
              <w:footnoteReference w:id="18"/>
            </w:r>
            <w:r w:rsidRPr="002A6246">
              <w:t>, annually</w:t>
            </w:r>
          </w:p>
          <w:p w:rsidR="00FD12AF" w:rsidRPr="00014106" w:rsidRDefault="00FD12AF" w:rsidP="00F00136">
            <w:pPr>
              <w:pStyle w:val="TableBullet"/>
            </w:pPr>
            <w:r>
              <w:t xml:space="preserve">Reassessing eligibility is estimated to reduce allocations by </w:t>
            </w:r>
            <w:r w:rsidRPr="00014106">
              <w:t>$20.3 million</w:t>
            </w:r>
            <w:r>
              <w:t>, annually</w:t>
            </w:r>
          </w:p>
          <w:p w:rsidR="00FD12AF" w:rsidRPr="002A6246" w:rsidRDefault="00FD12AF" w:rsidP="00F00136">
            <w:pPr>
              <w:pStyle w:val="TableBullet"/>
            </w:pPr>
            <w:r>
              <w:t xml:space="preserve">Updating baselines and reassessing eligibility is estimated to reduce allocations by </w:t>
            </w:r>
            <w:r w:rsidRPr="00014106">
              <w:t>42 million</w:t>
            </w:r>
            <w:r>
              <w:t>,</w:t>
            </w:r>
            <w:r w:rsidRPr="00014106">
              <w:t xml:space="preserve"> </w:t>
            </w:r>
            <w:r>
              <w:t>annually</w:t>
            </w:r>
          </w:p>
        </w:tc>
        <w:tc>
          <w:tcPr>
            <w:tcW w:w="2135" w:type="dxa"/>
          </w:tcPr>
          <w:p w:rsidR="00FD12AF" w:rsidRPr="00014106" w:rsidRDefault="00FD12AF" w:rsidP="00F00136">
            <w:pPr>
              <w:pStyle w:val="TableBullet"/>
              <w:rPr>
                <w:rFonts w:asciiTheme="minorHAnsi" w:hAnsiTheme="minorHAnsi"/>
              </w:rPr>
            </w:pPr>
            <w:r>
              <w:t>High-medium</w:t>
            </w:r>
          </w:p>
          <w:p w:rsidR="00FD12AF" w:rsidRPr="00014106" w:rsidRDefault="00FD12AF" w:rsidP="00F00136">
            <w:pPr>
              <w:pStyle w:val="TableBullet"/>
              <w:rPr>
                <w:rFonts w:asciiTheme="minorHAnsi" w:hAnsiTheme="minorHAnsi"/>
              </w:rPr>
            </w:pPr>
            <w:r>
              <w:t xml:space="preserve">Government </w:t>
            </w:r>
            <w:r w:rsidRPr="00014106">
              <w:t>collected evidence that four activities are currently being over-allocated</w:t>
            </w:r>
          </w:p>
          <w:p w:rsidR="00FD12AF" w:rsidRPr="00014106" w:rsidRDefault="00FD12AF" w:rsidP="00F00136">
            <w:pPr>
              <w:pStyle w:val="TableBullet"/>
              <w:rPr>
                <w:rFonts w:asciiTheme="minorHAnsi" w:hAnsiTheme="minorHAnsi"/>
              </w:rPr>
            </w:pPr>
            <w:r>
              <w:t xml:space="preserve">The four activities are </w:t>
            </w:r>
            <w:r w:rsidRPr="00014106">
              <w:t>considered a representative sample of other eligible activities in N</w:t>
            </w:r>
            <w:r w:rsidR="005D1007">
              <w:t xml:space="preserve">ew </w:t>
            </w:r>
            <w:r w:rsidRPr="00014106">
              <w:t>Z</w:t>
            </w:r>
            <w:r w:rsidR="005D1007">
              <w:t>ealand</w:t>
            </w:r>
          </w:p>
          <w:p w:rsidR="00FD12AF" w:rsidRPr="00A4268D" w:rsidRDefault="00FD12AF" w:rsidP="00F00136">
            <w:pPr>
              <w:pStyle w:val="TableBullet"/>
              <w:rPr>
                <w:rFonts w:asciiTheme="minorHAnsi" w:hAnsiTheme="minorHAnsi"/>
              </w:rPr>
            </w:pPr>
            <w:r>
              <w:t xml:space="preserve">Conservative </w:t>
            </w:r>
            <w:r w:rsidRPr="00014106">
              <w:t>assumptions used to extrapolate overall level of over-allocation from the four activities – likely under-estimating total over-allocation</w:t>
            </w:r>
          </w:p>
        </w:tc>
      </w:tr>
      <w:tr w:rsidR="00FD12AF" w:rsidRPr="003C6050" w:rsidTr="00B51DA4">
        <w:trPr>
          <w:trHeight w:val="874"/>
        </w:trPr>
        <w:tc>
          <w:tcPr>
            <w:tcW w:w="2135" w:type="dxa"/>
            <w:shd w:val="clear" w:color="auto" w:fill="auto"/>
          </w:tcPr>
          <w:p w:rsidR="00FD12AF" w:rsidRPr="00A4268D" w:rsidRDefault="00FD12AF" w:rsidP="00B51DA4">
            <w:pPr>
              <w:spacing w:before="60" w:after="60" w:line="240" w:lineRule="atLeast"/>
              <w:jc w:val="left"/>
              <w:rPr>
                <w:rFonts w:asciiTheme="minorHAnsi" w:hAnsiTheme="minorHAnsi"/>
                <w:sz w:val="18"/>
              </w:rPr>
            </w:pPr>
            <w:r>
              <w:rPr>
                <w:rFonts w:asciiTheme="minorHAnsi" w:hAnsiTheme="minorHAnsi"/>
                <w:sz w:val="18"/>
              </w:rPr>
              <w:t>Government</w:t>
            </w:r>
          </w:p>
        </w:tc>
        <w:tc>
          <w:tcPr>
            <w:tcW w:w="2135" w:type="dxa"/>
            <w:shd w:val="clear" w:color="auto" w:fill="auto"/>
          </w:tcPr>
          <w:p w:rsidR="00FD12AF" w:rsidRPr="00014106" w:rsidRDefault="00FD12AF" w:rsidP="00F00136">
            <w:pPr>
              <w:pStyle w:val="TableBullet"/>
            </w:pPr>
            <w:r>
              <w:t xml:space="preserve">Some fiscal costs from implementing changes to IA </w:t>
            </w:r>
          </w:p>
        </w:tc>
        <w:tc>
          <w:tcPr>
            <w:tcW w:w="2135" w:type="dxa"/>
            <w:shd w:val="clear" w:color="auto" w:fill="auto"/>
          </w:tcPr>
          <w:p w:rsidR="00FD12AF" w:rsidRPr="00014106" w:rsidRDefault="00FD12AF" w:rsidP="00F00136">
            <w:pPr>
              <w:pStyle w:val="TableBullet"/>
              <w:rPr>
                <w:rFonts w:asciiTheme="minorHAnsi" w:hAnsiTheme="minorHAnsi"/>
              </w:rPr>
            </w:pPr>
            <w:r>
              <w:rPr>
                <w:rFonts w:asciiTheme="minorHAnsi" w:hAnsiTheme="minorHAnsi"/>
              </w:rPr>
              <w:t>Low</w:t>
            </w:r>
          </w:p>
        </w:tc>
        <w:tc>
          <w:tcPr>
            <w:tcW w:w="2135" w:type="dxa"/>
          </w:tcPr>
          <w:p w:rsidR="00FD12AF" w:rsidRPr="00A4268D" w:rsidRDefault="00FD12AF" w:rsidP="00F00136">
            <w:pPr>
              <w:pStyle w:val="TableBullet"/>
              <w:rPr>
                <w:rFonts w:asciiTheme="minorHAnsi" w:hAnsiTheme="minorHAnsi"/>
              </w:rPr>
            </w:pPr>
            <w:r>
              <w:rPr>
                <w:rFonts w:asciiTheme="minorHAnsi" w:hAnsiTheme="minorHAnsi"/>
              </w:rPr>
              <w:t>N/A</w:t>
            </w:r>
          </w:p>
        </w:tc>
      </w:tr>
      <w:tr w:rsidR="00FD12AF" w:rsidRPr="003C6050" w:rsidTr="00B51DA4">
        <w:trPr>
          <w:trHeight w:val="1377"/>
        </w:trPr>
        <w:tc>
          <w:tcPr>
            <w:tcW w:w="2135" w:type="dxa"/>
            <w:shd w:val="clear" w:color="auto" w:fill="auto"/>
          </w:tcPr>
          <w:p w:rsidR="00FD12AF" w:rsidRPr="00A4268D" w:rsidRDefault="00FD12AF" w:rsidP="00B51DA4">
            <w:pPr>
              <w:spacing w:before="60" w:after="60" w:line="240" w:lineRule="atLeast"/>
              <w:jc w:val="left"/>
              <w:rPr>
                <w:rFonts w:asciiTheme="minorHAnsi" w:hAnsiTheme="minorHAnsi"/>
                <w:sz w:val="18"/>
              </w:rPr>
            </w:pPr>
            <w:r>
              <w:rPr>
                <w:rFonts w:asciiTheme="minorHAnsi" w:hAnsiTheme="minorHAnsi"/>
                <w:sz w:val="18"/>
              </w:rPr>
              <w:t xml:space="preserve">Other </w:t>
            </w:r>
          </w:p>
        </w:tc>
        <w:tc>
          <w:tcPr>
            <w:tcW w:w="2135" w:type="dxa"/>
            <w:shd w:val="clear" w:color="auto" w:fill="auto"/>
          </w:tcPr>
          <w:p w:rsidR="00FD12AF" w:rsidRPr="00014106" w:rsidRDefault="00FD12AF" w:rsidP="00F00136">
            <w:pPr>
              <w:pStyle w:val="TableBullet"/>
            </w:pPr>
            <w:r w:rsidRPr="00014106">
              <w:t>Reduction in allocations could affect regional economies and employment where there is a large EITE firm</w:t>
            </w:r>
          </w:p>
          <w:p w:rsidR="00FD12AF" w:rsidRPr="00014106" w:rsidRDefault="00FD12AF" w:rsidP="00F00136">
            <w:pPr>
              <w:pStyle w:val="TableBullet"/>
            </w:pPr>
            <w:r w:rsidRPr="001F5A05">
              <w:t xml:space="preserve">Māori could be impacted by changes to IA policy, particularly in the forestry sector and some regions with large Māori population </w:t>
            </w:r>
          </w:p>
        </w:tc>
        <w:tc>
          <w:tcPr>
            <w:tcW w:w="2135" w:type="dxa"/>
            <w:shd w:val="clear" w:color="auto" w:fill="auto"/>
          </w:tcPr>
          <w:p w:rsidR="00FD12AF" w:rsidRPr="001F5A05" w:rsidRDefault="00FD12AF" w:rsidP="00F00136">
            <w:pPr>
              <w:pStyle w:val="TableBullet"/>
            </w:pPr>
            <w:r w:rsidRPr="001F5A05">
              <w:t xml:space="preserve">Regional impacts expected to be </w:t>
            </w:r>
            <w:r>
              <w:t>small</w:t>
            </w:r>
            <w:r w:rsidRPr="001F5A05">
              <w:t xml:space="preserve"> given proposals maintain a level of IA sufficient to protect against leakage</w:t>
            </w:r>
            <w:r>
              <w:t xml:space="preserve"> </w:t>
            </w:r>
          </w:p>
          <w:p w:rsidR="00FD12AF" w:rsidRPr="005D1007" w:rsidRDefault="00FD12AF" w:rsidP="005D1007">
            <w:pPr>
              <w:pStyle w:val="TableBullet"/>
            </w:pPr>
            <w:r>
              <w:t xml:space="preserve">Impact </w:t>
            </w:r>
            <w:r w:rsidRPr="001F5A05">
              <w:t xml:space="preserve">on Māori expected to be </w:t>
            </w:r>
            <w:r>
              <w:t>small</w:t>
            </w:r>
            <w:r w:rsidRPr="001F5A05">
              <w:t xml:space="preserve"> given few Māori businesses receive allocations </w:t>
            </w:r>
          </w:p>
        </w:tc>
        <w:tc>
          <w:tcPr>
            <w:tcW w:w="2135" w:type="dxa"/>
          </w:tcPr>
          <w:p w:rsidR="00FD12AF" w:rsidRPr="001F5A05" w:rsidRDefault="00FD12AF" w:rsidP="00F00136">
            <w:pPr>
              <w:pStyle w:val="TableBullet"/>
            </w:pPr>
            <w:r>
              <w:t>High</w:t>
            </w:r>
          </w:p>
          <w:p w:rsidR="00FD12AF" w:rsidRPr="005D1007" w:rsidRDefault="00FD12AF" w:rsidP="005D1007">
            <w:pPr>
              <w:pStyle w:val="TableBullet"/>
            </w:pPr>
            <w:r>
              <w:t>A</w:t>
            </w:r>
            <w:r w:rsidRPr="001F5A05">
              <w:t>llocations will be realigned with the levels of assistance intended under the Act – ensuring a level of industrial is maintained to minimise the risk of leakage across the economy</w:t>
            </w:r>
            <w:r>
              <w:t xml:space="preserve"> </w:t>
            </w:r>
          </w:p>
        </w:tc>
      </w:tr>
      <w:tr w:rsidR="00FD12AF" w:rsidRPr="003C6050" w:rsidTr="00F00136">
        <w:trPr>
          <w:trHeight w:val="423"/>
        </w:trPr>
        <w:tc>
          <w:tcPr>
            <w:tcW w:w="8540" w:type="dxa"/>
            <w:gridSpan w:val="4"/>
            <w:shd w:val="clear" w:color="auto" w:fill="auto"/>
          </w:tcPr>
          <w:p w:rsidR="00FD12AF" w:rsidRPr="00F00136" w:rsidRDefault="00FD12AF" w:rsidP="00F00136">
            <w:pPr>
              <w:pStyle w:val="TableText"/>
              <w:rPr>
                <w:b/>
                <w:bCs/>
              </w:rPr>
            </w:pPr>
            <w:r w:rsidRPr="00F00136">
              <w:rPr>
                <w:rFonts w:eastAsia="Calibri"/>
                <w:b/>
                <w:bCs/>
              </w:rPr>
              <w:t>Additional benefits of updating allocative baselines and reassessing eligibility compared to taking no action</w:t>
            </w:r>
          </w:p>
        </w:tc>
      </w:tr>
      <w:tr w:rsidR="00FD12AF" w:rsidRPr="003C6050" w:rsidTr="00B51DA4">
        <w:trPr>
          <w:trHeight w:val="1377"/>
        </w:trPr>
        <w:tc>
          <w:tcPr>
            <w:tcW w:w="2135" w:type="dxa"/>
            <w:shd w:val="clear" w:color="auto" w:fill="auto"/>
          </w:tcPr>
          <w:p w:rsidR="00FD12AF" w:rsidRDefault="00FD12AF" w:rsidP="00F00136">
            <w:pPr>
              <w:pStyle w:val="TableText"/>
            </w:pPr>
            <w:r>
              <w:t xml:space="preserve">EITE firms </w:t>
            </w:r>
          </w:p>
        </w:tc>
        <w:tc>
          <w:tcPr>
            <w:tcW w:w="2135" w:type="dxa"/>
            <w:shd w:val="clear" w:color="auto" w:fill="auto"/>
          </w:tcPr>
          <w:p w:rsidR="00FD12AF" w:rsidRPr="00B654DA" w:rsidRDefault="00FD12AF" w:rsidP="00F00136">
            <w:pPr>
              <w:pStyle w:val="TableBullet"/>
            </w:pPr>
            <w:r>
              <w:t xml:space="preserve">Ensures </w:t>
            </w:r>
            <w:r w:rsidRPr="00B654DA">
              <w:t>EITE firms face an emissions price at the margin, encouraging emissions reductions</w:t>
            </w:r>
          </w:p>
        </w:tc>
        <w:tc>
          <w:tcPr>
            <w:tcW w:w="2135" w:type="dxa"/>
            <w:shd w:val="clear" w:color="auto" w:fill="auto"/>
          </w:tcPr>
          <w:p w:rsidR="00FD12AF" w:rsidRPr="001F5A05" w:rsidRDefault="00FD12AF" w:rsidP="00F00136">
            <w:pPr>
              <w:pStyle w:val="TableText"/>
            </w:pPr>
            <w:r>
              <w:t>N/A</w:t>
            </w:r>
          </w:p>
        </w:tc>
        <w:tc>
          <w:tcPr>
            <w:tcW w:w="2135" w:type="dxa"/>
          </w:tcPr>
          <w:p w:rsidR="00FD12AF" w:rsidRPr="00B654DA" w:rsidRDefault="00FD12AF" w:rsidP="00F00136">
            <w:pPr>
              <w:pStyle w:val="TableBullet"/>
            </w:pPr>
            <w:r>
              <w:t>Medium</w:t>
            </w:r>
          </w:p>
          <w:p w:rsidR="00FD12AF" w:rsidRDefault="00FD12AF" w:rsidP="00F00136">
            <w:pPr>
              <w:pStyle w:val="TableBullet"/>
            </w:pPr>
            <w:r>
              <w:t>Reducing over-allocations will ensure EITE firms face an incentive to reduce emissions</w:t>
            </w:r>
          </w:p>
          <w:p w:rsidR="00FD12AF" w:rsidRPr="00B654DA" w:rsidRDefault="00FD12AF" w:rsidP="00F00136">
            <w:pPr>
              <w:pStyle w:val="TableBullet"/>
            </w:pPr>
            <w:r>
              <w:t xml:space="preserve">Cannot estimate </w:t>
            </w:r>
            <w:r w:rsidRPr="00B654DA">
              <w:t>impact because emissions data is not available</w:t>
            </w:r>
          </w:p>
        </w:tc>
      </w:tr>
      <w:tr w:rsidR="00FD12AF" w:rsidRPr="003C6050" w:rsidTr="00B51DA4">
        <w:trPr>
          <w:trHeight w:val="1377"/>
        </w:trPr>
        <w:tc>
          <w:tcPr>
            <w:tcW w:w="2135" w:type="dxa"/>
            <w:shd w:val="clear" w:color="auto" w:fill="auto"/>
          </w:tcPr>
          <w:p w:rsidR="00FD12AF" w:rsidRDefault="00FD12AF" w:rsidP="00F00136">
            <w:pPr>
              <w:pStyle w:val="TableText"/>
            </w:pPr>
            <w:r>
              <w:t xml:space="preserve">Government </w:t>
            </w:r>
          </w:p>
        </w:tc>
        <w:tc>
          <w:tcPr>
            <w:tcW w:w="2135" w:type="dxa"/>
            <w:shd w:val="clear" w:color="auto" w:fill="auto"/>
          </w:tcPr>
          <w:p w:rsidR="00FD12AF" w:rsidRDefault="00FD12AF" w:rsidP="00F00136">
            <w:pPr>
              <w:pStyle w:val="TableBullet"/>
            </w:pPr>
            <w:r>
              <w:t>Reduction in over-allocation would decrease the direct fiscal cost of IA</w:t>
            </w:r>
          </w:p>
          <w:p w:rsidR="00FD12AF" w:rsidRDefault="00FD12AF" w:rsidP="00F00136">
            <w:pPr>
              <w:pStyle w:val="TableBullet"/>
            </w:pPr>
            <w:r>
              <w:t>Reduction in over-</w:t>
            </w:r>
            <w:r w:rsidRPr="00A4268D">
              <w:t>al</w:t>
            </w:r>
            <w:r>
              <w:t>location would increase the auction proceeds</w:t>
            </w:r>
          </w:p>
          <w:p w:rsidR="00FD12AF" w:rsidRPr="00B654DA" w:rsidRDefault="00FD12AF" w:rsidP="00F00136">
            <w:pPr>
              <w:pStyle w:val="TableBullet"/>
            </w:pPr>
            <w:r>
              <w:t>Improves the effectiveness of the NZ ETS to reduce emissions and meet climate change targets</w:t>
            </w:r>
          </w:p>
        </w:tc>
        <w:tc>
          <w:tcPr>
            <w:tcW w:w="2135" w:type="dxa"/>
            <w:shd w:val="clear" w:color="auto" w:fill="auto"/>
          </w:tcPr>
          <w:p w:rsidR="00FD12AF" w:rsidRPr="002B55F9" w:rsidRDefault="00FD12AF" w:rsidP="00F00136">
            <w:pPr>
              <w:pStyle w:val="TableBullet"/>
            </w:pPr>
            <w:r>
              <w:t xml:space="preserve">Decrease in </w:t>
            </w:r>
            <w:r w:rsidRPr="002B55F9">
              <w:t xml:space="preserve">direct fiscal cost of IA </w:t>
            </w:r>
            <w:r>
              <w:t>of</w:t>
            </w:r>
            <w:r w:rsidRPr="002B55F9">
              <w:t xml:space="preserve"> about $42 million</w:t>
            </w:r>
            <w:r>
              <w:t>, annually</w:t>
            </w:r>
          </w:p>
          <w:p w:rsidR="00FD12AF" w:rsidRDefault="00FD12AF" w:rsidP="005D1007">
            <w:pPr>
              <w:pStyle w:val="TableBullet"/>
            </w:pPr>
            <w:r>
              <w:t xml:space="preserve">Increase in annual auction proceeds of between </w:t>
            </w:r>
            <w:r w:rsidRPr="002B55F9">
              <w:t>$24 million and $60 million, assuming an auction clearing price of $20 and $50</w:t>
            </w:r>
          </w:p>
        </w:tc>
        <w:tc>
          <w:tcPr>
            <w:tcW w:w="2135" w:type="dxa"/>
          </w:tcPr>
          <w:p w:rsidR="00FD12AF" w:rsidRPr="002B55F9" w:rsidRDefault="00FD12AF" w:rsidP="00F00136">
            <w:pPr>
              <w:pStyle w:val="TableBullet"/>
            </w:pPr>
            <w:r>
              <w:t>High-medium (same as the cost to EITE firms)</w:t>
            </w:r>
          </w:p>
        </w:tc>
      </w:tr>
      <w:tr w:rsidR="00FD12AF" w:rsidRPr="003C6050" w:rsidTr="00B51DA4">
        <w:trPr>
          <w:trHeight w:val="1377"/>
        </w:trPr>
        <w:tc>
          <w:tcPr>
            <w:tcW w:w="2135" w:type="dxa"/>
            <w:shd w:val="clear" w:color="auto" w:fill="auto"/>
          </w:tcPr>
          <w:p w:rsidR="00FD12AF" w:rsidRDefault="00FD12AF" w:rsidP="00F00136">
            <w:pPr>
              <w:pStyle w:val="TableText"/>
            </w:pPr>
            <w:r>
              <w:t xml:space="preserve">Other </w:t>
            </w:r>
          </w:p>
        </w:tc>
        <w:tc>
          <w:tcPr>
            <w:tcW w:w="2135" w:type="dxa"/>
            <w:shd w:val="clear" w:color="auto" w:fill="auto"/>
          </w:tcPr>
          <w:p w:rsidR="00FD12AF" w:rsidRPr="002B55F9" w:rsidRDefault="00FD12AF" w:rsidP="00F00136">
            <w:pPr>
              <w:pStyle w:val="TableBullet"/>
            </w:pPr>
            <w:r>
              <w:t>Increased contribution from industry towards</w:t>
            </w:r>
            <w:r w:rsidRPr="002B55F9">
              <w:t xml:space="preserve"> climate change targets – reducing the emissions reductions required from other sectors</w:t>
            </w:r>
          </w:p>
        </w:tc>
        <w:tc>
          <w:tcPr>
            <w:tcW w:w="2135" w:type="dxa"/>
            <w:shd w:val="clear" w:color="auto" w:fill="auto"/>
          </w:tcPr>
          <w:p w:rsidR="00FD12AF" w:rsidRPr="00F00136" w:rsidRDefault="00FD12AF" w:rsidP="00F00136">
            <w:pPr>
              <w:pStyle w:val="TableText"/>
            </w:pPr>
            <w:r w:rsidRPr="00F00136">
              <w:t>N/A</w:t>
            </w:r>
          </w:p>
        </w:tc>
        <w:tc>
          <w:tcPr>
            <w:tcW w:w="2135" w:type="dxa"/>
          </w:tcPr>
          <w:p w:rsidR="00FD12AF" w:rsidRDefault="00FD12AF" w:rsidP="00F00136">
            <w:pPr>
              <w:pStyle w:val="TableBullet"/>
            </w:pPr>
            <w:r>
              <w:t>Medium</w:t>
            </w:r>
          </w:p>
        </w:tc>
      </w:tr>
    </w:tbl>
    <w:p w:rsidR="006B240E" w:rsidRPr="00A03684" w:rsidRDefault="006B240E" w:rsidP="00230D73">
      <w:pPr>
        <w:pStyle w:val="Heading2"/>
      </w:pPr>
      <w:bookmarkStart w:id="78" w:name="_Toc75336475"/>
      <w:r w:rsidRPr="00A03684">
        <w:t>EITE firms</w:t>
      </w:r>
      <w:bookmarkEnd w:id="78"/>
    </w:p>
    <w:p w:rsidR="00300BFB" w:rsidRPr="00A03684" w:rsidRDefault="00300BFB" w:rsidP="00581A23">
      <w:pPr>
        <w:pStyle w:val="BodyText"/>
      </w:pPr>
      <w:r w:rsidRPr="00A03684">
        <w:t xml:space="preserve">There are three interrelated </w:t>
      </w:r>
      <w:r w:rsidR="00E16473" w:rsidRPr="00A03684">
        <w:t xml:space="preserve">financial </w:t>
      </w:r>
      <w:r w:rsidRPr="00A03684">
        <w:t>cost</w:t>
      </w:r>
      <w:r w:rsidR="00E16473" w:rsidRPr="00A03684">
        <w:t>s</w:t>
      </w:r>
      <w:r w:rsidRPr="00A03684">
        <w:t xml:space="preserve"> from removing over-allocation. First, firms would receive fewer free NZUs to offset their emissions costs. Because NZUs are freely allocated and have a market </w:t>
      </w:r>
      <w:r w:rsidR="00E068EA" w:rsidRPr="00A03684">
        <w:t>value,</w:t>
      </w:r>
      <w:r w:rsidRPr="00A03684">
        <w:t xml:space="preserve"> they are a financial asset to fir</w:t>
      </w:r>
      <w:r w:rsidR="00E068EA" w:rsidRPr="00A03684">
        <w:t>ms. A reduction in this asset would be</w:t>
      </w:r>
      <w:r w:rsidRPr="00A03684">
        <w:t xml:space="preserve"> a fi</w:t>
      </w:r>
      <w:r w:rsidR="00E068EA" w:rsidRPr="00A03684">
        <w:t>nancial cost and would</w:t>
      </w:r>
      <w:r w:rsidRPr="00A03684">
        <w:t xml:space="preserve"> reduce the profitability of a firm. </w:t>
      </w:r>
    </w:p>
    <w:p w:rsidR="00300BFB" w:rsidRPr="00A03684" w:rsidRDefault="00300BFB" w:rsidP="00581A23">
      <w:pPr>
        <w:pStyle w:val="BodyText"/>
      </w:pPr>
      <w:r w:rsidRPr="00A03684">
        <w:t>Second, a reduction in allocations would increase the number of units a firm would need to source from the secondary market to meet their surrender obligations (if any). Meeting this cost would affect a firm’s profit margin</w:t>
      </w:r>
      <w:r w:rsidR="00E16473" w:rsidRPr="00A03684">
        <w:t>,</w:t>
      </w:r>
      <w:r w:rsidRPr="00A03684">
        <w:t xml:space="preserve"> and could fluctuate depending on the current NZU market price. </w:t>
      </w:r>
    </w:p>
    <w:p w:rsidR="00300BFB" w:rsidRPr="00A03684" w:rsidRDefault="00300BFB" w:rsidP="00581A23">
      <w:pPr>
        <w:pStyle w:val="BodyText"/>
      </w:pPr>
      <w:r w:rsidRPr="00A03684">
        <w:t>Third, a reduction in allocations would mean EITE firms have fewer units to sell and offset indirect NZ ETS costs, such as higher electricity costs. Increased fuel and energy costs would be</w:t>
      </w:r>
      <w:r w:rsidR="004F121C">
        <w:t> </w:t>
      </w:r>
      <w:r w:rsidRPr="00A03684">
        <w:t>absorbed in the firm’s profit margin (assuming they are in fact trade-exposed and unable to</w:t>
      </w:r>
      <w:r w:rsidR="004F121C">
        <w:t> </w:t>
      </w:r>
      <w:r w:rsidRPr="00A03684">
        <w:t>pass the cost on</w:t>
      </w:r>
      <w:r w:rsidR="00951CEC" w:rsidRPr="00A03684">
        <w:t xml:space="preserve"> </w:t>
      </w:r>
      <w:r w:rsidRPr="00A03684">
        <w:t xml:space="preserve">to consumers). The increase in indirect costs would depend on the current NZU price and the hedging behaviour that firms use to smooth out energy costs. </w:t>
      </w:r>
    </w:p>
    <w:p w:rsidR="006B240E" w:rsidRDefault="008B723A" w:rsidP="00581A23">
      <w:pPr>
        <w:pStyle w:val="BodyText"/>
      </w:pPr>
      <w:r w:rsidRPr="00A03684">
        <w:t>An</w:t>
      </w:r>
      <w:r w:rsidR="006B240E" w:rsidRPr="00A03684">
        <w:t xml:space="preserve"> immediate update of all allocative baselines would reduce the amount of allocation EITE firms receive. A firm carrying out a highl</w:t>
      </w:r>
      <w:r w:rsidR="00DC2D4C" w:rsidRPr="00A03684">
        <w:t>y emissions</w:t>
      </w:r>
      <w:r w:rsidR="00951CEC" w:rsidRPr="00A03684">
        <w:t>-</w:t>
      </w:r>
      <w:r w:rsidR="00DC2D4C" w:rsidRPr="00A03684">
        <w:t>intensive activity c</w:t>
      </w:r>
      <w:r w:rsidR="006B240E" w:rsidRPr="00A03684">
        <w:t>ould see its effective l</w:t>
      </w:r>
      <w:r w:rsidR="00DC2D4C" w:rsidRPr="00A03684">
        <w:t>evel of assistance (say 100 per</w:t>
      </w:r>
      <w:r w:rsidR="00E16473" w:rsidRPr="00A03684">
        <w:t xml:space="preserve"> </w:t>
      </w:r>
      <w:r w:rsidR="006B240E" w:rsidRPr="00A03684">
        <w:t>cent) reduced to the level deemed</w:t>
      </w:r>
      <w:r w:rsidR="006B2145" w:rsidRPr="00A03684">
        <w:t xml:space="preserve"> appropriate in the Act (89</w:t>
      </w:r>
      <w:r w:rsidR="00581A23" w:rsidRPr="00A03684">
        <w:t> </w:t>
      </w:r>
      <w:r w:rsidR="00DC2D4C" w:rsidRPr="00A03684">
        <w:t>per</w:t>
      </w:r>
      <w:r w:rsidR="00E16473" w:rsidRPr="00A03684">
        <w:t xml:space="preserve"> </w:t>
      </w:r>
      <w:r w:rsidR="006B240E" w:rsidRPr="00A03684">
        <w:t xml:space="preserve">cent). </w:t>
      </w:r>
    </w:p>
    <w:p w:rsidR="00A72079" w:rsidRPr="00A03684" w:rsidRDefault="00A72079" w:rsidP="00581A23">
      <w:pPr>
        <w:pStyle w:val="BodyText"/>
      </w:pPr>
      <w:r>
        <w:t xml:space="preserve">The 2020 data collection of the four EITE activities showed that updating baselines and reassessing eligibility using recent data is causing </w:t>
      </w:r>
      <w:r w:rsidRPr="00A03684">
        <w:t xml:space="preserve">$8 million </w:t>
      </w:r>
      <w:r>
        <w:t xml:space="preserve">of over-allocation each year to these industries. </w:t>
      </w:r>
    </w:p>
    <w:p w:rsidR="001C3255" w:rsidRPr="00A03684" w:rsidRDefault="00525421" w:rsidP="00581A23">
      <w:pPr>
        <w:pStyle w:val="BodyText"/>
      </w:pPr>
      <w:r w:rsidRPr="00A03684">
        <w:t xml:space="preserve">Extrapolating </w:t>
      </w:r>
      <w:r w:rsidR="00DC2D4C" w:rsidRPr="00A03684">
        <w:t xml:space="preserve">the </w:t>
      </w:r>
      <w:r w:rsidRPr="00A03684">
        <w:t xml:space="preserve">findings </w:t>
      </w:r>
      <w:r w:rsidR="001B2B91" w:rsidRPr="00A03684">
        <w:t xml:space="preserve">from the 2020 data collection, </w:t>
      </w:r>
      <w:r w:rsidRPr="00A03684">
        <w:t xml:space="preserve">the </w:t>
      </w:r>
      <w:r w:rsidR="001C3255" w:rsidRPr="00A03684">
        <w:t xml:space="preserve">impact of </w:t>
      </w:r>
      <w:r w:rsidR="001B2B91" w:rsidRPr="00A03684">
        <w:t>updating</w:t>
      </w:r>
      <w:r w:rsidR="001C3255" w:rsidRPr="00A03684">
        <w:t xml:space="preserve"> baselines </w:t>
      </w:r>
      <w:r w:rsidR="009804E2">
        <w:t xml:space="preserve">with recent data </w:t>
      </w:r>
      <w:r w:rsidR="005034E4" w:rsidRPr="00A03684">
        <w:t>c</w:t>
      </w:r>
      <w:r w:rsidR="001C3255" w:rsidRPr="00A03684">
        <w:t xml:space="preserve">ould reduce </w:t>
      </w:r>
      <w:r w:rsidR="00A72079">
        <w:t>allocations</w:t>
      </w:r>
      <w:r w:rsidR="001C3255" w:rsidRPr="00A03684">
        <w:t xml:space="preserve"> to industry (</w:t>
      </w:r>
      <w:r w:rsidR="002201EA" w:rsidRPr="00A03684">
        <w:t>8.28</w:t>
      </w:r>
      <w:r w:rsidR="004F121C">
        <w:t> </w:t>
      </w:r>
      <w:r w:rsidR="002201EA" w:rsidRPr="00A03684">
        <w:t>million</w:t>
      </w:r>
      <w:r w:rsidRPr="00A03684">
        <w:t xml:space="preserve"> units in 2019</w:t>
      </w:r>
      <w:r w:rsidR="002201EA" w:rsidRPr="00A03684">
        <w:t>) by</w:t>
      </w:r>
      <w:r w:rsidR="0039225C" w:rsidRPr="00A03684">
        <w:t xml:space="preserve"> about</w:t>
      </w:r>
      <w:r w:rsidR="002201EA" w:rsidRPr="00A03684">
        <w:t xml:space="preserve"> 900,000</w:t>
      </w:r>
      <w:r w:rsidR="0039225C" w:rsidRPr="00A03684">
        <w:t>,</w:t>
      </w:r>
      <w:r w:rsidR="002201EA" w:rsidRPr="00A03684">
        <w:t xml:space="preserve"> or </w:t>
      </w:r>
      <w:r w:rsidR="0039225C" w:rsidRPr="00A03684">
        <w:t xml:space="preserve">by </w:t>
      </w:r>
      <w:r w:rsidR="002201EA" w:rsidRPr="00A03684">
        <w:t>$31.5 million</w:t>
      </w:r>
      <w:r w:rsidR="007577FD" w:rsidRPr="00A03684">
        <w:rPr>
          <w:rStyle w:val="FootnoteReference"/>
        </w:rPr>
        <w:footnoteReference w:id="19"/>
      </w:r>
      <w:r w:rsidR="007577FD" w:rsidRPr="00A03684">
        <w:t xml:space="preserve"> per year</w:t>
      </w:r>
      <w:r w:rsidR="002201EA" w:rsidRPr="00A03684">
        <w:t xml:space="preserve">. </w:t>
      </w:r>
      <w:r w:rsidR="005034E4" w:rsidRPr="00A03684">
        <w:t>For the</w:t>
      </w:r>
      <w:r w:rsidR="001B2B91" w:rsidRPr="00A03684">
        <w:t xml:space="preserve"> </w:t>
      </w:r>
      <w:r w:rsidRPr="00A03684">
        <w:t>22 activit</w:t>
      </w:r>
      <w:r w:rsidR="001B2B91" w:rsidRPr="00A03684">
        <w:t>ies where</w:t>
      </w:r>
      <w:r w:rsidR="005034E4" w:rsidRPr="00A03684">
        <w:t xml:space="preserve"> data</w:t>
      </w:r>
      <w:r w:rsidR="0039225C" w:rsidRPr="00A03684">
        <w:t xml:space="preserve"> was not collected</w:t>
      </w:r>
      <w:r w:rsidR="005034E4" w:rsidRPr="00A03684">
        <w:t>, it is assumed</w:t>
      </w:r>
      <w:r w:rsidRPr="00A03684">
        <w:t xml:space="preserve"> </w:t>
      </w:r>
      <w:r w:rsidR="005034E4" w:rsidRPr="00A03684">
        <w:t xml:space="preserve">their </w:t>
      </w:r>
      <w:r w:rsidRPr="00A03684">
        <w:t>allocation drops by 10 per cent</w:t>
      </w:r>
      <w:r w:rsidR="00E16473" w:rsidRPr="00A03684">
        <w:t>,</w:t>
      </w:r>
      <w:r w:rsidRPr="00A03684">
        <w:t xml:space="preserve"> due to a reduction in their primary allocative baseline</w:t>
      </w:r>
      <w:r w:rsidR="00E7353E" w:rsidRPr="00A03684">
        <w:t>.</w:t>
      </w:r>
      <w:r w:rsidR="00CA7700" w:rsidRPr="00A03684">
        <w:rPr>
          <w:rStyle w:val="FootnoteReference"/>
        </w:rPr>
        <w:footnoteReference w:id="20"/>
      </w:r>
      <w:r w:rsidRPr="00A03684">
        <w:t xml:space="preserve"> </w:t>
      </w:r>
      <w:r w:rsidR="00CA7700" w:rsidRPr="00A03684">
        <w:t xml:space="preserve">This </w:t>
      </w:r>
      <w:r w:rsidR="00B628D3">
        <w:t>drop in allocation is based on the activity with the lowest drop in allocative baseline from the 2020 data collection</w:t>
      </w:r>
      <w:r w:rsidR="00CA7700" w:rsidRPr="00A03684">
        <w:t xml:space="preserve">. </w:t>
      </w:r>
    </w:p>
    <w:p w:rsidR="002201EA" w:rsidRPr="00A03684" w:rsidRDefault="00A72079" w:rsidP="007611D9">
      <w:pPr>
        <w:pStyle w:val="BodyText"/>
      </w:pPr>
      <w:r>
        <w:t>The impact of reassessing</w:t>
      </w:r>
      <w:r w:rsidR="001C3255" w:rsidRPr="00A03684">
        <w:t xml:space="preserve"> eligibility</w:t>
      </w:r>
      <w:r>
        <w:t xml:space="preserve"> using recent data</w:t>
      </w:r>
      <w:r w:rsidR="001C3255" w:rsidRPr="00A03684">
        <w:t xml:space="preserve"> </w:t>
      </w:r>
      <w:r w:rsidR="002201EA" w:rsidRPr="00A03684">
        <w:t>(</w:t>
      </w:r>
      <w:r>
        <w:t>and</w:t>
      </w:r>
      <w:r w:rsidR="002201EA" w:rsidRPr="00A03684">
        <w:t xml:space="preserve"> current rules) would reduce allocations by an estimated 580,000 units or $20.3</w:t>
      </w:r>
      <w:r w:rsidR="004F121C">
        <w:t> </w:t>
      </w:r>
      <w:r w:rsidR="002201EA" w:rsidRPr="00A03684">
        <w:t>million</w:t>
      </w:r>
      <w:r w:rsidR="007577FD" w:rsidRPr="00A03684">
        <w:t xml:space="preserve"> per year</w:t>
      </w:r>
      <w:r w:rsidR="002201EA" w:rsidRPr="00A03684">
        <w:t xml:space="preserve">. </w:t>
      </w:r>
      <w:r w:rsidR="005034E4" w:rsidRPr="00A03684">
        <w:t>This assumes that EITE activities close to a</w:t>
      </w:r>
      <w:r w:rsidR="001B2B91" w:rsidRPr="00A03684">
        <w:t>n emissions intensity</w:t>
      </w:r>
      <w:r w:rsidR="005034E4" w:rsidRPr="00A03684">
        <w:t xml:space="preserve"> threshold will fall below if reassessed using updated data. </w:t>
      </w:r>
    </w:p>
    <w:p w:rsidR="007577FD" w:rsidRPr="00A03684" w:rsidRDefault="005034E4" w:rsidP="00E7353E">
      <w:pPr>
        <w:pStyle w:val="BodyText"/>
        <w:keepLines/>
      </w:pPr>
      <w:r w:rsidRPr="00A03684">
        <w:t>If both allocative baselines and eligibility were reassessed using</w:t>
      </w:r>
      <w:r w:rsidR="00300BFB" w:rsidRPr="00A03684">
        <w:t xml:space="preserve"> current rules but</w:t>
      </w:r>
      <w:r w:rsidR="006B2145" w:rsidRPr="00A03684">
        <w:t xml:space="preserve"> </w:t>
      </w:r>
      <w:r w:rsidR="00A72079">
        <w:t xml:space="preserve">recent data, the total amount of over-allocation across </w:t>
      </w:r>
      <w:r w:rsidR="00300BFB" w:rsidRPr="00A03684">
        <w:t>all 26 activities</w:t>
      </w:r>
      <w:r w:rsidR="00CA7700" w:rsidRPr="00A03684">
        <w:t xml:space="preserve"> </w:t>
      </w:r>
      <w:r w:rsidR="00300BFB" w:rsidRPr="00A03684">
        <w:t>is</w:t>
      </w:r>
      <w:r w:rsidR="00824BAE" w:rsidRPr="00A03684">
        <w:t xml:space="preserve"> </w:t>
      </w:r>
      <w:r w:rsidR="00A72079">
        <w:t>estimated to be</w:t>
      </w:r>
      <w:r w:rsidR="00E16473" w:rsidRPr="00A03684">
        <w:t xml:space="preserve"> </w:t>
      </w:r>
      <w:r w:rsidR="00824BAE" w:rsidRPr="00A03684">
        <w:t xml:space="preserve">1.2 million units or $42 million </w:t>
      </w:r>
      <w:r w:rsidR="007577FD" w:rsidRPr="00A03684">
        <w:t>per year</w:t>
      </w:r>
      <w:r w:rsidR="00E7353E" w:rsidRPr="00A03684">
        <w:t>.</w:t>
      </w:r>
      <w:r w:rsidR="007577FD" w:rsidRPr="00A03684">
        <w:rPr>
          <w:rStyle w:val="FootnoteReference"/>
        </w:rPr>
        <w:footnoteReference w:id="21"/>
      </w:r>
      <w:r w:rsidR="00824BAE" w:rsidRPr="00A03684">
        <w:t xml:space="preserve"> </w:t>
      </w:r>
    </w:p>
    <w:p w:rsidR="00105599" w:rsidRPr="00A03684" w:rsidRDefault="00105599" w:rsidP="00105599">
      <w:pPr>
        <w:pStyle w:val="BodyText"/>
      </w:pPr>
      <w:r w:rsidRPr="00A03684">
        <w:t>The financial impact of just updating the emissions intensity criteria to use the New Zealand EAF could reduce allocations by $23 million per year at a $35 emissions price. However, this amount should be treated with some caution as it assumes the intensity thresholds remain the</w:t>
      </w:r>
      <w:r w:rsidR="00C30D50" w:rsidRPr="00A03684">
        <w:t> </w:t>
      </w:r>
      <w:r w:rsidRPr="00A03684">
        <w:t xml:space="preserve">same. It is possible they would need to change if the New Zealand EAF was used for eligibility purposes. </w:t>
      </w:r>
    </w:p>
    <w:p w:rsidR="0039150F" w:rsidRPr="00A03684" w:rsidRDefault="00E16473" w:rsidP="0076364B">
      <w:pPr>
        <w:pStyle w:val="BodyText"/>
      </w:pPr>
      <w:r w:rsidRPr="00A03684">
        <w:t xml:space="preserve">Although </w:t>
      </w:r>
      <w:r w:rsidR="0053039B" w:rsidRPr="00A03684">
        <w:t xml:space="preserve">the </w:t>
      </w:r>
      <w:r w:rsidR="00CD56E8" w:rsidRPr="00A03684">
        <w:t xml:space="preserve">update </w:t>
      </w:r>
      <w:r w:rsidR="0053039B" w:rsidRPr="00A03684">
        <w:t xml:space="preserve">of </w:t>
      </w:r>
      <w:r w:rsidR="00216DB3">
        <w:t xml:space="preserve">the </w:t>
      </w:r>
      <w:r w:rsidR="00CD56E8" w:rsidRPr="00A03684">
        <w:t>baselines</w:t>
      </w:r>
      <w:r w:rsidR="0053039B" w:rsidRPr="00A03684">
        <w:t xml:space="preserve"> and </w:t>
      </w:r>
      <w:r w:rsidR="00216DB3">
        <w:t xml:space="preserve">the reassessment of </w:t>
      </w:r>
      <w:r w:rsidR="0053039B" w:rsidRPr="00A03684">
        <w:t>eligibility would be a cost to EITE</w:t>
      </w:r>
      <w:r w:rsidR="0039150F" w:rsidRPr="00A03684">
        <w:t xml:space="preserve"> firms, </w:t>
      </w:r>
      <w:r w:rsidR="003C6110" w:rsidRPr="00A03684">
        <w:t>a</w:t>
      </w:r>
      <w:r w:rsidR="00F17A9F" w:rsidRPr="00A03684">
        <w:t xml:space="preserve"> reduction in their allocation is a removal of free units to a level deemed appropriate</w:t>
      </w:r>
      <w:r w:rsidR="007577FD" w:rsidRPr="00A03684">
        <w:t xml:space="preserve"> to reduce</w:t>
      </w:r>
      <w:r w:rsidR="00C30D50" w:rsidRPr="00A03684">
        <w:t> </w:t>
      </w:r>
      <w:r w:rsidR="007577FD" w:rsidRPr="00A03684">
        <w:t>the risk of leakage</w:t>
      </w:r>
      <w:r w:rsidR="00F17A9F" w:rsidRPr="00A03684">
        <w:t xml:space="preserve">. </w:t>
      </w:r>
      <w:r w:rsidR="007577FD" w:rsidRPr="00A03684">
        <w:t>T</w:t>
      </w:r>
      <w:r w:rsidR="0076364B" w:rsidRPr="00A03684">
        <w:t>he removal of over-allocation should not</w:t>
      </w:r>
      <w:r w:rsidR="0039150F" w:rsidRPr="00A03684">
        <w:t xml:space="preserve"> put </w:t>
      </w:r>
      <w:r w:rsidR="0039225C" w:rsidRPr="00A03684">
        <w:t>EITE firms</w:t>
      </w:r>
      <w:r w:rsidR="0039150F" w:rsidRPr="00A03684">
        <w:t xml:space="preserve"> at a competitive disadvantage and </w:t>
      </w:r>
      <w:r w:rsidR="00B94343" w:rsidRPr="00A03684">
        <w:t xml:space="preserve">at </w:t>
      </w:r>
      <w:r w:rsidR="007577FD" w:rsidRPr="00A03684">
        <w:t xml:space="preserve">greater </w:t>
      </w:r>
      <w:r w:rsidR="0039150F" w:rsidRPr="00A03684">
        <w:t xml:space="preserve">risk </w:t>
      </w:r>
      <w:r w:rsidR="00B94343" w:rsidRPr="00A03684">
        <w:t xml:space="preserve">of </w:t>
      </w:r>
      <w:r w:rsidR="0039150F" w:rsidRPr="00A03684">
        <w:t xml:space="preserve">leakage. </w:t>
      </w:r>
    </w:p>
    <w:p w:rsidR="00AB1916" w:rsidRPr="00A03684" w:rsidRDefault="0039225C" w:rsidP="007611D9">
      <w:pPr>
        <w:pStyle w:val="BodyText"/>
      </w:pPr>
      <w:r w:rsidRPr="00A03684">
        <w:t xml:space="preserve">The </w:t>
      </w:r>
      <w:r w:rsidR="00E16473" w:rsidRPr="00A03684">
        <w:t>G</w:t>
      </w:r>
      <w:r w:rsidRPr="00A03684">
        <w:t xml:space="preserve">overnment </w:t>
      </w:r>
      <w:r w:rsidR="00EE1219" w:rsidRPr="00A03684">
        <w:t xml:space="preserve">further </w:t>
      </w:r>
      <w:r w:rsidRPr="00A03684">
        <w:t xml:space="preserve">expects </w:t>
      </w:r>
      <w:r w:rsidR="000E750D" w:rsidRPr="00A03684">
        <w:t xml:space="preserve">that changes </w:t>
      </w:r>
      <w:r w:rsidR="00AB1916" w:rsidRPr="00A03684">
        <w:t xml:space="preserve">to allocations and eligibility </w:t>
      </w:r>
      <w:r w:rsidR="00EE1219" w:rsidRPr="00A03684">
        <w:t>will</w:t>
      </w:r>
      <w:r w:rsidR="007577FD" w:rsidRPr="00A03684">
        <w:t xml:space="preserve"> </w:t>
      </w:r>
      <w:r w:rsidR="00E16473" w:rsidRPr="00A03684">
        <w:t xml:space="preserve">only </w:t>
      </w:r>
      <w:r w:rsidR="007577FD" w:rsidRPr="00A03684">
        <w:t>minimal</w:t>
      </w:r>
      <w:r w:rsidR="00EE1219" w:rsidRPr="00A03684">
        <w:t>ly</w:t>
      </w:r>
      <w:r w:rsidR="00AB1916" w:rsidRPr="00A03684">
        <w:t xml:space="preserve"> </w:t>
      </w:r>
      <w:r w:rsidR="00E16473" w:rsidRPr="00A03684">
        <w:t xml:space="preserve">affect </w:t>
      </w:r>
      <w:r w:rsidR="00EE1219" w:rsidRPr="00A03684">
        <w:t>the competitiveness of</w:t>
      </w:r>
      <w:r w:rsidR="00AB1916" w:rsidRPr="00A03684">
        <w:t xml:space="preserve"> EITE firms</w:t>
      </w:r>
      <w:r w:rsidR="00E16473" w:rsidRPr="00A03684">
        <w:t>. O</w:t>
      </w:r>
      <w:r w:rsidR="000E750D" w:rsidRPr="00A03684">
        <w:t>ther factors</w:t>
      </w:r>
      <w:r w:rsidR="007577FD" w:rsidRPr="00A03684">
        <w:t>,</w:t>
      </w:r>
      <w:r w:rsidR="000E750D" w:rsidRPr="00A03684">
        <w:t xml:space="preserve"> including exchange rates, energy and</w:t>
      </w:r>
      <w:r w:rsidR="00D4781B" w:rsidRPr="00A03684">
        <w:t> </w:t>
      </w:r>
      <w:r w:rsidR="000E750D" w:rsidRPr="00A03684">
        <w:t>commodity prices</w:t>
      </w:r>
      <w:r w:rsidR="00EE1219" w:rsidRPr="00A03684">
        <w:t>,</w:t>
      </w:r>
      <w:r w:rsidR="000E750D" w:rsidRPr="00A03684">
        <w:t xml:space="preserve"> are </w:t>
      </w:r>
      <w:r w:rsidR="007577FD" w:rsidRPr="00A03684">
        <w:t xml:space="preserve">greater and more </w:t>
      </w:r>
      <w:r w:rsidR="000E750D" w:rsidRPr="00A03684">
        <w:t xml:space="preserve">likely </w:t>
      </w:r>
      <w:r w:rsidR="007577FD" w:rsidRPr="00A03684">
        <w:t>to influence</w:t>
      </w:r>
      <w:r w:rsidR="00AB1916" w:rsidRPr="00A03684">
        <w:t xml:space="preserve"> business investment</w:t>
      </w:r>
      <w:r w:rsidR="00CA7700" w:rsidRPr="00A03684">
        <w:t xml:space="preserve"> and financial viability</w:t>
      </w:r>
      <w:r w:rsidR="00AB1916" w:rsidRPr="00A03684">
        <w:t>.</w:t>
      </w:r>
      <w:r w:rsidR="00A03684" w:rsidRPr="00A03684">
        <w:t xml:space="preserve"> </w:t>
      </w:r>
    </w:p>
    <w:p w:rsidR="006B240E" w:rsidRPr="00A03684" w:rsidRDefault="006B240E" w:rsidP="00230D73">
      <w:pPr>
        <w:pStyle w:val="Heading2"/>
      </w:pPr>
      <w:bookmarkStart w:id="79" w:name="_Toc75336476"/>
      <w:r w:rsidRPr="00A03684">
        <w:t xml:space="preserve">The </w:t>
      </w:r>
      <w:r w:rsidR="00F04350" w:rsidRPr="00A03684">
        <w:t>G</w:t>
      </w:r>
      <w:r w:rsidRPr="00A03684">
        <w:t>overnment</w:t>
      </w:r>
      <w:bookmarkEnd w:id="79"/>
    </w:p>
    <w:p w:rsidR="006B240E" w:rsidRPr="00A03684" w:rsidRDefault="006B240E" w:rsidP="007611D9">
      <w:pPr>
        <w:pStyle w:val="BodyText"/>
      </w:pPr>
      <w:r w:rsidRPr="00A03684">
        <w:t>Addressing over-allocation by updating baselines or reviewing eligibility would reduce the</w:t>
      </w:r>
      <w:r w:rsidR="004F121C">
        <w:t> </w:t>
      </w:r>
      <w:r w:rsidRPr="00A03684">
        <w:t xml:space="preserve">fiscal cost of </w:t>
      </w:r>
      <w:r w:rsidR="001437FD" w:rsidRPr="00A03684">
        <w:t>IA</w:t>
      </w:r>
      <w:r w:rsidRPr="00A03684">
        <w:t xml:space="preserve">. </w:t>
      </w:r>
    </w:p>
    <w:p w:rsidR="00A34DE4" w:rsidRPr="00A03684" w:rsidRDefault="00951CEC" w:rsidP="007611D9">
      <w:pPr>
        <w:pStyle w:val="BodyText"/>
      </w:pPr>
      <w:r w:rsidRPr="00A03684">
        <w:t>T</w:t>
      </w:r>
      <w:r w:rsidR="006B240E" w:rsidRPr="00A03684">
        <w:t xml:space="preserve">he </w:t>
      </w:r>
      <w:r w:rsidR="00F04350" w:rsidRPr="00A03684">
        <w:t>G</w:t>
      </w:r>
      <w:r w:rsidR="006B240E" w:rsidRPr="00A03684">
        <w:t xml:space="preserve">overnment would reduce the direct fiscal cost of </w:t>
      </w:r>
      <w:r w:rsidR="001437FD" w:rsidRPr="00A03684">
        <w:t>IA</w:t>
      </w:r>
      <w:r w:rsidR="006B240E" w:rsidRPr="00A03684">
        <w:t xml:space="preserve"> by allocating fewer NZUs. Allocations</w:t>
      </w:r>
      <w:r w:rsidR="004F121C">
        <w:t> </w:t>
      </w:r>
      <w:r w:rsidR="006B240E" w:rsidRPr="00A03684">
        <w:t xml:space="preserve">are recorded as an expense in the </w:t>
      </w:r>
      <w:r w:rsidR="00F04350" w:rsidRPr="00A03684">
        <w:t>G</w:t>
      </w:r>
      <w:r w:rsidR="006B240E" w:rsidRPr="00A03684">
        <w:t>overnment’s financial statements, which creates a liability.</w:t>
      </w:r>
      <w:r w:rsidR="004F121C">
        <w:t> </w:t>
      </w:r>
      <w:r w:rsidR="00AB1916" w:rsidRPr="00A03684">
        <w:t xml:space="preserve">As stated, the </w:t>
      </w:r>
      <w:r w:rsidR="00910434" w:rsidRPr="00A03684">
        <w:t>allocation</w:t>
      </w:r>
      <w:r w:rsidR="00A040F4" w:rsidRPr="00A03684">
        <w:t xml:space="preserve"> of </w:t>
      </w:r>
      <w:r w:rsidR="00CD56E8" w:rsidRPr="00A03684">
        <w:t xml:space="preserve">the </w:t>
      </w:r>
      <w:r w:rsidR="00910434" w:rsidRPr="00A03684">
        <w:t xml:space="preserve">four </w:t>
      </w:r>
      <w:r w:rsidR="00A040F4" w:rsidRPr="00A03684">
        <w:t>eligible activities</w:t>
      </w:r>
      <w:r w:rsidR="00910434" w:rsidRPr="00A03684">
        <w:t xml:space="preserve"> (table 4)</w:t>
      </w:r>
      <w:r w:rsidR="00A040F4" w:rsidRPr="00A03684">
        <w:t xml:space="preserve"> that are over</w:t>
      </w:r>
      <w:r w:rsidR="004F121C">
        <w:noBreakHyphen/>
      </w:r>
      <w:r w:rsidR="00A040F4" w:rsidRPr="00A03684">
        <w:t xml:space="preserve">allocated </w:t>
      </w:r>
      <w:r w:rsidR="00CD56E8" w:rsidRPr="00A03684">
        <w:t xml:space="preserve">is </w:t>
      </w:r>
      <w:r w:rsidR="00A040F4" w:rsidRPr="00A03684">
        <w:t>estimated to be $8 million in 2019</w:t>
      </w:r>
      <w:r w:rsidR="007577FD" w:rsidRPr="00A03684">
        <w:t>.</w:t>
      </w:r>
      <w:r w:rsidR="00A040F4" w:rsidRPr="00A03684">
        <w:t xml:space="preserve"> </w:t>
      </w:r>
      <w:r w:rsidR="007577FD" w:rsidRPr="00A03684">
        <w:t>T</w:t>
      </w:r>
      <w:r w:rsidR="00A040F4" w:rsidRPr="00A03684">
        <w:t>he total 2019 allocatio</w:t>
      </w:r>
      <w:r w:rsidR="007577FD" w:rsidRPr="00A03684">
        <w:t xml:space="preserve">n to these industries was </w:t>
      </w:r>
      <w:r w:rsidR="00A040F4" w:rsidRPr="00A03684">
        <w:t>$37</w:t>
      </w:r>
      <w:r w:rsidR="00D4781B" w:rsidRPr="00A03684">
        <w:t> </w:t>
      </w:r>
      <w:r w:rsidR="00A040F4" w:rsidRPr="00A03684">
        <w:t xml:space="preserve">million. </w:t>
      </w:r>
    </w:p>
    <w:p w:rsidR="00B94343" w:rsidRPr="00A03684" w:rsidRDefault="006B240E" w:rsidP="007611D9">
      <w:pPr>
        <w:jc w:val="left"/>
      </w:pPr>
      <w:r w:rsidRPr="00A03684">
        <w:t xml:space="preserve">Reducing over-allocation would also allow the </w:t>
      </w:r>
      <w:r w:rsidR="00F04350" w:rsidRPr="00A03684">
        <w:t>G</w:t>
      </w:r>
      <w:r w:rsidRPr="00A03684">
        <w:t>overnment to auction more units and increase</w:t>
      </w:r>
      <w:r w:rsidR="00685144" w:rsidRPr="00A03684">
        <w:t> </w:t>
      </w:r>
      <w:r w:rsidRPr="00A03684">
        <w:t xml:space="preserve">auction revenue over the first emissions budget period. As discussed in section 3, over-allocation increases the volume of </w:t>
      </w:r>
      <w:r w:rsidR="001437FD" w:rsidRPr="00A03684">
        <w:t>IA</w:t>
      </w:r>
      <w:r w:rsidRPr="00A03684">
        <w:t xml:space="preserve"> in th</w:t>
      </w:r>
      <w:r w:rsidR="00A040F4" w:rsidRPr="00A03684">
        <w:t xml:space="preserve">e NZ ETS cap. </w:t>
      </w:r>
      <w:r w:rsidR="00386C1E" w:rsidRPr="00A03684">
        <w:t xml:space="preserve">Reducing over-allocation </w:t>
      </w:r>
      <w:r w:rsidR="00A040F4" w:rsidRPr="00A03684">
        <w:t>means</w:t>
      </w:r>
      <w:r w:rsidR="00B6615B">
        <w:t> </w:t>
      </w:r>
      <w:r w:rsidR="00A040F4" w:rsidRPr="00A03684">
        <w:t xml:space="preserve">there </w:t>
      </w:r>
      <w:r w:rsidR="00F04350" w:rsidRPr="00A03684">
        <w:t>are fewer</w:t>
      </w:r>
      <w:r w:rsidRPr="00A03684">
        <w:t xml:space="preserve"> un-allocated units in the cap that can be auctioned. Proposals to realign</w:t>
      </w:r>
      <w:r w:rsidR="00B6615B">
        <w:t> </w:t>
      </w:r>
      <w:r w:rsidRPr="00A03684">
        <w:t>allocation volumes to account for over-allocation would increase the auction volume.</w:t>
      </w:r>
      <w:r w:rsidR="00EE1219" w:rsidRPr="00A03684">
        <w:t xml:space="preserve"> Removing over-allocation</w:t>
      </w:r>
      <w:r w:rsidR="00464D7E" w:rsidRPr="00A03684">
        <w:t xml:space="preserve"> could increase </w:t>
      </w:r>
      <w:r w:rsidR="00EE1219" w:rsidRPr="00A03684">
        <w:t>annual auction volume</w:t>
      </w:r>
      <w:r w:rsidR="00464D7E" w:rsidRPr="00A03684">
        <w:t>s</w:t>
      </w:r>
      <w:r w:rsidR="00EE1219" w:rsidRPr="00A03684">
        <w:t xml:space="preserve"> by 1.2 million NZU</w:t>
      </w:r>
      <w:r w:rsidR="00464D7E" w:rsidRPr="00A03684">
        <w:t>s, which</w:t>
      </w:r>
      <w:r w:rsidR="00740431" w:rsidRPr="00A03684">
        <w:t> </w:t>
      </w:r>
      <w:r w:rsidR="00464D7E" w:rsidRPr="00A03684">
        <w:t>would increase auction revenue by $24 million to $60 million</w:t>
      </w:r>
      <w:r w:rsidR="00685144" w:rsidRPr="00A03684">
        <w:t>.</w:t>
      </w:r>
      <w:r w:rsidR="00464D7E" w:rsidRPr="00A03684">
        <w:rPr>
          <w:rStyle w:val="FootnoteReference"/>
        </w:rPr>
        <w:footnoteReference w:id="22"/>
      </w:r>
      <w:r w:rsidR="00464D7E" w:rsidRPr="00A03684">
        <w:t xml:space="preserve"> </w:t>
      </w:r>
    </w:p>
    <w:p w:rsidR="006B240E" w:rsidRPr="00A03684" w:rsidRDefault="006B240E" w:rsidP="00230D73">
      <w:pPr>
        <w:pStyle w:val="Heading2"/>
      </w:pPr>
      <w:bookmarkStart w:id="80" w:name="_Toc75336477"/>
      <w:r w:rsidRPr="00A03684">
        <w:t>Regional economies</w:t>
      </w:r>
      <w:bookmarkEnd w:id="80"/>
    </w:p>
    <w:p w:rsidR="006B240E" w:rsidRPr="00A03684" w:rsidRDefault="006B240E" w:rsidP="007611D9">
      <w:pPr>
        <w:pStyle w:val="BodyText"/>
      </w:pPr>
      <w:r w:rsidRPr="00A03684">
        <w:t xml:space="preserve">A number of large EITE firms are significant contributors to </w:t>
      </w:r>
      <w:r w:rsidR="008D5E6D" w:rsidRPr="00A03684">
        <w:t>particular</w:t>
      </w:r>
      <w:r w:rsidRPr="00A03684">
        <w:t xml:space="preserve"> regional economies. The</w:t>
      </w:r>
      <w:r w:rsidR="00B6615B">
        <w:t> </w:t>
      </w:r>
      <w:r w:rsidRPr="00A03684">
        <w:t>cost impact</w:t>
      </w:r>
      <w:r w:rsidR="00F04350" w:rsidRPr="00A03684">
        <w:t xml:space="preserve"> of</w:t>
      </w:r>
      <w:r w:rsidRPr="00A03684">
        <w:t xml:space="preserve"> reducing </w:t>
      </w:r>
      <w:r w:rsidR="001437FD" w:rsidRPr="00A03684">
        <w:t>IA</w:t>
      </w:r>
      <w:r w:rsidRPr="00A03684">
        <w:t xml:space="preserve">s could </w:t>
      </w:r>
      <w:r w:rsidR="00F04350" w:rsidRPr="00A03684">
        <w:t>include</w:t>
      </w:r>
      <w:r w:rsidRPr="00A03684">
        <w:t xml:space="preserve"> s</w:t>
      </w:r>
      <w:r w:rsidR="00A32529" w:rsidRPr="00A03684">
        <w:t>ome flow-on effects in some regional</w:t>
      </w:r>
      <w:r w:rsidRPr="00A03684">
        <w:t xml:space="preserve"> economies</w:t>
      </w:r>
      <w:r w:rsidR="00F04350" w:rsidRPr="00A03684">
        <w:t>,</w:t>
      </w:r>
      <w:r w:rsidR="00AB1916" w:rsidRPr="00A03684">
        <w:t xml:space="preserve"> but</w:t>
      </w:r>
      <w:r w:rsidR="002B7C62">
        <w:t> </w:t>
      </w:r>
      <w:r w:rsidR="00AB1916" w:rsidRPr="00A03684">
        <w:t>these are</w:t>
      </w:r>
      <w:r w:rsidR="00D30DE6" w:rsidRPr="00A03684">
        <w:t xml:space="preserve"> uncertain</w:t>
      </w:r>
      <w:r w:rsidRPr="00A03684">
        <w:t xml:space="preserve">. </w:t>
      </w:r>
      <w:r w:rsidR="00D30DE6" w:rsidRPr="00A03684">
        <w:t>Any</w:t>
      </w:r>
      <w:r w:rsidRPr="00A03684">
        <w:t xml:space="preserve"> impacts are </w:t>
      </w:r>
      <w:r w:rsidR="003A5A57" w:rsidRPr="00A03684">
        <w:t>likely to be minimal</w:t>
      </w:r>
      <w:r w:rsidR="00F04350" w:rsidRPr="00A03684">
        <w:t>,</w:t>
      </w:r>
      <w:r w:rsidR="003A5A57" w:rsidRPr="00A03684">
        <w:t xml:space="preserve"> given </w:t>
      </w:r>
      <w:r w:rsidRPr="00A03684">
        <w:t>the proposals will maintain</w:t>
      </w:r>
      <w:r w:rsidR="00740431" w:rsidRPr="00A03684">
        <w:t> </w:t>
      </w:r>
      <w:r w:rsidR="0069103F" w:rsidRPr="00A03684">
        <w:t>enough</w:t>
      </w:r>
      <w:r w:rsidRPr="00A03684">
        <w:t xml:space="preserve"> support</w:t>
      </w:r>
      <w:r w:rsidR="00D30DE6" w:rsidRPr="00A03684">
        <w:t xml:space="preserve"> (as regarded by legislation)</w:t>
      </w:r>
      <w:r w:rsidRPr="00A03684">
        <w:t xml:space="preserve"> for firms to </w:t>
      </w:r>
      <w:r w:rsidR="0069103F" w:rsidRPr="00A03684">
        <w:t xml:space="preserve">stay </w:t>
      </w:r>
      <w:r w:rsidRPr="00A03684">
        <w:t xml:space="preserve">competitive against overseas activities. </w:t>
      </w:r>
    </w:p>
    <w:p w:rsidR="008D5E6D" w:rsidRPr="00A03684" w:rsidRDefault="008D5E6D" w:rsidP="008D5E6D">
      <w:pPr>
        <w:pStyle w:val="BodyText"/>
      </w:pPr>
      <w:r w:rsidRPr="00A03684">
        <w:t xml:space="preserve">Furthermore, the cost impacts from reducing allocations are small compared to other costs </w:t>
      </w:r>
      <w:r w:rsidR="00F04350" w:rsidRPr="00A03684">
        <w:t xml:space="preserve">that </w:t>
      </w:r>
      <w:r w:rsidRPr="00A03684">
        <w:t xml:space="preserve">firms face. Other input costs, such as fuel and electricity, are far more material than </w:t>
      </w:r>
      <w:r w:rsidR="00F04350" w:rsidRPr="00A03684">
        <w:t xml:space="preserve">those </w:t>
      </w:r>
      <w:r w:rsidRPr="00A03684">
        <w:t xml:space="preserve">imposed by the NZ ETS, and more likely to drive business decisions that would </w:t>
      </w:r>
      <w:r w:rsidR="00A808F6" w:rsidRPr="00A03684">
        <w:t xml:space="preserve">have a </w:t>
      </w:r>
      <w:r w:rsidRPr="00A03684">
        <w:t>regional impact. For example, many industrial firms have recently cited high electricity prices as threatening their financial viability in New Zealand.</w:t>
      </w:r>
    </w:p>
    <w:p w:rsidR="00AA05C9" w:rsidRPr="00A03684" w:rsidRDefault="00AA05C9" w:rsidP="00230D73">
      <w:pPr>
        <w:pStyle w:val="Heading2"/>
      </w:pPr>
      <w:bookmarkStart w:id="81" w:name="_Toc75336478"/>
      <w:r w:rsidRPr="00A03684">
        <w:t>Māori and Te Tiriti o Waitangi implications</w:t>
      </w:r>
      <w:bookmarkEnd w:id="81"/>
    </w:p>
    <w:p w:rsidR="00AB1916" w:rsidRPr="00A03684" w:rsidRDefault="00AA05C9" w:rsidP="00AB1916">
      <w:pPr>
        <w:pStyle w:val="BodyText"/>
      </w:pPr>
      <w:r w:rsidRPr="00A03684">
        <w:t xml:space="preserve">Māori </w:t>
      </w:r>
      <w:r w:rsidR="00AB1916" w:rsidRPr="00A03684">
        <w:t xml:space="preserve">have </w:t>
      </w:r>
      <w:r w:rsidR="00F04350" w:rsidRPr="00A03684">
        <w:t xml:space="preserve">a </w:t>
      </w:r>
      <w:r w:rsidR="00AB1916" w:rsidRPr="00A03684">
        <w:t>significant stake in climate policy</w:t>
      </w:r>
      <w:r w:rsidR="00F04350" w:rsidRPr="00A03684">
        <w:t>. C</w:t>
      </w:r>
      <w:r w:rsidR="00AB1916" w:rsidRPr="00A03684">
        <w:t>limate change threatens the loss of culturally significant land, taonga species</w:t>
      </w:r>
      <w:r w:rsidR="00C109AA">
        <w:t>,</w:t>
      </w:r>
      <w:r w:rsidR="00AB1916" w:rsidRPr="00A03684">
        <w:t xml:space="preserve"> and resources affecting the perpetuity of mātauranga and tikanga Māori.</w:t>
      </w:r>
    </w:p>
    <w:p w:rsidR="009F413B" w:rsidRPr="00A03684" w:rsidRDefault="00AB1916" w:rsidP="00AB1916">
      <w:pPr>
        <w:pStyle w:val="BodyText"/>
      </w:pPr>
      <w:r w:rsidRPr="00A03684">
        <w:t>There is a strong Tiriti and Māori interest in NZ ETS. This is d</w:t>
      </w:r>
      <w:r w:rsidR="00910434" w:rsidRPr="00A03684">
        <w:t>riven by a commitment t</w:t>
      </w:r>
      <w:r w:rsidRPr="00A03684">
        <w:t>o reduce emissions and address climate change, and the potential impacts of emissions pricing on Māori</w:t>
      </w:r>
      <w:r w:rsidR="002B7C62">
        <w:t> </w:t>
      </w:r>
      <w:r w:rsidRPr="00A03684">
        <w:t xml:space="preserve">involvement in forestry and agriculture – particularly as these sectors dominate Māori economic development and employment. </w:t>
      </w:r>
    </w:p>
    <w:p w:rsidR="00AB1916" w:rsidRPr="00A03684" w:rsidRDefault="009F413B" w:rsidP="00AB1916">
      <w:pPr>
        <w:pStyle w:val="BodyText"/>
      </w:pPr>
      <w:r w:rsidRPr="00A03684">
        <w:t>F</w:t>
      </w:r>
      <w:r w:rsidR="00AB1916" w:rsidRPr="00A03684">
        <w:t>ree allocation policy</w:t>
      </w:r>
      <w:r w:rsidRPr="00A03684">
        <w:t>,</w:t>
      </w:r>
      <w:r w:rsidR="00AB1916" w:rsidRPr="00A03684">
        <w:t xml:space="preserve"> as it relates to agriculture and forestry</w:t>
      </w:r>
      <w:r w:rsidRPr="00A03684">
        <w:t>,</w:t>
      </w:r>
      <w:r w:rsidR="00AB1916" w:rsidRPr="00A03684">
        <w:t xml:space="preserve"> </w:t>
      </w:r>
      <w:r w:rsidR="00FD7D25" w:rsidRPr="00A03684">
        <w:t xml:space="preserve">is </w:t>
      </w:r>
      <w:r w:rsidR="00AB1916" w:rsidRPr="00A03684">
        <w:t xml:space="preserve">of direct interest to Māori. </w:t>
      </w:r>
      <w:r w:rsidR="00FD7D25" w:rsidRPr="00A03684">
        <w:t>An example is</w:t>
      </w:r>
      <w:r w:rsidR="00AB1916" w:rsidRPr="00A03684">
        <w:t xml:space="preserve"> the allocation of NZUs to pre-1990 forest owners to compensate for the loss of land value from NZ ETS deforestation liabilities</w:t>
      </w:r>
      <w:r w:rsidR="00FD7D25" w:rsidRPr="00A03684">
        <w:t>. This</w:t>
      </w:r>
      <w:r w:rsidR="00AB1916" w:rsidRPr="00A03684">
        <w:t xml:space="preserve"> touched on issues </w:t>
      </w:r>
      <w:r w:rsidR="00A808F6" w:rsidRPr="00A03684">
        <w:t>of</w:t>
      </w:r>
      <w:r w:rsidR="00AB1916" w:rsidRPr="00A03684">
        <w:t xml:space="preserve"> </w:t>
      </w:r>
      <w:r w:rsidR="00A808F6" w:rsidRPr="00A03684">
        <w:t xml:space="preserve">the </w:t>
      </w:r>
      <w:r w:rsidR="00AB1916" w:rsidRPr="00A03684">
        <w:t>equitable treatment of Māori-owned land received from Treaty settlements.</w:t>
      </w:r>
      <w:r w:rsidR="00A03684" w:rsidRPr="00A03684">
        <w:t xml:space="preserve"> </w:t>
      </w:r>
    </w:p>
    <w:p w:rsidR="00AB1916" w:rsidRPr="00A03684" w:rsidRDefault="00AB1916" w:rsidP="00AB1916">
      <w:pPr>
        <w:pStyle w:val="BodyText"/>
      </w:pPr>
      <w:r w:rsidRPr="00A03684">
        <w:t xml:space="preserve">Assessing the Māori interest in </w:t>
      </w:r>
      <w:r w:rsidR="001437FD" w:rsidRPr="00A03684">
        <w:t>IA</w:t>
      </w:r>
      <w:r w:rsidRPr="00A03684">
        <w:t xml:space="preserve"> policy is more complex. </w:t>
      </w:r>
      <w:r w:rsidR="001437FD" w:rsidRPr="00A03684">
        <w:t>IA</w:t>
      </w:r>
      <w:r w:rsidRPr="00A03684">
        <w:t xml:space="preserve"> is </w:t>
      </w:r>
      <w:r w:rsidR="001B2B91" w:rsidRPr="00A03684">
        <w:t>mainly of</w:t>
      </w:r>
      <w:r w:rsidRPr="00A03684">
        <w:t xml:space="preserve"> interest to EITE firms receiving an allocation – most of which are owned or majority-owned by overseas entities. None are Māori-owned, nor are there significant Māori interests in these companies. As Māori-owned businesses </w:t>
      </w:r>
      <w:r w:rsidR="00910434" w:rsidRPr="00A03684">
        <w:t xml:space="preserve">largely </w:t>
      </w:r>
      <w:r w:rsidR="00FD7D25" w:rsidRPr="00A03684">
        <w:t xml:space="preserve">do not receive </w:t>
      </w:r>
      <w:r w:rsidR="001437FD" w:rsidRPr="00A03684">
        <w:t>IA</w:t>
      </w:r>
      <w:r w:rsidRPr="00A03684">
        <w:t xml:space="preserve">, they </w:t>
      </w:r>
      <w:r w:rsidR="009F413B" w:rsidRPr="00A03684">
        <w:t>would not be</w:t>
      </w:r>
      <w:r w:rsidRPr="00A03684">
        <w:t xml:space="preserve"> directly affected by changes to allocation or eligibility settings. </w:t>
      </w:r>
    </w:p>
    <w:p w:rsidR="00AB1916" w:rsidRPr="00A03684" w:rsidRDefault="00AB1916" w:rsidP="00AB1916">
      <w:pPr>
        <w:pStyle w:val="BodyText"/>
      </w:pPr>
      <w:r w:rsidRPr="00A03684">
        <w:t>However, the Māori economy may be more exposed to the risk of emissions leakage than the broader New Zealand economy</w:t>
      </w:r>
      <w:r w:rsidR="00740431" w:rsidRPr="00A03684">
        <w:t>.</w:t>
      </w:r>
      <w:r w:rsidRPr="00A03684">
        <w:rPr>
          <w:rStyle w:val="FootnoteReference"/>
        </w:rPr>
        <w:footnoteReference w:id="23"/>
      </w:r>
      <w:r w:rsidRPr="00A03684">
        <w:t xml:space="preserve"> This could mean </w:t>
      </w:r>
      <w:r w:rsidR="001437FD" w:rsidRPr="00A03684">
        <w:t>IA</w:t>
      </w:r>
      <w:r w:rsidRPr="00A03684">
        <w:t xml:space="preserve"> is more important to Māori than to the economy as a whole – implying there is a broad Māori interest in </w:t>
      </w:r>
      <w:r w:rsidR="001437FD" w:rsidRPr="00A03684">
        <w:t>IA</w:t>
      </w:r>
      <w:r w:rsidRPr="00A03684">
        <w:t xml:space="preserve"> policy and its outcomes.</w:t>
      </w:r>
    </w:p>
    <w:p w:rsidR="009F413B" w:rsidRPr="00A03684" w:rsidRDefault="00AB1916" w:rsidP="00AB1916">
      <w:pPr>
        <w:pStyle w:val="BodyText"/>
      </w:pPr>
      <w:r w:rsidRPr="00A03684">
        <w:t xml:space="preserve">Changes in </w:t>
      </w:r>
      <w:r w:rsidR="001437FD" w:rsidRPr="00A03684">
        <w:t>IA</w:t>
      </w:r>
      <w:r w:rsidRPr="00A03684">
        <w:t xml:space="preserve"> would affect the profitability of</w:t>
      </w:r>
      <w:r w:rsidR="001B2B91" w:rsidRPr="00A03684">
        <w:t xml:space="preserve"> industries that employ a high</w:t>
      </w:r>
      <w:r w:rsidRPr="00A03684">
        <w:t xml:space="preserve"> p</w:t>
      </w:r>
      <w:r w:rsidR="001B2B91" w:rsidRPr="00A03684">
        <w:t>roportion of Māori compared to</w:t>
      </w:r>
      <w:r w:rsidRPr="00A03684">
        <w:t xml:space="preserve"> other ethnic groups (in manufacturing, agriculture and forestry). </w:t>
      </w:r>
      <w:r w:rsidR="004F1B64" w:rsidRPr="00A03684">
        <w:t>Also</w:t>
      </w:r>
      <w:r w:rsidRPr="00A03684">
        <w:t xml:space="preserve">, Māori employment could be disproportionately </w:t>
      </w:r>
      <w:r w:rsidR="004F1B64" w:rsidRPr="00A03684">
        <w:t xml:space="preserve">affected </w:t>
      </w:r>
      <w:r w:rsidRPr="00A03684">
        <w:t xml:space="preserve">in regions with a large Māori population, and where one or two EITE facilities dominate the local economy. This risk could be acute in rural areas </w:t>
      </w:r>
      <w:r w:rsidR="00A808F6" w:rsidRPr="00A03684">
        <w:t xml:space="preserve">with </w:t>
      </w:r>
      <w:r w:rsidRPr="00A03684">
        <w:t>wood</w:t>
      </w:r>
      <w:r w:rsidR="00A808F6" w:rsidRPr="00A03684">
        <w:t>-</w:t>
      </w:r>
      <w:r w:rsidRPr="00A03684">
        <w:t xml:space="preserve">processing </w:t>
      </w:r>
      <w:r w:rsidR="00A808F6" w:rsidRPr="00A03684">
        <w:t>plants</w:t>
      </w:r>
      <w:r w:rsidRPr="00A03684">
        <w:t xml:space="preserve">. </w:t>
      </w:r>
    </w:p>
    <w:p w:rsidR="00AB1916" w:rsidRPr="00A03684" w:rsidRDefault="004F1B64" w:rsidP="00AB1916">
      <w:pPr>
        <w:pStyle w:val="BodyText"/>
      </w:pPr>
      <w:r w:rsidRPr="00A03684">
        <w:t>Still</w:t>
      </w:r>
      <w:r w:rsidR="00AB1916" w:rsidRPr="00A03684">
        <w:t xml:space="preserve">, the proposals </w:t>
      </w:r>
      <w:r w:rsidRPr="00A03684">
        <w:t>set out here</w:t>
      </w:r>
      <w:r w:rsidR="00AB1916" w:rsidRPr="00A03684">
        <w:t xml:space="preserve"> are unlikely to affect employment, as the</w:t>
      </w:r>
      <w:r w:rsidRPr="00A03684">
        <w:t>y</w:t>
      </w:r>
      <w:r w:rsidR="00AB1916" w:rsidRPr="00A03684">
        <w:t xml:space="preserve"> retain </w:t>
      </w:r>
      <w:r w:rsidRPr="00A03684">
        <w:t>enough</w:t>
      </w:r>
      <w:r w:rsidR="00AB1916" w:rsidRPr="00A03684">
        <w:t xml:space="preserve"> assistance to reduce the risk of leakage and prevent the closure of industrial facilities.</w:t>
      </w:r>
      <w:r w:rsidR="00A03684" w:rsidRPr="00A03684">
        <w:t xml:space="preserve"> </w:t>
      </w:r>
    </w:p>
    <w:p w:rsidR="006B240E" w:rsidRPr="00A03684" w:rsidRDefault="006B240E" w:rsidP="007611D9">
      <w:pPr>
        <w:spacing w:before="0" w:after="200" w:line="276" w:lineRule="auto"/>
        <w:jc w:val="left"/>
      </w:pPr>
      <w:r w:rsidRPr="00A03684">
        <w:br w:type="page"/>
      </w:r>
    </w:p>
    <w:p w:rsidR="00894B8E" w:rsidRPr="00A03684" w:rsidRDefault="00D36746" w:rsidP="00740431">
      <w:pPr>
        <w:pStyle w:val="Heading1"/>
      </w:pPr>
      <w:bookmarkStart w:id="82" w:name="_Toc75336479"/>
      <w:r>
        <w:t xml:space="preserve">Section 8: </w:t>
      </w:r>
      <w:r w:rsidR="00894B8E" w:rsidRPr="00A03684">
        <w:t>How to have your say</w:t>
      </w:r>
      <w:bookmarkEnd w:id="82"/>
    </w:p>
    <w:p w:rsidR="00237648" w:rsidRDefault="00220CC9" w:rsidP="009809E6">
      <w:pPr>
        <w:pStyle w:val="BodyText"/>
      </w:pPr>
      <w:bookmarkStart w:id="83" w:name="_Toc531079574"/>
      <w:bookmarkStart w:id="84" w:name="_Toc531789119"/>
      <w:r w:rsidRPr="00220CC9">
        <w:t xml:space="preserve">The Government welcomes your feedback on this consultation document. The questions posed throughout this document are summarised </w:t>
      </w:r>
      <w:r w:rsidR="00CF1C01">
        <w:t>in section 9</w:t>
      </w:r>
      <w:r w:rsidRPr="00220CC9">
        <w:t>. They are a guide only and all comments are welcome. You do not have to answer all the questions.</w:t>
      </w:r>
    </w:p>
    <w:p w:rsidR="008C768E" w:rsidRPr="008C768E" w:rsidRDefault="008C768E" w:rsidP="008C768E">
      <w:pPr>
        <w:pStyle w:val="BodyText"/>
        <w:spacing w:after="240"/>
        <w:rPr>
          <w:rFonts w:eastAsia="Times New Roman"/>
        </w:rPr>
      </w:pPr>
      <w:r w:rsidRPr="00220CC9">
        <w:rPr>
          <w:rFonts w:eastAsia="Times New Roman"/>
        </w:rPr>
        <w:t>To ensure your point of view is clearly understood, you should explain your rationale and provide supporting evidence where appropriate.</w:t>
      </w:r>
      <w:r>
        <w:rPr>
          <w:rFonts w:eastAsia="Times New Roman"/>
        </w:rPr>
        <w:t xml:space="preserve"> </w:t>
      </w:r>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237648" w:rsidRPr="00A03684" w:rsidTr="007459CE">
        <w:tc>
          <w:tcPr>
            <w:tcW w:w="0" w:type="auto"/>
            <w:shd w:val="clear" w:color="auto" w:fill="D2DDE2"/>
          </w:tcPr>
          <w:p w:rsidR="00237648" w:rsidRPr="009809E6" w:rsidRDefault="00237648" w:rsidP="00B628D3">
            <w:pPr>
              <w:pStyle w:val="Blueboxtext"/>
            </w:pPr>
            <w:r>
              <w:t>Question 2</w:t>
            </w:r>
            <w:r w:rsidR="000D7300">
              <w:t>9</w:t>
            </w:r>
            <w:r>
              <w:t xml:space="preserve">: Do you have any other comments, ideas or feedback that could help support the Government form final policy decisions? </w:t>
            </w:r>
          </w:p>
        </w:tc>
      </w:tr>
    </w:tbl>
    <w:p w:rsidR="00894B8E" w:rsidRPr="00A03684" w:rsidRDefault="00894B8E" w:rsidP="007611D9">
      <w:pPr>
        <w:pStyle w:val="Heading2"/>
      </w:pPr>
      <w:bookmarkStart w:id="85" w:name="_Toc3188898"/>
      <w:bookmarkStart w:id="86" w:name="_Toc75336480"/>
      <w:r w:rsidRPr="00A03684">
        <w:t>Timeframes</w:t>
      </w:r>
      <w:bookmarkEnd w:id="85"/>
      <w:bookmarkEnd w:id="86"/>
    </w:p>
    <w:p w:rsidR="00894B8E" w:rsidRPr="00A03684" w:rsidRDefault="00894B8E" w:rsidP="007611D9">
      <w:pPr>
        <w:pStyle w:val="BodyText"/>
        <w:rPr>
          <w:highlight w:val="yellow"/>
        </w:rPr>
      </w:pPr>
      <w:r w:rsidRPr="00A03684">
        <w:t>T</w:t>
      </w:r>
      <w:r w:rsidR="002A18D7" w:rsidRPr="00A03684">
        <w:t xml:space="preserve">his consultation starts on </w:t>
      </w:r>
      <w:r w:rsidR="00AA116D">
        <w:t xml:space="preserve">Thursday </w:t>
      </w:r>
      <w:r w:rsidR="002A18D7" w:rsidRPr="00A03684">
        <w:t>8 July</w:t>
      </w:r>
      <w:r w:rsidR="00C95A86">
        <w:t xml:space="preserve"> 2021</w:t>
      </w:r>
      <w:r w:rsidRPr="00A03684">
        <w:t xml:space="preserve"> and ends on </w:t>
      </w:r>
      <w:r w:rsidR="00AA116D">
        <w:t xml:space="preserve">Friday </w:t>
      </w:r>
      <w:r w:rsidR="002A18D7" w:rsidRPr="00A03684">
        <w:t>17 September</w:t>
      </w:r>
      <w:r w:rsidR="00C95A86">
        <w:t xml:space="preserve"> 2021</w:t>
      </w:r>
      <w:r w:rsidR="002A18D7" w:rsidRPr="00A03684">
        <w:t>.</w:t>
      </w:r>
    </w:p>
    <w:p w:rsidR="00894B8E" w:rsidRPr="00A03684" w:rsidRDefault="00894B8E" w:rsidP="007611D9">
      <w:pPr>
        <w:pStyle w:val="BodyText"/>
      </w:pPr>
      <w:r w:rsidRPr="00A03684">
        <w:t xml:space="preserve">When the consultation period has ended, </w:t>
      </w:r>
      <w:r w:rsidR="00C95A86">
        <w:t>we</w:t>
      </w:r>
      <w:r w:rsidR="00C95A86" w:rsidRPr="00A03684">
        <w:t xml:space="preserve"> </w:t>
      </w:r>
      <w:r w:rsidR="0006278D" w:rsidRPr="00A03684">
        <w:t xml:space="preserve">will develop final policy advice that considers these submissions. </w:t>
      </w:r>
    </w:p>
    <w:p w:rsidR="00894B8E" w:rsidRPr="00A03684" w:rsidRDefault="00894B8E" w:rsidP="007611D9">
      <w:pPr>
        <w:pStyle w:val="Heading2"/>
      </w:pPr>
      <w:bookmarkStart w:id="87" w:name="_Toc75336481"/>
      <w:r w:rsidRPr="00A03684">
        <w:t xml:space="preserve">How to </w:t>
      </w:r>
      <w:r w:rsidR="002D21B0" w:rsidRPr="00A03684">
        <w:t>provide feedback</w:t>
      </w:r>
      <w:bookmarkEnd w:id="87"/>
      <w:r w:rsidR="00B6129E" w:rsidRPr="00A03684">
        <w:t xml:space="preserve"> </w:t>
      </w:r>
    </w:p>
    <w:p w:rsidR="00220CC9" w:rsidRPr="00253540" w:rsidRDefault="00220CC9" w:rsidP="00220CC9">
      <w:pPr>
        <w:pStyle w:val="BodyText"/>
        <w:rPr>
          <w:lang w:eastAsia="en-US"/>
        </w:rPr>
      </w:pPr>
      <w:r w:rsidRPr="00253540">
        <w:t>There are two ways you can</w:t>
      </w:r>
      <w:r w:rsidRPr="00253540">
        <w:rPr>
          <w:lang w:eastAsia="en-US"/>
        </w:rPr>
        <w:t xml:space="preserve"> make a submission:</w:t>
      </w:r>
    </w:p>
    <w:p w:rsidR="00220CC9" w:rsidRPr="00253540" w:rsidRDefault="00220CC9" w:rsidP="00220CC9">
      <w:pPr>
        <w:pStyle w:val="Bullet"/>
        <w:numPr>
          <w:ilvl w:val="0"/>
          <w:numId w:val="48"/>
        </w:numPr>
        <w:tabs>
          <w:tab w:val="clear" w:pos="567"/>
          <w:tab w:val="left" w:pos="397"/>
        </w:tabs>
        <w:ind w:left="397" w:hanging="397"/>
      </w:pPr>
      <w:r w:rsidRPr="00253540">
        <w:t xml:space="preserve">via Citizen Space, our consultation hub, available at </w:t>
      </w:r>
      <w:hyperlink r:id="rId28" w:history="1">
        <w:r w:rsidRPr="00CF1C01">
          <w:rPr>
            <w:rStyle w:val="Hyperlink"/>
          </w:rPr>
          <w:t>https://consult.environment.govt.nz/</w:t>
        </w:r>
      </w:hyperlink>
    </w:p>
    <w:p w:rsidR="00220CC9" w:rsidRPr="00253540" w:rsidRDefault="00220CC9" w:rsidP="00220CC9">
      <w:pPr>
        <w:pStyle w:val="Bullet"/>
        <w:numPr>
          <w:ilvl w:val="0"/>
          <w:numId w:val="48"/>
        </w:numPr>
        <w:tabs>
          <w:tab w:val="clear" w:pos="567"/>
          <w:tab w:val="left" w:pos="397"/>
        </w:tabs>
        <w:ind w:left="397" w:hanging="397"/>
      </w:pPr>
      <w:r w:rsidRPr="00253540">
        <w:t xml:space="preserve">write your own submission. </w:t>
      </w:r>
    </w:p>
    <w:p w:rsidR="00220CC9" w:rsidRDefault="00220CC9" w:rsidP="00220CC9">
      <w:pPr>
        <w:pStyle w:val="BodyText"/>
        <w:rPr>
          <w:lang w:eastAsia="en-GB"/>
        </w:rPr>
      </w:pPr>
      <w:r w:rsidRPr="009B660B">
        <w:rPr>
          <w:lang w:eastAsia="en-GB"/>
        </w:rPr>
        <w:t xml:space="preserve">If you </w:t>
      </w:r>
      <w:r>
        <w:rPr>
          <w:lang w:eastAsia="en-GB"/>
        </w:rPr>
        <w:t xml:space="preserve">want to provide your own written submission you can provide this as an uploaded file in Citizen Space. </w:t>
      </w:r>
    </w:p>
    <w:p w:rsidR="00220CC9" w:rsidRPr="009B660B" w:rsidRDefault="00220CC9" w:rsidP="00220CC9">
      <w:pPr>
        <w:pStyle w:val="BodyText"/>
        <w:rPr>
          <w:lang w:eastAsia="en-GB"/>
        </w:rPr>
      </w:pPr>
      <w:r>
        <w:rPr>
          <w:lang w:eastAsia="en-GB"/>
        </w:rPr>
        <w:t xml:space="preserve">We request that you don’t email or post submissions as this makes analysis more difficult. However, if you need to please </w:t>
      </w:r>
      <w:r w:rsidRPr="009B660B">
        <w:rPr>
          <w:lang w:eastAsia="en-GB"/>
        </w:rPr>
        <w:t xml:space="preserve">send </w:t>
      </w:r>
      <w:r>
        <w:rPr>
          <w:lang w:eastAsia="en-GB"/>
        </w:rPr>
        <w:t xml:space="preserve">written submissions </w:t>
      </w:r>
      <w:r w:rsidRPr="009B660B">
        <w:rPr>
          <w:lang w:eastAsia="en-GB"/>
        </w:rPr>
        <w:t xml:space="preserve">to </w:t>
      </w:r>
      <w:r w:rsidRPr="00A03684">
        <w:t>IA revie</w:t>
      </w:r>
      <w:r w:rsidRPr="00220CC9">
        <w:t>w</w:t>
      </w:r>
      <w:r w:rsidRPr="00CF1C01">
        <w:rPr>
          <w:lang w:eastAsia="en-GB"/>
        </w:rPr>
        <w:t>,</w:t>
      </w:r>
      <w:r w:rsidRPr="009B660B">
        <w:rPr>
          <w:lang w:eastAsia="en-GB"/>
        </w:rPr>
        <w:t xml:space="preserve"> Ministry for the Environment, PO Box 10362, Wellington 6143 and include:</w:t>
      </w:r>
    </w:p>
    <w:p w:rsidR="00894B8E" w:rsidRPr="00A03684" w:rsidRDefault="00894B8E" w:rsidP="005D4A67">
      <w:pPr>
        <w:pStyle w:val="Bullet"/>
      </w:pPr>
      <w:r w:rsidRPr="00A03684">
        <w:t>your name or organisation</w:t>
      </w:r>
    </w:p>
    <w:p w:rsidR="00894B8E" w:rsidRPr="00A03684" w:rsidRDefault="00894B8E" w:rsidP="005D4A67">
      <w:pPr>
        <w:pStyle w:val="Bullet"/>
      </w:pPr>
      <w:r w:rsidRPr="00A03684">
        <w:t>your postal address</w:t>
      </w:r>
    </w:p>
    <w:p w:rsidR="00894B8E" w:rsidRPr="00A03684" w:rsidRDefault="00894B8E" w:rsidP="005D4A67">
      <w:pPr>
        <w:pStyle w:val="Bullet"/>
      </w:pPr>
      <w:r w:rsidRPr="00A03684">
        <w:t>your telephone number</w:t>
      </w:r>
    </w:p>
    <w:p w:rsidR="00894B8E" w:rsidRPr="00A03684" w:rsidRDefault="00894B8E" w:rsidP="005D4A67">
      <w:pPr>
        <w:pStyle w:val="Bullet"/>
      </w:pPr>
      <w:r w:rsidRPr="00A03684">
        <w:t>your email address.</w:t>
      </w:r>
    </w:p>
    <w:p w:rsidR="00894B8E" w:rsidRPr="00A03684" w:rsidRDefault="00894B8E" w:rsidP="007611D9">
      <w:pPr>
        <w:pStyle w:val="BodyText"/>
      </w:pPr>
      <w:r w:rsidRPr="00A03684">
        <w:t xml:space="preserve">If you are emailing your </w:t>
      </w:r>
      <w:r w:rsidR="00075310" w:rsidRPr="00A03684">
        <w:t>feedback</w:t>
      </w:r>
      <w:r w:rsidRPr="00A03684">
        <w:t xml:space="preserve">, send it to </w:t>
      </w:r>
      <w:hyperlink r:id="rId29" w:history="1">
        <w:r w:rsidR="0006278D" w:rsidRPr="00C95A86">
          <w:rPr>
            <w:rStyle w:val="Hyperlink"/>
          </w:rPr>
          <w:t>etsconsultation@mfe.govt.nz</w:t>
        </w:r>
      </w:hyperlink>
      <w:r w:rsidRPr="00A03684">
        <w:t xml:space="preserve"> as a:</w:t>
      </w:r>
    </w:p>
    <w:p w:rsidR="00894B8E" w:rsidRPr="00A03684" w:rsidRDefault="00894B8E" w:rsidP="007611D9">
      <w:pPr>
        <w:pStyle w:val="Bullet"/>
      </w:pPr>
      <w:r w:rsidRPr="00A03684">
        <w:t>PDF</w:t>
      </w:r>
      <w:r w:rsidR="00526865" w:rsidRPr="00A03684">
        <w:t>, or</w:t>
      </w:r>
    </w:p>
    <w:p w:rsidR="00894B8E" w:rsidRPr="00A03684" w:rsidRDefault="00894B8E" w:rsidP="007611D9">
      <w:pPr>
        <w:pStyle w:val="Bullet"/>
      </w:pPr>
      <w:r w:rsidRPr="00A03684">
        <w:t>Microsoft Word document (2003 or later version).</w:t>
      </w:r>
    </w:p>
    <w:p w:rsidR="00894B8E" w:rsidRPr="00A03684" w:rsidRDefault="00894B8E" w:rsidP="007611D9">
      <w:pPr>
        <w:pStyle w:val="BodyText"/>
        <w:rPr>
          <w:b/>
        </w:rPr>
      </w:pPr>
      <w:r w:rsidRPr="00A03684">
        <w:rPr>
          <w:b/>
        </w:rPr>
        <w:t xml:space="preserve">Submissions close at </w:t>
      </w:r>
      <w:r w:rsidR="0006278D" w:rsidRPr="00A03684">
        <w:rPr>
          <w:b/>
        </w:rPr>
        <w:t xml:space="preserve">5 pm on </w:t>
      </w:r>
      <w:r w:rsidR="002D21B0" w:rsidRPr="00A03684">
        <w:rPr>
          <w:b/>
        </w:rPr>
        <w:t>17</w:t>
      </w:r>
      <w:r w:rsidR="0006278D" w:rsidRPr="00A03684">
        <w:rPr>
          <w:b/>
        </w:rPr>
        <w:t xml:space="preserve"> September 2021. </w:t>
      </w:r>
    </w:p>
    <w:p w:rsidR="00CF1C01" w:rsidRPr="00CF1C01" w:rsidRDefault="00CF1C01" w:rsidP="00CF1C01">
      <w:pPr>
        <w:pStyle w:val="BodyText"/>
      </w:pPr>
      <w:bookmarkStart w:id="88" w:name="_Toc534621392"/>
      <w:bookmarkStart w:id="89" w:name="_Toc535571903"/>
      <w:bookmarkStart w:id="90" w:name="_Toc3188900"/>
      <w:r w:rsidRPr="00CF1C01">
        <w:br w:type="page"/>
      </w:r>
    </w:p>
    <w:p w:rsidR="00894B8E" w:rsidRPr="00A03684" w:rsidRDefault="00610C34" w:rsidP="007611D9">
      <w:pPr>
        <w:pStyle w:val="Heading2"/>
      </w:pPr>
      <w:bookmarkStart w:id="91" w:name="_Toc75336482"/>
      <w:r w:rsidRPr="00A03684">
        <w:t>M</w:t>
      </w:r>
      <w:r w:rsidR="00894B8E" w:rsidRPr="00A03684">
        <w:t>ore information</w:t>
      </w:r>
      <w:bookmarkEnd w:id="83"/>
      <w:bookmarkEnd w:id="84"/>
      <w:bookmarkEnd w:id="88"/>
      <w:bookmarkEnd w:id="89"/>
      <w:bookmarkEnd w:id="90"/>
      <w:bookmarkEnd w:id="91"/>
    </w:p>
    <w:p w:rsidR="00894B8E" w:rsidRPr="00A03684" w:rsidRDefault="00894B8E" w:rsidP="007611D9">
      <w:pPr>
        <w:pStyle w:val="BodyText"/>
      </w:pPr>
      <w:r w:rsidRPr="00A03684">
        <w:t>Please direct any queries to:</w:t>
      </w:r>
    </w:p>
    <w:p w:rsidR="00894B8E" w:rsidRPr="00A03684" w:rsidRDefault="00894B8E" w:rsidP="007611D9">
      <w:pPr>
        <w:pStyle w:val="BodyText"/>
        <w:spacing w:before="0"/>
        <w:ind w:left="851" w:hanging="851"/>
      </w:pPr>
      <w:r w:rsidRPr="00A03684">
        <w:t xml:space="preserve">Email: </w:t>
      </w:r>
      <w:r w:rsidRPr="00A03684">
        <w:tab/>
      </w:r>
      <w:hyperlink r:id="rId30" w:history="1">
        <w:r w:rsidR="0006278D" w:rsidRPr="00C95A86">
          <w:rPr>
            <w:rStyle w:val="Hyperlink"/>
          </w:rPr>
          <w:t>etsconsultation@mfe.govt.nz</w:t>
        </w:r>
      </w:hyperlink>
    </w:p>
    <w:p w:rsidR="00894B8E" w:rsidRPr="00A03684" w:rsidRDefault="00894B8E" w:rsidP="007611D9">
      <w:pPr>
        <w:pStyle w:val="BodyText"/>
        <w:spacing w:before="0"/>
        <w:ind w:left="851" w:hanging="851"/>
      </w:pPr>
      <w:r w:rsidRPr="00A03684">
        <w:t xml:space="preserve">Postal: </w:t>
      </w:r>
      <w:r w:rsidRPr="00A03684">
        <w:tab/>
      </w:r>
      <w:r w:rsidR="002D21B0" w:rsidRPr="00A03684">
        <w:t>IA review,</w:t>
      </w:r>
      <w:r w:rsidR="0006278D" w:rsidRPr="00A03684">
        <w:t xml:space="preserve"> Ministry for the Environment, PO Box 10362, Wellington 6143</w:t>
      </w:r>
    </w:p>
    <w:p w:rsidR="00894B8E" w:rsidRPr="00A03684" w:rsidRDefault="00894B8E" w:rsidP="005D4A67">
      <w:pPr>
        <w:pStyle w:val="Heading2"/>
      </w:pPr>
      <w:bookmarkStart w:id="92" w:name="_Toc531079576"/>
      <w:bookmarkStart w:id="93" w:name="_Toc531789121"/>
      <w:bookmarkStart w:id="94" w:name="_Toc534621393"/>
      <w:bookmarkStart w:id="95" w:name="_Toc535571904"/>
      <w:bookmarkStart w:id="96" w:name="_Toc3188901"/>
      <w:bookmarkStart w:id="97" w:name="_Toc75336483"/>
      <w:r w:rsidRPr="00A03684">
        <w:t>Publishing and releasing submissions</w:t>
      </w:r>
      <w:bookmarkEnd w:id="92"/>
      <w:bookmarkEnd w:id="93"/>
      <w:bookmarkEnd w:id="94"/>
      <w:bookmarkEnd w:id="95"/>
      <w:bookmarkEnd w:id="96"/>
      <w:bookmarkEnd w:id="97"/>
    </w:p>
    <w:p w:rsidR="00465A60" w:rsidRPr="00A03684" w:rsidRDefault="00465A60" w:rsidP="00465A60">
      <w:pPr>
        <w:pStyle w:val="BodyText"/>
      </w:pPr>
      <w:bookmarkStart w:id="98" w:name="_Toc534621394"/>
      <w:bookmarkStart w:id="99" w:name="_Toc535571905"/>
      <w:bookmarkStart w:id="100" w:name="_Toc3188902"/>
      <w:r w:rsidRPr="00A03684">
        <w:t xml:space="preserve">All or part of any written </w:t>
      </w:r>
      <w:r w:rsidR="000D4C7E" w:rsidRPr="00A03684">
        <w:t xml:space="preserve">comments </w:t>
      </w:r>
      <w:r w:rsidRPr="00A03684">
        <w:t>(including names of submitters), may be published on the</w:t>
      </w:r>
      <w:r w:rsidR="003623D5" w:rsidRPr="00A03684">
        <w:t> </w:t>
      </w:r>
      <w:r w:rsidRPr="00A03684">
        <w:t xml:space="preserve">Ministry for the Environment’s website, </w:t>
      </w:r>
      <w:r w:rsidR="00C95A86">
        <w:t>environment.govt.nz</w:t>
      </w:r>
      <w:r w:rsidRPr="00A03684">
        <w:t>. Unless you clearly specify otherwise in your submission, the Ministry will consider that you have consented to website posting of both your submission and your name.</w:t>
      </w:r>
    </w:p>
    <w:p w:rsidR="00465A60" w:rsidRPr="00A03684" w:rsidRDefault="00465A60" w:rsidP="00465A60">
      <w:pPr>
        <w:pStyle w:val="BodyText"/>
      </w:pPr>
      <w:r w:rsidRPr="00A03684">
        <w:t>Contents of submissions may be released to the public under the Official Information Act 1982 following requests to the Ministry for the Environment (including via email). Please advise if you have any objection to the release of any information contained in a submission and, in particular, which part(s) you consider should be withheld, together with the reason(s) for withholding the information. We will take into account all such objections when responding to</w:t>
      </w:r>
      <w:r w:rsidR="003623D5" w:rsidRPr="00A03684">
        <w:t> </w:t>
      </w:r>
      <w:r w:rsidRPr="00A03684">
        <w:t xml:space="preserve">requests for copies of, and information on, submissions to this document under the Official Information Act. </w:t>
      </w:r>
    </w:p>
    <w:p w:rsidR="00465A60" w:rsidRPr="00A03684" w:rsidRDefault="00465A60" w:rsidP="00465A60">
      <w:pPr>
        <w:pStyle w:val="BodyText"/>
      </w:pPr>
      <w:r w:rsidRPr="00A03684">
        <w:t>The Privacy Act 2020 applies certain principles about the collection, use and disclosure of information about individuals by various agencies, including the Ministry for the Environment. It governs access by individuals to information about themselves held by agencies. Any personal information you supply to the Ministry in the course of making a submission will be used by the Ministry only in relation to the matters covered by this document. Please clearly indicate in your submission if you do not wish your name to be included in any summary of submissions that the Ministry may publish.</w:t>
      </w:r>
    </w:p>
    <w:p w:rsidR="00675CA6" w:rsidRPr="00A03684" w:rsidRDefault="0006278D" w:rsidP="003623D5">
      <w:pPr>
        <w:pStyle w:val="BodyText"/>
      </w:pPr>
      <w:r w:rsidRPr="00A03684">
        <w:br w:type="page"/>
      </w:r>
    </w:p>
    <w:p w:rsidR="00894B8E" w:rsidRPr="00A03684" w:rsidRDefault="00D36746" w:rsidP="007611D9">
      <w:pPr>
        <w:pStyle w:val="Heading1"/>
      </w:pPr>
      <w:bookmarkStart w:id="101" w:name="_Toc75336484"/>
      <w:r>
        <w:t xml:space="preserve">Section </w:t>
      </w:r>
      <w:r w:rsidR="000D4C7E" w:rsidRPr="00A03684">
        <w:t>9</w:t>
      </w:r>
      <w:r>
        <w:t>:</w:t>
      </w:r>
      <w:r w:rsidR="000D4C7E" w:rsidRPr="00A03684">
        <w:t xml:space="preserve"> </w:t>
      </w:r>
      <w:r w:rsidR="00894B8E" w:rsidRPr="00A03684">
        <w:t>Consultation questions</w:t>
      </w:r>
      <w:bookmarkEnd w:id="98"/>
      <w:bookmarkEnd w:id="99"/>
      <w:bookmarkEnd w:id="100"/>
      <w:bookmarkEnd w:id="101"/>
    </w:p>
    <w:tbl>
      <w:tblPr>
        <w:tblStyle w:val="TableGrid"/>
        <w:tblW w:w="8505"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8505"/>
      </w:tblGrid>
      <w:tr w:rsidR="00894B8E" w:rsidRPr="00A03684" w:rsidTr="000543AA">
        <w:tc>
          <w:tcPr>
            <w:tcW w:w="0" w:type="auto"/>
            <w:shd w:val="clear" w:color="auto" w:fill="D2DDE2"/>
          </w:tcPr>
          <w:p w:rsidR="002A18D7" w:rsidRPr="00A03684" w:rsidRDefault="002A18D7" w:rsidP="00BE7EAC">
            <w:pPr>
              <w:pStyle w:val="Blueboxtext"/>
              <w:spacing w:after="0"/>
              <w:rPr>
                <w:b/>
                <w:bCs/>
              </w:rPr>
            </w:pPr>
            <w:bookmarkStart w:id="102" w:name="_Hlk74038374"/>
            <w:r w:rsidRPr="00A03684">
              <w:rPr>
                <w:b/>
                <w:bCs/>
              </w:rPr>
              <w:t xml:space="preserve">Criteria </w:t>
            </w:r>
          </w:p>
          <w:p w:rsidR="002A18D7" w:rsidRPr="00A03684" w:rsidRDefault="009C3535" w:rsidP="004123BE">
            <w:pPr>
              <w:pStyle w:val="Blueboxtext"/>
              <w:spacing w:before="80"/>
            </w:pPr>
            <w:bookmarkStart w:id="103" w:name="_Hlk74833203"/>
            <w:r w:rsidRPr="00A03684">
              <w:t xml:space="preserve">Question 1: Do you agree with the five criteria to assess the proposals in this </w:t>
            </w:r>
            <w:r w:rsidR="00C43367">
              <w:t>consultation</w:t>
            </w:r>
            <w:r w:rsidR="00C43367" w:rsidRPr="00A03684">
              <w:t xml:space="preserve"> </w:t>
            </w:r>
            <w:r w:rsidRPr="00A03684">
              <w:t>document? Why, or why not?</w:t>
            </w:r>
          </w:p>
          <w:p w:rsidR="002A18D7" w:rsidRPr="00A03684" w:rsidRDefault="002A18D7" w:rsidP="00BE7EAC">
            <w:pPr>
              <w:pStyle w:val="Blueboxtext"/>
              <w:spacing w:after="0"/>
              <w:rPr>
                <w:b/>
                <w:bCs/>
              </w:rPr>
            </w:pPr>
            <w:r w:rsidRPr="00A03684">
              <w:rPr>
                <w:b/>
                <w:bCs/>
              </w:rPr>
              <w:t>Allocation calculations</w:t>
            </w:r>
          </w:p>
          <w:p w:rsidR="009C3535" w:rsidRPr="00A03684" w:rsidRDefault="009C3535" w:rsidP="004123BE">
            <w:pPr>
              <w:pStyle w:val="Blueboxtext"/>
              <w:spacing w:before="80"/>
            </w:pPr>
            <w:r w:rsidRPr="00A03684">
              <w:t xml:space="preserve">Question 2: Should allocative baselines be updated using new base years? Why, or why not? </w:t>
            </w:r>
          </w:p>
          <w:p w:rsidR="009C3535" w:rsidRPr="00A03684" w:rsidRDefault="009C3535" w:rsidP="004123BE">
            <w:pPr>
              <w:pStyle w:val="Blueboxtext"/>
              <w:spacing w:before="80"/>
            </w:pPr>
            <w:r w:rsidRPr="00A03684">
              <w:t>Question 3: Should the reassessment be a one-off update, or a periodic update? Why, or why</w:t>
            </w:r>
            <w:r w:rsidR="004123BE" w:rsidRPr="00A03684">
              <w:t> </w:t>
            </w:r>
            <w:r w:rsidRPr="00A03684">
              <w:t>not?</w:t>
            </w:r>
          </w:p>
          <w:p w:rsidR="009C3535" w:rsidRPr="00A03684" w:rsidRDefault="009C3535" w:rsidP="004123BE">
            <w:pPr>
              <w:pStyle w:val="Blueboxtext"/>
              <w:spacing w:before="80"/>
            </w:pPr>
            <w:r w:rsidRPr="00A03684">
              <w:t>Question 4: If periodic reassessment is legislated, what would be an appropriate period –</w:t>
            </w:r>
            <w:r w:rsidR="00F11F41">
              <w:t> </w:t>
            </w:r>
            <w:r w:rsidRPr="00A03684">
              <w:t>every year, 5 years, 10 years, or something else? Why?</w:t>
            </w:r>
          </w:p>
          <w:p w:rsidR="009C3535" w:rsidRPr="00A03684" w:rsidRDefault="009C3535" w:rsidP="004123BE">
            <w:pPr>
              <w:pStyle w:val="Blueboxtext"/>
              <w:spacing w:before="80"/>
            </w:pPr>
            <w:r w:rsidRPr="00A03684">
              <w:t>Question 5: Do you agree the financial years 2016/17, 2017/18 and 2018/19 should be used as</w:t>
            </w:r>
            <w:r w:rsidR="00F11F41">
              <w:t> </w:t>
            </w:r>
            <w:r w:rsidRPr="00A03684">
              <w:t xml:space="preserve">new base years to update allocative baselines? Why, or why not? </w:t>
            </w:r>
          </w:p>
          <w:p w:rsidR="009C3535" w:rsidRPr="00A03684" w:rsidRDefault="009C3535" w:rsidP="004123BE">
            <w:pPr>
              <w:pStyle w:val="Blueboxtext"/>
              <w:spacing w:before="80"/>
            </w:pPr>
            <w:r w:rsidRPr="00A03684">
              <w:t>Question 6: Should the financial years 2019/20 and 2020/21 be included, but with a weighting provision? Why, or why not?</w:t>
            </w:r>
          </w:p>
          <w:p w:rsidR="002A18D7" w:rsidRPr="00A03684" w:rsidRDefault="002A18D7" w:rsidP="004123BE">
            <w:pPr>
              <w:pStyle w:val="Blueboxtext"/>
              <w:spacing w:after="0"/>
              <w:rPr>
                <w:b/>
                <w:bCs/>
              </w:rPr>
            </w:pPr>
            <w:r w:rsidRPr="00A03684">
              <w:rPr>
                <w:b/>
                <w:bCs/>
              </w:rPr>
              <w:t xml:space="preserve">Eligibility </w:t>
            </w:r>
          </w:p>
          <w:p w:rsidR="009C3535" w:rsidRPr="00A03684" w:rsidRDefault="009C3535" w:rsidP="004123BE">
            <w:pPr>
              <w:pStyle w:val="Blueboxtext"/>
              <w:spacing w:before="80"/>
            </w:pPr>
            <w:r w:rsidRPr="00A03684">
              <w:t>Question 7:</w:t>
            </w:r>
            <w:r w:rsidR="00A03684" w:rsidRPr="00A03684">
              <w:t xml:space="preserve"> </w:t>
            </w:r>
            <w:r w:rsidRPr="00A03684">
              <w:t>Should eligibility be reassessed using new base years?</w:t>
            </w:r>
          </w:p>
          <w:p w:rsidR="009C3535" w:rsidRPr="00A03684" w:rsidRDefault="009C3535" w:rsidP="004123BE">
            <w:pPr>
              <w:pStyle w:val="Blueboxtext"/>
              <w:spacing w:before="80"/>
            </w:pPr>
            <w:r w:rsidRPr="00A03684">
              <w:t>Question 8: Should new emissions intensity thresholds for New Zealand industry be developed? Why, or why not?</w:t>
            </w:r>
          </w:p>
          <w:p w:rsidR="009C3535" w:rsidRPr="00A03684" w:rsidRDefault="009C3535" w:rsidP="004123BE">
            <w:pPr>
              <w:pStyle w:val="Blueboxtext"/>
              <w:spacing w:before="80"/>
            </w:pPr>
            <w:r w:rsidRPr="00A03684">
              <w:t>Question 9: Should more thresholds be added into the eligibility criteria? Why, or why not? How many would be appropriate?</w:t>
            </w:r>
          </w:p>
          <w:p w:rsidR="009C3535" w:rsidRPr="00A03684" w:rsidRDefault="009C3535" w:rsidP="004123BE">
            <w:pPr>
              <w:pStyle w:val="Blueboxtext"/>
              <w:spacing w:before="80"/>
            </w:pPr>
            <w:r w:rsidRPr="00A03684">
              <w:t>Question 10: Would a sliding scale threshold system better target eligibility and assistance? Why, or why not?</w:t>
            </w:r>
          </w:p>
          <w:p w:rsidR="009C3535" w:rsidRPr="00A03684" w:rsidRDefault="009C3535" w:rsidP="004123BE">
            <w:pPr>
              <w:pStyle w:val="Blueboxtext"/>
              <w:spacing w:before="80"/>
            </w:pPr>
            <w:r w:rsidRPr="00A03684">
              <w:t>Question 11: Should the New Zealand EAF be used when determining eligibility? Why, or why</w:t>
            </w:r>
            <w:r w:rsidR="004123BE" w:rsidRPr="00A03684">
              <w:t> </w:t>
            </w:r>
            <w:r w:rsidRPr="00A03684">
              <w:t xml:space="preserve">not? </w:t>
            </w:r>
          </w:p>
          <w:p w:rsidR="009C3535" w:rsidRPr="00A03684" w:rsidRDefault="009C3535" w:rsidP="004123BE">
            <w:pPr>
              <w:pStyle w:val="Blueboxtext"/>
              <w:spacing w:before="80"/>
            </w:pPr>
            <w:r w:rsidRPr="00A03684">
              <w:t>Question 12: Should periodic updates of the EAF trigger a recalculation of eligibility? Why, or why not?</w:t>
            </w:r>
          </w:p>
          <w:p w:rsidR="009C3535" w:rsidRPr="00A03684" w:rsidRDefault="009C3535" w:rsidP="004123BE">
            <w:pPr>
              <w:pStyle w:val="Blueboxtext"/>
              <w:spacing w:before="80"/>
            </w:pPr>
            <w:r w:rsidRPr="00A03684">
              <w:t xml:space="preserve">Question 13: Should the trade exposure test be changed? Why, or why not? </w:t>
            </w:r>
          </w:p>
          <w:p w:rsidR="009C3535" w:rsidRPr="00A03684" w:rsidRDefault="009C3535" w:rsidP="004123BE">
            <w:pPr>
              <w:pStyle w:val="Blueboxtext"/>
              <w:spacing w:before="80"/>
            </w:pPr>
            <w:r w:rsidRPr="00A03684">
              <w:t>Question 14: What would be a more appropriate method to determine trade exposure?</w:t>
            </w:r>
          </w:p>
          <w:p w:rsidR="002A18D7" w:rsidRPr="00A03684" w:rsidRDefault="002A18D7" w:rsidP="004123BE">
            <w:pPr>
              <w:pStyle w:val="Blueboxtext"/>
              <w:spacing w:after="0"/>
              <w:rPr>
                <w:b/>
                <w:bCs/>
              </w:rPr>
            </w:pPr>
            <w:r w:rsidRPr="00A03684">
              <w:rPr>
                <w:b/>
                <w:bCs/>
              </w:rPr>
              <w:t xml:space="preserve">Other reforms to </w:t>
            </w:r>
            <w:r w:rsidR="00444E17">
              <w:rPr>
                <w:b/>
                <w:bCs/>
              </w:rPr>
              <w:t>industrial allocation</w:t>
            </w:r>
          </w:p>
          <w:p w:rsidR="009438B6" w:rsidRPr="00A03684" w:rsidRDefault="009438B6" w:rsidP="004123BE">
            <w:pPr>
              <w:pStyle w:val="Blueboxtext"/>
              <w:spacing w:before="80"/>
            </w:pPr>
            <w:r w:rsidRPr="00A03684">
              <w:t>Question 15: Do you agree with the proposal to simplify the process to update allocative baselines, to reflect changes to emissions factors, EAF or other changes to methodology? Why,</w:t>
            </w:r>
            <w:r w:rsidR="00F11F41">
              <w:t> </w:t>
            </w:r>
            <w:r w:rsidRPr="00A03684">
              <w:t xml:space="preserve">or why not? </w:t>
            </w:r>
          </w:p>
          <w:p w:rsidR="009438B6" w:rsidRPr="00A03684" w:rsidRDefault="009438B6" w:rsidP="004123BE">
            <w:pPr>
              <w:pStyle w:val="Blueboxtext"/>
              <w:spacing w:before="80"/>
            </w:pPr>
            <w:r w:rsidRPr="00A03684">
              <w:t>Question 16:</w:t>
            </w:r>
            <w:r w:rsidR="00A03684" w:rsidRPr="00A03684">
              <w:t xml:space="preserve"> </w:t>
            </w:r>
            <w:r w:rsidR="00156BDF" w:rsidRPr="00A03684">
              <w:t>Are there other changes to sections 161A-E of the Act that could better streamline IA processes?</w:t>
            </w:r>
          </w:p>
          <w:p w:rsidR="00156BDF" w:rsidRPr="00A03684" w:rsidRDefault="00156BDF" w:rsidP="004123BE">
            <w:pPr>
              <w:pStyle w:val="Blueboxtext"/>
              <w:spacing w:before="80"/>
            </w:pPr>
            <w:r w:rsidRPr="00A03684">
              <w:t>Question 17:</w:t>
            </w:r>
            <w:r w:rsidR="00A03684" w:rsidRPr="00A03684">
              <w:t xml:space="preserve"> </w:t>
            </w:r>
            <w:r w:rsidRPr="00A03684">
              <w:t>Do you agree with the proposal to clarify the eligibility process for new activities? Why, or why not?</w:t>
            </w:r>
          </w:p>
          <w:p w:rsidR="00156BDF" w:rsidRPr="00A03684" w:rsidRDefault="00156BDF" w:rsidP="004123BE">
            <w:pPr>
              <w:pStyle w:val="Blueboxtext"/>
            </w:pPr>
            <w:r w:rsidRPr="00A03684">
              <w:t>Question 18: Should new activities be able to seek eligibility? Why, or why not?</w:t>
            </w:r>
          </w:p>
          <w:p w:rsidR="00156BDF" w:rsidRPr="00A03684" w:rsidRDefault="00156BDF" w:rsidP="004123BE">
            <w:pPr>
              <w:pStyle w:val="Blueboxtext"/>
              <w:spacing w:before="80"/>
            </w:pPr>
            <w:r w:rsidRPr="00A03684">
              <w:t>Question 19:</w:t>
            </w:r>
            <w:r w:rsidR="00A03684" w:rsidRPr="00A03684">
              <w:t xml:space="preserve"> </w:t>
            </w:r>
            <w:r w:rsidRPr="00A03684">
              <w:t>Should there be any caveats on new activities seeking eligibility, such as proof of environmental benefits compared to existing activities?</w:t>
            </w:r>
          </w:p>
          <w:p w:rsidR="00156BDF" w:rsidRPr="00A03684" w:rsidRDefault="00156BDF" w:rsidP="004123BE">
            <w:pPr>
              <w:pStyle w:val="Blueboxtext"/>
              <w:spacing w:before="80"/>
            </w:pPr>
            <w:r w:rsidRPr="00A03684">
              <w:t>Question 20: Should firms that receive IA be required to report their emissions, revenue and production data annually? Why, or why not?</w:t>
            </w:r>
          </w:p>
          <w:p w:rsidR="00156BDF" w:rsidRPr="00A03684" w:rsidRDefault="00156BDF" w:rsidP="004123BE">
            <w:pPr>
              <w:pStyle w:val="Blueboxtext"/>
              <w:spacing w:before="80"/>
            </w:pPr>
            <w:r w:rsidRPr="00A03684">
              <w:t>Question 21: Would voluntary reporting be more appropriate, and still provide some oversight of leakage and over-allocation risk? Why, or why not?</w:t>
            </w:r>
          </w:p>
          <w:p w:rsidR="00156BDF" w:rsidRPr="00A03684" w:rsidRDefault="00156BDF" w:rsidP="004123BE">
            <w:pPr>
              <w:pStyle w:val="Blueboxtext"/>
              <w:spacing w:before="80"/>
            </w:pPr>
            <w:r w:rsidRPr="00A03684">
              <w:t>Question 22: Should the five-year transition period for changes in eligibility status remain, or be changed? Why, or why not?</w:t>
            </w:r>
          </w:p>
          <w:p w:rsidR="00156BDF" w:rsidRPr="00A03684" w:rsidRDefault="00156BDF" w:rsidP="004123BE">
            <w:pPr>
              <w:pStyle w:val="Blueboxtext"/>
              <w:spacing w:after="0"/>
              <w:rPr>
                <w:b/>
                <w:bCs/>
              </w:rPr>
            </w:pPr>
            <w:r w:rsidRPr="00A03684">
              <w:rPr>
                <w:b/>
                <w:bCs/>
              </w:rPr>
              <w:t xml:space="preserve">Future of </w:t>
            </w:r>
            <w:r w:rsidR="00444E17">
              <w:rPr>
                <w:b/>
                <w:bCs/>
              </w:rPr>
              <w:t>industrial allocation</w:t>
            </w:r>
          </w:p>
          <w:p w:rsidR="00156BDF" w:rsidRPr="00A03684" w:rsidRDefault="00156BDF" w:rsidP="004123BE">
            <w:pPr>
              <w:pStyle w:val="Blueboxtext"/>
              <w:spacing w:before="80"/>
            </w:pPr>
            <w:r w:rsidRPr="00A03684">
              <w:t xml:space="preserve">Question 23: Should we look at an alternative mechanism to address emissions leakage? Why, or why not? </w:t>
            </w:r>
          </w:p>
          <w:p w:rsidR="00156BDF" w:rsidRPr="00A03684" w:rsidRDefault="00156BDF" w:rsidP="004123BE">
            <w:pPr>
              <w:pStyle w:val="Blueboxtext"/>
              <w:spacing w:before="80"/>
            </w:pPr>
            <w:r w:rsidRPr="00A03684">
              <w:t xml:space="preserve">Question 24: </w:t>
            </w:r>
            <w:r w:rsidR="009D6559" w:rsidRPr="00A03684">
              <w:t>What alternative mechanisms to IA would better address the risk of emissions leakage, and support domestic and international emissions reduction targets?</w:t>
            </w:r>
          </w:p>
          <w:p w:rsidR="00156BDF" w:rsidRPr="00A03684" w:rsidRDefault="00156BDF" w:rsidP="004123BE">
            <w:pPr>
              <w:pStyle w:val="Blueboxtext"/>
              <w:spacing w:before="80"/>
            </w:pPr>
            <w:r w:rsidRPr="00A03684">
              <w:t xml:space="preserve">Question 25: Should IA policy or any alternative explicitly encourage firms to reduce emissions? Why, or why not? </w:t>
            </w:r>
          </w:p>
          <w:p w:rsidR="009D6559" w:rsidRPr="00A03684" w:rsidRDefault="009D6559" w:rsidP="004123BE">
            <w:pPr>
              <w:pStyle w:val="Blueboxtext"/>
              <w:spacing w:before="80"/>
            </w:pPr>
            <w:r w:rsidRPr="00A03684">
              <w:t>Question 26: What method could be used to encourage emissions reductions?</w:t>
            </w:r>
          </w:p>
          <w:p w:rsidR="00156BDF" w:rsidRPr="00A03684" w:rsidRDefault="00156BDF" w:rsidP="004123BE">
            <w:pPr>
              <w:pStyle w:val="Blueboxtext"/>
              <w:spacing w:before="80"/>
            </w:pPr>
            <w:r w:rsidRPr="00A03684">
              <w:t xml:space="preserve">Question 27: Should IA decisions or any alternative include wider considerations – such as economic, social, cultural and environmental factors – when determining support for industry? Why, or why not? </w:t>
            </w:r>
          </w:p>
          <w:p w:rsidR="00B628D3" w:rsidRDefault="009D6559" w:rsidP="00B628D3">
            <w:pPr>
              <w:pStyle w:val="Blueboxtext"/>
              <w:spacing w:before="80"/>
            </w:pPr>
            <w:r w:rsidRPr="00A03684">
              <w:t>Question 28: How would these new considerations interact with the goal of reducing emissions leakage?</w:t>
            </w:r>
            <w:r w:rsidR="00A03684" w:rsidRPr="00A03684">
              <w:t xml:space="preserve"> </w:t>
            </w:r>
          </w:p>
          <w:p w:rsidR="00C95A86" w:rsidRPr="00C95A86" w:rsidRDefault="00C95A86" w:rsidP="00C95A86">
            <w:pPr>
              <w:pStyle w:val="Blueboxtext"/>
              <w:spacing w:after="0"/>
              <w:rPr>
                <w:b/>
                <w:bCs/>
              </w:rPr>
            </w:pPr>
            <w:r w:rsidRPr="00C95A86">
              <w:rPr>
                <w:b/>
                <w:bCs/>
              </w:rPr>
              <w:t>Other comments</w:t>
            </w:r>
          </w:p>
          <w:p w:rsidR="000D7300" w:rsidRPr="00A03684" w:rsidRDefault="000D7300" w:rsidP="00B628D3">
            <w:pPr>
              <w:pStyle w:val="Blueboxtext"/>
              <w:spacing w:before="80"/>
            </w:pPr>
            <w:r>
              <w:t xml:space="preserve">Question 29: Do you have any other comments, ideas or critical feedback that could help support the Government form final policy decisions? </w:t>
            </w:r>
            <w:bookmarkEnd w:id="103"/>
          </w:p>
        </w:tc>
      </w:tr>
    </w:tbl>
    <w:p w:rsidR="00894B8E" w:rsidRPr="00A03684" w:rsidRDefault="00894B8E" w:rsidP="004123BE">
      <w:pPr>
        <w:pStyle w:val="BodyText"/>
      </w:pPr>
    </w:p>
    <w:bookmarkEnd w:id="4"/>
    <w:bookmarkEnd w:id="102"/>
    <w:p w:rsidR="008C370E" w:rsidRPr="00A03684" w:rsidRDefault="00D51469" w:rsidP="008C370E">
      <w:pPr>
        <w:pStyle w:val="Heading1"/>
        <w:rPr>
          <w:rFonts w:asciiTheme="majorHAnsi" w:hAnsiTheme="majorHAnsi"/>
        </w:rPr>
      </w:pPr>
      <w:r w:rsidRPr="00A03684">
        <w:br w:type="page"/>
      </w:r>
      <w:bookmarkStart w:id="104" w:name="_Toc75336485"/>
      <w:r w:rsidR="008C370E" w:rsidRPr="00A03684">
        <w:rPr>
          <w:rFonts w:cs="Calibri"/>
        </w:rPr>
        <w:t>Appendix</w:t>
      </w:r>
      <w:r w:rsidR="00DC1C3C" w:rsidRPr="00A03684">
        <w:rPr>
          <w:rFonts w:cs="Calibri"/>
        </w:rPr>
        <w:t xml:space="preserve"> 1</w:t>
      </w:r>
      <w:r w:rsidR="008C370E" w:rsidRPr="00A03684">
        <w:rPr>
          <w:rFonts w:cs="Calibri"/>
        </w:rPr>
        <w:t xml:space="preserve">: </w:t>
      </w:r>
      <w:r w:rsidR="00DE20FD" w:rsidRPr="00A03684">
        <w:t>I</w:t>
      </w:r>
      <w:r w:rsidR="00DE20FD">
        <w:t>ndustrial Allocation</w:t>
      </w:r>
      <w:r w:rsidR="00DE20FD" w:rsidRPr="00A03684">
        <w:t xml:space="preserve"> </w:t>
      </w:r>
      <w:r w:rsidR="008C370E" w:rsidRPr="00A03684">
        <w:t>TAG position on consultation questions</w:t>
      </w:r>
      <w:bookmarkEnd w:id="104"/>
    </w:p>
    <w:p w:rsidR="008C370E" w:rsidRPr="00A03684" w:rsidRDefault="008C370E" w:rsidP="00B77CF1">
      <w:pPr>
        <w:pStyle w:val="BodyText"/>
        <w:spacing w:before="0" w:after="0"/>
      </w:pPr>
      <w:r w:rsidRPr="00A03684">
        <w:t xml:space="preserve">This table outlines the TAG’s </w:t>
      </w:r>
      <w:r w:rsidR="002211FA" w:rsidRPr="00A03684">
        <w:t>positions</w:t>
      </w:r>
      <w:r w:rsidRPr="00A03684">
        <w:t xml:space="preserve"> on the policy options and questions proposed in this </w:t>
      </w:r>
      <w:r w:rsidR="00C43367">
        <w:t>consultation</w:t>
      </w:r>
      <w:r w:rsidR="00C43367" w:rsidRPr="00A03684">
        <w:t xml:space="preserve"> </w:t>
      </w:r>
      <w:r w:rsidRPr="00A03684">
        <w:t xml:space="preserve">document. </w:t>
      </w:r>
      <w:r w:rsidR="0047557B" w:rsidRPr="00A03684">
        <w:t>Some q</w:t>
      </w:r>
      <w:r w:rsidRPr="00A03684">
        <w:t xml:space="preserve">uestions have been broken down into options (a., b.,) where appropriate to identify positions. </w:t>
      </w:r>
      <w:r w:rsidR="005C5FF6" w:rsidRPr="00A03684">
        <w:t xml:space="preserve">These positions are based on an early version of the </w:t>
      </w:r>
      <w:r w:rsidR="00C43367">
        <w:t>consultation</w:t>
      </w:r>
      <w:r w:rsidR="00C43367" w:rsidRPr="00A03684">
        <w:t xml:space="preserve"> </w:t>
      </w:r>
      <w:r w:rsidR="005C5FF6" w:rsidRPr="00A03684">
        <w:t xml:space="preserve">document and ahead of the benefit of insight from the consultation process. </w:t>
      </w:r>
    </w:p>
    <w:p w:rsidR="008C370E" w:rsidRPr="00A03684" w:rsidRDefault="0047557B" w:rsidP="003252E1">
      <w:pPr>
        <w:pStyle w:val="BodyText"/>
      </w:pPr>
      <w:r w:rsidRPr="00A03684">
        <w:t xml:space="preserve">The level of agreement between </w:t>
      </w:r>
      <w:r w:rsidR="008C370E" w:rsidRPr="00A03684">
        <w:t>TAG</w:t>
      </w:r>
      <w:r w:rsidRPr="00A03684">
        <w:t xml:space="preserve"> members</w:t>
      </w:r>
      <w:r w:rsidR="008C370E" w:rsidRPr="00A03684">
        <w:t xml:space="preserve"> </w:t>
      </w:r>
      <w:r w:rsidRPr="00A03684">
        <w:t>is broken into three tiers</w:t>
      </w:r>
      <w:r w:rsidR="008C370E" w:rsidRPr="00A03684">
        <w:t>:</w:t>
      </w:r>
    </w:p>
    <w:p w:rsidR="008C370E" w:rsidRPr="00A03684" w:rsidRDefault="00DE20FD" w:rsidP="00230D73">
      <w:pPr>
        <w:pStyle w:val="Bullet"/>
        <w:numPr>
          <w:ilvl w:val="0"/>
          <w:numId w:val="47"/>
        </w:numPr>
        <w:spacing w:after="60"/>
      </w:pPr>
      <w:r>
        <w:t>f</w:t>
      </w:r>
      <w:r w:rsidRPr="00A03684">
        <w:t xml:space="preserve">ull </w:t>
      </w:r>
      <w:r>
        <w:t>s</w:t>
      </w:r>
      <w:r w:rsidRPr="00A03684">
        <w:t xml:space="preserve">upport </w:t>
      </w:r>
      <w:r w:rsidR="008C370E" w:rsidRPr="00A03684">
        <w:t xml:space="preserve">means all TAG members </w:t>
      </w:r>
    </w:p>
    <w:p w:rsidR="008C370E" w:rsidRPr="00A03684" w:rsidRDefault="00DE20FD" w:rsidP="00230D73">
      <w:pPr>
        <w:pStyle w:val="Bullet"/>
        <w:numPr>
          <w:ilvl w:val="0"/>
          <w:numId w:val="47"/>
        </w:numPr>
        <w:spacing w:after="60"/>
      </w:pPr>
      <w:r>
        <w:t>m</w:t>
      </w:r>
      <w:r w:rsidRPr="00A03684">
        <w:t xml:space="preserve">ajority </w:t>
      </w:r>
      <w:r>
        <w:t>p</w:t>
      </w:r>
      <w:r w:rsidRPr="00A03684">
        <w:t xml:space="preserve">reference </w:t>
      </w:r>
      <w:r w:rsidR="008C370E" w:rsidRPr="00A03684">
        <w:t xml:space="preserve">means 3 or 4 out of 5 TAG members </w:t>
      </w:r>
    </w:p>
    <w:p w:rsidR="008C370E" w:rsidRDefault="00DE20FD" w:rsidP="00230D73">
      <w:pPr>
        <w:pStyle w:val="Bullet"/>
        <w:numPr>
          <w:ilvl w:val="0"/>
          <w:numId w:val="47"/>
        </w:numPr>
        <w:spacing w:after="60"/>
      </w:pPr>
      <w:r>
        <w:t>c</w:t>
      </w:r>
      <w:r w:rsidRPr="00A03684">
        <w:t xml:space="preserve">onsult </w:t>
      </w:r>
      <w:r w:rsidR="008C370E" w:rsidRPr="00A03684">
        <w:t xml:space="preserve">means more input from consultation process is required before TAG can firm up its position. </w:t>
      </w:r>
    </w:p>
    <w:p w:rsidR="00A856AB" w:rsidRPr="00A03684" w:rsidRDefault="00A856AB" w:rsidP="00A856AB">
      <w:pPr>
        <w:pStyle w:val="Bullet"/>
        <w:numPr>
          <w:ilvl w:val="0"/>
          <w:numId w:val="0"/>
        </w:numPr>
        <w:spacing w:after="60"/>
      </w:pPr>
      <w:r>
        <w:t xml:space="preserve">Some questions were added in a later version of this consultation document and were not reviewed by the TAG. These are labelled with an asterisk. </w:t>
      </w:r>
    </w:p>
    <w:p w:rsidR="008C370E" w:rsidRPr="00A03684" w:rsidRDefault="008C370E" w:rsidP="008C370E">
      <w:pPr>
        <w:pStyle w:val="Tableheading"/>
      </w:pPr>
      <w:bookmarkStart w:id="105" w:name="_Toc75262185"/>
      <w:r w:rsidRPr="00A03684">
        <w:t xml:space="preserve">Table </w:t>
      </w:r>
      <w:r w:rsidR="00494451">
        <w:rPr>
          <w:noProof/>
        </w:rPr>
        <w:fldChar w:fldCharType="begin"/>
      </w:r>
      <w:r w:rsidR="00494451">
        <w:rPr>
          <w:noProof/>
        </w:rPr>
        <w:instrText xml:space="preserve"> SEQ Table \* ARABIC </w:instrText>
      </w:r>
      <w:r w:rsidR="00494451">
        <w:rPr>
          <w:noProof/>
        </w:rPr>
        <w:fldChar w:fldCharType="separate"/>
      </w:r>
      <w:r w:rsidR="008F6C9F">
        <w:rPr>
          <w:noProof/>
        </w:rPr>
        <w:t>1</w:t>
      </w:r>
      <w:r w:rsidR="00494451">
        <w:rPr>
          <w:noProof/>
        </w:rPr>
        <w:fldChar w:fldCharType="end"/>
      </w:r>
      <w:r w:rsidR="00DE20FD">
        <w:t>6</w:t>
      </w:r>
      <w:r w:rsidR="00D962E8" w:rsidRPr="00A03684">
        <w:t>:</w:t>
      </w:r>
      <w:r w:rsidRPr="00A03684">
        <w:t xml:space="preserve"> </w:t>
      </w:r>
      <w:r w:rsidR="003252E1" w:rsidRPr="00A03684">
        <w:tab/>
      </w:r>
      <w:r w:rsidRPr="00A03684">
        <w:t>TAG position on consultation questions</w:t>
      </w:r>
      <w:bookmarkEnd w:id="105"/>
    </w:p>
    <w:tbl>
      <w:tblPr>
        <w:tblStyle w:val="TableGrid"/>
        <w:tblW w:w="8505" w:type="dxa"/>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5908"/>
        <w:gridCol w:w="783"/>
        <w:gridCol w:w="1814"/>
      </w:tblGrid>
      <w:tr w:rsidR="007B75C6" w:rsidRPr="00A03684" w:rsidTr="006918A8">
        <w:trPr>
          <w:tblHeader/>
        </w:trPr>
        <w:tc>
          <w:tcPr>
            <w:tcW w:w="0" w:type="auto"/>
            <w:tcBorders>
              <w:bottom w:val="single" w:sz="4" w:space="0" w:color="1C556C" w:themeColor="accent1"/>
            </w:tcBorders>
            <w:shd w:val="clear" w:color="auto" w:fill="1C556C" w:themeFill="accent1"/>
            <w:vAlign w:val="bottom"/>
            <w:hideMark/>
          </w:tcPr>
          <w:p w:rsidR="008C370E" w:rsidRPr="00A03684" w:rsidRDefault="008C370E" w:rsidP="000C755A">
            <w:pPr>
              <w:pStyle w:val="TableTextbold"/>
              <w:spacing w:before="40" w:after="40"/>
              <w:rPr>
                <w:color w:val="FFFFFF" w:themeColor="background1"/>
                <w:szCs w:val="18"/>
              </w:rPr>
            </w:pPr>
            <w:r w:rsidRPr="00A03684">
              <w:rPr>
                <w:color w:val="FFFFFF" w:themeColor="background1"/>
                <w:szCs w:val="18"/>
              </w:rPr>
              <w:t>Questions</w:t>
            </w:r>
          </w:p>
        </w:tc>
        <w:tc>
          <w:tcPr>
            <w:tcW w:w="624" w:type="dxa"/>
            <w:tcBorders>
              <w:bottom w:val="single" w:sz="4" w:space="0" w:color="1C556C" w:themeColor="accent1"/>
            </w:tcBorders>
            <w:shd w:val="clear" w:color="auto" w:fill="1C556C" w:themeFill="accent1"/>
            <w:vAlign w:val="bottom"/>
            <w:hideMark/>
          </w:tcPr>
          <w:p w:rsidR="008C370E" w:rsidRPr="00A03684" w:rsidRDefault="008C370E" w:rsidP="000C755A">
            <w:pPr>
              <w:pStyle w:val="TableTextbold"/>
              <w:spacing w:before="40" w:after="40"/>
              <w:jc w:val="center"/>
              <w:rPr>
                <w:color w:val="FFFFFF" w:themeColor="background1"/>
                <w:szCs w:val="18"/>
              </w:rPr>
            </w:pPr>
            <w:r w:rsidRPr="00A03684">
              <w:rPr>
                <w:color w:val="FFFFFF" w:themeColor="background1"/>
                <w:szCs w:val="18"/>
              </w:rPr>
              <w:t>Answer</w:t>
            </w:r>
          </w:p>
        </w:tc>
        <w:tc>
          <w:tcPr>
            <w:tcW w:w="1814" w:type="dxa"/>
            <w:tcBorders>
              <w:bottom w:val="single" w:sz="4" w:space="0" w:color="1C556C" w:themeColor="accent1"/>
            </w:tcBorders>
            <w:shd w:val="clear" w:color="auto" w:fill="1C556C" w:themeFill="accent1"/>
            <w:vAlign w:val="bottom"/>
            <w:hideMark/>
          </w:tcPr>
          <w:p w:rsidR="008C370E" w:rsidRPr="00A03684" w:rsidRDefault="008C370E" w:rsidP="000C755A">
            <w:pPr>
              <w:pStyle w:val="TableTextbold"/>
              <w:spacing w:before="40" w:after="40"/>
              <w:jc w:val="center"/>
              <w:rPr>
                <w:color w:val="FFFFFF" w:themeColor="background1"/>
                <w:szCs w:val="18"/>
              </w:rPr>
            </w:pPr>
            <w:r w:rsidRPr="00A03684">
              <w:rPr>
                <w:color w:val="FFFFFF" w:themeColor="background1"/>
                <w:szCs w:val="18"/>
              </w:rPr>
              <w:t xml:space="preserve">TAG </w:t>
            </w:r>
            <w:r w:rsidR="00A933D8" w:rsidRPr="00A03684">
              <w:rPr>
                <w:color w:val="FFFFFF" w:themeColor="background1"/>
                <w:szCs w:val="18"/>
              </w:rPr>
              <w:t>l</w:t>
            </w:r>
            <w:r w:rsidRPr="00A03684">
              <w:rPr>
                <w:color w:val="FFFFFF" w:themeColor="background1"/>
                <w:szCs w:val="18"/>
              </w:rPr>
              <w:t xml:space="preserve">evel of </w:t>
            </w:r>
            <w:r w:rsidR="00A933D8" w:rsidRPr="00A03684">
              <w:rPr>
                <w:color w:val="FFFFFF" w:themeColor="background1"/>
                <w:szCs w:val="18"/>
              </w:rPr>
              <w:t>s</w:t>
            </w:r>
            <w:r w:rsidRPr="00A03684">
              <w:rPr>
                <w:color w:val="FFFFFF" w:themeColor="background1"/>
                <w:szCs w:val="18"/>
              </w:rPr>
              <w:t>upport</w:t>
            </w:r>
          </w:p>
        </w:tc>
      </w:tr>
      <w:tr w:rsidR="007B75C6" w:rsidRPr="00A03684" w:rsidTr="006918A8">
        <w:tc>
          <w:tcPr>
            <w:tcW w:w="0" w:type="auto"/>
            <w:shd w:val="clear" w:color="auto" w:fill="D2DDE2" w:themeFill="accent3"/>
            <w:hideMark/>
          </w:tcPr>
          <w:p w:rsidR="008C370E" w:rsidRPr="00A03684" w:rsidRDefault="008C370E" w:rsidP="000C755A">
            <w:pPr>
              <w:pStyle w:val="TableTextbold"/>
              <w:spacing w:before="40" w:after="40"/>
              <w:rPr>
                <w:color w:val="1C556C" w:themeColor="accent1"/>
                <w:szCs w:val="18"/>
              </w:rPr>
            </w:pPr>
            <w:bookmarkStart w:id="106" w:name="_Hlk74833190"/>
            <w:r w:rsidRPr="00A03684">
              <w:rPr>
                <w:color w:val="1C556C" w:themeColor="accent1"/>
                <w:szCs w:val="18"/>
              </w:rPr>
              <w:t xml:space="preserve">Criteria </w:t>
            </w:r>
          </w:p>
        </w:tc>
        <w:tc>
          <w:tcPr>
            <w:tcW w:w="624" w:type="dxa"/>
            <w:shd w:val="clear" w:color="auto" w:fill="D2DDE2" w:themeFill="accent3"/>
          </w:tcPr>
          <w:p w:rsidR="008C370E" w:rsidRPr="00A03684" w:rsidRDefault="008C370E" w:rsidP="000C755A">
            <w:pPr>
              <w:pStyle w:val="TableTextbold"/>
              <w:spacing w:before="40" w:after="40"/>
              <w:jc w:val="center"/>
              <w:rPr>
                <w:color w:val="1C556C" w:themeColor="accent1"/>
                <w:szCs w:val="18"/>
              </w:rPr>
            </w:pPr>
          </w:p>
        </w:tc>
        <w:tc>
          <w:tcPr>
            <w:tcW w:w="1814" w:type="dxa"/>
            <w:shd w:val="clear" w:color="auto" w:fill="D2DDE2" w:themeFill="accent3"/>
          </w:tcPr>
          <w:p w:rsidR="008C370E" w:rsidRPr="00A03684" w:rsidRDefault="008C370E" w:rsidP="000C755A">
            <w:pPr>
              <w:pStyle w:val="TableTextbold"/>
              <w:spacing w:before="40" w:after="40"/>
              <w:jc w:val="center"/>
              <w:rPr>
                <w:color w:val="1C556C" w:themeColor="accent1"/>
                <w:szCs w:val="18"/>
              </w:rPr>
            </w:pPr>
          </w:p>
        </w:tc>
      </w:tr>
      <w:tr w:rsidR="007B75C6" w:rsidRPr="00A03684" w:rsidTr="006918A8">
        <w:tc>
          <w:tcPr>
            <w:tcW w:w="0" w:type="auto"/>
            <w:tcBorders>
              <w:bottom w:val="single" w:sz="4" w:space="0" w:color="1C556C" w:themeColor="accent1"/>
            </w:tcBorders>
            <w:hideMark/>
          </w:tcPr>
          <w:p w:rsidR="008C370E" w:rsidRPr="00A03684" w:rsidRDefault="002D6E1D" w:rsidP="000C755A">
            <w:pPr>
              <w:pStyle w:val="TableText"/>
              <w:spacing w:before="40" w:after="40"/>
              <w:ind w:left="397" w:hanging="397"/>
              <w:rPr>
                <w:color w:val="1C556C" w:themeColor="accent1"/>
                <w:szCs w:val="18"/>
              </w:rPr>
            </w:pPr>
            <w:r w:rsidRPr="00A03684">
              <w:rPr>
                <w:color w:val="1C556C" w:themeColor="accent1"/>
                <w:szCs w:val="18"/>
              </w:rPr>
              <w:t>1)</w:t>
            </w:r>
            <w:r w:rsidRPr="00A03684">
              <w:rPr>
                <w:color w:val="1C556C" w:themeColor="accent1"/>
                <w:szCs w:val="18"/>
              </w:rPr>
              <w:tab/>
            </w:r>
            <w:r w:rsidR="008C370E" w:rsidRPr="00A03684">
              <w:rPr>
                <w:color w:val="1C556C" w:themeColor="accent1"/>
                <w:szCs w:val="18"/>
              </w:rPr>
              <w:t>Do you agree with the</w:t>
            </w:r>
            <w:r w:rsidR="006C1455" w:rsidRPr="00A03684">
              <w:rPr>
                <w:color w:val="1C556C" w:themeColor="accent1"/>
                <w:szCs w:val="18"/>
              </w:rPr>
              <w:t xml:space="preserve"> five</w:t>
            </w:r>
            <w:r w:rsidR="008C370E" w:rsidRPr="00A03684">
              <w:rPr>
                <w:color w:val="1C556C" w:themeColor="accent1"/>
                <w:szCs w:val="18"/>
              </w:rPr>
              <w:t xml:space="preserve"> criteria to assess the proposals in th</w:t>
            </w:r>
            <w:r w:rsidR="006C1455" w:rsidRPr="00A03684">
              <w:rPr>
                <w:color w:val="1C556C" w:themeColor="accent1"/>
                <w:szCs w:val="18"/>
              </w:rPr>
              <w:t>is</w:t>
            </w:r>
            <w:r w:rsidR="008C370E" w:rsidRPr="00A03684">
              <w:rPr>
                <w:color w:val="1C556C" w:themeColor="accent1"/>
                <w:szCs w:val="18"/>
              </w:rPr>
              <w:t xml:space="preserve"> </w:t>
            </w:r>
            <w:r w:rsidR="00C43367">
              <w:rPr>
                <w:color w:val="1C556C" w:themeColor="accent1"/>
                <w:szCs w:val="18"/>
              </w:rPr>
              <w:t xml:space="preserve">consultation </w:t>
            </w:r>
            <w:r w:rsidR="008C370E" w:rsidRPr="00A03684">
              <w:rPr>
                <w:color w:val="1C556C" w:themeColor="accent1"/>
                <w:szCs w:val="18"/>
              </w:rPr>
              <w:t xml:space="preserve">document? </w:t>
            </w:r>
          </w:p>
        </w:tc>
        <w:tc>
          <w:tcPr>
            <w:tcW w:w="624" w:type="dxa"/>
            <w:tcBorders>
              <w:bottom w:val="single" w:sz="4" w:space="0" w:color="1C556C" w:themeColor="accent1"/>
            </w:tcBorders>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Yes</w:t>
            </w:r>
          </w:p>
        </w:tc>
        <w:tc>
          <w:tcPr>
            <w:tcW w:w="1814" w:type="dxa"/>
            <w:tcBorders>
              <w:bottom w:val="single" w:sz="4" w:space="0" w:color="1C556C" w:themeColor="accent1"/>
            </w:tcBorders>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Full </w:t>
            </w:r>
            <w:r w:rsidR="00A933D8" w:rsidRPr="00A03684">
              <w:rPr>
                <w:color w:val="1C556C" w:themeColor="accent1"/>
                <w:szCs w:val="18"/>
              </w:rPr>
              <w:t>s</w:t>
            </w:r>
            <w:r w:rsidRPr="00A03684">
              <w:rPr>
                <w:color w:val="1C556C" w:themeColor="accent1"/>
                <w:szCs w:val="18"/>
              </w:rPr>
              <w:t>upport</w:t>
            </w:r>
          </w:p>
        </w:tc>
      </w:tr>
      <w:tr w:rsidR="007B75C6" w:rsidRPr="00A03684" w:rsidTr="006918A8">
        <w:tc>
          <w:tcPr>
            <w:tcW w:w="0" w:type="auto"/>
            <w:shd w:val="clear" w:color="auto" w:fill="D2DDE2" w:themeFill="accent3"/>
            <w:hideMark/>
          </w:tcPr>
          <w:p w:rsidR="008C370E" w:rsidRPr="00A03684" w:rsidRDefault="008C370E" w:rsidP="000C755A">
            <w:pPr>
              <w:pStyle w:val="TableText"/>
              <w:spacing w:before="40" w:after="40"/>
              <w:rPr>
                <w:b/>
                <w:color w:val="1C556C" w:themeColor="accent1"/>
                <w:szCs w:val="18"/>
              </w:rPr>
            </w:pPr>
            <w:r w:rsidRPr="00A03684">
              <w:rPr>
                <w:b/>
                <w:color w:val="1C556C" w:themeColor="accent1"/>
                <w:szCs w:val="18"/>
              </w:rPr>
              <w:t>Allocation calculations</w:t>
            </w:r>
          </w:p>
        </w:tc>
        <w:tc>
          <w:tcPr>
            <w:tcW w:w="624" w:type="dxa"/>
            <w:shd w:val="clear" w:color="auto" w:fill="D2DDE2" w:themeFill="accent3"/>
          </w:tcPr>
          <w:p w:rsidR="008C370E" w:rsidRPr="00A03684" w:rsidRDefault="008C370E" w:rsidP="000C755A">
            <w:pPr>
              <w:pStyle w:val="TableText"/>
              <w:spacing w:before="40" w:after="40"/>
              <w:jc w:val="center"/>
              <w:rPr>
                <w:b/>
                <w:color w:val="1C556C" w:themeColor="accent1"/>
                <w:szCs w:val="18"/>
              </w:rPr>
            </w:pPr>
          </w:p>
        </w:tc>
        <w:tc>
          <w:tcPr>
            <w:tcW w:w="1814" w:type="dxa"/>
            <w:shd w:val="clear" w:color="auto" w:fill="D2DDE2" w:themeFill="accent3"/>
          </w:tcPr>
          <w:p w:rsidR="008C370E" w:rsidRPr="00A03684" w:rsidRDefault="008C370E" w:rsidP="000C755A">
            <w:pPr>
              <w:pStyle w:val="TableText"/>
              <w:spacing w:before="40" w:after="40"/>
              <w:jc w:val="center"/>
              <w:rPr>
                <w:b/>
                <w:color w:val="1C556C" w:themeColor="accent1"/>
                <w:szCs w:val="18"/>
              </w:rPr>
            </w:pPr>
          </w:p>
        </w:tc>
      </w:tr>
      <w:tr w:rsidR="007B75C6" w:rsidRPr="00A03684" w:rsidTr="006918A8">
        <w:tc>
          <w:tcPr>
            <w:tcW w:w="0" w:type="auto"/>
            <w:hideMark/>
          </w:tcPr>
          <w:p w:rsidR="008C370E" w:rsidRPr="00A03684" w:rsidRDefault="002D6E1D" w:rsidP="000C755A">
            <w:pPr>
              <w:pStyle w:val="TableText"/>
              <w:spacing w:before="40" w:after="40"/>
              <w:rPr>
                <w:color w:val="1C556C" w:themeColor="accent1"/>
                <w:szCs w:val="18"/>
              </w:rPr>
            </w:pPr>
            <w:r w:rsidRPr="00A03684">
              <w:rPr>
                <w:color w:val="1C556C" w:themeColor="accent1"/>
                <w:szCs w:val="18"/>
              </w:rPr>
              <w:t>2)</w:t>
            </w:r>
            <w:r w:rsidRPr="00A03684">
              <w:rPr>
                <w:color w:val="1C556C" w:themeColor="accent1"/>
                <w:szCs w:val="18"/>
              </w:rPr>
              <w:tab/>
            </w:r>
            <w:r w:rsidR="008C370E" w:rsidRPr="00A03684">
              <w:rPr>
                <w:color w:val="1C556C" w:themeColor="accent1"/>
                <w:szCs w:val="18"/>
              </w:rPr>
              <w:t xml:space="preserve">Should allocative baselines be updated using new base years? </w:t>
            </w:r>
          </w:p>
        </w:tc>
        <w:tc>
          <w:tcPr>
            <w:tcW w:w="62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Full </w:t>
            </w:r>
            <w:r w:rsidR="00A933D8" w:rsidRPr="00A03684">
              <w:rPr>
                <w:color w:val="1C556C" w:themeColor="accent1"/>
                <w:szCs w:val="18"/>
              </w:rPr>
              <w:t>s</w:t>
            </w:r>
            <w:r w:rsidRPr="00A03684">
              <w:rPr>
                <w:color w:val="1C556C" w:themeColor="accent1"/>
                <w:szCs w:val="18"/>
              </w:rPr>
              <w:t>upport</w:t>
            </w:r>
          </w:p>
        </w:tc>
      </w:tr>
      <w:tr w:rsidR="007B75C6" w:rsidRPr="00A03684" w:rsidTr="006918A8">
        <w:tc>
          <w:tcPr>
            <w:tcW w:w="0" w:type="auto"/>
            <w:hideMark/>
          </w:tcPr>
          <w:p w:rsidR="008C370E" w:rsidRPr="00A03684" w:rsidRDefault="002D6E1D" w:rsidP="000C755A">
            <w:pPr>
              <w:pStyle w:val="TableText"/>
              <w:spacing w:before="40" w:after="40"/>
              <w:rPr>
                <w:color w:val="1C556C" w:themeColor="accent1"/>
                <w:szCs w:val="18"/>
              </w:rPr>
            </w:pPr>
            <w:r w:rsidRPr="00A03684">
              <w:rPr>
                <w:color w:val="1C556C" w:themeColor="accent1"/>
                <w:szCs w:val="18"/>
              </w:rPr>
              <w:t>3)</w:t>
            </w:r>
            <w:r w:rsidRPr="00A03684">
              <w:rPr>
                <w:color w:val="1C556C" w:themeColor="accent1"/>
                <w:szCs w:val="18"/>
              </w:rPr>
              <w:tab/>
            </w:r>
            <w:r w:rsidR="008C370E" w:rsidRPr="00A03684">
              <w:rPr>
                <w:color w:val="1C556C" w:themeColor="accent1"/>
                <w:szCs w:val="18"/>
              </w:rPr>
              <w:t>Should the reassessment be</w:t>
            </w:r>
            <w:r w:rsidR="006C1455" w:rsidRPr="00A03684">
              <w:rPr>
                <w:color w:val="1C556C" w:themeColor="accent1"/>
                <w:szCs w:val="18"/>
              </w:rPr>
              <w:t xml:space="preserve"> </w:t>
            </w:r>
          </w:p>
        </w:tc>
        <w:tc>
          <w:tcPr>
            <w:tcW w:w="62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c>
          <w:tcPr>
            <w:tcW w:w="181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r>
      <w:tr w:rsidR="007B75C6" w:rsidRPr="00A03684" w:rsidTr="006918A8">
        <w:tc>
          <w:tcPr>
            <w:tcW w:w="0" w:type="auto"/>
            <w:hideMark/>
          </w:tcPr>
          <w:p w:rsidR="008C370E" w:rsidRPr="00A03684" w:rsidRDefault="002D6E1D" w:rsidP="000C755A">
            <w:pPr>
              <w:pStyle w:val="TableText"/>
              <w:spacing w:before="40" w:after="40"/>
              <w:ind w:left="397"/>
              <w:rPr>
                <w:color w:val="1C556C" w:themeColor="accent1"/>
                <w:szCs w:val="18"/>
              </w:rPr>
            </w:pPr>
            <w:r w:rsidRPr="00A03684">
              <w:rPr>
                <w:color w:val="1C556C" w:themeColor="accent1"/>
                <w:szCs w:val="18"/>
              </w:rPr>
              <w:t>a</w:t>
            </w:r>
            <w:r w:rsidR="00F304BE" w:rsidRPr="00A03684">
              <w:rPr>
                <w:color w:val="1C556C" w:themeColor="accent1"/>
                <w:szCs w:val="18"/>
              </w:rPr>
              <w:t>.</w:t>
            </w:r>
            <w:r w:rsidRPr="00A03684">
              <w:rPr>
                <w:color w:val="1C556C" w:themeColor="accent1"/>
                <w:szCs w:val="18"/>
              </w:rPr>
              <w:tab/>
            </w:r>
            <w:r w:rsidR="008C370E" w:rsidRPr="00A03684">
              <w:rPr>
                <w:color w:val="1C556C" w:themeColor="accent1"/>
                <w:szCs w:val="18"/>
              </w:rPr>
              <w:t xml:space="preserve">a one-off update, or a </w:t>
            </w:r>
          </w:p>
        </w:tc>
        <w:tc>
          <w:tcPr>
            <w:tcW w:w="62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No</w:t>
            </w:r>
          </w:p>
        </w:tc>
        <w:tc>
          <w:tcPr>
            <w:tcW w:w="1814" w:type="dxa"/>
          </w:tcPr>
          <w:p w:rsidR="008C370E" w:rsidRPr="00A03684" w:rsidRDefault="008C370E" w:rsidP="000C755A">
            <w:pPr>
              <w:pStyle w:val="TableText"/>
              <w:spacing w:before="40" w:after="40"/>
              <w:jc w:val="center"/>
              <w:rPr>
                <w:color w:val="1C556C" w:themeColor="accent1"/>
                <w:szCs w:val="18"/>
              </w:rPr>
            </w:pPr>
          </w:p>
        </w:tc>
      </w:tr>
      <w:tr w:rsidR="007B75C6" w:rsidRPr="00A03684" w:rsidTr="006918A8">
        <w:tc>
          <w:tcPr>
            <w:tcW w:w="0" w:type="auto"/>
            <w:hideMark/>
          </w:tcPr>
          <w:p w:rsidR="008C370E" w:rsidRPr="00A03684" w:rsidRDefault="002D6E1D" w:rsidP="000C755A">
            <w:pPr>
              <w:pStyle w:val="TableText"/>
              <w:spacing w:before="40" w:after="40"/>
              <w:ind w:left="397"/>
              <w:rPr>
                <w:color w:val="1C556C" w:themeColor="accent1"/>
                <w:szCs w:val="18"/>
              </w:rPr>
            </w:pPr>
            <w:r w:rsidRPr="00A03684">
              <w:rPr>
                <w:color w:val="1C556C" w:themeColor="accent1"/>
                <w:szCs w:val="18"/>
              </w:rPr>
              <w:t>b</w:t>
            </w:r>
            <w:r w:rsidR="00F304BE" w:rsidRPr="00A03684">
              <w:rPr>
                <w:color w:val="1C556C" w:themeColor="accent1"/>
                <w:szCs w:val="18"/>
              </w:rPr>
              <w:t>.</w:t>
            </w:r>
            <w:r w:rsidRPr="00A03684">
              <w:rPr>
                <w:color w:val="1C556C" w:themeColor="accent1"/>
                <w:szCs w:val="18"/>
              </w:rPr>
              <w:tab/>
            </w:r>
            <w:r w:rsidR="008C370E" w:rsidRPr="00A03684">
              <w:rPr>
                <w:color w:val="1C556C" w:themeColor="accent1"/>
                <w:szCs w:val="18"/>
              </w:rPr>
              <w:t xml:space="preserve">a periodic update? </w:t>
            </w:r>
          </w:p>
        </w:tc>
        <w:tc>
          <w:tcPr>
            <w:tcW w:w="62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Full </w:t>
            </w:r>
            <w:r w:rsidR="00A933D8" w:rsidRPr="00A03684">
              <w:rPr>
                <w:color w:val="1C556C" w:themeColor="accent1"/>
                <w:szCs w:val="18"/>
              </w:rPr>
              <w:t>s</w:t>
            </w:r>
            <w:r w:rsidRPr="00A03684">
              <w:rPr>
                <w:color w:val="1C556C" w:themeColor="accent1"/>
                <w:szCs w:val="18"/>
              </w:rPr>
              <w:t>upport</w:t>
            </w:r>
          </w:p>
        </w:tc>
      </w:tr>
      <w:tr w:rsidR="007B75C6" w:rsidRPr="00A03684" w:rsidTr="006918A8">
        <w:tc>
          <w:tcPr>
            <w:tcW w:w="0" w:type="auto"/>
            <w:hideMark/>
          </w:tcPr>
          <w:p w:rsidR="008C370E" w:rsidRPr="00A03684" w:rsidRDefault="001F44DE" w:rsidP="000C755A">
            <w:pPr>
              <w:pStyle w:val="TableText"/>
              <w:spacing w:before="40" w:after="40"/>
              <w:ind w:left="397" w:hanging="397"/>
              <w:rPr>
                <w:color w:val="1C556C" w:themeColor="accent1"/>
                <w:szCs w:val="18"/>
              </w:rPr>
            </w:pPr>
            <w:r w:rsidRPr="00A03684">
              <w:rPr>
                <w:color w:val="1C556C" w:themeColor="accent1"/>
                <w:szCs w:val="18"/>
              </w:rPr>
              <w:t>4)</w:t>
            </w:r>
            <w:r w:rsidRPr="00A03684">
              <w:rPr>
                <w:color w:val="1C556C" w:themeColor="accent1"/>
                <w:szCs w:val="18"/>
              </w:rPr>
              <w:tab/>
            </w:r>
            <w:r w:rsidR="008C370E" w:rsidRPr="00A03684">
              <w:rPr>
                <w:color w:val="1C556C" w:themeColor="accent1"/>
                <w:szCs w:val="18"/>
              </w:rPr>
              <w:t>If</w:t>
            </w:r>
            <w:r w:rsidR="009D6559" w:rsidRPr="00A03684">
              <w:rPr>
                <w:color w:val="1C556C" w:themeColor="accent1"/>
                <w:szCs w:val="18"/>
              </w:rPr>
              <w:t xml:space="preserve"> periodic reassessment is</w:t>
            </w:r>
            <w:r w:rsidR="008C370E" w:rsidRPr="00A03684">
              <w:rPr>
                <w:color w:val="1C556C" w:themeColor="accent1"/>
                <w:szCs w:val="18"/>
              </w:rPr>
              <w:t xml:space="preserve"> legislated, what would be an appropriate period</w:t>
            </w:r>
            <w:r w:rsidR="00FF1696" w:rsidRPr="00A03684">
              <w:rPr>
                <w:color w:val="1C556C" w:themeColor="accent1"/>
                <w:szCs w:val="18"/>
              </w:rPr>
              <w:t> </w:t>
            </w:r>
            <w:r w:rsidR="008C370E" w:rsidRPr="00A03684">
              <w:rPr>
                <w:color w:val="1C556C" w:themeColor="accent1"/>
                <w:szCs w:val="18"/>
              </w:rPr>
              <w:t xml:space="preserve">– </w:t>
            </w:r>
          </w:p>
          <w:p w:rsidR="006C1455" w:rsidRPr="00A03684" w:rsidRDefault="006C1455" w:rsidP="000C755A">
            <w:pPr>
              <w:pStyle w:val="TableText"/>
              <w:spacing w:before="0" w:after="40"/>
              <w:ind w:left="794" w:hanging="397"/>
              <w:rPr>
                <w:color w:val="1C556C" w:themeColor="accent1"/>
                <w:szCs w:val="18"/>
              </w:rPr>
            </w:pPr>
            <w:r w:rsidRPr="00A03684">
              <w:rPr>
                <w:color w:val="1C556C" w:themeColor="accent1"/>
                <w:szCs w:val="18"/>
              </w:rPr>
              <w:t xml:space="preserve">a. </w:t>
            </w:r>
            <w:r w:rsidR="00F304BE" w:rsidRPr="00A03684">
              <w:rPr>
                <w:color w:val="1C556C" w:themeColor="accent1"/>
                <w:szCs w:val="18"/>
              </w:rPr>
              <w:tab/>
            </w:r>
            <w:r w:rsidRPr="00A03684">
              <w:rPr>
                <w:color w:val="1C556C" w:themeColor="accent1"/>
                <w:szCs w:val="18"/>
              </w:rPr>
              <w:t>every year</w:t>
            </w:r>
          </w:p>
        </w:tc>
        <w:tc>
          <w:tcPr>
            <w:tcW w:w="62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c>
          <w:tcPr>
            <w:tcW w:w="181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r>
      <w:tr w:rsidR="007B75C6" w:rsidRPr="00A03684" w:rsidTr="006918A8">
        <w:tc>
          <w:tcPr>
            <w:tcW w:w="0" w:type="auto"/>
            <w:hideMark/>
          </w:tcPr>
          <w:p w:rsidR="008C370E" w:rsidRPr="00A03684" w:rsidRDefault="006C1455" w:rsidP="000C755A">
            <w:pPr>
              <w:pStyle w:val="TableText"/>
              <w:spacing w:before="40" w:after="40"/>
              <w:ind w:left="794" w:hanging="397"/>
              <w:rPr>
                <w:color w:val="1C556C" w:themeColor="accent1"/>
                <w:szCs w:val="18"/>
              </w:rPr>
            </w:pPr>
            <w:r w:rsidRPr="00A03684">
              <w:rPr>
                <w:color w:val="1C556C" w:themeColor="accent1"/>
                <w:szCs w:val="18"/>
              </w:rPr>
              <w:t xml:space="preserve">b. </w:t>
            </w:r>
            <w:r w:rsidR="00F304BE" w:rsidRPr="00A03684">
              <w:rPr>
                <w:color w:val="1C556C" w:themeColor="accent1"/>
                <w:szCs w:val="18"/>
              </w:rPr>
              <w:tab/>
            </w:r>
            <w:r w:rsidR="008C370E" w:rsidRPr="00A03684">
              <w:rPr>
                <w:color w:val="1C556C" w:themeColor="accent1"/>
                <w:szCs w:val="18"/>
              </w:rPr>
              <w:t xml:space="preserve">5 years </w:t>
            </w:r>
          </w:p>
        </w:tc>
        <w:tc>
          <w:tcPr>
            <w:tcW w:w="624" w:type="dxa"/>
          </w:tcPr>
          <w:p w:rsidR="008C370E" w:rsidRPr="00A03684" w:rsidRDefault="008C370E" w:rsidP="000C755A">
            <w:pPr>
              <w:pStyle w:val="TableText"/>
              <w:spacing w:before="40" w:after="40"/>
              <w:jc w:val="center"/>
              <w:rPr>
                <w:color w:val="1C556C" w:themeColor="accent1"/>
                <w:szCs w:val="18"/>
              </w:rPr>
            </w:pP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Consult</w:t>
            </w:r>
          </w:p>
        </w:tc>
      </w:tr>
      <w:tr w:rsidR="007B75C6" w:rsidRPr="00A03684" w:rsidTr="006918A8">
        <w:tc>
          <w:tcPr>
            <w:tcW w:w="0" w:type="auto"/>
            <w:hideMark/>
          </w:tcPr>
          <w:p w:rsidR="008C370E" w:rsidRPr="00A03684" w:rsidRDefault="006C1455" w:rsidP="000C755A">
            <w:pPr>
              <w:pStyle w:val="TableText"/>
              <w:spacing w:before="40" w:after="40"/>
              <w:ind w:left="794" w:hanging="397"/>
              <w:rPr>
                <w:color w:val="1C556C" w:themeColor="accent1"/>
                <w:szCs w:val="18"/>
              </w:rPr>
            </w:pPr>
            <w:r w:rsidRPr="00A03684">
              <w:rPr>
                <w:color w:val="1C556C" w:themeColor="accent1"/>
                <w:szCs w:val="18"/>
              </w:rPr>
              <w:t>c.</w:t>
            </w:r>
            <w:r w:rsidR="00F304BE" w:rsidRPr="00A03684">
              <w:rPr>
                <w:color w:val="1C556C" w:themeColor="accent1"/>
                <w:szCs w:val="18"/>
              </w:rPr>
              <w:tab/>
            </w:r>
            <w:r w:rsidR="008C370E" w:rsidRPr="00A03684">
              <w:rPr>
                <w:color w:val="1C556C" w:themeColor="accent1"/>
                <w:szCs w:val="18"/>
              </w:rPr>
              <w:t xml:space="preserve">10 years </w:t>
            </w:r>
          </w:p>
        </w:tc>
        <w:tc>
          <w:tcPr>
            <w:tcW w:w="62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Majority </w:t>
            </w:r>
            <w:r w:rsidR="00A933D8" w:rsidRPr="00A03684">
              <w:rPr>
                <w:color w:val="1C556C" w:themeColor="accent1"/>
                <w:szCs w:val="18"/>
              </w:rPr>
              <w:t>p</w:t>
            </w:r>
            <w:r w:rsidRPr="00A03684">
              <w:rPr>
                <w:color w:val="1C556C" w:themeColor="accent1"/>
                <w:szCs w:val="18"/>
              </w:rPr>
              <w:t>reference</w:t>
            </w:r>
            <w:r w:rsidR="00F304BE" w:rsidRPr="00A03684">
              <w:rPr>
                <w:color w:val="1C556C" w:themeColor="accent1"/>
                <w:szCs w:val="18"/>
              </w:rPr>
              <w:t>;</w:t>
            </w:r>
            <w:r w:rsidRPr="00A03684">
              <w:rPr>
                <w:rStyle w:val="FootnoteReference"/>
                <w:color w:val="1C556C" w:themeColor="accent1"/>
                <w:sz w:val="18"/>
                <w:szCs w:val="18"/>
              </w:rPr>
              <w:footnoteReference w:id="24"/>
            </w:r>
            <w:r w:rsidR="006918A8">
              <w:rPr>
                <w:color w:val="1C556C" w:themeColor="accent1"/>
                <w:szCs w:val="18"/>
              </w:rPr>
              <w:t xml:space="preserve"> </w:t>
            </w:r>
            <w:r w:rsidR="00A933D8" w:rsidRPr="00A03684">
              <w:rPr>
                <w:color w:val="1C556C" w:themeColor="accent1"/>
                <w:szCs w:val="18"/>
              </w:rPr>
              <w:t>c</w:t>
            </w:r>
            <w:r w:rsidRPr="00A03684">
              <w:rPr>
                <w:color w:val="1C556C" w:themeColor="accent1"/>
                <w:szCs w:val="18"/>
              </w:rPr>
              <w:t>onsult</w:t>
            </w:r>
          </w:p>
        </w:tc>
      </w:tr>
      <w:tr w:rsidR="007B75C6" w:rsidRPr="00A03684" w:rsidTr="006918A8">
        <w:tc>
          <w:tcPr>
            <w:tcW w:w="0" w:type="auto"/>
            <w:hideMark/>
          </w:tcPr>
          <w:p w:rsidR="008C370E" w:rsidRPr="00A03684" w:rsidRDefault="006C1455" w:rsidP="000C755A">
            <w:pPr>
              <w:pStyle w:val="TableText"/>
              <w:spacing w:before="40" w:after="40"/>
              <w:ind w:left="794" w:hanging="397"/>
              <w:rPr>
                <w:color w:val="1C556C" w:themeColor="accent1"/>
                <w:szCs w:val="18"/>
              </w:rPr>
            </w:pPr>
            <w:r w:rsidRPr="00A03684">
              <w:rPr>
                <w:color w:val="1C556C" w:themeColor="accent1"/>
                <w:szCs w:val="18"/>
              </w:rPr>
              <w:t xml:space="preserve">d. </w:t>
            </w:r>
            <w:r w:rsidR="00F304BE" w:rsidRPr="00A03684">
              <w:rPr>
                <w:color w:val="1C556C" w:themeColor="accent1"/>
                <w:szCs w:val="18"/>
              </w:rPr>
              <w:tab/>
            </w:r>
            <w:r w:rsidRPr="00A03684">
              <w:rPr>
                <w:color w:val="1C556C" w:themeColor="accent1"/>
                <w:szCs w:val="18"/>
              </w:rPr>
              <w:t>S</w:t>
            </w:r>
            <w:r w:rsidR="009D6559" w:rsidRPr="00A03684">
              <w:rPr>
                <w:color w:val="1C556C" w:themeColor="accent1"/>
                <w:szCs w:val="18"/>
              </w:rPr>
              <w:t xml:space="preserve">omething else? </w:t>
            </w:r>
          </w:p>
        </w:tc>
        <w:tc>
          <w:tcPr>
            <w:tcW w:w="62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No</w:t>
            </w:r>
          </w:p>
        </w:tc>
        <w:tc>
          <w:tcPr>
            <w:tcW w:w="1814" w:type="dxa"/>
            <w:hideMark/>
          </w:tcPr>
          <w:p w:rsidR="008C370E" w:rsidRPr="00A03684" w:rsidRDefault="00F304BE" w:rsidP="000C755A">
            <w:pPr>
              <w:pStyle w:val="TableText"/>
              <w:spacing w:before="40" w:after="40"/>
              <w:jc w:val="center"/>
              <w:rPr>
                <w:color w:val="1C556C" w:themeColor="accent1"/>
                <w:szCs w:val="18"/>
              </w:rPr>
            </w:pPr>
            <w:r w:rsidRPr="00A03684">
              <w:rPr>
                <w:color w:val="1C556C" w:themeColor="accent1"/>
                <w:szCs w:val="18"/>
              </w:rPr>
              <w:t>–</w:t>
            </w:r>
          </w:p>
        </w:tc>
      </w:tr>
      <w:tr w:rsidR="007B75C6" w:rsidRPr="00A03684" w:rsidTr="006918A8">
        <w:tc>
          <w:tcPr>
            <w:tcW w:w="0" w:type="auto"/>
            <w:hideMark/>
          </w:tcPr>
          <w:p w:rsidR="008C370E" w:rsidRPr="00A03684" w:rsidRDefault="008135BC" w:rsidP="000C755A">
            <w:pPr>
              <w:pStyle w:val="TableText"/>
              <w:spacing w:before="40" w:after="40"/>
              <w:ind w:left="397" w:hanging="397"/>
              <w:rPr>
                <w:color w:val="1C556C" w:themeColor="accent1"/>
                <w:szCs w:val="18"/>
              </w:rPr>
            </w:pPr>
            <w:r w:rsidRPr="00A03684">
              <w:rPr>
                <w:color w:val="1C556C" w:themeColor="accent1"/>
                <w:szCs w:val="18"/>
              </w:rPr>
              <w:t>5)</w:t>
            </w:r>
            <w:r w:rsidRPr="00A03684">
              <w:rPr>
                <w:color w:val="1C556C" w:themeColor="accent1"/>
                <w:szCs w:val="18"/>
              </w:rPr>
              <w:tab/>
            </w:r>
            <w:r w:rsidR="008C370E" w:rsidRPr="00A03684">
              <w:rPr>
                <w:color w:val="1C556C" w:themeColor="accent1"/>
                <w:szCs w:val="18"/>
              </w:rPr>
              <w:t xml:space="preserve">Do you agree the financial years 2016/17, 2017/18 and 2018/19 should be used as new base years to update allocative baselines? </w:t>
            </w:r>
          </w:p>
        </w:tc>
        <w:tc>
          <w:tcPr>
            <w:tcW w:w="62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Full </w:t>
            </w:r>
            <w:r w:rsidR="00A933D8" w:rsidRPr="00A03684">
              <w:rPr>
                <w:color w:val="1C556C" w:themeColor="accent1"/>
                <w:szCs w:val="18"/>
              </w:rPr>
              <w:t>s</w:t>
            </w:r>
            <w:r w:rsidRPr="00A03684">
              <w:rPr>
                <w:color w:val="1C556C" w:themeColor="accent1"/>
                <w:szCs w:val="18"/>
              </w:rPr>
              <w:t>upport</w:t>
            </w:r>
          </w:p>
        </w:tc>
      </w:tr>
      <w:tr w:rsidR="007B75C6" w:rsidRPr="00A03684" w:rsidTr="006918A8">
        <w:tc>
          <w:tcPr>
            <w:tcW w:w="0" w:type="auto"/>
            <w:tcBorders>
              <w:bottom w:val="single" w:sz="4" w:space="0" w:color="1C556C" w:themeColor="accent1"/>
            </w:tcBorders>
          </w:tcPr>
          <w:p w:rsidR="008C370E" w:rsidRPr="00A03684" w:rsidRDefault="008135BC" w:rsidP="000C755A">
            <w:pPr>
              <w:pStyle w:val="TableText"/>
              <w:spacing w:before="40" w:after="40"/>
              <w:ind w:left="397" w:hanging="397"/>
              <w:rPr>
                <w:color w:val="1C556C" w:themeColor="accent1"/>
                <w:szCs w:val="18"/>
              </w:rPr>
            </w:pPr>
            <w:r w:rsidRPr="00A03684">
              <w:rPr>
                <w:color w:val="1C556C" w:themeColor="accent1"/>
                <w:szCs w:val="18"/>
              </w:rPr>
              <w:t>6)</w:t>
            </w:r>
            <w:r w:rsidRPr="00A03684">
              <w:rPr>
                <w:color w:val="1C556C" w:themeColor="accent1"/>
                <w:szCs w:val="18"/>
              </w:rPr>
              <w:tab/>
            </w:r>
            <w:r w:rsidR="008C370E" w:rsidRPr="00A03684">
              <w:rPr>
                <w:color w:val="1C556C" w:themeColor="accent1"/>
                <w:szCs w:val="18"/>
              </w:rPr>
              <w:t xml:space="preserve">Should the financial years 2019/20 and 2020/21 be included but with a weighting provision? </w:t>
            </w:r>
          </w:p>
        </w:tc>
        <w:tc>
          <w:tcPr>
            <w:tcW w:w="624" w:type="dxa"/>
            <w:tcBorders>
              <w:bottom w:val="single" w:sz="4" w:space="0" w:color="1C556C" w:themeColor="accent1"/>
            </w:tcBorders>
          </w:tcPr>
          <w:p w:rsidR="008C370E" w:rsidRPr="00A03684" w:rsidRDefault="008C370E" w:rsidP="000C755A">
            <w:pPr>
              <w:pStyle w:val="TableText"/>
              <w:spacing w:before="40" w:after="40"/>
              <w:jc w:val="center"/>
              <w:rPr>
                <w:color w:val="1C556C" w:themeColor="accent1"/>
                <w:szCs w:val="18"/>
              </w:rPr>
            </w:pPr>
          </w:p>
        </w:tc>
        <w:tc>
          <w:tcPr>
            <w:tcW w:w="1814" w:type="dxa"/>
            <w:tcBorders>
              <w:bottom w:val="single" w:sz="4" w:space="0" w:color="1C556C" w:themeColor="accent1"/>
            </w:tcBorders>
          </w:tcPr>
          <w:p w:rsidR="008C370E" w:rsidRPr="00A03684" w:rsidRDefault="00A856AB" w:rsidP="000C755A">
            <w:pPr>
              <w:pStyle w:val="TableText"/>
              <w:spacing w:before="40" w:after="40"/>
              <w:jc w:val="center"/>
              <w:rPr>
                <w:color w:val="1C556C" w:themeColor="accent1"/>
                <w:szCs w:val="18"/>
              </w:rPr>
            </w:pPr>
            <w:r>
              <w:rPr>
                <w:color w:val="1C556C" w:themeColor="accent1"/>
                <w:szCs w:val="18"/>
              </w:rPr>
              <w:t>*</w:t>
            </w:r>
          </w:p>
        </w:tc>
      </w:tr>
      <w:tr w:rsidR="007B75C6" w:rsidRPr="00A03684" w:rsidTr="006918A8">
        <w:tc>
          <w:tcPr>
            <w:tcW w:w="0" w:type="auto"/>
            <w:shd w:val="clear" w:color="auto" w:fill="D2DDE2" w:themeFill="accent3"/>
            <w:hideMark/>
          </w:tcPr>
          <w:p w:rsidR="008C370E" w:rsidRPr="00A03684" w:rsidRDefault="008C370E" w:rsidP="000C755A">
            <w:pPr>
              <w:pStyle w:val="TableTextbold"/>
              <w:spacing w:before="40" w:after="40"/>
              <w:rPr>
                <w:color w:val="1C556C" w:themeColor="accent1"/>
                <w:szCs w:val="18"/>
              </w:rPr>
            </w:pPr>
            <w:r w:rsidRPr="00A03684">
              <w:rPr>
                <w:color w:val="1C556C" w:themeColor="accent1"/>
                <w:szCs w:val="18"/>
              </w:rPr>
              <w:t xml:space="preserve">Eligibility </w:t>
            </w:r>
          </w:p>
        </w:tc>
        <w:tc>
          <w:tcPr>
            <w:tcW w:w="624" w:type="dxa"/>
            <w:shd w:val="clear" w:color="auto" w:fill="D2DDE2" w:themeFill="accent3"/>
          </w:tcPr>
          <w:p w:rsidR="008C370E" w:rsidRPr="00A03684" w:rsidRDefault="008C370E" w:rsidP="000C755A">
            <w:pPr>
              <w:pStyle w:val="TableText"/>
              <w:spacing w:before="40" w:after="40"/>
              <w:jc w:val="center"/>
              <w:rPr>
                <w:color w:val="1C556C" w:themeColor="accent1"/>
                <w:szCs w:val="18"/>
              </w:rPr>
            </w:pPr>
          </w:p>
        </w:tc>
        <w:tc>
          <w:tcPr>
            <w:tcW w:w="1814" w:type="dxa"/>
            <w:shd w:val="clear" w:color="auto" w:fill="D2DDE2" w:themeFill="accent3"/>
          </w:tcPr>
          <w:p w:rsidR="008C370E" w:rsidRPr="00A03684" w:rsidRDefault="008C370E" w:rsidP="000C755A">
            <w:pPr>
              <w:pStyle w:val="TableText"/>
              <w:spacing w:before="40" w:after="40"/>
              <w:jc w:val="center"/>
              <w:rPr>
                <w:color w:val="1C556C" w:themeColor="accent1"/>
                <w:szCs w:val="18"/>
              </w:rPr>
            </w:pPr>
          </w:p>
        </w:tc>
      </w:tr>
      <w:tr w:rsidR="007B75C6" w:rsidRPr="00A03684" w:rsidTr="006918A8">
        <w:tc>
          <w:tcPr>
            <w:tcW w:w="0" w:type="auto"/>
            <w:hideMark/>
          </w:tcPr>
          <w:p w:rsidR="008C370E" w:rsidRPr="00A03684" w:rsidRDefault="00AB18AC" w:rsidP="000C755A">
            <w:pPr>
              <w:pStyle w:val="TableText"/>
              <w:spacing w:before="40" w:after="40"/>
              <w:ind w:left="397" w:hanging="397"/>
              <w:rPr>
                <w:color w:val="1C556C" w:themeColor="accent1"/>
                <w:szCs w:val="18"/>
              </w:rPr>
            </w:pPr>
            <w:r w:rsidRPr="00A03684">
              <w:rPr>
                <w:color w:val="1C556C" w:themeColor="accent1"/>
                <w:szCs w:val="18"/>
              </w:rPr>
              <w:t>7)</w:t>
            </w:r>
            <w:r w:rsidRPr="00A03684">
              <w:rPr>
                <w:color w:val="1C556C" w:themeColor="accent1"/>
                <w:szCs w:val="18"/>
              </w:rPr>
              <w:tab/>
            </w:r>
            <w:r w:rsidR="008C370E" w:rsidRPr="00A03684">
              <w:rPr>
                <w:color w:val="1C556C" w:themeColor="accent1"/>
                <w:szCs w:val="18"/>
              </w:rPr>
              <w:t>Should eligibility be reassessed using new base years?</w:t>
            </w:r>
          </w:p>
        </w:tc>
        <w:tc>
          <w:tcPr>
            <w:tcW w:w="62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Full </w:t>
            </w:r>
            <w:r w:rsidR="00A933D8" w:rsidRPr="00A03684">
              <w:rPr>
                <w:color w:val="1C556C" w:themeColor="accent1"/>
                <w:szCs w:val="18"/>
              </w:rPr>
              <w:t>s</w:t>
            </w:r>
            <w:r w:rsidRPr="00A03684">
              <w:rPr>
                <w:color w:val="1C556C" w:themeColor="accent1"/>
                <w:szCs w:val="18"/>
              </w:rPr>
              <w:t>upport</w:t>
            </w:r>
          </w:p>
        </w:tc>
      </w:tr>
      <w:tr w:rsidR="007B75C6" w:rsidRPr="00A03684" w:rsidTr="006918A8">
        <w:tc>
          <w:tcPr>
            <w:tcW w:w="0" w:type="auto"/>
            <w:hideMark/>
          </w:tcPr>
          <w:p w:rsidR="008C370E" w:rsidRPr="00A03684" w:rsidRDefault="00B14D37" w:rsidP="000C755A">
            <w:pPr>
              <w:pStyle w:val="TableText"/>
              <w:spacing w:before="40" w:after="40"/>
              <w:ind w:left="397" w:hanging="397"/>
              <w:rPr>
                <w:color w:val="1C556C" w:themeColor="accent1"/>
                <w:szCs w:val="18"/>
              </w:rPr>
            </w:pPr>
            <w:r w:rsidRPr="00A03684">
              <w:rPr>
                <w:color w:val="1C556C" w:themeColor="accent1"/>
                <w:szCs w:val="18"/>
              </w:rPr>
              <w:t>8)</w:t>
            </w:r>
            <w:r w:rsidRPr="00A03684">
              <w:rPr>
                <w:color w:val="1C556C" w:themeColor="accent1"/>
                <w:szCs w:val="18"/>
              </w:rPr>
              <w:tab/>
            </w:r>
            <w:r w:rsidR="008C370E" w:rsidRPr="00A03684">
              <w:rPr>
                <w:color w:val="1C556C" w:themeColor="accent1"/>
                <w:szCs w:val="18"/>
              </w:rPr>
              <w:t xml:space="preserve">Should new emissions intensity thresholds for New Zealand industry be developed? </w:t>
            </w:r>
          </w:p>
        </w:tc>
        <w:tc>
          <w:tcPr>
            <w:tcW w:w="62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c>
          <w:tcPr>
            <w:tcW w:w="181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r>
      <w:tr w:rsidR="007B75C6" w:rsidRPr="00A03684" w:rsidTr="006918A8">
        <w:tc>
          <w:tcPr>
            <w:tcW w:w="0" w:type="auto"/>
            <w:hideMark/>
          </w:tcPr>
          <w:p w:rsidR="008C370E" w:rsidRPr="00A03684" w:rsidRDefault="00B14D37" w:rsidP="000C755A">
            <w:pPr>
              <w:pStyle w:val="TableText"/>
              <w:spacing w:before="40" w:after="40"/>
              <w:ind w:left="794" w:hanging="397"/>
              <w:rPr>
                <w:color w:val="1C556C" w:themeColor="accent1"/>
                <w:szCs w:val="18"/>
              </w:rPr>
            </w:pPr>
            <w:r w:rsidRPr="00A03684">
              <w:rPr>
                <w:color w:val="1C556C" w:themeColor="accent1"/>
                <w:szCs w:val="18"/>
              </w:rPr>
              <w:t>a.</w:t>
            </w:r>
            <w:r w:rsidRPr="00A03684">
              <w:rPr>
                <w:color w:val="1C556C" w:themeColor="accent1"/>
                <w:szCs w:val="18"/>
              </w:rPr>
              <w:tab/>
            </w:r>
            <w:r w:rsidR="008C370E" w:rsidRPr="00A03684">
              <w:rPr>
                <w:color w:val="1C556C" w:themeColor="accent1"/>
                <w:szCs w:val="18"/>
              </w:rPr>
              <w:t>With no change in EAF for eligibility (retain Australian EAF)</w:t>
            </w:r>
          </w:p>
        </w:tc>
        <w:tc>
          <w:tcPr>
            <w:tcW w:w="624" w:type="dxa"/>
          </w:tcPr>
          <w:p w:rsidR="008C370E" w:rsidRPr="00A03684" w:rsidRDefault="008C370E" w:rsidP="000C755A">
            <w:pPr>
              <w:pStyle w:val="TableText"/>
              <w:spacing w:before="40" w:after="40"/>
              <w:jc w:val="center"/>
              <w:rPr>
                <w:color w:val="1C556C" w:themeColor="accent1"/>
                <w:szCs w:val="18"/>
              </w:rPr>
            </w:pP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Consult</w:t>
            </w:r>
          </w:p>
        </w:tc>
      </w:tr>
      <w:tr w:rsidR="007B75C6" w:rsidRPr="00A03684" w:rsidTr="006918A8">
        <w:tc>
          <w:tcPr>
            <w:tcW w:w="0" w:type="auto"/>
            <w:hideMark/>
          </w:tcPr>
          <w:p w:rsidR="008C370E" w:rsidRPr="00A03684" w:rsidRDefault="00B14D37" w:rsidP="000C755A">
            <w:pPr>
              <w:pStyle w:val="TableText"/>
              <w:spacing w:before="40" w:after="40"/>
              <w:ind w:left="794" w:hanging="397"/>
              <w:rPr>
                <w:color w:val="1C556C" w:themeColor="accent1"/>
                <w:szCs w:val="18"/>
              </w:rPr>
            </w:pPr>
            <w:r w:rsidRPr="00A03684">
              <w:rPr>
                <w:color w:val="1C556C" w:themeColor="accent1"/>
                <w:szCs w:val="18"/>
              </w:rPr>
              <w:t>b.</w:t>
            </w:r>
            <w:r w:rsidRPr="00A03684">
              <w:rPr>
                <w:color w:val="1C556C" w:themeColor="accent1"/>
                <w:szCs w:val="18"/>
              </w:rPr>
              <w:tab/>
            </w:r>
            <w:r w:rsidR="008C370E" w:rsidRPr="00A03684">
              <w:rPr>
                <w:color w:val="1C556C" w:themeColor="accent1"/>
                <w:szCs w:val="18"/>
              </w:rPr>
              <w:t>With change to NZ based EAF (refer Q10)</w:t>
            </w:r>
          </w:p>
        </w:tc>
        <w:tc>
          <w:tcPr>
            <w:tcW w:w="624" w:type="dxa"/>
          </w:tcPr>
          <w:p w:rsidR="008C370E" w:rsidRPr="00A03684" w:rsidRDefault="008C370E" w:rsidP="000C755A">
            <w:pPr>
              <w:pStyle w:val="TableText"/>
              <w:spacing w:before="40" w:after="40"/>
              <w:jc w:val="center"/>
              <w:rPr>
                <w:color w:val="1C556C" w:themeColor="accent1"/>
                <w:szCs w:val="18"/>
              </w:rPr>
            </w:pP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Consult</w:t>
            </w:r>
          </w:p>
        </w:tc>
      </w:tr>
      <w:tr w:rsidR="007B75C6" w:rsidRPr="00A03684" w:rsidTr="006918A8">
        <w:tc>
          <w:tcPr>
            <w:tcW w:w="0" w:type="auto"/>
            <w:hideMark/>
          </w:tcPr>
          <w:p w:rsidR="008C370E" w:rsidRPr="00A03684" w:rsidRDefault="001F6ED1" w:rsidP="000C755A">
            <w:pPr>
              <w:pStyle w:val="TableText"/>
              <w:spacing w:before="40" w:after="40"/>
              <w:ind w:left="397" w:hanging="397"/>
              <w:rPr>
                <w:color w:val="1C556C" w:themeColor="accent1"/>
                <w:szCs w:val="18"/>
              </w:rPr>
            </w:pPr>
            <w:r w:rsidRPr="00A03684">
              <w:rPr>
                <w:color w:val="1C556C" w:themeColor="accent1"/>
                <w:szCs w:val="18"/>
              </w:rPr>
              <w:t>9)</w:t>
            </w:r>
            <w:r w:rsidRPr="00A03684">
              <w:rPr>
                <w:color w:val="1C556C" w:themeColor="accent1"/>
                <w:szCs w:val="18"/>
              </w:rPr>
              <w:tab/>
            </w:r>
            <w:r w:rsidR="008C370E" w:rsidRPr="00A03684">
              <w:rPr>
                <w:color w:val="1C556C" w:themeColor="accent1"/>
                <w:szCs w:val="18"/>
              </w:rPr>
              <w:t>Should more thresholds be added into the eligibility criteria? Why, or why not? How many would be appropriate?</w:t>
            </w:r>
          </w:p>
        </w:tc>
        <w:tc>
          <w:tcPr>
            <w:tcW w:w="624" w:type="dxa"/>
          </w:tcPr>
          <w:p w:rsidR="008C370E" w:rsidRPr="00A03684" w:rsidRDefault="008C370E" w:rsidP="000C755A">
            <w:pPr>
              <w:pStyle w:val="TableText"/>
              <w:spacing w:before="40" w:after="40"/>
              <w:jc w:val="center"/>
              <w:rPr>
                <w:color w:val="1C556C" w:themeColor="accent1"/>
                <w:szCs w:val="18"/>
              </w:rPr>
            </w:pP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Consult</w:t>
            </w:r>
          </w:p>
        </w:tc>
      </w:tr>
      <w:tr w:rsidR="007B75C6" w:rsidRPr="00A03684" w:rsidTr="006918A8">
        <w:tc>
          <w:tcPr>
            <w:tcW w:w="0" w:type="auto"/>
            <w:hideMark/>
          </w:tcPr>
          <w:p w:rsidR="008C370E" w:rsidRPr="00A03684" w:rsidRDefault="001F6ED1" w:rsidP="000C755A">
            <w:pPr>
              <w:pStyle w:val="TableText"/>
              <w:spacing w:before="40" w:after="40"/>
              <w:ind w:left="397" w:hanging="397"/>
              <w:rPr>
                <w:color w:val="1C556C" w:themeColor="accent1"/>
                <w:szCs w:val="18"/>
              </w:rPr>
            </w:pPr>
            <w:r w:rsidRPr="00A03684">
              <w:rPr>
                <w:color w:val="1C556C" w:themeColor="accent1"/>
                <w:szCs w:val="18"/>
              </w:rPr>
              <w:t>10)</w:t>
            </w:r>
            <w:r w:rsidRPr="00A03684">
              <w:rPr>
                <w:color w:val="1C556C" w:themeColor="accent1"/>
                <w:szCs w:val="18"/>
              </w:rPr>
              <w:tab/>
            </w:r>
            <w:r w:rsidR="008C370E" w:rsidRPr="00A03684">
              <w:rPr>
                <w:color w:val="1C556C" w:themeColor="accent1"/>
                <w:szCs w:val="18"/>
              </w:rPr>
              <w:t xml:space="preserve">Would a sliding scale threshold system better target eligibility and assistance? </w:t>
            </w:r>
          </w:p>
        </w:tc>
        <w:tc>
          <w:tcPr>
            <w:tcW w:w="624" w:type="dxa"/>
          </w:tcPr>
          <w:p w:rsidR="008C370E" w:rsidRPr="00A03684" w:rsidRDefault="008C370E" w:rsidP="000C755A">
            <w:pPr>
              <w:pStyle w:val="TableText"/>
              <w:spacing w:before="40" w:after="40"/>
              <w:jc w:val="center"/>
              <w:rPr>
                <w:color w:val="1C556C" w:themeColor="accent1"/>
                <w:szCs w:val="18"/>
              </w:rPr>
            </w:pP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Some </w:t>
            </w:r>
            <w:r w:rsidR="00A933D8" w:rsidRPr="00A03684">
              <w:rPr>
                <w:color w:val="1C556C" w:themeColor="accent1"/>
                <w:szCs w:val="18"/>
              </w:rPr>
              <w:t>p</w:t>
            </w:r>
            <w:r w:rsidRPr="00A03684">
              <w:rPr>
                <w:color w:val="1C556C" w:themeColor="accent1"/>
                <w:szCs w:val="18"/>
              </w:rPr>
              <w:t>reference;</w:t>
            </w:r>
            <w:r w:rsidRPr="00A03684">
              <w:rPr>
                <w:color w:val="1C556C" w:themeColor="accent1"/>
                <w:szCs w:val="18"/>
              </w:rPr>
              <w:br/>
            </w:r>
            <w:r w:rsidR="00A933D8" w:rsidRPr="00A03684">
              <w:rPr>
                <w:color w:val="1C556C" w:themeColor="accent1"/>
                <w:szCs w:val="18"/>
              </w:rPr>
              <w:t>c</w:t>
            </w:r>
            <w:r w:rsidRPr="00A03684">
              <w:rPr>
                <w:color w:val="1C556C" w:themeColor="accent1"/>
                <w:szCs w:val="18"/>
              </w:rPr>
              <w:t>onsult</w:t>
            </w:r>
          </w:p>
        </w:tc>
      </w:tr>
      <w:tr w:rsidR="007B75C6" w:rsidRPr="00A03684" w:rsidTr="006918A8">
        <w:tc>
          <w:tcPr>
            <w:tcW w:w="0" w:type="auto"/>
            <w:hideMark/>
          </w:tcPr>
          <w:p w:rsidR="008C370E" w:rsidRPr="00A03684" w:rsidRDefault="001F6ED1" w:rsidP="000C755A">
            <w:pPr>
              <w:pStyle w:val="TableText"/>
              <w:spacing w:before="40" w:after="40"/>
              <w:ind w:left="397" w:hanging="397"/>
              <w:rPr>
                <w:color w:val="1C556C" w:themeColor="accent1"/>
                <w:szCs w:val="18"/>
              </w:rPr>
            </w:pPr>
            <w:r w:rsidRPr="00A03684">
              <w:rPr>
                <w:color w:val="1C556C" w:themeColor="accent1"/>
                <w:szCs w:val="18"/>
              </w:rPr>
              <w:t>11)</w:t>
            </w:r>
            <w:r w:rsidRPr="00A03684">
              <w:rPr>
                <w:color w:val="1C556C" w:themeColor="accent1"/>
                <w:szCs w:val="18"/>
              </w:rPr>
              <w:tab/>
            </w:r>
            <w:r w:rsidR="008C370E" w:rsidRPr="00A03684">
              <w:rPr>
                <w:color w:val="1C556C" w:themeColor="accent1"/>
                <w:szCs w:val="18"/>
              </w:rPr>
              <w:t xml:space="preserve">Should the New Zealand EAF be used when determining eligibility? Why, or why not? </w:t>
            </w:r>
          </w:p>
        </w:tc>
        <w:tc>
          <w:tcPr>
            <w:tcW w:w="62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c>
          <w:tcPr>
            <w:tcW w:w="181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r>
      <w:tr w:rsidR="007B75C6" w:rsidRPr="00A03684" w:rsidTr="006918A8">
        <w:tc>
          <w:tcPr>
            <w:tcW w:w="0" w:type="auto"/>
            <w:hideMark/>
          </w:tcPr>
          <w:p w:rsidR="008C370E" w:rsidRPr="00A03684" w:rsidRDefault="001C6B6C" w:rsidP="000C755A">
            <w:pPr>
              <w:pStyle w:val="TableText"/>
              <w:spacing w:before="40" w:after="40"/>
              <w:ind w:left="794" w:hanging="397"/>
              <w:rPr>
                <w:color w:val="1C556C" w:themeColor="accent1"/>
                <w:szCs w:val="18"/>
              </w:rPr>
            </w:pPr>
            <w:r w:rsidRPr="00A03684">
              <w:rPr>
                <w:color w:val="1C556C" w:themeColor="accent1"/>
                <w:szCs w:val="18"/>
              </w:rPr>
              <w:t>a.</w:t>
            </w:r>
            <w:r w:rsidRPr="00A03684">
              <w:rPr>
                <w:color w:val="1C556C" w:themeColor="accent1"/>
                <w:szCs w:val="18"/>
              </w:rPr>
              <w:tab/>
            </w:r>
            <w:r w:rsidR="008C370E" w:rsidRPr="00A03684">
              <w:rPr>
                <w:color w:val="1C556C" w:themeColor="accent1"/>
                <w:szCs w:val="18"/>
              </w:rPr>
              <w:t>With no change in eligibility thresholds</w:t>
            </w:r>
          </w:p>
        </w:tc>
        <w:tc>
          <w:tcPr>
            <w:tcW w:w="624" w:type="dxa"/>
          </w:tcPr>
          <w:p w:rsidR="008C370E" w:rsidRPr="00A03684" w:rsidRDefault="008C370E" w:rsidP="000C755A">
            <w:pPr>
              <w:pStyle w:val="TableText"/>
              <w:spacing w:before="40" w:after="40"/>
              <w:jc w:val="center"/>
              <w:rPr>
                <w:color w:val="1C556C" w:themeColor="accent1"/>
                <w:szCs w:val="18"/>
              </w:rPr>
            </w:pP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Consult</w:t>
            </w:r>
          </w:p>
        </w:tc>
      </w:tr>
      <w:tr w:rsidR="007B75C6" w:rsidRPr="00A03684" w:rsidTr="006918A8">
        <w:tc>
          <w:tcPr>
            <w:tcW w:w="0" w:type="auto"/>
            <w:hideMark/>
          </w:tcPr>
          <w:p w:rsidR="008C370E" w:rsidRPr="00A03684" w:rsidRDefault="001C6B6C" w:rsidP="000C755A">
            <w:pPr>
              <w:pStyle w:val="TableText"/>
              <w:spacing w:before="40" w:after="40"/>
              <w:ind w:left="794" w:hanging="397"/>
              <w:rPr>
                <w:color w:val="1C556C" w:themeColor="accent1"/>
                <w:szCs w:val="18"/>
              </w:rPr>
            </w:pPr>
            <w:r w:rsidRPr="00A03684">
              <w:rPr>
                <w:color w:val="1C556C" w:themeColor="accent1"/>
                <w:szCs w:val="18"/>
              </w:rPr>
              <w:t>b.</w:t>
            </w:r>
            <w:r w:rsidRPr="00A03684">
              <w:rPr>
                <w:color w:val="1C556C" w:themeColor="accent1"/>
                <w:szCs w:val="18"/>
              </w:rPr>
              <w:tab/>
            </w:r>
            <w:r w:rsidR="008C370E" w:rsidRPr="00A03684">
              <w:rPr>
                <w:color w:val="1C556C" w:themeColor="accent1"/>
                <w:szCs w:val="18"/>
              </w:rPr>
              <w:t>With changes to eligibility thresholds (refer Q7)</w:t>
            </w:r>
          </w:p>
        </w:tc>
        <w:tc>
          <w:tcPr>
            <w:tcW w:w="624" w:type="dxa"/>
          </w:tcPr>
          <w:p w:rsidR="008C370E" w:rsidRPr="00A03684" w:rsidRDefault="008C370E" w:rsidP="000C755A">
            <w:pPr>
              <w:pStyle w:val="TableText"/>
              <w:spacing w:before="40" w:after="40"/>
              <w:jc w:val="center"/>
              <w:rPr>
                <w:color w:val="1C556C" w:themeColor="accent1"/>
                <w:szCs w:val="18"/>
              </w:rPr>
            </w:pP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Some </w:t>
            </w:r>
            <w:r w:rsidR="00A933D8" w:rsidRPr="00A03684">
              <w:rPr>
                <w:color w:val="1C556C" w:themeColor="accent1"/>
                <w:szCs w:val="18"/>
              </w:rPr>
              <w:t>p</w:t>
            </w:r>
            <w:r w:rsidRPr="00A03684">
              <w:rPr>
                <w:color w:val="1C556C" w:themeColor="accent1"/>
                <w:szCs w:val="18"/>
              </w:rPr>
              <w:t>reference;</w:t>
            </w:r>
            <w:r w:rsidRPr="00A03684">
              <w:rPr>
                <w:color w:val="1C556C" w:themeColor="accent1"/>
                <w:szCs w:val="18"/>
              </w:rPr>
              <w:br/>
            </w:r>
            <w:r w:rsidR="00A933D8" w:rsidRPr="00A03684">
              <w:rPr>
                <w:color w:val="1C556C" w:themeColor="accent1"/>
                <w:szCs w:val="18"/>
              </w:rPr>
              <w:t>c</w:t>
            </w:r>
            <w:r w:rsidRPr="00A03684">
              <w:rPr>
                <w:color w:val="1C556C" w:themeColor="accent1"/>
                <w:szCs w:val="18"/>
              </w:rPr>
              <w:t>onsult</w:t>
            </w:r>
          </w:p>
        </w:tc>
      </w:tr>
      <w:tr w:rsidR="007B75C6" w:rsidRPr="00A03684" w:rsidTr="006918A8">
        <w:tc>
          <w:tcPr>
            <w:tcW w:w="0" w:type="auto"/>
            <w:hideMark/>
          </w:tcPr>
          <w:p w:rsidR="008C370E" w:rsidRPr="00A03684" w:rsidRDefault="00E66968" w:rsidP="000C755A">
            <w:pPr>
              <w:pStyle w:val="TableText"/>
              <w:spacing w:before="40" w:after="40"/>
              <w:ind w:left="397" w:hanging="397"/>
              <w:rPr>
                <w:color w:val="1C556C" w:themeColor="accent1"/>
                <w:szCs w:val="18"/>
              </w:rPr>
            </w:pPr>
            <w:r w:rsidRPr="00A03684">
              <w:rPr>
                <w:color w:val="1C556C" w:themeColor="accent1"/>
                <w:szCs w:val="18"/>
              </w:rPr>
              <w:t>12)</w:t>
            </w:r>
            <w:r w:rsidRPr="00A03684">
              <w:rPr>
                <w:color w:val="1C556C" w:themeColor="accent1"/>
                <w:szCs w:val="18"/>
              </w:rPr>
              <w:tab/>
            </w:r>
            <w:r w:rsidR="008C370E" w:rsidRPr="00A03684">
              <w:rPr>
                <w:color w:val="1C556C" w:themeColor="accent1"/>
                <w:szCs w:val="18"/>
              </w:rPr>
              <w:t xml:space="preserve">Should periodic updates of the EAF trigger a recalculation of eligibility? </w:t>
            </w:r>
          </w:p>
        </w:tc>
        <w:tc>
          <w:tcPr>
            <w:tcW w:w="62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c>
          <w:tcPr>
            <w:tcW w:w="1814" w:type="dxa"/>
            <w:shd w:val="clear" w:color="auto" w:fill="D9D9D9" w:themeFill="background1" w:themeFillShade="D9"/>
          </w:tcPr>
          <w:p w:rsidR="008C370E" w:rsidRPr="00A03684" w:rsidRDefault="008C370E" w:rsidP="000C755A">
            <w:pPr>
              <w:pStyle w:val="TableText"/>
              <w:spacing w:before="40" w:after="40"/>
              <w:jc w:val="center"/>
              <w:rPr>
                <w:color w:val="1C556C" w:themeColor="accent1"/>
                <w:szCs w:val="18"/>
              </w:rPr>
            </w:pPr>
          </w:p>
        </w:tc>
      </w:tr>
      <w:tr w:rsidR="007B75C6" w:rsidRPr="00A03684" w:rsidTr="006918A8">
        <w:tc>
          <w:tcPr>
            <w:tcW w:w="0" w:type="auto"/>
            <w:hideMark/>
          </w:tcPr>
          <w:p w:rsidR="008C370E" w:rsidRPr="00A03684" w:rsidRDefault="00E66968" w:rsidP="000C755A">
            <w:pPr>
              <w:pStyle w:val="TableText"/>
              <w:spacing w:before="40" w:after="40"/>
              <w:ind w:left="794" w:hanging="397"/>
              <w:rPr>
                <w:color w:val="1C556C" w:themeColor="accent1"/>
                <w:szCs w:val="18"/>
              </w:rPr>
            </w:pPr>
            <w:r w:rsidRPr="00A03684">
              <w:rPr>
                <w:color w:val="1C556C" w:themeColor="accent1"/>
                <w:szCs w:val="18"/>
              </w:rPr>
              <w:t>a,</w:t>
            </w:r>
            <w:r w:rsidRPr="00A03684">
              <w:rPr>
                <w:color w:val="1C556C" w:themeColor="accent1"/>
                <w:szCs w:val="18"/>
              </w:rPr>
              <w:tab/>
            </w:r>
            <w:r w:rsidR="008C370E" w:rsidRPr="00A03684">
              <w:rPr>
                <w:color w:val="1C556C" w:themeColor="accent1"/>
                <w:szCs w:val="18"/>
              </w:rPr>
              <w:t>If aligned with allocative baseline assessment (refer Q4)</w:t>
            </w:r>
          </w:p>
        </w:tc>
        <w:tc>
          <w:tcPr>
            <w:tcW w:w="62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Majority </w:t>
            </w:r>
            <w:r w:rsidR="00A933D8" w:rsidRPr="00A03684">
              <w:rPr>
                <w:color w:val="1C556C" w:themeColor="accent1"/>
                <w:szCs w:val="18"/>
              </w:rPr>
              <w:t>p</w:t>
            </w:r>
            <w:r w:rsidRPr="00A03684">
              <w:rPr>
                <w:color w:val="1C556C" w:themeColor="accent1"/>
                <w:szCs w:val="18"/>
              </w:rPr>
              <w:t>reference</w:t>
            </w:r>
          </w:p>
        </w:tc>
      </w:tr>
      <w:tr w:rsidR="007B75C6" w:rsidRPr="00A03684" w:rsidTr="006918A8">
        <w:tc>
          <w:tcPr>
            <w:tcW w:w="0" w:type="auto"/>
            <w:hideMark/>
          </w:tcPr>
          <w:p w:rsidR="008C370E" w:rsidRPr="00A03684" w:rsidRDefault="00E66968" w:rsidP="000C755A">
            <w:pPr>
              <w:pStyle w:val="TableText"/>
              <w:spacing w:before="40" w:after="40"/>
              <w:ind w:left="794" w:hanging="397"/>
              <w:rPr>
                <w:color w:val="1C556C" w:themeColor="accent1"/>
                <w:szCs w:val="18"/>
              </w:rPr>
            </w:pPr>
            <w:r w:rsidRPr="00A03684">
              <w:rPr>
                <w:color w:val="1C556C" w:themeColor="accent1"/>
                <w:szCs w:val="18"/>
              </w:rPr>
              <w:t>b.</w:t>
            </w:r>
            <w:r w:rsidRPr="00A03684">
              <w:rPr>
                <w:color w:val="1C556C" w:themeColor="accent1"/>
                <w:szCs w:val="18"/>
              </w:rPr>
              <w:tab/>
            </w:r>
            <w:r w:rsidR="008C370E" w:rsidRPr="00A03684">
              <w:rPr>
                <w:color w:val="1C556C" w:themeColor="accent1"/>
                <w:szCs w:val="18"/>
              </w:rPr>
              <w:t>If more frequent than allocative baseline assessment</w:t>
            </w:r>
          </w:p>
        </w:tc>
        <w:tc>
          <w:tcPr>
            <w:tcW w:w="624" w:type="dxa"/>
          </w:tcPr>
          <w:p w:rsidR="008C370E" w:rsidRPr="00A03684" w:rsidRDefault="008C370E" w:rsidP="000C755A">
            <w:pPr>
              <w:pStyle w:val="TableText"/>
              <w:spacing w:before="40" w:after="40"/>
              <w:jc w:val="center"/>
              <w:rPr>
                <w:color w:val="1C556C" w:themeColor="accent1"/>
                <w:szCs w:val="18"/>
              </w:rPr>
            </w:pPr>
          </w:p>
        </w:tc>
        <w:tc>
          <w:tcPr>
            <w:tcW w:w="1814" w:type="dxa"/>
          </w:tcPr>
          <w:p w:rsidR="008C370E" w:rsidRPr="00A03684" w:rsidRDefault="008C370E" w:rsidP="000C755A">
            <w:pPr>
              <w:pStyle w:val="TableText"/>
              <w:spacing w:before="40" w:after="40"/>
              <w:jc w:val="center"/>
              <w:rPr>
                <w:color w:val="1C556C" w:themeColor="accent1"/>
                <w:szCs w:val="18"/>
              </w:rPr>
            </w:pPr>
          </w:p>
        </w:tc>
      </w:tr>
      <w:tr w:rsidR="007B75C6" w:rsidRPr="00A03684" w:rsidTr="006918A8">
        <w:tc>
          <w:tcPr>
            <w:tcW w:w="0" w:type="auto"/>
            <w:hideMark/>
          </w:tcPr>
          <w:p w:rsidR="008C370E" w:rsidRPr="00A03684" w:rsidRDefault="00E66968" w:rsidP="000C755A">
            <w:pPr>
              <w:pStyle w:val="TableText"/>
              <w:spacing w:before="40" w:after="40"/>
              <w:ind w:left="397" w:hanging="397"/>
              <w:rPr>
                <w:color w:val="1C556C" w:themeColor="accent1"/>
                <w:szCs w:val="18"/>
              </w:rPr>
            </w:pPr>
            <w:r w:rsidRPr="00A03684">
              <w:rPr>
                <w:color w:val="1C556C" w:themeColor="accent1"/>
                <w:szCs w:val="18"/>
              </w:rPr>
              <w:t>13)</w:t>
            </w:r>
            <w:r w:rsidRPr="00A03684">
              <w:rPr>
                <w:color w:val="1C556C" w:themeColor="accent1"/>
                <w:szCs w:val="18"/>
              </w:rPr>
              <w:tab/>
            </w:r>
            <w:r w:rsidR="008C370E" w:rsidRPr="00A03684">
              <w:rPr>
                <w:color w:val="1C556C" w:themeColor="accent1"/>
                <w:szCs w:val="18"/>
              </w:rPr>
              <w:t>Should the trade</w:t>
            </w:r>
            <w:r w:rsidR="007A3B0A" w:rsidRPr="00A03684">
              <w:rPr>
                <w:color w:val="1C556C" w:themeColor="accent1"/>
                <w:szCs w:val="18"/>
              </w:rPr>
              <w:t xml:space="preserve"> </w:t>
            </w:r>
            <w:r w:rsidR="008C370E" w:rsidRPr="00A03684">
              <w:rPr>
                <w:color w:val="1C556C" w:themeColor="accent1"/>
                <w:szCs w:val="18"/>
              </w:rPr>
              <w:t xml:space="preserve">exposure test be changed? </w:t>
            </w:r>
          </w:p>
        </w:tc>
        <w:tc>
          <w:tcPr>
            <w:tcW w:w="62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No</w:t>
            </w:r>
          </w:p>
        </w:tc>
        <w:tc>
          <w:tcPr>
            <w:tcW w:w="1814" w:type="dxa"/>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 xml:space="preserve">Majority </w:t>
            </w:r>
            <w:r w:rsidR="00A933D8" w:rsidRPr="00A03684">
              <w:rPr>
                <w:color w:val="1C556C" w:themeColor="accent1"/>
                <w:szCs w:val="18"/>
              </w:rPr>
              <w:t>p</w:t>
            </w:r>
            <w:r w:rsidRPr="00A03684">
              <w:rPr>
                <w:color w:val="1C556C" w:themeColor="accent1"/>
                <w:szCs w:val="18"/>
              </w:rPr>
              <w:t>reference;</w:t>
            </w:r>
            <w:r w:rsidRPr="00A03684">
              <w:rPr>
                <w:color w:val="1C556C" w:themeColor="accent1"/>
                <w:szCs w:val="18"/>
              </w:rPr>
              <w:br/>
            </w:r>
            <w:r w:rsidR="00A933D8" w:rsidRPr="00A03684">
              <w:rPr>
                <w:color w:val="1C556C" w:themeColor="accent1"/>
                <w:szCs w:val="18"/>
              </w:rPr>
              <w:t>c</w:t>
            </w:r>
            <w:r w:rsidRPr="00A03684">
              <w:rPr>
                <w:color w:val="1C556C" w:themeColor="accent1"/>
                <w:szCs w:val="18"/>
              </w:rPr>
              <w:t>onsult</w:t>
            </w:r>
          </w:p>
        </w:tc>
      </w:tr>
      <w:tr w:rsidR="007B75C6" w:rsidRPr="00A03684" w:rsidTr="006918A8">
        <w:tc>
          <w:tcPr>
            <w:tcW w:w="0" w:type="auto"/>
            <w:tcBorders>
              <w:bottom w:val="single" w:sz="4" w:space="0" w:color="1C556C" w:themeColor="accent1"/>
            </w:tcBorders>
            <w:hideMark/>
          </w:tcPr>
          <w:p w:rsidR="008C370E" w:rsidRPr="00A03684" w:rsidRDefault="00E66968" w:rsidP="000C755A">
            <w:pPr>
              <w:pStyle w:val="TableText"/>
              <w:spacing w:before="40" w:after="40"/>
              <w:ind w:left="397" w:hanging="397"/>
              <w:rPr>
                <w:color w:val="1C556C" w:themeColor="accent1"/>
                <w:szCs w:val="18"/>
              </w:rPr>
            </w:pPr>
            <w:r w:rsidRPr="00A03684">
              <w:rPr>
                <w:color w:val="1C556C" w:themeColor="accent1"/>
                <w:szCs w:val="18"/>
              </w:rPr>
              <w:t>14)</w:t>
            </w:r>
            <w:r w:rsidRPr="00A03684">
              <w:rPr>
                <w:color w:val="1C556C" w:themeColor="accent1"/>
                <w:szCs w:val="18"/>
              </w:rPr>
              <w:tab/>
            </w:r>
            <w:r w:rsidR="008C370E" w:rsidRPr="00A03684">
              <w:rPr>
                <w:color w:val="1C556C" w:themeColor="accent1"/>
                <w:szCs w:val="18"/>
              </w:rPr>
              <w:t>What would be a more appropriate method to determine trade</w:t>
            </w:r>
            <w:r w:rsidR="00022F30" w:rsidRPr="00A03684">
              <w:rPr>
                <w:color w:val="1C556C" w:themeColor="accent1"/>
                <w:szCs w:val="18"/>
              </w:rPr>
              <w:t xml:space="preserve"> </w:t>
            </w:r>
            <w:r w:rsidR="008C370E" w:rsidRPr="00A03684">
              <w:rPr>
                <w:color w:val="1C556C" w:themeColor="accent1"/>
                <w:szCs w:val="18"/>
              </w:rPr>
              <w:t>exposure?</w:t>
            </w:r>
          </w:p>
        </w:tc>
        <w:tc>
          <w:tcPr>
            <w:tcW w:w="624" w:type="dxa"/>
            <w:tcBorders>
              <w:bottom w:val="single" w:sz="4" w:space="0" w:color="1C556C" w:themeColor="accent1"/>
            </w:tcBorders>
          </w:tcPr>
          <w:p w:rsidR="008C370E" w:rsidRPr="00A03684" w:rsidRDefault="008C370E" w:rsidP="000C755A">
            <w:pPr>
              <w:pStyle w:val="TableText"/>
              <w:spacing w:before="40" w:after="40"/>
              <w:jc w:val="center"/>
              <w:rPr>
                <w:color w:val="1C556C" w:themeColor="accent1"/>
                <w:szCs w:val="18"/>
              </w:rPr>
            </w:pPr>
          </w:p>
        </w:tc>
        <w:tc>
          <w:tcPr>
            <w:tcW w:w="1814" w:type="dxa"/>
            <w:tcBorders>
              <w:bottom w:val="single" w:sz="4" w:space="0" w:color="1C556C" w:themeColor="accent1"/>
            </w:tcBorders>
            <w:hideMark/>
          </w:tcPr>
          <w:p w:rsidR="008C370E" w:rsidRPr="00A03684" w:rsidRDefault="008C370E" w:rsidP="000C755A">
            <w:pPr>
              <w:pStyle w:val="TableText"/>
              <w:spacing w:before="40" w:after="40"/>
              <w:jc w:val="center"/>
              <w:rPr>
                <w:color w:val="1C556C" w:themeColor="accent1"/>
                <w:szCs w:val="18"/>
              </w:rPr>
            </w:pPr>
            <w:r w:rsidRPr="00A03684">
              <w:rPr>
                <w:color w:val="1C556C" w:themeColor="accent1"/>
                <w:szCs w:val="18"/>
              </w:rPr>
              <w:t>Consult</w:t>
            </w:r>
          </w:p>
        </w:tc>
      </w:tr>
      <w:tr w:rsidR="007B75C6" w:rsidRPr="00A03684" w:rsidTr="006918A8">
        <w:tc>
          <w:tcPr>
            <w:tcW w:w="0" w:type="auto"/>
            <w:shd w:val="clear" w:color="auto" w:fill="D2DDE2" w:themeFill="accent3"/>
            <w:hideMark/>
          </w:tcPr>
          <w:p w:rsidR="008C370E" w:rsidRPr="00A03684" w:rsidRDefault="008C370E" w:rsidP="000C755A">
            <w:pPr>
              <w:pStyle w:val="TableTextbold"/>
              <w:spacing w:before="40" w:after="40"/>
              <w:rPr>
                <w:color w:val="1C556C" w:themeColor="accent1"/>
                <w:szCs w:val="18"/>
              </w:rPr>
            </w:pPr>
            <w:r w:rsidRPr="00A03684">
              <w:rPr>
                <w:color w:val="1C556C" w:themeColor="accent1"/>
                <w:szCs w:val="18"/>
              </w:rPr>
              <w:t xml:space="preserve">Other reforms to </w:t>
            </w:r>
            <w:r w:rsidR="00444E17">
              <w:rPr>
                <w:color w:val="1C556C" w:themeColor="accent1"/>
                <w:szCs w:val="18"/>
              </w:rPr>
              <w:t>industrial allocation</w:t>
            </w:r>
          </w:p>
        </w:tc>
        <w:tc>
          <w:tcPr>
            <w:tcW w:w="624" w:type="dxa"/>
            <w:shd w:val="clear" w:color="auto" w:fill="D2DDE2" w:themeFill="accent3"/>
          </w:tcPr>
          <w:p w:rsidR="008C370E" w:rsidRPr="00A03684" w:rsidRDefault="008C370E" w:rsidP="000C755A">
            <w:pPr>
              <w:pStyle w:val="TableText"/>
              <w:spacing w:before="40" w:after="40"/>
              <w:rPr>
                <w:color w:val="1C556C" w:themeColor="accent1"/>
                <w:szCs w:val="18"/>
              </w:rPr>
            </w:pPr>
          </w:p>
        </w:tc>
        <w:tc>
          <w:tcPr>
            <w:tcW w:w="1814" w:type="dxa"/>
            <w:shd w:val="clear" w:color="auto" w:fill="D2DDE2" w:themeFill="accent3"/>
          </w:tcPr>
          <w:p w:rsidR="008C370E" w:rsidRPr="00A03684" w:rsidRDefault="008C370E" w:rsidP="000C755A">
            <w:pPr>
              <w:pStyle w:val="TableText"/>
              <w:spacing w:before="40" w:after="40"/>
              <w:rPr>
                <w:color w:val="1C556C" w:themeColor="accent1"/>
                <w:szCs w:val="18"/>
              </w:rPr>
            </w:pPr>
          </w:p>
        </w:tc>
      </w:tr>
      <w:tr w:rsidR="007B75C6" w:rsidRPr="00A03684" w:rsidTr="006918A8">
        <w:tc>
          <w:tcPr>
            <w:tcW w:w="0" w:type="auto"/>
            <w:hideMark/>
          </w:tcPr>
          <w:p w:rsidR="008C370E" w:rsidRPr="00A03684" w:rsidRDefault="00995AD0" w:rsidP="000C755A">
            <w:pPr>
              <w:pStyle w:val="TableText"/>
              <w:spacing w:before="40" w:after="40"/>
              <w:ind w:left="397" w:hanging="397"/>
              <w:rPr>
                <w:color w:val="1C556C" w:themeColor="accent1"/>
                <w:szCs w:val="18"/>
              </w:rPr>
            </w:pPr>
            <w:r w:rsidRPr="00A03684">
              <w:rPr>
                <w:color w:val="1C556C" w:themeColor="accent1"/>
                <w:szCs w:val="18"/>
              </w:rPr>
              <w:t>15)</w:t>
            </w:r>
            <w:r w:rsidRPr="00A03684">
              <w:rPr>
                <w:color w:val="1C556C" w:themeColor="accent1"/>
                <w:szCs w:val="18"/>
              </w:rPr>
              <w:tab/>
            </w:r>
            <w:r w:rsidR="00553026" w:rsidRPr="00A03684">
              <w:rPr>
                <w:color w:val="1C556C" w:themeColor="accent1"/>
                <w:szCs w:val="18"/>
              </w:rPr>
              <w:t>Do you agree with the proposal to simplify the process to update allocative baselines, to reflect changes to emissions factors, EAF or other changes to methodology?</w:t>
            </w:r>
          </w:p>
        </w:tc>
        <w:tc>
          <w:tcPr>
            <w:tcW w:w="62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 xml:space="preserve">Majority </w:t>
            </w:r>
            <w:r w:rsidR="00A933D8" w:rsidRPr="00A03684">
              <w:rPr>
                <w:color w:val="1C556C" w:themeColor="accent1"/>
                <w:szCs w:val="18"/>
              </w:rPr>
              <w:t>p</w:t>
            </w:r>
            <w:r w:rsidRPr="00A03684">
              <w:rPr>
                <w:color w:val="1C556C" w:themeColor="accent1"/>
                <w:szCs w:val="18"/>
              </w:rPr>
              <w:t>reference</w:t>
            </w:r>
          </w:p>
        </w:tc>
      </w:tr>
      <w:tr w:rsidR="007B75C6" w:rsidRPr="00A03684" w:rsidTr="006918A8">
        <w:tc>
          <w:tcPr>
            <w:tcW w:w="0" w:type="auto"/>
          </w:tcPr>
          <w:p w:rsidR="008C370E" w:rsidRPr="00A03684" w:rsidRDefault="00995AD0" w:rsidP="000C755A">
            <w:pPr>
              <w:pStyle w:val="TableText"/>
              <w:spacing w:before="40" w:after="40"/>
              <w:ind w:left="397" w:hanging="397"/>
              <w:rPr>
                <w:color w:val="1C556C" w:themeColor="accent1"/>
                <w:szCs w:val="18"/>
              </w:rPr>
            </w:pPr>
            <w:r w:rsidRPr="00A03684">
              <w:rPr>
                <w:color w:val="1C556C" w:themeColor="accent1"/>
                <w:szCs w:val="18"/>
              </w:rPr>
              <w:t>16)</w:t>
            </w:r>
            <w:r w:rsidRPr="00A03684">
              <w:rPr>
                <w:color w:val="1C556C" w:themeColor="accent1"/>
                <w:szCs w:val="18"/>
              </w:rPr>
              <w:tab/>
            </w:r>
            <w:r w:rsidR="008C370E" w:rsidRPr="00A03684">
              <w:rPr>
                <w:color w:val="1C556C" w:themeColor="accent1"/>
                <w:szCs w:val="18"/>
              </w:rPr>
              <w:t xml:space="preserve">Are there other changes to sections 161A-E of the Act that could better streamline </w:t>
            </w:r>
            <w:r w:rsidR="001437FD" w:rsidRPr="00A03684">
              <w:rPr>
                <w:color w:val="1C556C" w:themeColor="accent1"/>
                <w:szCs w:val="18"/>
              </w:rPr>
              <w:t>IA</w:t>
            </w:r>
            <w:r w:rsidR="008C370E" w:rsidRPr="00A03684">
              <w:rPr>
                <w:color w:val="1C556C" w:themeColor="accent1"/>
                <w:szCs w:val="18"/>
              </w:rPr>
              <w:t xml:space="preserve"> processes?</w:t>
            </w:r>
          </w:p>
        </w:tc>
        <w:tc>
          <w:tcPr>
            <w:tcW w:w="624" w:type="dxa"/>
          </w:tcPr>
          <w:p w:rsidR="008C370E" w:rsidRPr="00A03684" w:rsidRDefault="008C370E" w:rsidP="000C755A">
            <w:pPr>
              <w:pStyle w:val="TableText"/>
              <w:spacing w:before="40" w:after="40"/>
              <w:rPr>
                <w:color w:val="1C556C" w:themeColor="accent1"/>
                <w:szCs w:val="18"/>
              </w:rPr>
            </w:pPr>
          </w:p>
        </w:tc>
        <w:tc>
          <w:tcPr>
            <w:tcW w:w="1814" w:type="dxa"/>
          </w:tcPr>
          <w:p w:rsidR="008C370E" w:rsidRPr="00A03684" w:rsidRDefault="00A856AB" w:rsidP="00A856AB">
            <w:pPr>
              <w:pStyle w:val="TableText"/>
              <w:spacing w:before="40" w:after="40"/>
              <w:jc w:val="center"/>
              <w:rPr>
                <w:color w:val="1C556C" w:themeColor="accent1"/>
                <w:szCs w:val="18"/>
              </w:rPr>
            </w:pPr>
            <w:r>
              <w:rPr>
                <w:color w:val="1C556C" w:themeColor="accent1"/>
                <w:szCs w:val="18"/>
              </w:rPr>
              <w:t>*</w:t>
            </w:r>
          </w:p>
        </w:tc>
      </w:tr>
      <w:tr w:rsidR="007B75C6" w:rsidRPr="00A03684" w:rsidTr="006918A8">
        <w:tc>
          <w:tcPr>
            <w:tcW w:w="0" w:type="auto"/>
            <w:hideMark/>
          </w:tcPr>
          <w:p w:rsidR="008C370E" w:rsidRPr="00A03684" w:rsidRDefault="00995AD0" w:rsidP="000C755A">
            <w:pPr>
              <w:pStyle w:val="TableText"/>
              <w:spacing w:before="40" w:after="40"/>
              <w:ind w:left="397" w:hanging="397"/>
              <w:rPr>
                <w:color w:val="1C556C" w:themeColor="accent1"/>
                <w:szCs w:val="18"/>
              </w:rPr>
            </w:pPr>
            <w:r w:rsidRPr="00A03684">
              <w:rPr>
                <w:color w:val="1C556C" w:themeColor="accent1"/>
                <w:szCs w:val="18"/>
              </w:rPr>
              <w:t>17)</w:t>
            </w:r>
            <w:r w:rsidRPr="00A03684">
              <w:rPr>
                <w:color w:val="1C556C" w:themeColor="accent1"/>
                <w:szCs w:val="18"/>
              </w:rPr>
              <w:tab/>
            </w:r>
            <w:r w:rsidR="008C370E" w:rsidRPr="00A03684">
              <w:rPr>
                <w:color w:val="1C556C" w:themeColor="accent1"/>
                <w:szCs w:val="18"/>
              </w:rPr>
              <w:t xml:space="preserve">Do you agree </w:t>
            </w:r>
            <w:r w:rsidR="00022F30" w:rsidRPr="00A03684">
              <w:rPr>
                <w:color w:val="1C556C" w:themeColor="accent1"/>
                <w:szCs w:val="18"/>
              </w:rPr>
              <w:t xml:space="preserve">with </w:t>
            </w:r>
            <w:r w:rsidR="008C370E" w:rsidRPr="00A03684">
              <w:rPr>
                <w:color w:val="1C556C" w:themeColor="accent1"/>
                <w:szCs w:val="18"/>
              </w:rPr>
              <w:t xml:space="preserve">the Government’s proposal to clarify the process for new activities to seek eligibility? </w:t>
            </w:r>
          </w:p>
        </w:tc>
        <w:tc>
          <w:tcPr>
            <w:tcW w:w="62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 xml:space="preserve">Full </w:t>
            </w:r>
            <w:r w:rsidR="00A933D8" w:rsidRPr="00A03684">
              <w:rPr>
                <w:color w:val="1C556C" w:themeColor="accent1"/>
                <w:szCs w:val="18"/>
              </w:rPr>
              <w:t>s</w:t>
            </w:r>
            <w:r w:rsidRPr="00A03684">
              <w:rPr>
                <w:color w:val="1C556C" w:themeColor="accent1"/>
                <w:szCs w:val="18"/>
              </w:rPr>
              <w:t>upport</w:t>
            </w:r>
          </w:p>
        </w:tc>
      </w:tr>
      <w:tr w:rsidR="007B75C6" w:rsidRPr="00A03684" w:rsidTr="006918A8">
        <w:tc>
          <w:tcPr>
            <w:tcW w:w="0" w:type="auto"/>
            <w:hideMark/>
          </w:tcPr>
          <w:p w:rsidR="008C370E" w:rsidRPr="00A03684" w:rsidRDefault="00995AD0" w:rsidP="000C755A">
            <w:pPr>
              <w:pStyle w:val="TableText"/>
              <w:spacing w:before="40" w:after="40"/>
              <w:ind w:left="397" w:hanging="397"/>
              <w:rPr>
                <w:color w:val="1C556C" w:themeColor="accent1"/>
                <w:szCs w:val="18"/>
              </w:rPr>
            </w:pPr>
            <w:r w:rsidRPr="00A03684">
              <w:rPr>
                <w:color w:val="1C556C" w:themeColor="accent1"/>
                <w:szCs w:val="18"/>
              </w:rPr>
              <w:t>18)</w:t>
            </w:r>
            <w:r w:rsidRPr="00A03684">
              <w:rPr>
                <w:color w:val="1C556C" w:themeColor="accent1"/>
                <w:szCs w:val="18"/>
              </w:rPr>
              <w:tab/>
            </w:r>
            <w:r w:rsidR="008C370E" w:rsidRPr="00A03684">
              <w:rPr>
                <w:color w:val="1C556C" w:themeColor="accent1"/>
                <w:szCs w:val="18"/>
              </w:rPr>
              <w:t xml:space="preserve">Should new activities be able to seek eligibility? </w:t>
            </w:r>
          </w:p>
        </w:tc>
        <w:tc>
          <w:tcPr>
            <w:tcW w:w="62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 xml:space="preserve">Full </w:t>
            </w:r>
            <w:r w:rsidR="00A933D8" w:rsidRPr="00A03684">
              <w:rPr>
                <w:color w:val="1C556C" w:themeColor="accent1"/>
                <w:szCs w:val="18"/>
              </w:rPr>
              <w:t>s</w:t>
            </w:r>
            <w:r w:rsidRPr="00A03684">
              <w:rPr>
                <w:color w:val="1C556C" w:themeColor="accent1"/>
                <w:szCs w:val="18"/>
              </w:rPr>
              <w:t>upport</w:t>
            </w:r>
          </w:p>
        </w:tc>
      </w:tr>
      <w:tr w:rsidR="007B75C6" w:rsidRPr="00A03684" w:rsidTr="006918A8">
        <w:tc>
          <w:tcPr>
            <w:tcW w:w="0" w:type="auto"/>
            <w:hideMark/>
          </w:tcPr>
          <w:p w:rsidR="008C370E" w:rsidRPr="00A03684" w:rsidRDefault="00995AD0" w:rsidP="000C755A">
            <w:pPr>
              <w:pStyle w:val="TableText"/>
              <w:spacing w:before="40" w:after="40"/>
              <w:ind w:left="397" w:hanging="397"/>
              <w:rPr>
                <w:color w:val="1C556C" w:themeColor="accent1"/>
                <w:szCs w:val="18"/>
              </w:rPr>
            </w:pPr>
            <w:r w:rsidRPr="00A03684">
              <w:rPr>
                <w:color w:val="1C556C" w:themeColor="accent1"/>
                <w:szCs w:val="18"/>
              </w:rPr>
              <w:t>19)</w:t>
            </w:r>
            <w:r w:rsidRPr="00A03684">
              <w:rPr>
                <w:color w:val="1C556C" w:themeColor="accent1"/>
                <w:szCs w:val="18"/>
              </w:rPr>
              <w:tab/>
            </w:r>
            <w:r w:rsidR="008C370E" w:rsidRPr="00A03684">
              <w:rPr>
                <w:color w:val="1C556C" w:themeColor="accent1"/>
                <w:szCs w:val="18"/>
              </w:rPr>
              <w:t xml:space="preserve">Should there be any caveats on new activities seeking eligibility, such as proof of environmental benefits </w:t>
            </w:r>
            <w:r w:rsidR="00022F30" w:rsidRPr="00A03684">
              <w:rPr>
                <w:color w:val="1C556C" w:themeColor="accent1"/>
                <w:szCs w:val="18"/>
              </w:rPr>
              <w:t xml:space="preserve">compared </w:t>
            </w:r>
            <w:r w:rsidR="008C370E" w:rsidRPr="00A03684">
              <w:rPr>
                <w:color w:val="1C556C" w:themeColor="accent1"/>
                <w:szCs w:val="18"/>
              </w:rPr>
              <w:t>to existing activities?</w:t>
            </w:r>
          </w:p>
        </w:tc>
        <w:tc>
          <w:tcPr>
            <w:tcW w:w="62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 xml:space="preserve">Majority </w:t>
            </w:r>
            <w:r w:rsidR="00A933D8" w:rsidRPr="00A03684">
              <w:rPr>
                <w:color w:val="1C556C" w:themeColor="accent1"/>
                <w:szCs w:val="18"/>
              </w:rPr>
              <w:t>p</w:t>
            </w:r>
            <w:r w:rsidRPr="00A03684">
              <w:rPr>
                <w:color w:val="1C556C" w:themeColor="accent1"/>
                <w:szCs w:val="18"/>
              </w:rPr>
              <w:t>reference;</w:t>
            </w:r>
            <w:r w:rsidRPr="00A03684">
              <w:rPr>
                <w:color w:val="1C556C" w:themeColor="accent1"/>
                <w:szCs w:val="18"/>
              </w:rPr>
              <w:br/>
            </w:r>
            <w:r w:rsidR="00A933D8" w:rsidRPr="00A03684">
              <w:rPr>
                <w:color w:val="1C556C" w:themeColor="accent1"/>
                <w:szCs w:val="18"/>
              </w:rPr>
              <w:t>c</w:t>
            </w:r>
            <w:r w:rsidRPr="00A03684">
              <w:rPr>
                <w:color w:val="1C556C" w:themeColor="accent1"/>
                <w:szCs w:val="18"/>
              </w:rPr>
              <w:t>onsult</w:t>
            </w:r>
          </w:p>
        </w:tc>
      </w:tr>
      <w:tr w:rsidR="007B75C6" w:rsidRPr="00A03684" w:rsidTr="006918A8">
        <w:tc>
          <w:tcPr>
            <w:tcW w:w="0" w:type="auto"/>
            <w:hideMark/>
          </w:tcPr>
          <w:p w:rsidR="008C370E" w:rsidRPr="00A03684" w:rsidRDefault="00995AD0" w:rsidP="000C755A">
            <w:pPr>
              <w:pStyle w:val="TableText"/>
              <w:spacing w:before="40" w:after="40"/>
              <w:ind w:left="397" w:hanging="397"/>
              <w:rPr>
                <w:color w:val="1C556C" w:themeColor="accent1"/>
                <w:szCs w:val="18"/>
              </w:rPr>
            </w:pPr>
            <w:r w:rsidRPr="00A03684">
              <w:rPr>
                <w:color w:val="1C556C" w:themeColor="accent1"/>
                <w:szCs w:val="18"/>
              </w:rPr>
              <w:t>20)</w:t>
            </w:r>
            <w:r w:rsidRPr="00A03684">
              <w:rPr>
                <w:color w:val="1C556C" w:themeColor="accent1"/>
                <w:szCs w:val="18"/>
              </w:rPr>
              <w:tab/>
            </w:r>
            <w:r w:rsidR="008C370E" w:rsidRPr="00A03684">
              <w:rPr>
                <w:color w:val="1C556C" w:themeColor="accent1"/>
                <w:szCs w:val="18"/>
              </w:rPr>
              <w:t xml:space="preserve">Should firms </w:t>
            </w:r>
            <w:r w:rsidR="00022F30" w:rsidRPr="00A03684">
              <w:rPr>
                <w:color w:val="1C556C" w:themeColor="accent1"/>
                <w:szCs w:val="18"/>
              </w:rPr>
              <w:t xml:space="preserve">that </w:t>
            </w:r>
            <w:r w:rsidR="003748EA">
              <w:rPr>
                <w:color w:val="1C556C" w:themeColor="accent1"/>
                <w:szCs w:val="18"/>
              </w:rPr>
              <w:t xml:space="preserve">receive IA </w:t>
            </w:r>
            <w:r w:rsidR="008C370E" w:rsidRPr="00A03684">
              <w:rPr>
                <w:color w:val="1C556C" w:themeColor="accent1"/>
                <w:szCs w:val="18"/>
              </w:rPr>
              <w:t>be required to report their emissions, revenu</w:t>
            </w:r>
            <w:r w:rsidR="00553026" w:rsidRPr="00A03684">
              <w:rPr>
                <w:color w:val="1C556C" w:themeColor="accent1"/>
                <w:szCs w:val="18"/>
              </w:rPr>
              <w:t>e and production data annually?</w:t>
            </w:r>
          </w:p>
        </w:tc>
        <w:tc>
          <w:tcPr>
            <w:tcW w:w="62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Yes</w:t>
            </w:r>
          </w:p>
        </w:tc>
        <w:tc>
          <w:tcPr>
            <w:tcW w:w="181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 xml:space="preserve">Majority </w:t>
            </w:r>
            <w:r w:rsidR="00A933D8" w:rsidRPr="00A03684">
              <w:rPr>
                <w:color w:val="1C556C" w:themeColor="accent1"/>
                <w:szCs w:val="18"/>
              </w:rPr>
              <w:t>p</w:t>
            </w:r>
            <w:r w:rsidRPr="00A03684">
              <w:rPr>
                <w:color w:val="1C556C" w:themeColor="accent1"/>
                <w:szCs w:val="18"/>
              </w:rPr>
              <w:t>reference;</w:t>
            </w:r>
            <w:r w:rsidRPr="00A03684">
              <w:rPr>
                <w:color w:val="1C556C" w:themeColor="accent1"/>
                <w:szCs w:val="18"/>
              </w:rPr>
              <w:br/>
            </w:r>
            <w:r w:rsidR="00A933D8" w:rsidRPr="00A03684">
              <w:rPr>
                <w:color w:val="1C556C" w:themeColor="accent1"/>
                <w:szCs w:val="18"/>
              </w:rPr>
              <w:t>c</w:t>
            </w:r>
            <w:r w:rsidRPr="00A03684">
              <w:rPr>
                <w:color w:val="1C556C" w:themeColor="accent1"/>
                <w:szCs w:val="18"/>
              </w:rPr>
              <w:t>onsult</w:t>
            </w:r>
          </w:p>
        </w:tc>
      </w:tr>
      <w:tr w:rsidR="007B75C6" w:rsidRPr="00A03684" w:rsidTr="006918A8">
        <w:tc>
          <w:tcPr>
            <w:tcW w:w="0" w:type="auto"/>
            <w:hideMark/>
          </w:tcPr>
          <w:p w:rsidR="008C370E" w:rsidRPr="00A03684" w:rsidRDefault="00995AD0" w:rsidP="000C755A">
            <w:pPr>
              <w:pStyle w:val="TableText"/>
              <w:spacing w:before="40" w:after="40"/>
              <w:ind w:left="397" w:hanging="397"/>
              <w:rPr>
                <w:color w:val="1C556C" w:themeColor="accent1"/>
                <w:szCs w:val="18"/>
              </w:rPr>
            </w:pPr>
            <w:r w:rsidRPr="00A03684">
              <w:rPr>
                <w:color w:val="1C556C" w:themeColor="accent1"/>
                <w:szCs w:val="18"/>
              </w:rPr>
              <w:t>21)</w:t>
            </w:r>
            <w:r w:rsidRPr="00A03684">
              <w:rPr>
                <w:color w:val="1C556C" w:themeColor="accent1"/>
                <w:szCs w:val="18"/>
              </w:rPr>
              <w:tab/>
            </w:r>
            <w:r w:rsidR="008C370E" w:rsidRPr="00A03684">
              <w:rPr>
                <w:color w:val="1C556C" w:themeColor="accent1"/>
                <w:szCs w:val="18"/>
              </w:rPr>
              <w:t>Would voluntary reporting be more appropriate</w:t>
            </w:r>
            <w:r w:rsidR="00022F30" w:rsidRPr="00A03684">
              <w:rPr>
                <w:color w:val="1C556C" w:themeColor="accent1"/>
                <w:szCs w:val="18"/>
              </w:rPr>
              <w:t>,</w:t>
            </w:r>
            <w:r w:rsidR="008C370E" w:rsidRPr="00A03684">
              <w:rPr>
                <w:color w:val="1C556C" w:themeColor="accent1"/>
                <w:szCs w:val="18"/>
              </w:rPr>
              <w:t xml:space="preserve"> and still provide some oversight of leakage and over-allocation risk? </w:t>
            </w:r>
          </w:p>
        </w:tc>
        <w:tc>
          <w:tcPr>
            <w:tcW w:w="62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No</w:t>
            </w:r>
          </w:p>
        </w:tc>
        <w:tc>
          <w:tcPr>
            <w:tcW w:w="181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 xml:space="preserve">Majority </w:t>
            </w:r>
            <w:r w:rsidR="00A933D8" w:rsidRPr="00A03684">
              <w:rPr>
                <w:color w:val="1C556C" w:themeColor="accent1"/>
                <w:szCs w:val="18"/>
              </w:rPr>
              <w:t>p</w:t>
            </w:r>
            <w:r w:rsidRPr="00A03684">
              <w:rPr>
                <w:color w:val="1C556C" w:themeColor="accent1"/>
                <w:szCs w:val="18"/>
              </w:rPr>
              <w:t>reference</w:t>
            </w:r>
          </w:p>
        </w:tc>
      </w:tr>
      <w:tr w:rsidR="007B75C6" w:rsidRPr="00A03684" w:rsidTr="006918A8">
        <w:tc>
          <w:tcPr>
            <w:tcW w:w="0" w:type="auto"/>
            <w:tcBorders>
              <w:bottom w:val="single" w:sz="4" w:space="0" w:color="1C556C" w:themeColor="accent1"/>
            </w:tcBorders>
            <w:hideMark/>
          </w:tcPr>
          <w:p w:rsidR="008C370E" w:rsidRPr="00A03684" w:rsidRDefault="00995AD0" w:rsidP="000C755A">
            <w:pPr>
              <w:pStyle w:val="TableText"/>
              <w:spacing w:before="40" w:after="40"/>
              <w:ind w:left="397" w:hanging="397"/>
              <w:rPr>
                <w:color w:val="1C556C" w:themeColor="accent1"/>
                <w:szCs w:val="18"/>
              </w:rPr>
            </w:pPr>
            <w:r w:rsidRPr="00A03684">
              <w:rPr>
                <w:color w:val="1C556C" w:themeColor="accent1"/>
                <w:szCs w:val="18"/>
              </w:rPr>
              <w:t>22)</w:t>
            </w:r>
            <w:r w:rsidRPr="00A03684">
              <w:rPr>
                <w:color w:val="1C556C" w:themeColor="accent1"/>
                <w:szCs w:val="18"/>
              </w:rPr>
              <w:tab/>
            </w:r>
            <w:r w:rsidR="008C370E" w:rsidRPr="00A03684">
              <w:rPr>
                <w:color w:val="1C556C" w:themeColor="accent1"/>
                <w:szCs w:val="18"/>
              </w:rPr>
              <w:t>Should the five-year transition period for changes in eligibility status remain</w:t>
            </w:r>
            <w:r w:rsidR="00022F30" w:rsidRPr="00A03684">
              <w:rPr>
                <w:color w:val="1C556C" w:themeColor="accent1"/>
                <w:szCs w:val="18"/>
              </w:rPr>
              <w:t>,</w:t>
            </w:r>
            <w:r w:rsidR="008C370E" w:rsidRPr="00A03684">
              <w:rPr>
                <w:color w:val="1C556C" w:themeColor="accent1"/>
                <w:szCs w:val="18"/>
              </w:rPr>
              <w:t xml:space="preserve"> or be changed? </w:t>
            </w:r>
          </w:p>
        </w:tc>
        <w:tc>
          <w:tcPr>
            <w:tcW w:w="624" w:type="dxa"/>
            <w:tcBorders>
              <w:bottom w:val="single" w:sz="4" w:space="0" w:color="1C556C" w:themeColor="accent1"/>
            </w:tcBorders>
          </w:tcPr>
          <w:p w:rsidR="008C370E" w:rsidRPr="00A03684" w:rsidRDefault="008C370E" w:rsidP="000C755A">
            <w:pPr>
              <w:pStyle w:val="TableText"/>
              <w:spacing w:before="40" w:after="40"/>
              <w:rPr>
                <w:color w:val="1C556C" w:themeColor="accent1"/>
                <w:szCs w:val="18"/>
              </w:rPr>
            </w:pPr>
          </w:p>
        </w:tc>
        <w:tc>
          <w:tcPr>
            <w:tcW w:w="1814" w:type="dxa"/>
            <w:tcBorders>
              <w:bottom w:val="single" w:sz="4" w:space="0" w:color="1C556C" w:themeColor="accent1"/>
            </w:tcBorders>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Consult</w:t>
            </w:r>
          </w:p>
        </w:tc>
      </w:tr>
      <w:tr w:rsidR="007B75C6" w:rsidRPr="00A03684" w:rsidTr="006918A8">
        <w:tc>
          <w:tcPr>
            <w:tcW w:w="0" w:type="auto"/>
            <w:shd w:val="clear" w:color="auto" w:fill="D2DDE2" w:themeFill="accent3"/>
            <w:hideMark/>
          </w:tcPr>
          <w:p w:rsidR="008C370E" w:rsidRPr="00A03684" w:rsidRDefault="008C370E" w:rsidP="000C755A">
            <w:pPr>
              <w:pStyle w:val="TableTextbold"/>
              <w:spacing w:before="40" w:after="40"/>
              <w:rPr>
                <w:color w:val="1C556C" w:themeColor="accent1"/>
                <w:szCs w:val="18"/>
              </w:rPr>
            </w:pPr>
            <w:r w:rsidRPr="00A03684">
              <w:rPr>
                <w:color w:val="1C556C" w:themeColor="accent1"/>
                <w:szCs w:val="18"/>
              </w:rPr>
              <w:t xml:space="preserve">Future of </w:t>
            </w:r>
            <w:r w:rsidR="00444E17">
              <w:rPr>
                <w:color w:val="1C556C" w:themeColor="accent1"/>
                <w:szCs w:val="18"/>
              </w:rPr>
              <w:t>industrial allocation</w:t>
            </w:r>
          </w:p>
        </w:tc>
        <w:tc>
          <w:tcPr>
            <w:tcW w:w="624" w:type="dxa"/>
            <w:shd w:val="clear" w:color="auto" w:fill="D2DDE2" w:themeFill="accent3"/>
          </w:tcPr>
          <w:p w:rsidR="008C370E" w:rsidRPr="00A03684" w:rsidRDefault="008C370E" w:rsidP="000C755A">
            <w:pPr>
              <w:pStyle w:val="TableTextbold"/>
              <w:spacing w:before="40" w:after="40"/>
              <w:rPr>
                <w:color w:val="1C556C" w:themeColor="accent1"/>
                <w:szCs w:val="18"/>
              </w:rPr>
            </w:pPr>
          </w:p>
        </w:tc>
        <w:tc>
          <w:tcPr>
            <w:tcW w:w="1814" w:type="dxa"/>
            <w:shd w:val="clear" w:color="auto" w:fill="D2DDE2" w:themeFill="accent3"/>
          </w:tcPr>
          <w:p w:rsidR="008C370E" w:rsidRPr="00A03684" w:rsidRDefault="008C370E" w:rsidP="000C755A">
            <w:pPr>
              <w:pStyle w:val="TableTextbold"/>
              <w:spacing w:before="40" w:after="40"/>
              <w:rPr>
                <w:color w:val="1C556C" w:themeColor="accent1"/>
                <w:szCs w:val="18"/>
              </w:rPr>
            </w:pPr>
          </w:p>
        </w:tc>
      </w:tr>
      <w:tr w:rsidR="007B75C6" w:rsidRPr="00A03684" w:rsidTr="006918A8">
        <w:tc>
          <w:tcPr>
            <w:tcW w:w="0" w:type="auto"/>
            <w:hideMark/>
          </w:tcPr>
          <w:p w:rsidR="008C370E" w:rsidRPr="00A03684" w:rsidRDefault="007B75C6" w:rsidP="000C755A">
            <w:pPr>
              <w:pStyle w:val="TableText"/>
              <w:spacing w:before="40" w:after="40"/>
              <w:ind w:left="397" w:hanging="397"/>
              <w:rPr>
                <w:color w:val="1C556C" w:themeColor="accent1"/>
                <w:szCs w:val="18"/>
              </w:rPr>
            </w:pPr>
            <w:r w:rsidRPr="00A03684">
              <w:rPr>
                <w:color w:val="1C556C" w:themeColor="accent1"/>
                <w:szCs w:val="18"/>
              </w:rPr>
              <w:t>23)</w:t>
            </w:r>
            <w:r w:rsidRPr="00A03684">
              <w:rPr>
                <w:color w:val="1C556C" w:themeColor="accent1"/>
                <w:szCs w:val="18"/>
              </w:rPr>
              <w:tab/>
            </w:r>
            <w:r w:rsidR="008C370E" w:rsidRPr="00A03684">
              <w:rPr>
                <w:color w:val="1C556C" w:themeColor="accent1"/>
                <w:szCs w:val="18"/>
              </w:rPr>
              <w:t xml:space="preserve">Should we look at an alternative mechanism to address emissions leakage? </w:t>
            </w:r>
          </w:p>
        </w:tc>
        <w:tc>
          <w:tcPr>
            <w:tcW w:w="624" w:type="dxa"/>
          </w:tcPr>
          <w:p w:rsidR="008C370E" w:rsidRPr="00A03684" w:rsidRDefault="008C370E" w:rsidP="000C755A">
            <w:pPr>
              <w:pStyle w:val="TableText"/>
              <w:spacing w:before="40" w:after="40"/>
              <w:rPr>
                <w:color w:val="1C556C" w:themeColor="accent1"/>
                <w:szCs w:val="18"/>
              </w:rPr>
            </w:pPr>
          </w:p>
        </w:tc>
        <w:tc>
          <w:tcPr>
            <w:tcW w:w="1814" w:type="dxa"/>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Consult</w:t>
            </w:r>
          </w:p>
        </w:tc>
      </w:tr>
      <w:tr w:rsidR="007B75C6" w:rsidRPr="00A03684" w:rsidTr="006918A8">
        <w:tc>
          <w:tcPr>
            <w:tcW w:w="0" w:type="auto"/>
            <w:hideMark/>
          </w:tcPr>
          <w:p w:rsidR="008C370E" w:rsidRPr="00A03684" w:rsidRDefault="007B75C6" w:rsidP="000C755A">
            <w:pPr>
              <w:pStyle w:val="TableText"/>
              <w:spacing w:before="40" w:after="40"/>
              <w:ind w:left="397" w:hanging="397"/>
              <w:rPr>
                <w:color w:val="1C556C" w:themeColor="accent1"/>
                <w:szCs w:val="18"/>
              </w:rPr>
            </w:pPr>
            <w:r w:rsidRPr="00A03684">
              <w:rPr>
                <w:color w:val="1C556C" w:themeColor="accent1"/>
                <w:szCs w:val="18"/>
              </w:rPr>
              <w:t>24)</w:t>
            </w:r>
            <w:r w:rsidRPr="00A03684">
              <w:rPr>
                <w:color w:val="1C556C" w:themeColor="accent1"/>
                <w:szCs w:val="18"/>
              </w:rPr>
              <w:tab/>
            </w:r>
            <w:r w:rsidR="008C370E" w:rsidRPr="00A03684">
              <w:rPr>
                <w:color w:val="1C556C" w:themeColor="accent1"/>
                <w:szCs w:val="18"/>
              </w:rPr>
              <w:t xml:space="preserve">What alternative mechanisms to </w:t>
            </w:r>
            <w:r w:rsidR="001437FD" w:rsidRPr="00A03684">
              <w:rPr>
                <w:color w:val="1C556C" w:themeColor="accent1"/>
                <w:szCs w:val="18"/>
              </w:rPr>
              <w:t>IA</w:t>
            </w:r>
            <w:r w:rsidR="008C370E" w:rsidRPr="00A03684">
              <w:rPr>
                <w:color w:val="1C556C" w:themeColor="accent1"/>
                <w:szCs w:val="18"/>
              </w:rPr>
              <w:t xml:space="preserve"> would better address the risk of emissions leakage, and support domestic and international emissions reduction targets</w:t>
            </w:r>
            <w:r w:rsidR="007E1674" w:rsidRPr="00A03684">
              <w:rPr>
                <w:color w:val="1C556C" w:themeColor="accent1"/>
                <w:szCs w:val="18"/>
              </w:rPr>
              <w:t>?</w:t>
            </w:r>
          </w:p>
        </w:tc>
        <w:tc>
          <w:tcPr>
            <w:tcW w:w="624" w:type="dxa"/>
          </w:tcPr>
          <w:p w:rsidR="008C370E" w:rsidRPr="00A03684" w:rsidRDefault="008C370E" w:rsidP="000C755A">
            <w:pPr>
              <w:pStyle w:val="TableText"/>
              <w:spacing w:before="40" w:after="40"/>
              <w:rPr>
                <w:color w:val="1C556C" w:themeColor="accent1"/>
                <w:szCs w:val="18"/>
              </w:rPr>
            </w:pPr>
          </w:p>
        </w:tc>
        <w:tc>
          <w:tcPr>
            <w:tcW w:w="1814" w:type="dxa"/>
            <w:hideMark/>
          </w:tcPr>
          <w:p w:rsidR="008C370E" w:rsidRPr="00A03684" w:rsidRDefault="008C370E" w:rsidP="000C755A">
            <w:pPr>
              <w:pStyle w:val="TableText"/>
              <w:spacing w:before="40" w:after="40"/>
              <w:rPr>
                <w:color w:val="1C556C" w:themeColor="accent1"/>
                <w:szCs w:val="18"/>
              </w:rPr>
            </w:pPr>
            <w:r w:rsidRPr="00A03684">
              <w:rPr>
                <w:color w:val="1C556C" w:themeColor="accent1"/>
                <w:szCs w:val="18"/>
              </w:rPr>
              <w:t>Consult</w:t>
            </w:r>
          </w:p>
        </w:tc>
      </w:tr>
      <w:tr w:rsidR="007B75C6" w:rsidRPr="00A03684" w:rsidTr="006918A8">
        <w:tc>
          <w:tcPr>
            <w:tcW w:w="0" w:type="auto"/>
          </w:tcPr>
          <w:p w:rsidR="008C370E" w:rsidRPr="00A03684" w:rsidRDefault="007B75C6" w:rsidP="000C755A">
            <w:pPr>
              <w:pStyle w:val="TableText"/>
              <w:spacing w:before="40" w:after="40"/>
              <w:ind w:left="397" w:hanging="397"/>
              <w:rPr>
                <w:color w:val="1C556C" w:themeColor="accent1"/>
                <w:szCs w:val="18"/>
              </w:rPr>
            </w:pPr>
            <w:r w:rsidRPr="00A03684">
              <w:rPr>
                <w:color w:val="1C556C" w:themeColor="accent1"/>
                <w:szCs w:val="18"/>
              </w:rPr>
              <w:t>25)</w:t>
            </w:r>
            <w:r w:rsidRPr="00A03684">
              <w:rPr>
                <w:color w:val="1C556C" w:themeColor="accent1"/>
                <w:szCs w:val="18"/>
              </w:rPr>
              <w:tab/>
            </w:r>
            <w:r w:rsidR="008C370E" w:rsidRPr="00A03684">
              <w:rPr>
                <w:color w:val="1C556C" w:themeColor="accent1"/>
                <w:szCs w:val="18"/>
              </w:rPr>
              <w:t xml:space="preserve">Should </w:t>
            </w:r>
            <w:r w:rsidR="001437FD" w:rsidRPr="00A03684">
              <w:rPr>
                <w:color w:val="1C556C" w:themeColor="accent1"/>
                <w:szCs w:val="18"/>
              </w:rPr>
              <w:t>IA</w:t>
            </w:r>
            <w:r w:rsidR="008C370E" w:rsidRPr="00A03684">
              <w:rPr>
                <w:color w:val="1C556C" w:themeColor="accent1"/>
                <w:szCs w:val="18"/>
              </w:rPr>
              <w:t xml:space="preserve"> policy or any alternative explicitly </w:t>
            </w:r>
            <w:r w:rsidR="00444E17">
              <w:rPr>
                <w:color w:val="1C556C" w:themeColor="accent1"/>
                <w:szCs w:val="18"/>
              </w:rPr>
              <w:t xml:space="preserve">encourage firms to </w:t>
            </w:r>
            <w:r w:rsidR="008C370E" w:rsidRPr="00A03684">
              <w:rPr>
                <w:color w:val="1C556C" w:themeColor="accent1"/>
                <w:szCs w:val="18"/>
              </w:rPr>
              <w:t xml:space="preserve">emissions reductions? </w:t>
            </w:r>
          </w:p>
        </w:tc>
        <w:tc>
          <w:tcPr>
            <w:tcW w:w="624" w:type="dxa"/>
          </w:tcPr>
          <w:p w:rsidR="008C370E" w:rsidRPr="00A03684" w:rsidRDefault="008C370E" w:rsidP="000C755A">
            <w:pPr>
              <w:pStyle w:val="TableText"/>
              <w:spacing w:before="40" w:after="40"/>
              <w:rPr>
                <w:color w:val="1C556C" w:themeColor="accent1"/>
                <w:szCs w:val="18"/>
              </w:rPr>
            </w:pPr>
          </w:p>
        </w:tc>
        <w:tc>
          <w:tcPr>
            <w:tcW w:w="1814" w:type="dxa"/>
          </w:tcPr>
          <w:p w:rsidR="008C370E" w:rsidRPr="00A03684" w:rsidRDefault="00A856AB" w:rsidP="00A856AB">
            <w:pPr>
              <w:pStyle w:val="TableText"/>
              <w:spacing w:before="40" w:after="40"/>
              <w:jc w:val="center"/>
              <w:rPr>
                <w:color w:val="1C556C" w:themeColor="accent1"/>
                <w:szCs w:val="18"/>
              </w:rPr>
            </w:pPr>
            <w:r>
              <w:rPr>
                <w:color w:val="1C556C" w:themeColor="accent1"/>
                <w:szCs w:val="18"/>
              </w:rPr>
              <w:t>*</w:t>
            </w:r>
          </w:p>
        </w:tc>
      </w:tr>
      <w:tr w:rsidR="007B75C6" w:rsidRPr="00A03684" w:rsidTr="006918A8">
        <w:tc>
          <w:tcPr>
            <w:tcW w:w="0" w:type="auto"/>
          </w:tcPr>
          <w:p w:rsidR="008C370E" w:rsidRPr="00A03684" w:rsidRDefault="007B75C6" w:rsidP="000C755A">
            <w:pPr>
              <w:pStyle w:val="TableText"/>
              <w:spacing w:before="40" w:after="40"/>
              <w:ind w:left="397" w:hanging="397"/>
              <w:rPr>
                <w:color w:val="1C556C" w:themeColor="accent1"/>
                <w:szCs w:val="18"/>
              </w:rPr>
            </w:pPr>
            <w:r w:rsidRPr="00A03684">
              <w:rPr>
                <w:color w:val="1C556C" w:themeColor="accent1"/>
                <w:szCs w:val="18"/>
              </w:rPr>
              <w:t>26)</w:t>
            </w:r>
            <w:r w:rsidRPr="00A03684">
              <w:rPr>
                <w:color w:val="1C556C" w:themeColor="accent1"/>
                <w:szCs w:val="18"/>
              </w:rPr>
              <w:tab/>
            </w:r>
            <w:r w:rsidR="008C370E" w:rsidRPr="00A03684">
              <w:rPr>
                <w:color w:val="1C556C" w:themeColor="accent1"/>
                <w:szCs w:val="18"/>
              </w:rPr>
              <w:t xml:space="preserve">What method could be used to </w:t>
            </w:r>
            <w:r w:rsidR="00444E17">
              <w:rPr>
                <w:color w:val="1C556C" w:themeColor="accent1"/>
                <w:szCs w:val="18"/>
              </w:rPr>
              <w:t>encourage</w:t>
            </w:r>
            <w:r w:rsidR="00444E17" w:rsidRPr="00A03684">
              <w:rPr>
                <w:color w:val="1C556C" w:themeColor="accent1"/>
                <w:szCs w:val="18"/>
              </w:rPr>
              <w:t xml:space="preserve"> </w:t>
            </w:r>
            <w:r w:rsidR="008C370E" w:rsidRPr="00A03684">
              <w:rPr>
                <w:color w:val="1C556C" w:themeColor="accent1"/>
                <w:szCs w:val="18"/>
              </w:rPr>
              <w:t>emissions reductions</w:t>
            </w:r>
            <w:r w:rsidR="00022F30" w:rsidRPr="00A03684">
              <w:rPr>
                <w:color w:val="1C556C" w:themeColor="accent1"/>
                <w:szCs w:val="18"/>
              </w:rPr>
              <w:t>?</w:t>
            </w:r>
          </w:p>
        </w:tc>
        <w:tc>
          <w:tcPr>
            <w:tcW w:w="624" w:type="dxa"/>
          </w:tcPr>
          <w:p w:rsidR="008C370E" w:rsidRPr="00A03684" w:rsidRDefault="008C370E" w:rsidP="000C755A">
            <w:pPr>
              <w:pStyle w:val="TableText"/>
              <w:spacing w:before="40" w:after="40"/>
              <w:rPr>
                <w:color w:val="1C556C" w:themeColor="accent1"/>
                <w:szCs w:val="18"/>
              </w:rPr>
            </w:pPr>
          </w:p>
        </w:tc>
        <w:tc>
          <w:tcPr>
            <w:tcW w:w="1814" w:type="dxa"/>
          </w:tcPr>
          <w:p w:rsidR="008C370E" w:rsidRPr="00A03684" w:rsidRDefault="00A856AB" w:rsidP="00A856AB">
            <w:pPr>
              <w:pStyle w:val="TableText"/>
              <w:spacing w:before="40" w:after="40"/>
              <w:jc w:val="center"/>
              <w:rPr>
                <w:color w:val="1C556C" w:themeColor="accent1"/>
                <w:szCs w:val="18"/>
              </w:rPr>
            </w:pPr>
            <w:r>
              <w:rPr>
                <w:color w:val="1C556C" w:themeColor="accent1"/>
                <w:szCs w:val="18"/>
              </w:rPr>
              <w:t>*</w:t>
            </w:r>
          </w:p>
        </w:tc>
      </w:tr>
      <w:tr w:rsidR="007B75C6" w:rsidRPr="00A03684" w:rsidTr="006918A8">
        <w:tc>
          <w:tcPr>
            <w:tcW w:w="0" w:type="auto"/>
          </w:tcPr>
          <w:p w:rsidR="008C370E" w:rsidRPr="00A03684" w:rsidRDefault="007B75C6" w:rsidP="000C755A">
            <w:pPr>
              <w:pStyle w:val="TableText"/>
              <w:spacing w:before="40" w:after="40"/>
              <w:ind w:left="397" w:hanging="397"/>
              <w:rPr>
                <w:color w:val="1C556C" w:themeColor="accent1"/>
                <w:szCs w:val="18"/>
              </w:rPr>
            </w:pPr>
            <w:r w:rsidRPr="00A03684">
              <w:rPr>
                <w:color w:val="1C556C" w:themeColor="accent1"/>
                <w:szCs w:val="18"/>
              </w:rPr>
              <w:t>27)</w:t>
            </w:r>
            <w:r w:rsidRPr="00A03684">
              <w:rPr>
                <w:color w:val="1C556C" w:themeColor="accent1"/>
                <w:szCs w:val="18"/>
              </w:rPr>
              <w:tab/>
            </w:r>
            <w:r w:rsidR="008C370E" w:rsidRPr="00A03684">
              <w:rPr>
                <w:color w:val="1C556C" w:themeColor="accent1"/>
                <w:szCs w:val="18"/>
              </w:rPr>
              <w:t xml:space="preserve">Should </w:t>
            </w:r>
            <w:r w:rsidR="001437FD" w:rsidRPr="00A03684">
              <w:rPr>
                <w:color w:val="1C556C" w:themeColor="accent1"/>
                <w:szCs w:val="18"/>
              </w:rPr>
              <w:t>IA</w:t>
            </w:r>
            <w:r w:rsidR="008C370E" w:rsidRPr="00A03684">
              <w:rPr>
                <w:color w:val="1C556C" w:themeColor="accent1"/>
                <w:szCs w:val="18"/>
              </w:rPr>
              <w:t xml:space="preserve"> policy or any alternative include wider considerations </w:t>
            </w:r>
            <w:r w:rsidR="00022F30" w:rsidRPr="00A03684">
              <w:rPr>
                <w:color w:val="1C556C" w:themeColor="accent1"/>
                <w:szCs w:val="18"/>
              </w:rPr>
              <w:t xml:space="preserve">– </w:t>
            </w:r>
            <w:r w:rsidR="008C370E" w:rsidRPr="00A03684">
              <w:rPr>
                <w:color w:val="1C556C" w:themeColor="accent1"/>
                <w:szCs w:val="18"/>
              </w:rPr>
              <w:t>such as economic, social, cultural, and environmental factors</w:t>
            </w:r>
            <w:r w:rsidR="00022F30" w:rsidRPr="00A03684">
              <w:rPr>
                <w:color w:val="1C556C" w:themeColor="accent1"/>
                <w:szCs w:val="18"/>
              </w:rPr>
              <w:t xml:space="preserve"> –</w:t>
            </w:r>
            <w:r w:rsidR="008C370E" w:rsidRPr="00A03684">
              <w:rPr>
                <w:color w:val="1C556C" w:themeColor="accent1"/>
                <w:szCs w:val="18"/>
              </w:rPr>
              <w:t xml:space="preserve"> when determining support </w:t>
            </w:r>
            <w:r w:rsidR="00022F30" w:rsidRPr="00A03684">
              <w:rPr>
                <w:color w:val="1C556C" w:themeColor="accent1"/>
                <w:szCs w:val="18"/>
              </w:rPr>
              <w:t>for</w:t>
            </w:r>
            <w:r w:rsidR="008C370E" w:rsidRPr="00A03684">
              <w:rPr>
                <w:color w:val="1C556C" w:themeColor="accent1"/>
                <w:szCs w:val="18"/>
              </w:rPr>
              <w:t xml:space="preserve"> industry? </w:t>
            </w:r>
          </w:p>
        </w:tc>
        <w:tc>
          <w:tcPr>
            <w:tcW w:w="624" w:type="dxa"/>
          </w:tcPr>
          <w:p w:rsidR="008C370E" w:rsidRPr="00A03684" w:rsidRDefault="008C370E" w:rsidP="000C755A">
            <w:pPr>
              <w:pStyle w:val="TableText"/>
              <w:spacing w:before="40" w:after="40"/>
              <w:rPr>
                <w:color w:val="1C556C" w:themeColor="accent1"/>
                <w:szCs w:val="18"/>
              </w:rPr>
            </w:pPr>
          </w:p>
        </w:tc>
        <w:tc>
          <w:tcPr>
            <w:tcW w:w="1814" w:type="dxa"/>
          </w:tcPr>
          <w:p w:rsidR="008C370E" w:rsidRPr="00A03684" w:rsidRDefault="00A856AB" w:rsidP="00A856AB">
            <w:pPr>
              <w:pStyle w:val="TableText"/>
              <w:spacing w:before="40" w:after="40"/>
              <w:jc w:val="center"/>
              <w:rPr>
                <w:color w:val="1C556C" w:themeColor="accent1"/>
                <w:szCs w:val="18"/>
              </w:rPr>
            </w:pPr>
            <w:r>
              <w:rPr>
                <w:color w:val="1C556C" w:themeColor="accent1"/>
                <w:szCs w:val="18"/>
              </w:rPr>
              <w:t>*</w:t>
            </w:r>
          </w:p>
        </w:tc>
      </w:tr>
      <w:tr w:rsidR="007B75C6" w:rsidRPr="00A03684" w:rsidTr="006918A8">
        <w:tc>
          <w:tcPr>
            <w:tcW w:w="0" w:type="auto"/>
          </w:tcPr>
          <w:p w:rsidR="008C370E" w:rsidRPr="00A03684" w:rsidRDefault="007B75C6" w:rsidP="000C755A">
            <w:pPr>
              <w:pStyle w:val="TableText"/>
              <w:spacing w:before="40" w:after="40"/>
              <w:ind w:left="397" w:hanging="397"/>
              <w:rPr>
                <w:color w:val="1C556C" w:themeColor="accent1"/>
                <w:szCs w:val="18"/>
              </w:rPr>
            </w:pPr>
            <w:r w:rsidRPr="00A03684">
              <w:rPr>
                <w:color w:val="1C556C" w:themeColor="accent1"/>
                <w:szCs w:val="18"/>
              </w:rPr>
              <w:t>28)</w:t>
            </w:r>
            <w:r w:rsidRPr="00A03684">
              <w:rPr>
                <w:color w:val="1C556C" w:themeColor="accent1"/>
                <w:szCs w:val="18"/>
              </w:rPr>
              <w:tab/>
            </w:r>
            <w:r w:rsidR="008C370E" w:rsidRPr="00A03684">
              <w:rPr>
                <w:color w:val="1C556C" w:themeColor="accent1"/>
                <w:szCs w:val="18"/>
              </w:rPr>
              <w:t xml:space="preserve">How would these new considerations interact with the </w:t>
            </w:r>
            <w:r w:rsidR="00022F30" w:rsidRPr="00A03684">
              <w:rPr>
                <w:color w:val="1C556C" w:themeColor="accent1"/>
                <w:szCs w:val="18"/>
              </w:rPr>
              <w:t xml:space="preserve">goal </w:t>
            </w:r>
            <w:r w:rsidR="008C370E" w:rsidRPr="00A03684">
              <w:rPr>
                <w:color w:val="1C556C" w:themeColor="accent1"/>
                <w:szCs w:val="18"/>
              </w:rPr>
              <w:t xml:space="preserve">of reducing emissions leakage? </w:t>
            </w:r>
          </w:p>
        </w:tc>
        <w:tc>
          <w:tcPr>
            <w:tcW w:w="624" w:type="dxa"/>
          </w:tcPr>
          <w:p w:rsidR="008C370E" w:rsidRPr="00A03684" w:rsidRDefault="008C370E" w:rsidP="000C755A">
            <w:pPr>
              <w:pStyle w:val="TableText"/>
              <w:spacing w:before="40" w:after="40"/>
              <w:rPr>
                <w:color w:val="1C556C" w:themeColor="accent1"/>
                <w:szCs w:val="18"/>
              </w:rPr>
            </w:pPr>
          </w:p>
        </w:tc>
        <w:tc>
          <w:tcPr>
            <w:tcW w:w="1814" w:type="dxa"/>
          </w:tcPr>
          <w:p w:rsidR="008C370E" w:rsidRPr="00A03684" w:rsidRDefault="00A856AB" w:rsidP="00A856AB">
            <w:pPr>
              <w:pStyle w:val="TableText"/>
              <w:spacing w:before="40" w:after="40"/>
              <w:jc w:val="center"/>
              <w:rPr>
                <w:color w:val="1C556C" w:themeColor="accent1"/>
                <w:szCs w:val="18"/>
              </w:rPr>
            </w:pPr>
            <w:r>
              <w:rPr>
                <w:color w:val="1C556C" w:themeColor="accent1"/>
                <w:szCs w:val="18"/>
              </w:rPr>
              <w:t>*</w:t>
            </w:r>
          </w:p>
        </w:tc>
      </w:tr>
      <w:bookmarkEnd w:id="106"/>
    </w:tbl>
    <w:p w:rsidR="009B174A" w:rsidRDefault="008C370E" w:rsidP="009B174A">
      <w:pPr>
        <w:pStyle w:val="Heading1"/>
      </w:pPr>
      <w:r w:rsidRPr="00A03684">
        <w:br w:type="page"/>
      </w:r>
      <w:bookmarkStart w:id="107" w:name="_Toc75336486"/>
      <w:r w:rsidR="00B628D3" w:rsidRPr="00A03684">
        <w:rPr>
          <w:rFonts w:cs="Calibri"/>
        </w:rPr>
        <w:t xml:space="preserve">Appendix </w:t>
      </w:r>
      <w:r w:rsidR="00B628D3">
        <w:rPr>
          <w:rFonts w:cs="Calibri"/>
        </w:rPr>
        <w:t>2</w:t>
      </w:r>
      <w:r w:rsidR="00B628D3" w:rsidRPr="00A03684">
        <w:rPr>
          <w:rFonts w:cs="Calibri"/>
        </w:rPr>
        <w:t xml:space="preserve">: </w:t>
      </w:r>
      <w:r w:rsidR="00B628D3">
        <w:t xml:space="preserve">Table of </w:t>
      </w:r>
      <w:r w:rsidR="00DE20FD" w:rsidRPr="00A03684">
        <w:t>emissions-intensive and trade-exposed</w:t>
      </w:r>
      <w:r w:rsidR="00B628D3">
        <w:t xml:space="preserve"> activities</w:t>
      </w:r>
      <w:bookmarkEnd w:id="107"/>
    </w:p>
    <w:p w:rsidR="00012D4B" w:rsidRPr="00A03684" w:rsidRDefault="00012D4B" w:rsidP="00012D4B">
      <w:pPr>
        <w:pStyle w:val="Tableheading"/>
      </w:pPr>
      <w:bookmarkStart w:id="108" w:name="_Toc75262186"/>
      <w:r w:rsidRPr="00A03684">
        <w:t xml:space="preserve">Table </w:t>
      </w:r>
      <w:r w:rsidR="00DE20FD">
        <w:t>17</w:t>
      </w:r>
      <w:r w:rsidRPr="00A03684">
        <w:t xml:space="preserve">: </w:t>
      </w:r>
      <w:r w:rsidRPr="00A03684">
        <w:tab/>
      </w:r>
      <w:r w:rsidR="00DE20FD">
        <w:t>E</w:t>
      </w:r>
      <w:r w:rsidR="00DE20FD" w:rsidRPr="00A03684">
        <w:t>missions-intensive and trade-exposed</w:t>
      </w:r>
      <w:r>
        <w:t xml:space="preserve"> activities</w:t>
      </w:r>
      <w:bookmarkEnd w:id="108"/>
      <w:r>
        <w:t xml:space="preserve"> </w:t>
      </w:r>
    </w:p>
    <w:tbl>
      <w:tblPr>
        <w:tblStyle w:val="TableGrid"/>
        <w:tblW w:w="8505" w:type="dxa"/>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6237"/>
        <w:gridCol w:w="2268"/>
      </w:tblGrid>
      <w:tr w:rsidR="00012D4B" w:rsidRPr="00A03684" w:rsidTr="00903C59">
        <w:trPr>
          <w:tblHeader/>
        </w:trPr>
        <w:tc>
          <w:tcPr>
            <w:tcW w:w="6237" w:type="dxa"/>
            <w:tcBorders>
              <w:bottom w:val="single" w:sz="4" w:space="0" w:color="1C556C" w:themeColor="accent1"/>
            </w:tcBorders>
            <w:shd w:val="clear" w:color="auto" w:fill="1C556C" w:themeFill="accent1"/>
            <w:vAlign w:val="bottom"/>
            <w:hideMark/>
          </w:tcPr>
          <w:p w:rsidR="00012D4B" w:rsidRPr="00A03684" w:rsidRDefault="00012D4B" w:rsidP="00903C59">
            <w:pPr>
              <w:pStyle w:val="TableTextbold"/>
              <w:spacing w:before="40" w:after="40"/>
              <w:rPr>
                <w:color w:val="FFFFFF" w:themeColor="background1"/>
                <w:szCs w:val="18"/>
              </w:rPr>
            </w:pPr>
            <w:r>
              <w:rPr>
                <w:color w:val="FFFFFF" w:themeColor="background1"/>
                <w:szCs w:val="18"/>
              </w:rPr>
              <w:t xml:space="preserve">Activity </w:t>
            </w:r>
          </w:p>
        </w:tc>
        <w:tc>
          <w:tcPr>
            <w:tcW w:w="2268" w:type="dxa"/>
            <w:tcBorders>
              <w:bottom w:val="single" w:sz="4" w:space="0" w:color="1C556C" w:themeColor="accent1"/>
            </w:tcBorders>
            <w:shd w:val="clear" w:color="auto" w:fill="1C556C" w:themeFill="accent1"/>
            <w:vAlign w:val="bottom"/>
            <w:hideMark/>
          </w:tcPr>
          <w:p w:rsidR="00012D4B" w:rsidRPr="00A03684" w:rsidRDefault="00012D4B" w:rsidP="00DE20FD">
            <w:pPr>
              <w:pStyle w:val="TableTextbold"/>
              <w:spacing w:before="40" w:after="40"/>
              <w:rPr>
                <w:color w:val="FFFFFF" w:themeColor="background1"/>
                <w:szCs w:val="18"/>
              </w:rPr>
            </w:pPr>
            <w:r>
              <w:rPr>
                <w:color w:val="FFFFFF" w:themeColor="background1"/>
                <w:szCs w:val="18"/>
              </w:rPr>
              <w:t>Emissions intensity</w:t>
            </w:r>
          </w:p>
        </w:tc>
      </w:tr>
      <w:tr w:rsidR="00012D4B" w:rsidRPr="00A03684" w:rsidTr="00903C59">
        <w:tc>
          <w:tcPr>
            <w:tcW w:w="6237" w:type="dxa"/>
            <w:shd w:val="clear" w:color="auto" w:fill="auto"/>
          </w:tcPr>
          <w:p w:rsidR="00012D4B" w:rsidRPr="00012D4B" w:rsidRDefault="00012D4B" w:rsidP="00DE20FD">
            <w:pPr>
              <w:pStyle w:val="TableText"/>
            </w:pPr>
            <w:r w:rsidRPr="00012D4B">
              <w:t xml:space="preserve">Aluminium smelting </w:t>
            </w:r>
          </w:p>
        </w:tc>
        <w:tc>
          <w:tcPr>
            <w:tcW w:w="2268" w:type="dxa"/>
            <w:shd w:val="clear" w:color="auto" w:fill="auto"/>
          </w:tcPr>
          <w:p w:rsidR="00012D4B" w:rsidRPr="00012D4B" w:rsidRDefault="00012D4B" w:rsidP="00DE20FD">
            <w:pPr>
              <w:pStyle w:val="TableText"/>
              <w:rPr>
                <w:b/>
                <w:bCs/>
              </w:rPr>
            </w:pPr>
            <w:r w:rsidRPr="00012D4B">
              <w:rPr>
                <w:bCs/>
              </w:rPr>
              <w:t xml:space="preserve">High </w:t>
            </w:r>
          </w:p>
        </w:tc>
      </w:tr>
      <w:tr w:rsidR="00012D4B" w:rsidRPr="00A03684" w:rsidTr="00903C59">
        <w:tc>
          <w:tcPr>
            <w:tcW w:w="6237" w:type="dxa"/>
          </w:tcPr>
          <w:p w:rsidR="00012D4B" w:rsidRPr="00A03684" w:rsidRDefault="00012D4B" w:rsidP="00DE20FD">
            <w:pPr>
              <w:pStyle w:val="TableText"/>
            </w:pPr>
            <w:r w:rsidRPr="009B174A">
              <w:t>Manufacture of carbon steel from cold</w:t>
            </w:r>
            <w:r>
              <w:t xml:space="preserve"> </w:t>
            </w:r>
            <w:r w:rsidRPr="009B174A">
              <w:t>ferrous feed</w:t>
            </w:r>
          </w:p>
        </w:tc>
        <w:tc>
          <w:tcPr>
            <w:tcW w:w="2268" w:type="dxa"/>
          </w:tcPr>
          <w:p w:rsidR="00012D4B" w:rsidRPr="00012D4B" w:rsidRDefault="00012D4B" w:rsidP="00DE20FD">
            <w:pPr>
              <w:pStyle w:val="TableText"/>
            </w:pPr>
            <w:r w:rsidRPr="00012D4B">
              <w:t>High</w:t>
            </w:r>
          </w:p>
        </w:tc>
      </w:tr>
      <w:tr w:rsidR="00012D4B" w:rsidRPr="00A03684" w:rsidTr="00903C59">
        <w:tc>
          <w:tcPr>
            <w:tcW w:w="6237" w:type="dxa"/>
          </w:tcPr>
          <w:p w:rsidR="00012D4B" w:rsidRPr="00A03684" w:rsidRDefault="00012D4B" w:rsidP="00DE20FD">
            <w:pPr>
              <w:pStyle w:val="TableText"/>
            </w:pPr>
            <w:r w:rsidRPr="009B174A">
              <w:t>Manufacture of iron and steel from iron</w:t>
            </w:r>
            <w:r>
              <w:t xml:space="preserve"> </w:t>
            </w:r>
            <w:r w:rsidRPr="009B174A">
              <w:t>sand</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A03684" w:rsidRDefault="00012D4B" w:rsidP="00DE20FD">
            <w:pPr>
              <w:pStyle w:val="TableText"/>
            </w:pPr>
            <w:r w:rsidRPr="009B174A">
              <w:t>Production of burnt lime</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A03684" w:rsidRDefault="00012D4B" w:rsidP="00DE20FD">
            <w:pPr>
              <w:pStyle w:val="TableText"/>
            </w:pPr>
            <w:r w:rsidRPr="009B174A">
              <w:t>Production of carbamide (urea)</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A03684" w:rsidRDefault="00012D4B" w:rsidP="00DE20FD">
            <w:pPr>
              <w:pStyle w:val="TableText"/>
            </w:pPr>
            <w:r w:rsidRPr="009B174A">
              <w:t>Production of cartonboard</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A03684" w:rsidRDefault="00012D4B" w:rsidP="00DE20FD">
            <w:pPr>
              <w:pStyle w:val="TableText"/>
            </w:pPr>
            <w:r w:rsidRPr="009B174A">
              <w:t>Production of caustic soda</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A03684" w:rsidRDefault="00012D4B" w:rsidP="00DE20FD">
            <w:pPr>
              <w:pStyle w:val="TableText"/>
            </w:pPr>
            <w:r w:rsidRPr="009B174A">
              <w:t>Production of cementitious products</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A03684" w:rsidRDefault="00012D4B" w:rsidP="00DE20FD">
            <w:pPr>
              <w:pStyle w:val="TableText"/>
            </w:pPr>
            <w:r w:rsidRPr="009B174A">
              <w:t>Production of clay bricks and field tiles</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A03684" w:rsidRDefault="00012D4B" w:rsidP="00DE20FD">
            <w:pPr>
              <w:pStyle w:val="TableText"/>
            </w:pPr>
            <w:r w:rsidRPr="009B174A">
              <w:t>Production of cut roses</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A03684" w:rsidRDefault="00012D4B" w:rsidP="00DE20FD">
            <w:pPr>
              <w:pStyle w:val="TableText"/>
            </w:pPr>
            <w:r w:rsidRPr="009B174A">
              <w:t>Production of ethanol</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A03684" w:rsidRDefault="00012D4B" w:rsidP="00DE20FD">
            <w:pPr>
              <w:pStyle w:val="TableText"/>
            </w:pPr>
            <w:r w:rsidRPr="009B174A">
              <w:t>Production of fresh capsicums</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9B174A" w:rsidRDefault="00012D4B" w:rsidP="00DE20FD">
            <w:pPr>
              <w:pStyle w:val="TableText"/>
            </w:pPr>
            <w:r w:rsidRPr="00012D4B">
              <w:t>Production of fresh cucumbers</w:t>
            </w:r>
          </w:p>
        </w:tc>
        <w:tc>
          <w:tcPr>
            <w:tcW w:w="2268" w:type="dxa"/>
          </w:tcPr>
          <w:p w:rsidR="00012D4B" w:rsidRDefault="00012D4B" w:rsidP="00DE20FD">
            <w:pPr>
              <w:pStyle w:val="TableText"/>
            </w:pPr>
            <w:r>
              <w:t>Moderate</w:t>
            </w:r>
          </w:p>
        </w:tc>
      </w:tr>
      <w:tr w:rsidR="00012D4B" w:rsidRPr="00A03684" w:rsidTr="00903C59">
        <w:tc>
          <w:tcPr>
            <w:tcW w:w="6237" w:type="dxa"/>
          </w:tcPr>
          <w:p w:rsidR="00012D4B" w:rsidRPr="00A03684" w:rsidRDefault="00012D4B" w:rsidP="00DE20FD">
            <w:pPr>
              <w:pStyle w:val="TableText"/>
            </w:pPr>
            <w:r w:rsidRPr="00B91A3F">
              <w:t>Production of fresh tomatoes</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A03684" w:rsidRDefault="00012D4B" w:rsidP="00DE20FD">
            <w:pPr>
              <w:pStyle w:val="TableText"/>
            </w:pPr>
            <w:r w:rsidRPr="00B91A3F">
              <w:t>Production of gelatine</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A03684" w:rsidRDefault="00012D4B" w:rsidP="00DE20FD">
            <w:pPr>
              <w:pStyle w:val="TableText"/>
            </w:pPr>
            <w:r w:rsidRPr="00B91A3F">
              <w:t>Production of glass containers</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A03684" w:rsidRDefault="00012D4B" w:rsidP="00DE20FD">
            <w:pPr>
              <w:pStyle w:val="TableText"/>
            </w:pPr>
            <w:r w:rsidRPr="00B91A3F">
              <w:t>Production of hydrogen peroxide</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A03684" w:rsidRDefault="00012D4B" w:rsidP="00DE20FD">
            <w:pPr>
              <w:pStyle w:val="TableText"/>
            </w:pPr>
            <w:r w:rsidRPr="00B91A3F">
              <w:t>Production of lactose</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A03684" w:rsidRDefault="00012D4B" w:rsidP="00DE20FD">
            <w:pPr>
              <w:pStyle w:val="TableText"/>
            </w:pPr>
            <w:r w:rsidRPr="00B91A3F">
              <w:t>Production of market pulp</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A03684" w:rsidRDefault="00012D4B" w:rsidP="00DE20FD">
            <w:pPr>
              <w:pStyle w:val="TableText"/>
            </w:pPr>
            <w:r w:rsidRPr="00B91A3F">
              <w:t>Production of methanol</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B91A3F" w:rsidRDefault="00012D4B" w:rsidP="00DE20FD">
            <w:pPr>
              <w:pStyle w:val="TableText"/>
            </w:pPr>
            <w:r w:rsidRPr="00012D4B">
              <w:t>Production of newsprint</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B91A3F" w:rsidRDefault="00012D4B" w:rsidP="00DE20FD">
            <w:pPr>
              <w:pStyle w:val="TableText"/>
            </w:pPr>
            <w:r w:rsidRPr="00012D4B">
              <w:t>Production of packaging and industrial</w:t>
            </w:r>
            <w:r>
              <w:t xml:space="preserve"> </w:t>
            </w:r>
            <w:r w:rsidRPr="00012D4B">
              <w:t>paper</w:t>
            </w:r>
          </w:p>
        </w:tc>
        <w:tc>
          <w:tcPr>
            <w:tcW w:w="2268" w:type="dxa"/>
          </w:tcPr>
          <w:p w:rsidR="00012D4B" w:rsidRPr="00A03684" w:rsidRDefault="00012D4B" w:rsidP="00DE20FD">
            <w:pPr>
              <w:pStyle w:val="TableText"/>
            </w:pPr>
            <w:r w:rsidRPr="00903C59">
              <w:t>High</w:t>
            </w:r>
          </w:p>
        </w:tc>
      </w:tr>
      <w:tr w:rsidR="00012D4B" w:rsidRPr="00A03684" w:rsidTr="00903C59">
        <w:tc>
          <w:tcPr>
            <w:tcW w:w="6237" w:type="dxa"/>
          </w:tcPr>
          <w:p w:rsidR="00012D4B" w:rsidRPr="00B91A3F" w:rsidRDefault="00012D4B" w:rsidP="00DE20FD">
            <w:pPr>
              <w:pStyle w:val="TableText"/>
            </w:pPr>
            <w:r w:rsidRPr="00012D4B">
              <w:t>Production of protein meal</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B91A3F" w:rsidRDefault="00012D4B" w:rsidP="00DE20FD">
            <w:pPr>
              <w:pStyle w:val="TableText"/>
            </w:pPr>
            <w:r w:rsidRPr="00012D4B">
              <w:t>Production of reconstituted wood panels</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B91A3F" w:rsidRDefault="00012D4B" w:rsidP="00DE20FD">
            <w:pPr>
              <w:pStyle w:val="TableText"/>
            </w:pPr>
            <w:r w:rsidRPr="00012D4B">
              <w:t>Production of tissue paper</w:t>
            </w:r>
          </w:p>
        </w:tc>
        <w:tc>
          <w:tcPr>
            <w:tcW w:w="2268" w:type="dxa"/>
          </w:tcPr>
          <w:p w:rsidR="00012D4B" w:rsidRPr="00A03684" w:rsidRDefault="00012D4B" w:rsidP="00DE20FD">
            <w:pPr>
              <w:pStyle w:val="TableText"/>
            </w:pPr>
            <w:r>
              <w:t>Moderate</w:t>
            </w:r>
          </w:p>
        </w:tc>
      </w:tr>
      <w:tr w:rsidR="00012D4B" w:rsidRPr="00A03684" w:rsidTr="00903C59">
        <w:tc>
          <w:tcPr>
            <w:tcW w:w="6237" w:type="dxa"/>
          </w:tcPr>
          <w:p w:rsidR="00012D4B" w:rsidRPr="00B91A3F" w:rsidRDefault="00012D4B" w:rsidP="00DE20FD">
            <w:pPr>
              <w:pStyle w:val="TableText"/>
            </w:pPr>
            <w:r w:rsidRPr="00012D4B">
              <w:t>Production of whey powder</w:t>
            </w:r>
          </w:p>
        </w:tc>
        <w:tc>
          <w:tcPr>
            <w:tcW w:w="2268" w:type="dxa"/>
          </w:tcPr>
          <w:p w:rsidR="00012D4B" w:rsidRPr="00A03684" w:rsidRDefault="00012D4B" w:rsidP="00DE20FD">
            <w:pPr>
              <w:pStyle w:val="TableText"/>
            </w:pPr>
            <w:r>
              <w:t>Moderate</w:t>
            </w:r>
          </w:p>
        </w:tc>
      </w:tr>
    </w:tbl>
    <w:p w:rsidR="009B174A" w:rsidRDefault="009B174A">
      <w:pPr>
        <w:spacing w:before="0" w:after="200" w:line="276" w:lineRule="auto"/>
        <w:jc w:val="left"/>
      </w:pPr>
      <w:r>
        <w:br w:type="page"/>
      </w:r>
    </w:p>
    <w:p w:rsidR="00B51610" w:rsidRPr="00A03684" w:rsidRDefault="00B51610" w:rsidP="007611D9">
      <w:pPr>
        <w:pStyle w:val="Heading1"/>
        <w:tabs>
          <w:tab w:val="clear" w:pos="851"/>
        </w:tabs>
      </w:pPr>
      <w:bookmarkStart w:id="109" w:name="_Toc75336487"/>
      <w:r w:rsidRPr="00A03684">
        <w:t>References</w:t>
      </w:r>
      <w:bookmarkEnd w:id="109"/>
    </w:p>
    <w:p w:rsidR="00662EEE" w:rsidRPr="00A03684" w:rsidRDefault="00662EEE" w:rsidP="00296BDA">
      <w:pPr>
        <w:pStyle w:val="References"/>
      </w:pPr>
      <w:r w:rsidRPr="00A03684">
        <w:t xml:space="preserve">International Carbon Partnership. 2021. </w:t>
      </w:r>
      <w:r w:rsidRPr="00A03684">
        <w:rPr>
          <w:i/>
        </w:rPr>
        <w:t>Emissions Trading in Practice: A Handbook on Design and Implementation</w:t>
      </w:r>
      <w:r w:rsidR="00240C5E" w:rsidRPr="00A03684">
        <w:t>. Washington DC: World Bank Group</w:t>
      </w:r>
      <w:r w:rsidR="00365460">
        <w:t>.</w:t>
      </w:r>
    </w:p>
    <w:p w:rsidR="00662EEE" w:rsidRPr="00A03684" w:rsidRDefault="00662EEE" w:rsidP="00662EEE">
      <w:pPr>
        <w:pStyle w:val="References"/>
      </w:pPr>
      <w:r w:rsidRPr="00A03684">
        <w:t xml:space="preserve">Karamea Insley, Chris, &amp; Meade, Richard. 2008. </w:t>
      </w:r>
      <w:r w:rsidRPr="00A03684">
        <w:rPr>
          <w:i/>
        </w:rPr>
        <w:t>Māori Impacts from the Emissions Trading Scheme. Detailed Analysis and Conclusions</w:t>
      </w:r>
      <w:r w:rsidRPr="00A03684">
        <w:t>. Wellington: Ministry for the Environment.</w:t>
      </w:r>
    </w:p>
    <w:p w:rsidR="00662EEE" w:rsidRDefault="00662EEE" w:rsidP="00662EEE">
      <w:pPr>
        <w:pStyle w:val="References"/>
      </w:pPr>
      <w:r w:rsidRPr="00A03684">
        <w:t xml:space="preserve">NZIER. 2009. </w:t>
      </w:r>
      <w:r w:rsidRPr="00A03684">
        <w:rPr>
          <w:i/>
        </w:rPr>
        <w:t>New Zealand’s 2020 emissions target negotiations. Impact on the Māori economy</w:t>
      </w:r>
      <w:r w:rsidRPr="00A03684">
        <w:t>. Wellington: NZIER</w:t>
      </w:r>
      <w:r w:rsidR="00365460">
        <w:t>.</w:t>
      </w:r>
    </w:p>
    <w:p w:rsidR="00D009D8" w:rsidRPr="00A03684" w:rsidRDefault="003F0A96" w:rsidP="00296BDA">
      <w:pPr>
        <w:pStyle w:val="References"/>
      </w:pPr>
      <w:r w:rsidRPr="00CD0E92">
        <w:rPr>
          <w:szCs w:val="20"/>
        </w:rPr>
        <w:t xml:space="preserve">Denne, T. 2021. </w:t>
      </w:r>
      <w:r w:rsidRPr="00CD0E92">
        <w:rPr>
          <w:i/>
          <w:iCs/>
          <w:szCs w:val="20"/>
        </w:rPr>
        <w:t xml:space="preserve">Potential for emissions leakage from selected industries in the ETS. </w:t>
      </w:r>
      <w:r w:rsidRPr="00CD0E92">
        <w:rPr>
          <w:szCs w:val="20"/>
        </w:rPr>
        <w:t>Resource Economics</w:t>
      </w:r>
      <w:r>
        <w:rPr>
          <w:szCs w:val="20"/>
        </w:rPr>
        <w:t xml:space="preserve">. </w:t>
      </w:r>
    </w:p>
    <w:sectPr w:rsidR="00D009D8" w:rsidRPr="00A03684" w:rsidSect="00FC3388">
      <w:footerReference w:type="even" r:id="rId31"/>
      <w:footerReference w:type="default" r:id="rId32"/>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FAC" w:rsidRDefault="00976FAC" w:rsidP="0080531E">
      <w:pPr>
        <w:spacing w:before="0" w:after="0" w:line="240" w:lineRule="auto"/>
      </w:pPr>
      <w:r>
        <w:separator/>
      </w:r>
    </w:p>
    <w:p w:rsidR="00976FAC" w:rsidRDefault="00976FAC"/>
  </w:endnote>
  <w:endnote w:type="continuationSeparator" w:id="0">
    <w:p w:rsidR="00976FAC" w:rsidRDefault="00976FAC" w:rsidP="0080531E">
      <w:pPr>
        <w:spacing w:before="0" w:after="0" w:line="240" w:lineRule="auto"/>
      </w:pPr>
      <w:r>
        <w:continuationSeparator/>
      </w:r>
    </w:p>
    <w:p w:rsidR="00976FAC" w:rsidRDefault="00976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Default="000D12C3">
    <w:pPr>
      <w:pStyle w:val="Footer"/>
    </w:pPr>
    <w:r>
      <w:rPr>
        <w:noProof/>
      </w:rPr>
      <mc:AlternateContent>
        <mc:Choice Requires="wps">
          <w:drawing>
            <wp:anchor distT="0" distB="0" distL="114300" distR="114300" simplePos="0" relativeHeight="251721385" behindDoc="0" locked="0" layoutInCell="0" allowOverlap="1" wp14:anchorId="37244729" wp14:editId="30C0C624">
              <wp:simplePos x="0" y="0"/>
              <wp:positionH relativeFrom="page">
                <wp:posOffset>0</wp:posOffset>
              </wp:positionH>
              <wp:positionV relativeFrom="page">
                <wp:posOffset>10229453</wp:posOffset>
              </wp:positionV>
              <wp:extent cx="7560945" cy="273050"/>
              <wp:effectExtent l="0" t="0" r="0" b="12700"/>
              <wp:wrapNone/>
              <wp:docPr id="11" name="MSIPCM383c421dbdc497ba87f7e2ab" descr="{&quot;HashCode&quot;:-235421592,&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D12C3" w:rsidRPr="0047557B" w:rsidRDefault="000D12C3" w:rsidP="0047557B">
                          <w:pPr>
                            <w:spacing w:before="0" w:after="0"/>
                            <w:jc w:val="center"/>
                            <w:rPr>
                              <w:rFonts w:cs="Calibri"/>
                              <w:color w:val="000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244729" id="_x0000_t202" coordsize="21600,21600" o:spt="202" path="m,l,21600r21600,l21600,xe">
              <v:stroke joinstyle="miter"/>
              <v:path gradientshapeok="t" o:connecttype="rect"/>
            </v:shapetype>
            <v:shape id="MSIPCM383c421dbdc497ba87f7e2ab" o:spid="_x0000_s1027" type="#_x0000_t202" alt="{&quot;HashCode&quot;:-235421592,&quot;Height&quot;:842.0,&quot;Width&quot;:595.0,&quot;Placement&quot;:&quot;Footer&quot;,&quot;Index&quot;:&quot;OddAndEven&quot;,&quot;Section&quot;:1,&quot;Top&quot;:0.0,&quot;Left&quot;:0.0}" style="position:absolute;left:0;text-align:left;margin-left:0;margin-top:805.45pt;width:595.35pt;height:21.5pt;z-index:25172138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" o:allowincell="f" filled="f" stroked="f" strokeweight=".5pt">
              <v:textbox inset=",0,,0">
                <w:txbxContent>
                  <w:p w:rsidR="000D12C3" w:rsidRPr="0047557B" w:rsidRDefault="000D12C3" w:rsidP="0047557B">
                    <w:pPr>
                      <w:spacing w:before="0" w:after="0"/>
                      <w:jc w:val="center"/>
                      <w:rPr>
                        <w:rFonts w:cs="Calibri"/>
                        <w:color w:val="000000"/>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Default="000D12C3" w:rsidP="00734B9A">
    <w:pPr>
      <w:spacing w:before="0" w:after="0" w:line="240" w:lineRule="auto"/>
      <w:ind w:left="-57"/>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C02" w:rsidRDefault="005C4C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Default="000D12C3" w:rsidP="00E65427">
    <w:pPr>
      <w:spacing w:before="240"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Default="000D12C3">
    <w:r>
      <w:rPr>
        <w:noProof/>
      </w:rPr>
      <mc:AlternateContent>
        <mc:Choice Requires="wps">
          <w:drawing>
            <wp:anchor distT="0" distB="0" distL="114300" distR="114300" simplePos="0" relativeHeight="251723090" behindDoc="0" locked="0" layoutInCell="0" allowOverlap="1" wp14:anchorId="6570D62A" wp14:editId="3A5ADF7E">
              <wp:simplePos x="0" y="0"/>
              <wp:positionH relativeFrom="page">
                <wp:posOffset>0</wp:posOffset>
              </wp:positionH>
              <wp:positionV relativeFrom="page">
                <wp:posOffset>10229453</wp:posOffset>
              </wp:positionV>
              <wp:extent cx="7560945" cy="273050"/>
              <wp:effectExtent l="0" t="0" r="0" b="12700"/>
              <wp:wrapNone/>
              <wp:docPr id="12" name="MSIPCM2eb34c1c832289cda1ef37ce" descr="{&quot;HashCode&quot;:-235421592,&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D12C3" w:rsidRPr="0047557B" w:rsidRDefault="000D12C3" w:rsidP="0047557B">
                          <w:pPr>
                            <w:spacing w:before="0" w:after="0"/>
                            <w:jc w:val="center"/>
                            <w:rPr>
                              <w:rFonts w:cs="Calibri"/>
                              <w:color w:val="000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70D62A" id="_x0000_t202" coordsize="21600,21600" o:spt="202" path="m,l,21600r21600,l21600,xe">
              <v:stroke joinstyle="miter"/>
              <v:path gradientshapeok="t" o:connecttype="rect"/>
            </v:shapetype>
            <v:shape id="MSIPCM2eb34c1c832289cda1ef37ce" o:spid="_x0000_s1028" type="#_x0000_t202" alt="{&quot;HashCode&quot;:-235421592,&quot;Height&quot;:842.0,&quot;Width&quot;:595.0,&quot;Placement&quot;:&quot;Footer&quot;,&quot;Index&quot;:&quot;Primary&quot;,&quot;Section&quot;:2,&quot;Top&quot;:0.0,&quot;Left&quot;:0.0}" style="position:absolute;left:0;text-align:left;margin-left:0;margin-top:805.45pt;width:595.35pt;height:21.5pt;z-index:2517230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V4KHpGgMAAD4GAAAOAAAAAAAAAAAA&#10;AAAAAC4CAABkcnMvZTJvRG9jLnhtbFBLAQItABQABgAIAAAAIQARcqd+3wAAAAsBAAAPAAAAAAAA&#10;AAAAAAAAAHQFAABkcnMvZG93bnJldi54bWxQSwUGAAAAAAQABADzAAAAgAYAAAAA&#10;" o:allowincell="f" filled="f" stroked="f" strokeweight=".5pt">
              <v:textbox inset=",0,,0">
                <w:txbxContent>
                  <w:p w:rsidR="000D12C3" w:rsidRPr="0047557B" w:rsidRDefault="000D12C3" w:rsidP="0047557B">
                    <w:pPr>
                      <w:spacing w:before="0" w:after="0"/>
                      <w:jc w:val="center"/>
                      <w:rPr>
                        <w:rFonts w:cs="Calibri"/>
                        <w:color w:val="000000"/>
                        <w:sz w:val="18"/>
                      </w:rPr>
                    </w:pP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Default="000D12C3" w:rsidP="00CD25E1">
    <w:pPr>
      <w:pStyle w:val="Footereven"/>
    </w:pPr>
    <w:r w:rsidRPr="004F458A">
      <w:rPr>
        <w:b/>
      </w:rPr>
      <w:fldChar w:fldCharType="begin"/>
    </w:r>
    <w:r w:rsidRPr="004F458A">
      <w:instrText xml:space="preserve"> PAGE </w:instrText>
    </w:r>
    <w:r w:rsidRPr="004F458A">
      <w:rPr>
        <w:b/>
      </w:rPr>
      <w:fldChar w:fldCharType="separate"/>
    </w:r>
    <w:r w:rsidR="00C750F7">
      <w:rPr>
        <w:noProof/>
      </w:rPr>
      <w:t>6</w:t>
    </w:r>
    <w:r w:rsidRPr="004F458A">
      <w:rPr>
        <w:b/>
      </w:rPr>
      <w:fldChar w:fldCharType="end"/>
    </w:r>
    <w:r>
      <w:tab/>
    </w:r>
    <w:r w:rsidR="002C7747" w:rsidRPr="002C7747">
      <w:t xml:space="preserve">Reforming industrial allocation </w:t>
    </w:r>
    <w:r w:rsidR="005C4C02">
      <w:t xml:space="preserve">in the </w:t>
    </w:r>
    <w:r w:rsidR="002C7747" w:rsidRPr="002C7747">
      <w:t>New Zealand</w:t>
    </w:r>
    <w:r w:rsidR="005C4C02">
      <w:t xml:space="preserve"> Emissions Trading Scheme</w:t>
    </w:r>
    <w:r w:rsidR="002C7747" w:rsidRPr="002C7747">
      <w:t xml:space="preserve">: </w:t>
    </w:r>
    <w:r w:rsidR="00C43367">
      <w:t>Consultation</w:t>
    </w:r>
    <w:r w:rsidR="00C43367" w:rsidRPr="002C7747">
      <w:t xml:space="preserve"> </w:t>
    </w:r>
    <w:r w:rsidR="002C7747" w:rsidRPr="002C7747">
      <w:t>document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Default="000D12C3" w:rsidP="002C7747">
    <w:pPr>
      <w:pStyle w:val="Footerodd"/>
    </w:pPr>
    <w:r>
      <w:tab/>
    </w:r>
    <w:r w:rsidR="002C7747" w:rsidRPr="002C7747">
      <w:t xml:space="preserve">Reforming industrial allocation </w:t>
    </w:r>
    <w:r w:rsidR="005C4C02">
      <w:t xml:space="preserve">in the </w:t>
    </w:r>
    <w:r w:rsidR="002C7747" w:rsidRPr="002C7747">
      <w:t>New Zealand</w:t>
    </w:r>
    <w:r w:rsidR="005C4C02">
      <w:t xml:space="preserve"> Emissions Trading Scheme</w:t>
    </w:r>
    <w:r w:rsidR="002C7747" w:rsidRPr="002C7747">
      <w:t xml:space="preserve">: </w:t>
    </w:r>
    <w:r w:rsidR="00C43367">
      <w:t>Consultation</w:t>
    </w:r>
    <w:r w:rsidR="00C43367" w:rsidRPr="002C7747">
      <w:t xml:space="preserve"> </w:t>
    </w:r>
    <w:r w:rsidR="002C7747" w:rsidRPr="002C7747">
      <w:t>document</w:t>
    </w:r>
    <w:r>
      <w:tab/>
    </w:r>
    <w:r>
      <w:fldChar w:fldCharType="begin"/>
    </w:r>
    <w:r>
      <w:instrText xml:space="preserve"> PAGE   \* MERGEFORMAT </w:instrText>
    </w:r>
    <w:r>
      <w:fldChar w:fldCharType="separate"/>
    </w:r>
    <w:r w:rsidR="00C750F7">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FAC" w:rsidRDefault="00976FAC" w:rsidP="00CB5C5F">
      <w:pPr>
        <w:spacing w:before="0" w:after="80" w:line="240" w:lineRule="auto"/>
      </w:pPr>
      <w:r>
        <w:separator/>
      </w:r>
    </w:p>
  </w:footnote>
  <w:footnote w:type="continuationSeparator" w:id="0">
    <w:p w:rsidR="00976FAC" w:rsidRDefault="00976FAC" w:rsidP="0080531E">
      <w:pPr>
        <w:spacing w:before="0" w:after="0" w:line="240" w:lineRule="auto"/>
      </w:pPr>
      <w:r>
        <w:continuationSeparator/>
      </w:r>
    </w:p>
    <w:p w:rsidR="00976FAC" w:rsidRDefault="00976FAC"/>
  </w:footnote>
  <w:footnote w:id="1">
    <w:p w:rsidR="000D12C3" w:rsidRPr="004F3637" w:rsidRDefault="000D12C3" w:rsidP="00CF6D7F">
      <w:pPr>
        <w:pStyle w:val="FootnoteText"/>
      </w:pPr>
      <w:r w:rsidRPr="004F3637">
        <w:rPr>
          <w:rStyle w:val="FootnoteReference"/>
        </w:rPr>
        <w:footnoteRef/>
      </w:r>
      <w:r w:rsidRPr="004F3637">
        <w:t xml:space="preserve"> </w:t>
      </w:r>
      <w:r w:rsidR="00CF6D7F" w:rsidRPr="004F3637">
        <w:tab/>
      </w:r>
      <w:hyperlink r:id="rId1" w:history="1">
        <w:r w:rsidR="00832EDA" w:rsidRPr="00832EDA">
          <w:rPr>
            <w:rStyle w:val="Hyperlink"/>
          </w:rPr>
          <w:t>Countervailing forces: Climate targets and implications for competitiveness, leakage and innovation</w:t>
        </w:r>
      </w:hyperlink>
      <w:r w:rsidR="00A03684" w:rsidRPr="004F3637">
        <w:rPr>
          <w:rStyle w:val="Hyperlink"/>
          <w:color w:val="auto"/>
        </w:rPr>
        <w:t xml:space="preserve"> </w:t>
      </w:r>
    </w:p>
  </w:footnote>
  <w:footnote w:id="2">
    <w:p w:rsidR="000D12C3" w:rsidRPr="00CF6D7F" w:rsidRDefault="000D12C3" w:rsidP="00CF6D7F">
      <w:pPr>
        <w:pStyle w:val="FootnoteText"/>
      </w:pPr>
      <w:r w:rsidRPr="004F3637">
        <w:rPr>
          <w:rStyle w:val="FootnoteReference"/>
        </w:rPr>
        <w:footnoteRef/>
      </w:r>
      <w:r w:rsidRPr="004F3637">
        <w:t xml:space="preserve"> </w:t>
      </w:r>
      <w:r w:rsidR="00CF6D7F" w:rsidRPr="004F3637">
        <w:tab/>
      </w:r>
      <w:r w:rsidR="004F3637" w:rsidRPr="004F3637">
        <w:t>This report was based on data collected from four EITE activities</w:t>
      </w:r>
      <w:r w:rsidR="004F3637">
        <w:t xml:space="preserve"> in 2020</w:t>
      </w:r>
      <w:r w:rsidR="004F3637" w:rsidRPr="004F3637">
        <w:t xml:space="preserve">. These were the production of burnt lime, the production of fresh cucumbers, the production of cartonboard, and the production of cementitious products. </w:t>
      </w:r>
    </w:p>
  </w:footnote>
  <w:footnote w:id="3">
    <w:p w:rsidR="003F0A96" w:rsidRDefault="003F0A96">
      <w:pPr>
        <w:pStyle w:val="FootnoteText"/>
      </w:pPr>
      <w:r>
        <w:rPr>
          <w:rStyle w:val="FootnoteReference"/>
        </w:rPr>
        <w:footnoteRef/>
      </w:r>
      <w:r>
        <w:t xml:space="preserve"> </w:t>
      </w:r>
      <w:r>
        <w:tab/>
      </w:r>
      <w:hyperlink r:id="rId2" w:history="1">
        <w:r w:rsidRPr="00D46112">
          <w:rPr>
            <w:rStyle w:val="Hyperlink"/>
          </w:rPr>
          <w:t>Potential for emissions leakage from selected industries in the ETS</w:t>
        </w:r>
      </w:hyperlink>
      <w:r w:rsidRPr="00D46112">
        <w:rPr>
          <w:rStyle w:val="Hyperlink"/>
        </w:rPr>
        <w:t>.</w:t>
      </w:r>
    </w:p>
  </w:footnote>
  <w:footnote w:id="4">
    <w:p w:rsidR="00C012AE" w:rsidRDefault="00C012AE">
      <w:pPr>
        <w:pStyle w:val="FootnoteText"/>
      </w:pPr>
      <w:r>
        <w:rPr>
          <w:rStyle w:val="FootnoteReference"/>
        </w:rPr>
        <w:footnoteRef/>
      </w:r>
      <w:r>
        <w:t xml:space="preserve"> </w:t>
      </w:r>
      <w:r>
        <w:tab/>
      </w:r>
      <w:r w:rsidRPr="00747D64">
        <w:rPr>
          <w:szCs w:val="19"/>
        </w:rPr>
        <w:t>Activity details removed for confidentiality.</w:t>
      </w:r>
    </w:p>
  </w:footnote>
  <w:footnote w:id="5">
    <w:p w:rsidR="001E35B4" w:rsidRDefault="001E35B4" w:rsidP="001E35B4">
      <w:pPr>
        <w:pStyle w:val="FootnoteText"/>
      </w:pPr>
      <w:r w:rsidRPr="001E35B4">
        <w:rPr>
          <w:rStyle w:val="FootnoteReference"/>
        </w:rPr>
        <w:footnoteRef/>
      </w:r>
      <w:r w:rsidRPr="009B174A">
        <w:rPr>
          <w:rStyle w:val="FootnoteReference"/>
        </w:rPr>
        <w:t xml:space="preserve"> </w:t>
      </w:r>
      <w:r>
        <w:tab/>
      </w:r>
      <w:r w:rsidR="003C3D47">
        <w:t xml:space="preserve">Appendix 2 lists the </w:t>
      </w:r>
      <w:r w:rsidRPr="001E35B4">
        <w:t xml:space="preserve">26 activities </w:t>
      </w:r>
      <w:r w:rsidR="005F518F">
        <w:t xml:space="preserve">that are eligible to receive industrial allocation </w:t>
      </w:r>
      <w:r w:rsidRPr="001E35B4">
        <w:t xml:space="preserve">in New Zealand. More information on these activities and the firms currently receiving an allocation can be found </w:t>
      </w:r>
      <w:r w:rsidR="00832EDA">
        <w:t xml:space="preserve">on the </w:t>
      </w:r>
      <w:hyperlink r:id="rId3" w:history="1">
        <w:r w:rsidR="00832EDA" w:rsidRPr="00832EDA">
          <w:rPr>
            <w:rStyle w:val="Hyperlink"/>
          </w:rPr>
          <w:t>Environmental Protection Authority’s website</w:t>
        </w:r>
      </w:hyperlink>
      <w:r w:rsidR="00832EDA">
        <w:t>.</w:t>
      </w:r>
    </w:p>
  </w:footnote>
  <w:footnote w:id="6">
    <w:p w:rsidR="000D12C3" w:rsidRDefault="000D12C3">
      <w:pPr>
        <w:pStyle w:val="FootnoteText"/>
      </w:pPr>
      <w:r>
        <w:rPr>
          <w:rStyle w:val="FootnoteReference"/>
        </w:rPr>
        <w:footnoteRef/>
      </w:r>
      <w:r>
        <w:t xml:space="preserve"> </w:t>
      </w:r>
      <w:r w:rsidR="002A10C1">
        <w:tab/>
      </w:r>
      <w:r>
        <w:t>CO</w:t>
      </w:r>
      <w:r w:rsidRPr="00150EB6">
        <w:rPr>
          <w:vertAlign w:val="subscript"/>
        </w:rPr>
        <w:t>2</w:t>
      </w:r>
      <w:r>
        <w:t xml:space="preserve">-e or carbon dioxide equivalent </w:t>
      </w:r>
      <w:r w:rsidRPr="00150EB6">
        <w:t xml:space="preserve">is a metric </w:t>
      </w:r>
      <w:r>
        <w:t>that</w:t>
      </w:r>
      <w:r w:rsidRPr="00150EB6">
        <w:t xml:space="preserve"> compare</w:t>
      </w:r>
      <w:r>
        <w:t xml:space="preserve">s the global warming potentials of different greenhouse gases to carbon dioxide. </w:t>
      </w:r>
    </w:p>
  </w:footnote>
  <w:footnote w:id="7">
    <w:p w:rsidR="000D12C3" w:rsidRDefault="000D12C3">
      <w:pPr>
        <w:pStyle w:val="FootnoteText"/>
      </w:pPr>
      <w:r>
        <w:rPr>
          <w:rStyle w:val="FootnoteReference"/>
        </w:rPr>
        <w:footnoteRef/>
      </w:r>
      <w:r>
        <w:t xml:space="preserve"> </w:t>
      </w:r>
      <w:r w:rsidR="00246D81">
        <w:tab/>
      </w:r>
      <w:r>
        <w:t xml:space="preserve">The ETR Act allows for the Government, based on the recommendations of the Climate Change Commission, to decrease the phase-out rate for one or more activities if the risk of leakage remains unacceptably high. </w:t>
      </w:r>
    </w:p>
  </w:footnote>
  <w:footnote w:id="8">
    <w:p w:rsidR="000D12C3" w:rsidRDefault="000D12C3">
      <w:pPr>
        <w:pStyle w:val="FootnoteText"/>
      </w:pPr>
      <w:r>
        <w:rPr>
          <w:rStyle w:val="FootnoteReference"/>
        </w:rPr>
        <w:footnoteRef/>
      </w:r>
      <w:r>
        <w:t xml:space="preserve"> </w:t>
      </w:r>
      <w:r w:rsidR="007607C6">
        <w:tab/>
      </w:r>
      <w:r>
        <w:t xml:space="preserve">This refers to their emissions with respect to production (also known as the allocative baseline). Not to be confused with the emissions intensity used for eligibility, which is emissions with respect to revenue. </w:t>
      </w:r>
    </w:p>
  </w:footnote>
  <w:footnote w:id="9">
    <w:p w:rsidR="000D12C3" w:rsidRDefault="000D12C3" w:rsidP="0079452A">
      <w:pPr>
        <w:pStyle w:val="FootnoteText"/>
        <w:spacing w:after="50"/>
      </w:pPr>
      <w:r>
        <w:rPr>
          <w:rStyle w:val="FootnoteReference"/>
        </w:rPr>
        <w:footnoteRef/>
      </w:r>
      <w:r>
        <w:t xml:space="preserve"> </w:t>
      </w:r>
      <w:r w:rsidR="0079452A">
        <w:tab/>
      </w:r>
      <w:r>
        <w:t xml:space="preserve">The provisional emissions budget will be superseded by the first emission budget set under the Zero Carbon Act by the end of 2021. </w:t>
      </w:r>
    </w:p>
  </w:footnote>
  <w:footnote w:id="10">
    <w:p w:rsidR="000D12C3" w:rsidRDefault="000D12C3" w:rsidP="0079452A">
      <w:pPr>
        <w:pStyle w:val="FootnoteText"/>
        <w:spacing w:after="50"/>
      </w:pPr>
      <w:r>
        <w:rPr>
          <w:rStyle w:val="FootnoteReference"/>
        </w:rPr>
        <w:footnoteRef/>
      </w:r>
      <w:r>
        <w:t xml:space="preserve"> </w:t>
      </w:r>
      <w:r w:rsidR="0079452A">
        <w:tab/>
      </w:r>
      <w:r w:rsidRPr="00FF2826">
        <w:t>The NZ ETS cap is made up of industrial allocation, auctio</w:t>
      </w:r>
      <w:r>
        <w:t>n volume and stockpile adjustment volume. The</w:t>
      </w:r>
      <w:r w:rsidR="0079452A">
        <w:t> </w:t>
      </w:r>
      <w:r>
        <w:t>stockpile adjustment</w:t>
      </w:r>
      <w:r w:rsidRPr="00FF2826">
        <w:t xml:space="preserve"> is a volume of the cap the </w:t>
      </w:r>
      <w:r>
        <w:t>G</w:t>
      </w:r>
      <w:r w:rsidRPr="00FF2826">
        <w:t>overnment withholds from auctioning</w:t>
      </w:r>
      <w:r>
        <w:t>,</w:t>
      </w:r>
      <w:r w:rsidRPr="00FF2826">
        <w:t xml:space="preserve"> to address oversupply in the NZ ETS market.</w:t>
      </w:r>
      <w:r w:rsidR="00A03684">
        <w:t xml:space="preserve"> </w:t>
      </w:r>
    </w:p>
  </w:footnote>
  <w:footnote w:id="11">
    <w:p w:rsidR="000D12C3" w:rsidRDefault="000D12C3" w:rsidP="0079452A">
      <w:pPr>
        <w:pStyle w:val="FootnoteText"/>
        <w:spacing w:after="50"/>
      </w:pPr>
      <w:r>
        <w:rPr>
          <w:rStyle w:val="FootnoteReference"/>
        </w:rPr>
        <w:footnoteRef/>
      </w:r>
      <w:r>
        <w:t xml:space="preserve"> </w:t>
      </w:r>
      <w:r w:rsidR="0079452A">
        <w:tab/>
      </w:r>
      <w:r>
        <w:t>T</w:t>
      </w:r>
      <w:r w:rsidRPr="00AF7CFA">
        <w:t>here is some uncertainty due to COVID-19 impacts, high</w:t>
      </w:r>
      <w:r>
        <w:t xml:space="preserve"> </w:t>
      </w:r>
      <w:r w:rsidRPr="00AF7CFA">
        <w:t>energy prices</w:t>
      </w:r>
      <w:r w:rsidR="00A313C7">
        <w:t>,</w:t>
      </w:r>
      <w:r w:rsidRPr="00AF7CFA">
        <w:t xml:space="preserve"> and whether the Marsden Point Refinery will enter the NZ ETS</w:t>
      </w:r>
      <w:r>
        <w:t xml:space="preserve">. </w:t>
      </w:r>
    </w:p>
  </w:footnote>
  <w:footnote w:id="12">
    <w:p w:rsidR="001E35B4" w:rsidRDefault="001E35B4" w:rsidP="001E35B4">
      <w:pPr>
        <w:pStyle w:val="FootnoteText"/>
      </w:pPr>
      <w:r>
        <w:rPr>
          <w:rStyle w:val="FootnoteReference"/>
        </w:rPr>
        <w:footnoteRef/>
      </w:r>
      <w:r>
        <w:t xml:space="preserve"> </w:t>
      </w:r>
      <w:r>
        <w:tab/>
      </w:r>
      <w:r w:rsidR="003F0A96">
        <w:t xml:space="preserve">Available from the consultation website. </w:t>
      </w:r>
    </w:p>
  </w:footnote>
  <w:footnote w:id="13">
    <w:p w:rsidR="000D12C3" w:rsidRDefault="000D12C3" w:rsidP="002962E9">
      <w:pPr>
        <w:pStyle w:val="FootnoteText"/>
      </w:pPr>
      <w:r>
        <w:rPr>
          <w:rStyle w:val="FootnoteReference"/>
        </w:rPr>
        <w:footnoteRef/>
      </w:r>
      <w:r>
        <w:t xml:space="preserve"> </w:t>
      </w:r>
      <w:r w:rsidR="005C6D61">
        <w:tab/>
      </w:r>
      <w:r>
        <w:t xml:space="preserve">Actual emissions based on a national average. </w:t>
      </w:r>
    </w:p>
  </w:footnote>
  <w:footnote w:id="14">
    <w:p w:rsidR="000D12C3" w:rsidRDefault="000D12C3" w:rsidP="00B520D3">
      <w:pPr>
        <w:pStyle w:val="FootnoteText"/>
      </w:pPr>
      <w:r>
        <w:rPr>
          <w:rStyle w:val="FootnoteReference"/>
        </w:rPr>
        <w:footnoteRef/>
      </w:r>
      <w:r>
        <w:t xml:space="preserve"> </w:t>
      </w:r>
      <w:r w:rsidR="00104CE5">
        <w:tab/>
      </w:r>
      <w:r>
        <w:t xml:space="preserve">This is not an issue for the EAF, as emissions associated with electricity generation are accounted for via fuel use. </w:t>
      </w:r>
    </w:p>
  </w:footnote>
  <w:footnote w:id="15">
    <w:p w:rsidR="000D12C3" w:rsidRDefault="000D12C3" w:rsidP="0045794D">
      <w:pPr>
        <w:pStyle w:val="FootnoteText"/>
      </w:pPr>
      <w:r>
        <w:rPr>
          <w:rStyle w:val="FootnoteReference"/>
        </w:rPr>
        <w:footnoteRef/>
      </w:r>
      <w:r>
        <w:t xml:space="preserve"> </w:t>
      </w:r>
      <w:r w:rsidR="0045794D">
        <w:tab/>
      </w:r>
      <w:r>
        <w:t>Such as biofuels. A biofuels plant would be emissions-intensive, but likely less so than the use of fossil fuels. Supporting a biofuels plant through IA could reduce emissions if biofuels displace the use of fossil</w:t>
      </w:r>
      <w:r w:rsidR="0045794D">
        <w:t> </w:t>
      </w:r>
      <w:r>
        <w:t>fuels.</w:t>
      </w:r>
      <w:r w:rsidR="00A03684">
        <w:t xml:space="preserve"> </w:t>
      </w:r>
    </w:p>
  </w:footnote>
  <w:footnote w:id="16">
    <w:p w:rsidR="000D12C3" w:rsidRDefault="000D12C3" w:rsidP="00E47B91">
      <w:pPr>
        <w:pStyle w:val="FootnoteText"/>
      </w:pPr>
      <w:r>
        <w:rPr>
          <w:rStyle w:val="FootnoteReference"/>
        </w:rPr>
        <w:footnoteRef/>
      </w:r>
      <w:r>
        <w:t xml:space="preserve"> </w:t>
      </w:r>
      <w:r w:rsidR="0092616C">
        <w:tab/>
      </w:r>
      <w:r>
        <w:t xml:space="preserve">Data from emissions returns submitted after 1 January 2021 will be published by the </w:t>
      </w:r>
      <w:r w:rsidR="0000431A">
        <w:t>Environmental Protection Authority</w:t>
      </w:r>
      <w:r>
        <w:t xml:space="preserve">. </w:t>
      </w:r>
    </w:p>
  </w:footnote>
  <w:footnote w:id="17">
    <w:p w:rsidR="000D12C3" w:rsidRDefault="000D12C3" w:rsidP="00E47B91">
      <w:pPr>
        <w:pStyle w:val="FootnoteText"/>
      </w:pPr>
      <w:r>
        <w:rPr>
          <w:rStyle w:val="FootnoteReference"/>
        </w:rPr>
        <w:footnoteRef/>
      </w:r>
      <w:r>
        <w:t xml:space="preserve"> </w:t>
      </w:r>
      <w:r w:rsidR="0092616C">
        <w:tab/>
      </w:r>
      <w:r>
        <w:t xml:space="preserve">In most cases, indirect emissions make up the majority of an activity’s baseline. </w:t>
      </w:r>
    </w:p>
  </w:footnote>
  <w:footnote w:id="18">
    <w:p w:rsidR="00FD12AF" w:rsidRDefault="00FD12AF" w:rsidP="00FD12AF">
      <w:pPr>
        <w:pStyle w:val="FootnoteText"/>
      </w:pPr>
      <w:r>
        <w:rPr>
          <w:rStyle w:val="FootnoteReference"/>
        </w:rPr>
        <w:footnoteRef/>
      </w:r>
      <w:r>
        <w:t xml:space="preserve"> </w:t>
      </w:r>
      <w:r w:rsidRPr="002B55F9">
        <w:t>All cost estimates in this section assume a $35 NZU price.</w:t>
      </w:r>
    </w:p>
  </w:footnote>
  <w:footnote w:id="19">
    <w:p w:rsidR="000D12C3" w:rsidRDefault="000D12C3">
      <w:pPr>
        <w:pStyle w:val="FootnoteText"/>
      </w:pPr>
      <w:r>
        <w:rPr>
          <w:rStyle w:val="FootnoteReference"/>
        </w:rPr>
        <w:footnoteRef/>
      </w:r>
      <w:r>
        <w:t xml:space="preserve"> </w:t>
      </w:r>
      <w:r w:rsidR="00E7353E">
        <w:tab/>
      </w:r>
      <w:r>
        <w:t xml:space="preserve">All cost estimates in this section assume a $35 NZU price. </w:t>
      </w:r>
    </w:p>
  </w:footnote>
  <w:footnote w:id="20">
    <w:p w:rsidR="000D12C3" w:rsidRDefault="000D12C3" w:rsidP="00CA7700">
      <w:pPr>
        <w:pStyle w:val="FootnoteText"/>
      </w:pPr>
      <w:r>
        <w:rPr>
          <w:rStyle w:val="FootnoteReference"/>
        </w:rPr>
        <w:footnoteRef/>
      </w:r>
      <w:r>
        <w:t xml:space="preserve"> </w:t>
      </w:r>
      <w:r w:rsidR="00E7353E">
        <w:tab/>
      </w:r>
      <w:r>
        <w:t xml:space="preserve">This is a simplified method and does not take into account that some activities have several baselines. </w:t>
      </w:r>
    </w:p>
  </w:footnote>
  <w:footnote w:id="21">
    <w:p w:rsidR="000D12C3" w:rsidRDefault="000D12C3">
      <w:pPr>
        <w:pStyle w:val="FootnoteText"/>
      </w:pPr>
      <w:r>
        <w:rPr>
          <w:rStyle w:val="FootnoteReference"/>
        </w:rPr>
        <w:footnoteRef/>
      </w:r>
      <w:r>
        <w:t xml:space="preserve"> </w:t>
      </w:r>
      <w:r w:rsidR="00685144">
        <w:tab/>
      </w:r>
      <w:r w:rsidRPr="007577FD">
        <w:t>This analysis is extrapolated from the four industrial activities where data was recently collected and should be used with caution. Best efforts have been made in the assumptions and derivation</w:t>
      </w:r>
      <w:r>
        <w:t>,</w:t>
      </w:r>
      <w:r w:rsidRPr="007577FD">
        <w:t xml:space="preserve"> and the estimates are conservative</w:t>
      </w:r>
      <w:r>
        <w:t>,</w:t>
      </w:r>
      <w:r w:rsidRPr="007577FD">
        <w:t xml:space="preserve"> to </w:t>
      </w:r>
      <w:r>
        <w:t>give</w:t>
      </w:r>
      <w:r w:rsidRPr="007577FD">
        <w:t xml:space="preserve"> some level of certainty.</w:t>
      </w:r>
      <w:r>
        <w:t xml:space="preserve"> </w:t>
      </w:r>
    </w:p>
  </w:footnote>
  <w:footnote w:id="22">
    <w:p w:rsidR="000D12C3" w:rsidRDefault="000D12C3">
      <w:pPr>
        <w:pStyle w:val="FootnoteText"/>
      </w:pPr>
      <w:r>
        <w:rPr>
          <w:rStyle w:val="FootnoteReference"/>
        </w:rPr>
        <w:footnoteRef/>
      </w:r>
      <w:r>
        <w:t xml:space="preserve"> </w:t>
      </w:r>
      <w:r w:rsidR="00740431">
        <w:tab/>
      </w:r>
      <w:r>
        <w:t xml:space="preserve">Auction revenue depends on the auction clearing price. The revenue range here is determined by the minimum auction clearing price set by the auction price floor ($20) and the upper bound set by the cost containment reserve price trigger ($50). </w:t>
      </w:r>
    </w:p>
  </w:footnote>
  <w:footnote w:id="23">
    <w:p w:rsidR="000D12C3" w:rsidRDefault="000D12C3">
      <w:pPr>
        <w:pStyle w:val="FootnoteText"/>
      </w:pPr>
      <w:r>
        <w:rPr>
          <w:rStyle w:val="FootnoteReference"/>
        </w:rPr>
        <w:footnoteRef/>
      </w:r>
      <w:r>
        <w:t xml:space="preserve"> </w:t>
      </w:r>
      <w:r w:rsidR="00740431">
        <w:tab/>
      </w:r>
      <w:r w:rsidR="00C109AA" w:rsidRPr="00C109AA">
        <w:t xml:space="preserve"> </w:t>
      </w:r>
      <w:hyperlink r:id="rId4" w:history="1">
        <w:r w:rsidR="00C109AA" w:rsidRPr="00230D73">
          <w:rPr>
            <w:rStyle w:val="Hyperlink"/>
            <w:i/>
            <w:iCs/>
          </w:rPr>
          <w:t>Māori Impacts from the Emissions Trading Scheme: Detailed Analysis and Conclusions</w:t>
        </w:r>
      </w:hyperlink>
      <w:r w:rsidR="00230D73">
        <w:rPr>
          <w:rStyle w:val="Hyperlink"/>
          <w:i/>
          <w:iCs/>
        </w:rPr>
        <w:t>.</w:t>
      </w:r>
      <w:r>
        <w:t xml:space="preserve"> </w:t>
      </w:r>
    </w:p>
  </w:footnote>
  <w:footnote w:id="24">
    <w:p w:rsidR="000D12C3" w:rsidRDefault="000D12C3" w:rsidP="008C370E">
      <w:pPr>
        <w:pStyle w:val="FootnoteText"/>
      </w:pPr>
      <w:r>
        <w:rPr>
          <w:rStyle w:val="FootnoteReference"/>
        </w:rPr>
        <w:footnoteRef/>
      </w:r>
      <w:r>
        <w:t xml:space="preserve"> </w:t>
      </w:r>
      <w:r w:rsidR="00B14D37">
        <w:tab/>
      </w:r>
      <w:r>
        <w:t>Some concern from the TAG that 10 years allows too much time for over-allocations to happen</w:t>
      </w:r>
      <w:r w:rsidRPr="009D6559">
        <w:t>.</w:t>
      </w:r>
      <w:r w:rsidR="009D6559">
        <w:t xml:space="preserve"> The 5</w:t>
      </w:r>
      <w:r>
        <w:t xml:space="preserve"> and 10-year options should be consulted on before final TAG recommendation.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Default="000D12C3">
    <w:pPr>
      <w:pStyle w:val="Header"/>
    </w:pPr>
    <w:r>
      <w:rPr>
        <w:noProof/>
      </w:rPr>
      <mc:AlternateContent>
        <mc:Choice Requires="wps">
          <w:drawing>
            <wp:anchor distT="0" distB="0" distL="114300" distR="114300" simplePos="0" relativeHeight="251714814" behindDoc="0" locked="0" layoutInCell="0" allowOverlap="1" wp14:anchorId="62183A59" wp14:editId="17DD8BC3">
              <wp:simplePos x="0" y="0"/>
              <wp:positionH relativeFrom="page">
                <wp:posOffset>0</wp:posOffset>
              </wp:positionH>
              <wp:positionV relativeFrom="page">
                <wp:posOffset>190500</wp:posOffset>
              </wp:positionV>
              <wp:extent cx="7560945" cy="273050"/>
              <wp:effectExtent l="0" t="0" r="0" b="12700"/>
              <wp:wrapNone/>
              <wp:docPr id="6" name="MSIPCM01ac4915ae616237d0ab0adb" descr="{&quot;HashCode&quot;:-259559161,&quot;Height&quot;:842.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D12C3" w:rsidRPr="005C5FF6" w:rsidRDefault="000D12C3" w:rsidP="005C5FF6">
                          <w:pPr>
                            <w:spacing w:before="0" w:after="0"/>
                            <w:jc w:val="center"/>
                            <w:rPr>
                              <w:rFonts w:cs="Calibri"/>
                              <w:color w:val="000000"/>
                              <w:sz w:val="1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183A59" id="_x0000_t202" coordsize="21600,21600" o:spt="202" path="m,l,21600r21600,l21600,xe">
              <v:stroke joinstyle="miter"/>
              <v:path gradientshapeok="t" o:connecttype="rect"/>
            </v:shapetype>
            <v:shape id="MSIPCM01ac4915ae616237d0ab0adb" o:spid="_x0000_s1026" type="#_x0000_t202" alt="{&quot;HashCode&quot;:-259559161,&quot;Height&quot;:842.0,&quot;Width&quot;:595.0,&quot;Placement&quot;:&quot;Header&quot;,&quot;Index&quot;:&quot;OddAndEven&quot;,&quot;Section&quot;:1,&quot;Top&quot;:0.0,&quot;Left&quot;:0.0}" style="position:absolute;left:0;text-align:left;margin-left:0;margin-top:15pt;width:595.35pt;height:21.5pt;z-index:25171481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" o:allowincell="f" filled="f" stroked="f" strokeweight=".5pt">
              <v:textbox inset=",0,,0">
                <w:txbxContent>
                  <w:p w:rsidR="000D12C3" w:rsidRPr="005C5FF6" w:rsidRDefault="000D12C3" w:rsidP="005C5FF6">
                    <w:pPr>
                      <w:spacing w:before="0" w:after="0"/>
                      <w:jc w:val="center"/>
                      <w:rPr>
                        <w:rFonts w:cs="Calibri"/>
                        <w:color w:val="000000"/>
                        <w:sz w:val="1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Pr="00DE7BF8" w:rsidRDefault="000D12C3" w:rsidP="00734B9A">
    <w:pPr>
      <w:pStyle w:val="Header"/>
      <w:ind w:left="-57"/>
      <w:jc w:val="left"/>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C02" w:rsidRDefault="005C4C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Default="000D12C3" w:rsidP="0036151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C3" w:rsidRDefault="000D1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2333D"/>
    <w:multiLevelType w:val="hybridMultilevel"/>
    <w:tmpl w:val="B0D2DE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A7166DB0"/>
    <w:lvl w:ilvl="0">
      <w:start w:val="1"/>
      <w:numFmt w:val="bullet"/>
      <w:pStyle w:val="Greenbullet-casestudytables"/>
      <w:lvlText w:val=""/>
      <w:lvlJc w:val="left"/>
      <w:pPr>
        <w:ind w:left="680" w:hanging="396"/>
      </w:pPr>
      <w:rPr>
        <w:rFonts w:ascii="Symbol" w:hAnsi="Symbol" w:hint="default"/>
        <w:color w:val="0F7B7D"/>
        <w:sz w:val="18"/>
        <w:szCs w:val="18"/>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C4A1B83"/>
    <w:multiLevelType w:val="hybridMultilevel"/>
    <w:tmpl w:val="DD800272"/>
    <w:lvl w:ilvl="0" w:tplc="43103976">
      <w:start w:val="1"/>
      <w:numFmt w:val="decimal"/>
      <w:lvlText w:val="%1)"/>
      <w:lvlJc w:val="left"/>
      <w:pPr>
        <w:ind w:left="720" w:hanging="360"/>
      </w:pPr>
      <w:rPr>
        <w:rFonts w:hint="default"/>
      </w:rPr>
    </w:lvl>
    <w:lvl w:ilvl="1" w:tplc="14090019">
      <w:start w:val="1"/>
      <w:numFmt w:val="lowerLetter"/>
      <w:lvlText w:val="%2."/>
      <w:lvlJc w:val="left"/>
      <w:pPr>
        <w:ind w:left="1494"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4135D0"/>
    <w:multiLevelType w:val="hybridMultilevel"/>
    <w:tmpl w:val="48766A26"/>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5" w15:restartNumberingAfterBreak="0">
    <w:nsid w:val="0DF75F73"/>
    <w:multiLevelType w:val="hybridMultilevel"/>
    <w:tmpl w:val="F7B8D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E95361"/>
    <w:multiLevelType w:val="hybridMultilevel"/>
    <w:tmpl w:val="FAF05DA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04F1D2E"/>
    <w:multiLevelType w:val="multilevel"/>
    <w:tmpl w:val="78387896"/>
    <w:lvl w:ilvl="0">
      <w:start w:val="1"/>
      <w:numFmt w:val="bullet"/>
      <w:pStyle w:val="Blue-boxsub-bullet"/>
      <w:lvlText w:val="‒"/>
      <w:lvlJc w:val="left"/>
      <w:pPr>
        <w:ind w:left="1077" w:hanging="397"/>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A6BE2"/>
    <w:multiLevelType w:val="multilevel"/>
    <w:tmpl w:val="F9E67648"/>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2"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3" w15:restartNumberingAfterBreak="0">
    <w:nsid w:val="38D50A8D"/>
    <w:multiLevelType w:val="hybridMultilevel"/>
    <w:tmpl w:val="DCCE459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4"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63429D"/>
    <w:multiLevelType w:val="hybridMultilevel"/>
    <w:tmpl w:val="83444C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F8C0C1E"/>
    <w:multiLevelType w:val="hybridMultilevel"/>
    <w:tmpl w:val="5436221E"/>
    <w:lvl w:ilvl="0" w:tplc="89700D46">
      <w:start w:val="1"/>
      <w:numFmt w:val="bullet"/>
      <w:pStyle w:val="ListBullet"/>
      <w:lvlText w:val="•"/>
      <w:lvlJc w:val="left"/>
      <w:pPr>
        <w:ind w:left="397" w:hanging="397"/>
      </w:pPr>
      <w:rPr>
        <w:rFonts w:ascii="Calibri" w:hAnsi="Calibri" w:hint="default"/>
        <w:sz w:val="20"/>
      </w:rPr>
    </w:lvl>
    <w:lvl w:ilvl="1" w:tplc="87C88960">
      <w:start w:val="1"/>
      <w:numFmt w:val="bullet"/>
      <w:pStyle w:val="ListBullet2"/>
      <w:lvlText w:val="–"/>
      <w:lvlJc w:val="left"/>
      <w:pPr>
        <w:ind w:left="794" w:hanging="397"/>
      </w:pPr>
      <w:rPr>
        <w:rFonts w:ascii="Calibri" w:hAnsi="Calibri" w:hint="default"/>
      </w:rPr>
    </w:lvl>
    <w:lvl w:ilvl="2" w:tplc="A4F252E8">
      <w:start w:val="1"/>
      <w:numFmt w:val="lowerLetter"/>
      <w:pStyle w:val="ListBullet3"/>
      <w:lvlText w:val="%3."/>
      <w:lvlJc w:val="left"/>
      <w:pPr>
        <w:ind w:left="1191" w:hanging="397"/>
      </w:pPr>
      <w:rPr>
        <w:rFonts w:hint="default"/>
      </w:rPr>
    </w:lvl>
    <w:lvl w:ilvl="3" w:tplc="2404276E">
      <w:start w:val="1"/>
      <w:numFmt w:val="lowerRoman"/>
      <w:pStyle w:val="ListBullet4"/>
      <w:lvlText w:val="%4."/>
      <w:lvlJc w:val="left"/>
      <w:pPr>
        <w:ind w:left="1588" w:hanging="397"/>
      </w:pPr>
      <w:rPr>
        <w:rFonts w:hint="default"/>
      </w:rPr>
    </w:lvl>
    <w:lvl w:ilvl="4" w:tplc="2DCAEF4A">
      <w:start w:val="1"/>
      <w:numFmt w:val="bullet"/>
      <w:pStyle w:val="ListBullet5"/>
      <w:lvlText w:val="•"/>
      <w:lvlJc w:val="left"/>
      <w:pPr>
        <w:ind w:left="1985" w:hanging="397"/>
      </w:pPr>
      <w:rPr>
        <w:rFonts w:ascii="Calibri" w:hAnsi="Calibri" w:hint="default"/>
        <w:sz w:val="20"/>
      </w:rPr>
    </w:lvl>
    <w:lvl w:ilvl="5" w:tplc="B3AC5BDA">
      <w:start w:val="1"/>
      <w:numFmt w:val="bullet"/>
      <w:lvlText w:val="–"/>
      <w:lvlJc w:val="left"/>
      <w:pPr>
        <w:ind w:left="2382" w:hanging="397"/>
      </w:pPr>
      <w:rPr>
        <w:rFonts w:ascii="Calibri" w:hAnsi="Calibri" w:hint="default"/>
      </w:rPr>
    </w:lvl>
    <w:lvl w:ilvl="6" w:tplc="2CA8826A">
      <w:start w:val="1"/>
      <w:numFmt w:val="bullet"/>
      <w:lvlText w:val=""/>
      <w:lvlJc w:val="left"/>
      <w:pPr>
        <w:ind w:left="2779" w:hanging="397"/>
      </w:pPr>
      <w:rPr>
        <w:rFonts w:ascii="Wingdings" w:hAnsi="Wingdings" w:hint="default"/>
      </w:rPr>
    </w:lvl>
    <w:lvl w:ilvl="7" w:tplc="97FC0AEA">
      <w:start w:val="1"/>
      <w:numFmt w:val="bullet"/>
      <w:lvlText w:val=""/>
      <w:lvlJc w:val="left"/>
      <w:pPr>
        <w:ind w:left="3176" w:hanging="397"/>
      </w:pPr>
      <w:rPr>
        <w:rFonts w:ascii="Symbol" w:hAnsi="Symbol" w:hint="default"/>
      </w:rPr>
    </w:lvl>
    <w:lvl w:ilvl="8" w:tplc="0A00E07E">
      <w:start w:val="1"/>
      <w:numFmt w:val="bullet"/>
      <w:lvlText w:val=""/>
      <w:lvlJc w:val="left"/>
      <w:pPr>
        <w:ind w:left="3573" w:hanging="397"/>
      </w:pPr>
      <w:rPr>
        <w:rFonts w:ascii="Symbol" w:hAnsi="Symbol" w:hint="default"/>
      </w:rPr>
    </w:lvl>
  </w:abstractNum>
  <w:abstractNum w:abstractNumId="17"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A479D"/>
    <w:multiLevelType w:val="hybridMultilevel"/>
    <w:tmpl w:val="1EDE9602"/>
    <w:lvl w:ilvl="0" w:tplc="1409000F">
      <w:start w:val="1"/>
      <w:numFmt w:val="decimal"/>
      <w:lvlText w:val="%1."/>
      <w:lvlJc w:val="left"/>
      <w:pPr>
        <w:ind w:left="397" w:hanging="397"/>
      </w:pPr>
      <w:rPr>
        <w:rFonts w:hint="default"/>
        <w:sz w:val="20"/>
      </w:rPr>
    </w:lvl>
    <w:lvl w:ilvl="1" w:tplc="87C88960">
      <w:start w:val="1"/>
      <w:numFmt w:val="bullet"/>
      <w:lvlText w:val="–"/>
      <w:lvlJc w:val="left"/>
      <w:pPr>
        <w:ind w:left="794" w:hanging="397"/>
      </w:pPr>
      <w:rPr>
        <w:rFonts w:ascii="Calibri" w:hAnsi="Calibri" w:hint="default"/>
      </w:rPr>
    </w:lvl>
    <w:lvl w:ilvl="2" w:tplc="A4F252E8">
      <w:start w:val="1"/>
      <w:numFmt w:val="lowerLetter"/>
      <w:lvlText w:val="%3."/>
      <w:lvlJc w:val="left"/>
      <w:pPr>
        <w:ind w:left="1191" w:hanging="397"/>
      </w:pPr>
      <w:rPr>
        <w:rFonts w:hint="default"/>
      </w:rPr>
    </w:lvl>
    <w:lvl w:ilvl="3" w:tplc="2404276E">
      <w:start w:val="1"/>
      <w:numFmt w:val="lowerRoman"/>
      <w:lvlText w:val="%4."/>
      <w:lvlJc w:val="left"/>
      <w:pPr>
        <w:ind w:left="1588" w:hanging="397"/>
      </w:pPr>
      <w:rPr>
        <w:rFonts w:hint="default"/>
      </w:rPr>
    </w:lvl>
    <w:lvl w:ilvl="4" w:tplc="2DCAEF4A">
      <w:start w:val="1"/>
      <w:numFmt w:val="bullet"/>
      <w:lvlText w:val="•"/>
      <w:lvlJc w:val="left"/>
      <w:pPr>
        <w:ind w:left="1985" w:hanging="397"/>
      </w:pPr>
      <w:rPr>
        <w:rFonts w:ascii="Calibri" w:hAnsi="Calibri" w:hint="default"/>
        <w:sz w:val="20"/>
      </w:rPr>
    </w:lvl>
    <w:lvl w:ilvl="5" w:tplc="B3AC5BDA">
      <w:start w:val="1"/>
      <w:numFmt w:val="bullet"/>
      <w:lvlText w:val="–"/>
      <w:lvlJc w:val="left"/>
      <w:pPr>
        <w:ind w:left="2382" w:hanging="397"/>
      </w:pPr>
      <w:rPr>
        <w:rFonts w:ascii="Calibri" w:hAnsi="Calibri" w:hint="default"/>
      </w:rPr>
    </w:lvl>
    <w:lvl w:ilvl="6" w:tplc="2CA8826A">
      <w:start w:val="1"/>
      <w:numFmt w:val="bullet"/>
      <w:lvlText w:val=""/>
      <w:lvlJc w:val="left"/>
      <w:pPr>
        <w:ind w:left="2779" w:hanging="397"/>
      </w:pPr>
      <w:rPr>
        <w:rFonts w:ascii="Wingdings" w:hAnsi="Wingdings" w:hint="default"/>
      </w:rPr>
    </w:lvl>
    <w:lvl w:ilvl="7" w:tplc="97FC0AEA">
      <w:start w:val="1"/>
      <w:numFmt w:val="bullet"/>
      <w:lvlText w:val=""/>
      <w:lvlJc w:val="left"/>
      <w:pPr>
        <w:ind w:left="3176" w:hanging="397"/>
      </w:pPr>
      <w:rPr>
        <w:rFonts w:ascii="Symbol" w:hAnsi="Symbol" w:hint="default"/>
      </w:rPr>
    </w:lvl>
    <w:lvl w:ilvl="8" w:tplc="0A00E07E">
      <w:start w:val="1"/>
      <w:numFmt w:val="bullet"/>
      <w:lvlText w:val=""/>
      <w:lvlJc w:val="left"/>
      <w:pPr>
        <w:ind w:left="3573" w:hanging="397"/>
      </w:pPr>
      <w:rPr>
        <w:rFonts w:ascii="Symbol" w:hAnsi="Symbol" w:hint="default"/>
      </w:rPr>
    </w:lvl>
  </w:abstractNum>
  <w:abstractNum w:abstractNumId="19"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1" w15:restartNumberingAfterBreak="0">
    <w:nsid w:val="48FB0428"/>
    <w:multiLevelType w:val="hybridMultilevel"/>
    <w:tmpl w:val="411AF1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3535234"/>
    <w:multiLevelType w:val="singleLevel"/>
    <w:tmpl w:val="D1A2CC06"/>
    <w:lvl w:ilvl="0">
      <w:start w:val="1"/>
      <w:numFmt w:val="bullet"/>
      <w:pStyle w:val="Blue-boxbullet"/>
      <w:lvlText w:val=""/>
      <w:lvlJc w:val="left"/>
      <w:pPr>
        <w:ind w:left="644" w:hanging="360"/>
      </w:pPr>
      <w:rPr>
        <w:rFonts w:ascii="Symbol" w:hAnsi="Symbol" w:hint="default"/>
        <w:color w:val="1C556C"/>
        <w:sz w:val="16"/>
      </w:rPr>
    </w:lvl>
  </w:abstractNum>
  <w:abstractNum w:abstractNumId="23" w15:restartNumberingAfterBreak="0">
    <w:nsid w:val="59FC74B8"/>
    <w:multiLevelType w:val="hybridMultilevel"/>
    <w:tmpl w:val="E5A458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C2C4ACE"/>
    <w:multiLevelType w:val="multilevel"/>
    <w:tmpl w:val="F72C1B8A"/>
    <w:lvl w:ilvl="0">
      <w:start w:val="1"/>
      <w:numFmt w:val="decimal"/>
      <w:lvlText w:val="%1."/>
      <w:lvlJc w:val="left"/>
      <w:pPr>
        <w:tabs>
          <w:tab w:val="num" w:pos="397"/>
        </w:tabs>
        <w:ind w:left="397" w:hanging="397"/>
      </w:pPr>
      <w:rPr>
        <w:rFonts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9B27EB"/>
    <w:multiLevelType w:val="hybridMultilevel"/>
    <w:tmpl w:val="2F927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5041D25"/>
    <w:multiLevelType w:val="hybridMultilevel"/>
    <w:tmpl w:val="81644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A5D467E"/>
    <w:multiLevelType w:val="hybridMultilevel"/>
    <w:tmpl w:val="E040741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AD118E3"/>
    <w:multiLevelType w:val="hybridMultilevel"/>
    <w:tmpl w:val="01B4B6A6"/>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29" w15:restartNumberingAfterBreak="0">
    <w:nsid w:val="6BAE3BC0"/>
    <w:multiLevelType w:val="hybridMultilevel"/>
    <w:tmpl w:val="D41E1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CFD7F35"/>
    <w:multiLevelType w:val="hybridMultilevel"/>
    <w:tmpl w:val="DCCE459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1" w15:restartNumberingAfterBreak="0">
    <w:nsid w:val="6EB72CF4"/>
    <w:multiLevelType w:val="hybridMultilevel"/>
    <w:tmpl w:val="DD800272"/>
    <w:lvl w:ilvl="0" w:tplc="43103976">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4"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D254A"/>
    <w:multiLevelType w:val="singleLevel"/>
    <w:tmpl w:val="A61C0FA4"/>
    <w:lvl w:ilvl="0">
      <w:start w:val="1"/>
      <w:numFmt w:val="bullet"/>
      <w:lvlText w:val=""/>
      <w:lvlJc w:val="left"/>
      <w:pPr>
        <w:tabs>
          <w:tab w:val="num" w:pos="567"/>
        </w:tabs>
        <w:ind w:left="567" w:hanging="567"/>
      </w:pPr>
      <w:rPr>
        <w:rFonts w:ascii="Symbol" w:hAnsi="Symbol" w:hint="default"/>
        <w:color w:val="auto"/>
        <w:sz w:val="18"/>
        <w:szCs w:val="20"/>
      </w:rPr>
    </w:lvl>
  </w:abstractNum>
  <w:abstractNum w:abstractNumId="36" w15:restartNumberingAfterBreak="0">
    <w:nsid w:val="7EEB4EB4"/>
    <w:multiLevelType w:val="hybridMultilevel"/>
    <w:tmpl w:val="2AF0A8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7"/>
  </w:num>
  <w:num w:numId="4">
    <w:abstractNumId w:val="11"/>
  </w:num>
  <w:num w:numId="5">
    <w:abstractNumId w:val="8"/>
  </w:num>
  <w:num w:numId="6">
    <w:abstractNumId w:val="20"/>
  </w:num>
  <w:num w:numId="7">
    <w:abstractNumId w:val="19"/>
  </w:num>
  <w:num w:numId="8">
    <w:abstractNumId w:val="3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2"/>
  </w:num>
  <w:num w:numId="12">
    <w:abstractNumId w:val="2"/>
  </w:num>
  <w:num w:numId="13">
    <w:abstractNumId w:val="9"/>
  </w:num>
  <w:num w:numId="14">
    <w:abstractNumId w:val="14"/>
  </w:num>
  <w:num w:numId="15">
    <w:abstractNumId w:val="7"/>
  </w:num>
  <w:num w:numId="16">
    <w:abstractNumId w:val="33"/>
  </w:num>
  <w:num w:numId="17">
    <w:abstractNumId w:val="5"/>
  </w:num>
  <w:num w:numId="18">
    <w:abstractNumId w:val="2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1"/>
  </w:num>
  <w:num w:numId="22">
    <w:abstractNumId w:val="13"/>
  </w:num>
  <w:num w:numId="23">
    <w:abstractNumId w:val="30"/>
  </w:num>
  <w:num w:numId="24">
    <w:abstractNumId w:val="4"/>
  </w:num>
  <w:num w:numId="25">
    <w:abstractNumId w:val="25"/>
  </w:num>
  <w:num w:numId="26">
    <w:abstractNumId w:val="26"/>
  </w:num>
  <w:num w:numId="27">
    <w:abstractNumId w:val="0"/>
  </w:num>
  <w:num w:numId="28">
    <w:abstractNumId w:val="21"/>
  </w:num>
  <w:num w:numId="29">
    <w:abstractNumId w:val="28"/>
  </w:num>
  <w:num w:numId="30">
    <w:abstractNumId w:val="15"/>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7"/>
  </w:num>
  <w:num w:numId="37">
    <w:abstractNumId w:val="11"/>
  </w:num>
  <w:num w:numId="38">
    <w:abstractNumId w:val="11"/>
  </w:num>
  <w:num w:numId="39">
    <w:abstractNumId w:val="11"/>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6"/>
  </w:num>
  <w:num w:numId="43">
    <w:abstractNumId w:val="11"/>
  </w:num>
  <w:num w:numId="44">
    <w:abstractNumId w:val="11"/>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4"/>
  </w:num>
  <w:num w:numId="48">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attachedTemplate r:id="rId1"/>
  <w:defaultTabStop w:val="397"/>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F9"/>
    <w:rsid w:val="00000792"/>
    <w:rsid w:val="00000F04"/>
    <w:rsid w:val="00002467"/>
    <w:rsid w:val="000026AA"/>
    <w:rsid w:val="00003C4F"/>
    <w:rsid w:val="0000431A"/>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145A"/>
    <w:rsid w:val="00011D6D"/>
    <w:rsid w:val="00012386"/>
    <w:rsid w:val="00012555"/>
    <w:rsid w:val="00012D4B"/>
    <w:rsid w:val="0001358C"/>
    <w:rsid w:val="00014236"/>
    <w:rsid w:val="000148F6"/>
    <w:rsid w:val="00015217"/>
    <w:rsid w:val="000159D2"/>
    <w:rsid w:val="00016264"/>
    <w:rsid w:val="00016993"/>
    <w:rsid w:val="00016C02"/>
    <w:rsid w:val="00016CAB"/>
    <w:rsid w:val="00016E5B"/>
    <w:rsid w:val="0001749B"/>
    <w:rsid w:val="00017D75"/>
    <w:rsid w:val="00017FE5"/>
    <w:rsid w:val="00020525"/>
    <w:rsid w:val="00021910"/>
    <w:rsid w:val="00021E6F"/>
    <w:rsid w:val="00022E8D"/>
    <w:rsid w:val="00022F30"/>
    <w:rsid w:val="0002348A"/>
    <w:rsid w:val="00023C29"/>
    <w:rsid w:val="00024708"/>
    <w:rsid w:val="00024EE7"/>
    <w:rsid w:val="00025C5C"/>
    <w:rsid w:val="00025F96"/>
    <w:rsid w:val="00025FAB"/>
    <w:rsid w:val="00026E89"/>
    <w:rsid w:val="000275A3"/>
    <w:rsid w:val="00030558"/>
    <w:rsid w:val="00030699"/>
    <w:rsid w:val="00030725"/>
    <w:rsid w:val="00030DB8"/>
    <w:rsid w:val="00030E80"/>
    <w:rsid w:val="00031A83"/>
    <w:rsid w:val="0003213A"/>
    <w:rsid w:val="00032A81"/>
    <w:rsid w:val="000335F3"/>
    <w:rsid w:val="00033852"/>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31E3"/>
    <w:rsid w:val="00044A50"/>
    <w:rsid w:val="00044C65"/>
    <w:rsid w:val="000458C7"/>
    <w:rsid w:val="00045991"/>
    <w:rsid w:val="00045E5C"/>
    <w:rsid w:val="00046288"/>
    <w:rsid w:val="000470A6"/>
    <w:rsid w:val="00047941"/>
    <w:rsid w:val="00047C02"/>
    <w:rsid w:val="00050A22"/>
    <w:rsid w:val="00050E27"/>
    <w:rsid w:val="0005144F"/>
    <w:rsid w:val="00051AF1"/>
    <w:rsid w:val="00051D42"/>
    <w:rsid w:val="0005315A"/>
    <w:rsid w:val="000538A1"/>
    <w:rsid w:val="00053DDA"/>
    <w:rsid w:val="000543AA"/>
    <w:rsid w:val="000547B9"/>
    <w:rsid w:val="00054929"/>
    <w:rsid w:val="00055375"/>
    <w:rsid w:val="00055996"/>
    <w:rsid w:val="00056319"/>
    <w:rsid w:val="000564E7"/>
    <w:rsid w:val="00056770"/>
    <w:rsid w:val="00057386"/>
    <w:rsid w:val="00057EEF"/>
    <w:rsid w:val="000619CB"/>
    <w:rsid w:val="00062387"/>
    <w:rsid w:val="0006278D"/>
    <w:rsid w:val="000628EF"/>
    <w:rsid w:val="000632C6"/>
    <w:rsid w:val="000640F0"/>
    <w:rsid w:val="0006434D"/>
    <w:rsid w:val="000643A1"/>
    <w:rsid w:val="00064679"/>
    <w:rsid w:val="00064A13"/>
    <w:rsid w:val="00064AF4"/>
    <w:rsid w:val="00064DB1"/>
    <w:rsid w:val="00065BA3"/>
    <w:rsid w:val="00065D3B"/>
    <w:rsid w:val="000660DC"/>
    <w:rsid w:val="000667E9"/>
    <w:rsid w:val="00067128"/>
    <w:rsid w:val="000675CD"/>
    <w:rsid w:val="00067872"/>
    <w:rsid w:val="000678AC"/>
    <w:rsid w:val="000703B2"/>
    <w:rsid w:val="000706AC"/>
    <w:rsid w:val="00070FBF"/>
    <w:rsid w:val="000711EE"/>
    <w:rsid w:val="0007180E"/>
    <w:rsid w:val="00071AE4"/>
    <w:rsid w:val="00071CB5"/>
    <w:rsid w:val="00071CCB"/>
    <w:rsid w:val="00071D03"/>
    <w:rsid w:val="0007232B"/>
    <w:rsid w:val="000735A2"/>
    <w:rsid w:val="00074A22"/>
    <w:rsid w:val="0007517E"/>
    <w:rsid w:val="00075310"/>
    <w:rsid w:val="00075FE1"/>
    <w:rsid w:val="00076667"/>
    <w:rsid w:val="00077473"/>
    <w:rsid w:val="00077481"/>
    <w:rsid w:val="000776F9"/>
    <w:rsid w:val="00077EE0"/>
    <w:rsid w:val="000802F9"/>
    <w:rsid w:val="0008145A"/>
    <w:rsid w:val="0008162D"/>
    <w:rsid w:val="000831C8"/>
    <w:rsid w:val="000839DD"/>
    <w:rsid w:val="00083F5E"/>
    <w:rsid w:val="000848BF"/>
    <w:rsid w:val="00084FDB"/>
    <w:rsid w:val="0008505C"/>
    <w:rsid w:val="00085C46"/>
    <w:rsid w:val="0008686A"/>
    <w:rsid w:val="00087175"/>
    <w:rsid w:val="00087CC8"/>
    <w:rsid w:val="00087D35"/>
    <w:rsid w:val="00091796"/>
    <w:rsid w:val="00091BA2"/>
    <w:rsid w:val="00091CB0"/>
    <w:rsid w:val="00094344"/>
    <w:rsid w:val="00094B96"/>
    <w:rsid w:val="000953C6"/>
    <w:rsid w:val="000953F4"/>
    <w:rsid w:val="000957B2"/>
    <w:rsid w:val="0009590C"/>
    <w:rsid w:val="000959E7"/>
    <w:rsid w:val="00095E7D"/>
    <w:rsid w:val="000964DE"/>
    <w:rsid w:val="000966CA"/>
    <w:rsid w:val="000972AB"/>
    <w:rsid w:val="00097B40"/>
    <w:rsid w:val="00097D0E"/>
    <w:rsid w:val="000A17EA"/>
    <w:rsid w:val="000A1C7A"/>
    <w:rsid w:val="000A2345"/>
    <w:rsid w:val="000A2394"/>
    <w:rsid w:val="000A2C7D"/>
    <w:rsid w:val="000A31C1"/>
    <w:rsid w:val="000A32C5"/>
    <w:rsid w:val="000A3411"/>
    <w:rsid w:val="000A34CA"/>
    <w:rsid w:val="000A426F"/>
    <w:rsid w:val="000A4559"/>
    <w:rsid w:val="000A45FD"/>
    <w:rsid w:val="000A477B"/>
    <w:rsid w:val="000A4796"/>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1DEA"/>
    <w:rsid w:val="000B2240"/>
    <w:rsid w:val="000B2477"/>
    <w:rsid w:val="000B2600"/>
    <w:rsid w:val="000B2E85"/>
    <w:rsid w:val="000B36F9"/>
    <w:rsid w:val="000B3AA4"/>
    <w:rsid w:val="000B4074"/>
    <w:rsid w:val="000B4732"/>
    <w:rsid w:val="000B4BCD"/>
    <w:rsid w:val="000B66DC"/>
    <w:rsid w:val="000B6D1F"/>
    <w:rsid w:val="000C062F"/>
    <w:rsid w:val="000C0A61"/>
    <w:rsid w:val="000C17E7"/>
    <w:rsid w:val="000C2F25"/>
    <w:rsid w:val="000C3008"/>
    <w:rsid w:val="000C3270"/>
    <w:rsid w:val="000C3A90"/>
    <w:rsid w:val="000C4D1E"/>
    <w:rsid w:val="000C577E"/>
    <w:rsid w:val="000C5FC5"/>
    <w:rsid w:val="000C64D4"/>
    <w:rsid w:val="000C68FE"/>
    <w:rsid w:val="000C7100"/>
    <w:rsid w:val="000C755A"/>
    <w:rsid w:val="000D04BA"/>
    <w:rsid w:val="000D0B6E"/>
    <w:rsid w:val="000D0D65"/>
    <w:rsid w:val="000D12C3"/>
    <w:rsid w:val="000D12E0"/>
    <w:rsid w:val="000D1944"/>
    <w:rsid w:val="000D1DD9"/>
    <w:rsid w:val="000D2172"/>
    <w:rsid w:val="000D293C"/>
    <w:rsid w:val="000D2BC1"/>
    <w:rsid w:val="000D337B"/>
    <w:rsid w:val="000D37DA"/>
    <w:rsid w:val="000D385A"/>
    <w:rsid w:val="000D38C2"/>
    <w:rsid w:val="000D3CA7"/>
    <w:rsid w:val="000D4C7E"/>
    <w:rsid w:val="000D5B16"/>
    <w:rsid w:val="000D5FD6"/>
    <w:rsid w:val="000D6201"/>
    <w:rsid w:val="000D6488"/>
    <w:rsid w:val="000D6CB5"/>
    <w:rsid w:val="000D7088"/>
    <w:rsid w:val="000D7300"/>
    <w:rsid w:val="000D770B"/>
    <w:rsid w:val="000D788E"/>
    <w:rsid w:val="000E12B0"/>
    <w:rsid w:val="000E1303"/>
    <w:rsid w:val="000E1BC8"/>
    <w:rsid w:val="000E1D32"/>
    <w:rsid w:val="000E26D8"/>
    <w:rsid w:val="000E2B94"/>
    <w:rsid w:val="000E3156"/>
    <w:rsid w:val="000E340A"/>
    <w:rsid w:val="000E35B6"/>
    <w:rsid w:val="000E3BB8"/>
    <w:rsid w:val="000E3D5C"/>
    <w:rsid w:val="000E3D9B"/>
    <w:rsid w:val="000E3DFD"/>
    <w:rsid w:val="000E4261"/>
    <w:rsid w:val="000E4697"/>
    <w:rsid w:val="000E5123"/>
    <w:rsid w:val="000E58C5"/>
    <w:rsid w:val="000E6203"/>
    <w:rsid w:val="000E6248"/>
    <w:rsid w:val="000E64CB"/>
    <w:rsid w:val="000E722C"/>
    <w:rsid w:val="000E750D"/>
    <w:rsid w:val="000E755B"/>
    <w:rsid w:val="000E786F"/>
    <w:rsid w:val="000E7DA7"/>
    <w:rsid w:val="000E7FA0"/>
    <w:rsid w:val="000F00BA"/>
    <w:rsid w:val="000F02F8"/>
    <w:rsid w:val="000F0409"/>
    <w:rsid w:val="000F049F"/>
    <w:rsid w:val="000F0642"/>
    <w:rsid w:val="000F07FA"/>
    <w:rsid w:val="000F0B5E"/>
    <w:rsid w:val="000F1770"/>
    <w:rsid w:val="000F1D43"/>
    <w:rsid w:val="000F1FFF"/>
    <w:rsid w:val="000F20AA"/>
    <w:rsid w:val="000F2651"/>
    <w:rsid w:val="000F273B"/>
    <w:rsid w:val="000F348D"/>
    <w:rsid w:val="000F369A"/>
    <w:rsid w:val="000F3722"/>
    <w:rsid w:val="000F3B4B"/>
    <w:rsid w:val="000F3F7C"/>
    <w:rsid w:val="000F4463"/>
    <w:rsid w:val="000F4B43"/>
    <w:rsid w:val="000F5285"/>
    <w:rsid w:val="000F52E0"/>
    <w:rsid w:val="000F53A9"/>
    <w:rsid w:val="000F6464"/>
    <w:rsid w:val="000F64DE"/>
    <w:rsid w:val="000F6628"/>
    <w:rsid w:val="000F6C25"/>
    <w:rsid w:val="000F76EB"/>
    <w:rsid w:val="000F78AE"/>
    <w:rsid w:val="000F7BA7"/>
    <w:rsid w:val="000F7C36"/>
    <w:rsid w:val="000F7E25"/>
    <w:rsid w:val="0010046D"/>
    <w:rsid w:val="001007D5"/>
    <w:rsid w:val="001007EE"/>
    <w:rsid w:val="00100F76"/>
    <w:rsid w:val="00101019"/>
    <w:rsid w:val="00101379"/>
    <w:rsid w:val="0010148E"/>
    <w:rsid w:val="0010253C"/>
    <w:rsid w:val="00102630"/>
    <w:rsid w:val="00102BD1"/>
    <w:rsid w:val="0010486A"/>
    <w:rsid w:val="00104CE5"/>
    <w:rsid w:val="00104E70"/>
    <w:rsid w:val="00105368"/>
    <w:rsid w:val="00105599"/>
    <w:rsid w:val="0010561C"/>
    <w:rsid w:val="00105C0F"/>
    <w:rsid w:val="00105E39"/>
    <w:rsid w:val="00106561"/>
    <w:rsid w:val="00106D63"/>
    <w:rsid w:val="00106EB7"/>
    <w:rsid w:val="001075F3"/>
    <w:rsid w:val="00107A01"/>
    <w:rsid w:val="00107C23"/>
    <w:rsid w:val="00110307"/>
    <w:rsid w:val="00110C7F"/>
    <w:rsid w:val="00110EE2"/>
    <w:rsid w:val="00111A88"/>
    <w:rsid w:val="0011221A"/>
    <w:rsid w:val="001127AB"/>
    <w:rsid w:val="00113283"/>
    <w:rsid w:val="001132AB"/>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4E85"/>
    <w:rsid w:val="0012517D"/>
    <w:rsid w:val="00125C75"/>
    <w:rsid w:val="00125C7E"/>
    <w:rsid w:val="00125F78"/>
    <w:rsid w:val="00127945"/>
    <w:rsid w:val="00127D94"/>
    <w:rsid w:val="00127E90"/>
    <w:rsid w:val="001302C1"/>
    <w:rsid w:val="001306D3"/>
    <w:rsid w:val="001310BF"/>
    <w:rsid w:val="00132DC4"/>
    <w:rsid w:val="001330D8"/>
    <w:rsid w:val="00133C8F"/>
    <w:rsid w:val="00133E73"/>
    <w:rsid w:val="00133FDB"/>
    <w:rsid w:val="0013420E"/>
    <w:rsid w:val="00134F4A"/>
    <w:rsid w:val="00135E4E"/>
    <w:rsid w:val="00136246"/>
    <w:rsid w:val="001364D4"/>
    <w:rsid w:val="001368A8"/>
    <w:rsid w:val="001371C8"/>
    <w:rsid w:val="001372ED"/>
    <w:rsid w:val="00141BED"/>
    <w:rsid w:val="00142B50"/>
    <w:rsid w:val="001437FD"/>
    <w:rsid w:val="00143873"/>
    <w:rsid w:val="001439E9"/>
    <w:rsid w:val="00143C55"/>
    <w:rsid w:val="0014486A"/>
    <w:rsid w:val="00144B4A"/>
    <w:rsid w:val="00144C6F"/>
    <w:rsid w:val="00144F80"/>
    <w:rsid w:val="00145089"/>
    <w:rsid w:val="001451E7"/>
    <w:rsid w:val="0014543B"/>
    <w:rsid w:val="00145FC7"/>
    <w:rsid w:val="001462E3"/>
    <w:rsid w:val="0014720C"/>
    <w:rsid w:val="001472C2"/>
    <w:rsid w:val="0014737B"/>
    <w:rsid w:val="00147458"/>
    <w:rsid w:val="001474C4"/>
    <w:rsid w:val="00147B85"/>
    <w:rsid w:val="00147E21"/>
    <w:rsid w:val="00150BA8"/>
    <w:rsid w:val="00150D19"/>
    <w:rsid w:val="00150EB6"/>
    <w:rsid w:val="0015181B"/>
    <w:rsid w:val="00151A9F"/>
    <w:rsid w:val="00151D80"/>
    <w:rsid w:val="00151F10"/>
    <w:rsid w:val="00152B87"/>
    <w:rsid w:val="00153751"/>
    <w:rsid w:val="00153A96"/>
    <w:rsid w:val="00153D1C"/>
    <w:rsid w:val="001543E2"/>
    <w:rsid w:val="00154933"/>
    <w:rsid w:val="00154C87"/>
    <w:rsid w:val="00155B43"/>
    <w:rsid w:val="001565A2"/>
    <w:rsid w:val="001567C3"/>
    <w:rsid w:val="00156A12"/>
    <w:rsid w:val="00156BDF"/>
    <w:rsid w:val="00157B3F"/>
    <w:rsid w:val="00157F8A"/>
    <w:rsid w:val="00160574"/>
    <w:rsid w:val="001605B5"/>
    <w:rsid w:val="00160C3D"/>
    <w:rsid w:val="00161B24"/>
    <w:rsid w:val="00161C41"/>
    <w:rsid w:val="00161DD5"/>
    <w:rsid w:val="001620E1"/>
    <w:rsid w:val="00162976"/>
    <w:rsid w:val="001633A4"/>
    <w:rsid w:val="001634D6"/>
    <w:rsid w:val="0016365C"/>
    <w:rsid w:val="00164213"/>
    <w:rsid w:val="001648DD"/>
    <w:rsid w:val="00164E39"/>
    <w:rsid w:val="00165705"/>
    <w:rsid w:val="00165725"/>
    <w:rsid w:val="00166389"/>
    <w:rsid w:val="00166E03"/>
    <w:rsid w:val="001675AF"/>
    <w:rsid w:val="00167E4C"/>
    <w:rsid w:val="00170AC1"/>
    <w:rsid w:val="001711C4"/>
    <w:rsid w:val="00171449"/>
    <w:rsid w:val="0017197D"/>
    <w:rsid w:val="0017199C"/>
    <w:rsid w:val="00171C7E"/>
    <w:rsid w:val="00171F35"/>
    <w:rsid w:val="00172552"/>
    <w:rsid w:val="00172873"/>
    <w:rsid w:val="0017295A"/>
    <w:rsid w:val="00172CF7"/>
    <w:rsid w:val="0017319E"/>
    <w:rsid w:val="00173A1F"/>
    <w:rsid w:val="00173BC3"/>
    <w:rsid w:val="00173CA8"/>
    <w:rsid w:val="00174128"/>
    <w:rsid w:val="00174718"/>
    <w:rsid w:val="001757EA"/>
    <w:rsid w:val="00175C34"/>
    <w:rsid w:val="00175F9A"/>
    <w:rsid w:val="00176E98"/>
    <w:rsid w:val="00177391"/>
    <w:rsid w:val="00177996"/>
    <w:rsid w:val="00177B89"/>
    <w:rsid w:val="00180A61"/>
    <w:rsid w:val="00180B3F"/>
    <w:rsid w:val="00180C83"/>
    <w:rsid w:val="00180CE5"/>
    <w:rsid w:val="0018175B"/>
    <w:rsid w:val="001820A3"/>
    <w:rsid w:val="001823A7"/>
    <w:rsid w:val="0018332A"/>
    <w:rsid w:val="00183D80"/>
    <w:rsid w:val="001842C8"/>
    <w:rsid w:val="00184DD2"/>
    <w:rsid w:val="00185044"/>
    <w:rsid w:val="001850DB"/>
    <w:rsid w:val="0018599C"/>
    <w:rsid w:val="00185B14"/>
    <w:rsid w:val="001869EE"/>
    <w:rsid w:val="00186AC3"/>
    <w:rsid w:val="00186D00"/>
    <w:rsid w:val="0018743A"/>
    <w:rsid w:val="00190A32"/>
    <w:rsid w:val="00190A57"/>
    <w:rsid w:val="00190B3F"/>
    <w:rsid w:val="0019122C"/>
    <w:rsid w:val="00191908"/>
    <w:rsid w:val="0019257A"/>
    <w:rsid w:val="00192A7E"/>
    <w:rsid w:val="00192DF3"/>
    <w:rsid w:val="0019301F"/>
    <w:rsid w:val="00193286"/>
    <w:rsid w:val="001937B8"/>
    <w:rsid w:val="00194BB7"/>
    <w:rsid w:val="00194CC5"/>
    <w:rsid w:val="001951B2"/>
    <w:rsid w:val="0019565D"/>
    <w:rsid w:val="00196783"/>
    <w:rsid w:val="00197564"/>
    <w:rsid w:val="00197EC2"/>
    <w:rsid w:val="00197ECE"/>
    <w:rsid w:val="001A0C45"/>
    <w:rsid w:val="001A1CED"/>
    <w:rsid w:val="001A279B"/>
    <w:rsid w:val="001A2DC3"/>
    <w:rsid w:val="001A2E87"/>
    <w:rsid w:val="001A3869"/>
    <w:rsid w:val="001A38C2"/>
    <w:rsid w:val="001A4342"/>
    <w:rsid w:val="001A5090"/>
    <w:rsid w:val="001A65C8"/>
    <w:rsid w:val="001A69A7"/>
    <w:rsid w:val="001A732E"/>
    <w:rsid w:val="001A73A2"/>
    <w:rsid w:val="001A77AE"/>
    <w:rsid w:val="001A7871"/>
    <w:rsid w:val="001A7F30"/>
    <w:rsid w:val="001B06E2"/>
    <w:rsid w:val="001B103A"/>
    <w:rsid w:val="001B103D"/>
    <w:rsid w:val="001B1513"/>
    <w:rsid w:val="001B1767"/>
    <w:rsid w:val="001B2283"/>
    <w:rsid w:val="001B2453"/>
    <w:rsid w:val="001B2B91"/>
    <w:rsid w:val="001B3D48"/>
    <w:rsid w:val="001B486B"/>
    <w:rsid w:val="001B5AF9"/>
    <w:rsid w:val="001B6600"/>
    <w:rsid w:val="001B6B9B"/>
    <w:rsid w:val="001B6C27"/>
    <w:rsid w:val="001B7144"/>
    <w:rsid w:val="001B7E91"/>
    <w:rsid w:val="001B7EC0"/>
    <w:rsid w:val="001C0850"/>
    <w:rsid w:val="001C147E"/>
    <w:rsid w:val="001C151B"/>
    <w:rsid w:val="001C19E5"/>
    <w:rsid w:val="001C28B4"/>
    <w:rsid w:val="001C3255"/>
    <w:rsid w:val="001C3800"/>
    <w:rsid w:val="001C3C7B"/>
    <w:rsid w:val="001C6122"/>
    <w:rsid w:val="001C6587"/>
    <w:rsid w:val="001C69BE"/>
    <w:rsid w:val="001C6B6C"/>
    <w:rsid w:val="001C6DB5"/>
    <w:rsid w:val="001C6E01"/>
    <w:rsid w:val="001C71AC"/>
    <w:rsid w:val="001C7316"/>
    <w:rsid w:val="001C7E5C"/>
    <w:rsid w:val="001D00CC"/>
    <w:rsid w:val="001D03B8"/>
    <w:rsid w:val="001D0484"/>
    <w:rsid w:val="001D0494"/>
    <w:rsid w:val="001D062C"/>
    <w:rsid w:val="001D07B7"/>
    <w:rsid w:val="001D1719"/>
    <w:rsid w:val="001D171B"/>
    <w:rsid w:val="001D1732"/>
    <w:rsid w:val="001D177F"/>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C42"/>
    <w:rsid w:val="001E2ECB"/>
    <w:rsid w:val="001E31AD"/>
    <w:rsid w:val="001E35B4"/>
    <w:rsid w:val="001E41C3"/>
    <w:rsid w:val="001E482F"/>
    <w:rsid w:val="001E4B64"/>
    <w:rsid w:val="001E552A"/>
    <w:rsid w:val="001E57B9"/>
    <w:rsid w:val="001E5ED6"/>
    <w:rsid w:val="001E5EDE"/>
    <w:rsid w:val="001E653B"/>
    <w:rsid w:val="001E6E8D"/>
    <w:rsid w:val="001E7EE4"/>
    <w:rsid w:val="001E7F76"/>
    <w:rsid w:val="001F0FAF"/>
    <w:rsid w:val="001F139F"/>
    <w:rsid w:val="001F1F7A"/>
    <w:rsid w:val="001F2805"/>
    <w:rsid w:val="001F2E79"/>
    <w:rsid w:val="001F2F07"/>
    <w:rsid w:val="001F2FBD"/>
    <w:rsid w:val="001F3123"/>
    <w:rsid w:val="001F376D"/>
    <w:rsid w:val="001F3896"/>
    <w:rsid w:val="001F3A15"/>
    <w:rsid w:val="001F418C"/>
    <w:rsid w:val="001F44DE"/>
    <w:rsid w:val="001F4B2D"/>
    <w:rsid w:val="001F4F10"/>
    <w:rsid w:val="001F4F40"/>
    <w:rsid w:val="001F50E0"/>
    <w:rsid w:val="001F594C"/>
    <w:rsid w:val="001F5B6F"/>
    <w:rsid w:val="001F69FC"/>
    <w:rsid w:val="001F6D62"/>
    <w:rsid w:val="001F6ED1"/>
    <w:rsid w:val="001F7675"/>
    <w:rsid w:val="001F76D7"/>
    <w:rsid w:val="002006ED"/>
    <w:rsid w:val="00200FAE"/>
    <w:rsid w:val="0020102D"/>
    <w:rsid w:val="002010E2"/>
    <w:rsid w:val="00201601"/>
    <w:rsid w:val="00201767"/>
    <w:rsid w:val="00201B73"/>
    <w:rsid w:val="00202517"/>
    <w:rsid w:val="00202ADB"/>
    <w:rsid w:val="00202BB7"/>
    <w:rsid w:val="0020435B"/>
    <w:rsid w:val="00204533"/>
    <w:rsid w:val="00204F2D"/>
    <w:rsid w:val="002053AE"/>
    <w:rsid w:val="00205566"/>
    <w:rsid w:val="002063AA"/>
    <w:rsid w:val="00207010"/>
    <w:rsid w:val="00210549"/>
    <w:rsid w:val="0021069E"/>
    <w:rsid w:val="002107DD"/>
    <w:rsid w:val="002107EA"/>
    <w:rsid w:val="00210804"/>
    <w:rsid w:val="0021088F"/>
    <w:rsid w:val="002111F5"/>
    <w:rsid w:val="002113FE"/>
    <w:rsid w:val="00211737"/>
    <w:rsid w:val="0021181B"/>
    <w:rsid w:val="0021230F"/>
    <w:rsid w:val="002125B0"/>
    <w:rsid w:val="00212A82"/>
    <w:rsid w:val="00214BC9"/>
    <w:rsid w:val="00214EA2"/>
    <w:rsid w:val="00215ADF"/>
    <w:rsid w:val="002160FA"/>
    <w:rsid w:val="002166DD"/>
    <w:rsid w:val="002168A2"/>
    <w:rsid w:val="00216DB3"/>
    <w:rsid w:val="00217867"/>
    <w:rsid w:val="00217BB0"/>
    <w:rsid w:val="002201EA"/>
    <w:rsid w:val="0022043D"/>
    <w:rsid w:val="002205E4"/>
    <w:rsid w:val="00220BC1"/>
    <w:rsid w:val="00220CC9"/>
    <w:rsid w:val="00220D67"/>
    <w:rsid w:val="002211FA"/>
    <w:rsid w:val="002215F8"/>
    <w:rsid w:val="00221F80"/>
    <w:rsid w:val="0022273A"/>
    <w:rsid w:val="00222D28"/>
    <w:rsid w:val="00223CF4"/>
    <w:rsid w:val="00224220"/>
    <w:rsid w:val="00224398"/>
    <w:rsid w:val="00224A81"/>
    <w:rsid w:val="00224E91"/>
    <w:rsid w:val="00225121"/>
    <w:rsid w:val="00225B4C"/>
    <w:rsid w:val="00225E1E"/>
    <w:rsid w:val="00226129"/>
    <w:rsid w:val="0022614D"/>
    <w:rsid w:val="0022627E"/>
    <w:rsid w:val="00226AA2"/>
    <w:rsid w:val="00227218"/>
    <w:rsid w:val="0022770A"/>
    <w:rsid w:val="00227BEE"/>
    <w:rsid w:val="00227FB4"/>
    <w:rsid w:val="002302C0"/>
    <w:rsid w:val="0023057E"/>
    <w:rsid w:val="00230936"/>
    <w:rsid w:val="00230D73"/>
    <w:rsid w:val="00231122"/>
    <w:rsid w:val="002312BC"/>
    <w:rsid w:val="002337E5"/>
    <w:rsid w:val="00233C06"/>
    <w:rsid w:val="00233F24"/>
    <w:rsid w:val="00234BBB"/>
    <w:rsid w:val="002356F4"/>
    <w:rsid w:val="00235A5C"/>
    <w:rsid w:val="00235F02"/>
    <w:rsid w:val="00236130"/>
    <w:rsid w:val="0023652D"/>
    <w:rsid w:val="00236D28"/>
    <w:rsid w:val="00237648"/>
    <w:rsid w:val="00237685"/>
    <w:rsid w:val="00237699"/>
    <w:rsid w:val="00237FE4"/>
    <w:rsid w:val="0024028D"/>
    <w:rsid w:val="00240295"/>
    <w:rsid w:val="00240656"/>
    <w:rsid w:val="00240C5E"/>
    <w:rsid w:val="00241610"/>
    <w:rsid w:val="00241AED"/>
    <w:rsid w:val="00242122"/>
    <w:rsid w:val="002422EF"/>
    <w:rsid w:val="00243182"/>
    <w:rsid w:val="002431D1"/>
    <w:rsid w:val="002435F5"/>
    <w:rsid w:val="002436C6"/>
    <w:rsid w:val="00243928"/>
    <w:rsid w:val="00243946"/>
    <w:rsid w:val="00243BC5"/>
    <w:rsid w:val="00243C7D"/>
    <w:rsid w:val="00243E9A"/>
    <w:rsid w:val="00244371"/>
    <w:rsid w:val="00244749"/>
    <w:rsid w:val="00244AF8"/>
    <w:rsid w:val="00244BC5"/>
    <w:rsid w:val="00244E68"/>
    <w:rsid w:val="0024554B"/>
    <w:rsid w:val="002456C5"/>
    <w:rsid w:val="00245ABE"/>
    <w:rsid w:val="00245C0B"/>
    <w:rsid w:val="00246D81"/>
    <w:rsid w:val="00246EAE"/>
    <w:rsid w:val="00247116"/>
    <w:rsid w:val="002471E5"/>
    <w:rsid w:val="00247ED7"/>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85C"/>
    <w:rsid w:val="00262AD3"/>
    <w:rsid w:val="00262D20"/>
    <w:rsid w:val="00262E39"/>
    <w:rsid w:val="002634AB"/>
    <w:rsid w:val="00263627"/>
    <w:rsid w:val="002638E0"/>
    <w:rsid w:val="00263C19"/>
    <w:rsid w:val="00263E9F"/>
    <w:rsid w:val="00264024"/>
    <w:rsid w:val="00264F03"/>
    <w:rsid w:val="00264F8F"/>
    <w:rsid w:val="002655AE"/>
    <w:rsid w:val="002655E8"/>
    <w:rsid w:val="0026591F"/>
    <w:rsid w:val="00265A65"/>
    <w:rsid w:val="002660F0"/>
    <w:rsid w:val="002675B6"/>
    <w:rsid w:val="00267A99"/>
    <w:rsid w:val="00267CD0"/>
    <w:rsid w:val="00270271"/>
    <w:rsid w:val="0027100D"/>
    <w:rsid w:val="00272174"/>
    <w:rsid w:val="002721A6"/>
    <w:rsid w:val="002722E0"/>
    <w:rsid w:val="002730EC"/>
    <w:rsid w:val="00273100"/>
    <w:rsid w:val="0027333F"/>
    <w:rsid w:val="002735CC"/>
    <w:rsid w:val="00274588"/>
    <w:rsid w:val="00274A67"/>
    <w:rsid w:val="00274AA2"/>
    <w:rsid w:val="002756EF"/>
    <w:rsid w:val="00275708"/>
    <w:rsid w:val="002768CF"/>
    <w:rsid w:val="00276F82"/>
    <w:rsid w:val="002805DF"/>
    <w:rsid w:val="0028092D"/>
    <w:rsid w:val="002815D9"/>
    <w:rsid w:val="00281C50"/>
    <w:rsid w:val="00282317"/>
    <w:rsid w:val="00282D25"/>
    <w:rsid w:val="00282DF9"/>
    <w:rsid w:val="002830CB"/>
    <w:rsid w:val="00283A44"/>
    <w:rsid w:val="00283FCA"/>
    <w:rsid w:val="0028529F"/>
    <w:rsid w:val="002855C0"/>
    <w:rsid w:val="00285687"/>
    <w:rsid w:val="00285C8A"/>
    <w:rsid w:val="00287649"/>
    <w:rsid w:val="00287DAB"/>
    <w:rsid w:val="00287FB6"/>
    <w:rsid w:val="002900C5"/>
    <w:rsid w:val="002901E0"/>
    <w:rsid w:val="0029075B"/>
    <w:rsid w:val="00290BB1"/>
    <w:rsid w:val="00291613"/>
    <w:rsid w:val="00291BC1"/>
    <w:rsid w:val="00291F84"/>
    <w:rsid w:val="002933CA"/>
    <w:rsid w:val="00293A8F"/>
    <w:rsid w:val="00295155"/>
    <w:rsid w:val="0029557C"/>
    <w:rsid w:val="00295D51"/>
    <w:rsid w:val="00296203"/>
    <w:rsid w:val="002962E9"/>
    <w:rsid w:val="00296428"/>
    <w:rsid w:val="0029643D"/>
    <w:rsid w:val="00296BDA"/>
    <w:rsid w:val="0029706A"/>
    <w:rsid w:val="002972EE"/>
    <w:rsid w:val="00297F01"/>
    <w:rsid w:val="002A052D"/>
    <w:rsid w:val="002A0DF8"/>
    <w:rsid w:val="002A10C1"/>
    <w:rsid w:val="002A18D7"/>
    <w:rsid w:val="002A1928"/>
    <w:rsid w:val="002A1B1A"/>
    <w:rsid w:val="002A1F1F"/>
    <w:rsid w:val="002A21B5"/>
    <w:rsid w:val="002A2631"/>
    <w:rsid w:val="002A2A0C"/>
    <w:rsid w:val="002A2BB6"/>
    <w:rsid w:val="002A30E0"/>
    <w:rsid w:val="002A310C"/>
    <w:rsid w:val="002A3521"/>
    <w:rsid w:val="002A35C5"/>
    <w:rsid w:val="002A37E1"/>
    <w:rsid w:val="002A3B61"/>
    <w:rsid w:val="002A402A"/>
    <w:rsid w:val="002A4409"/>
    <w:rsid w:val="002A45AA"/>
    <w:rsid w:val="002A4B0B"/>
    <w:rsid w:val="002A4B6F"/>
    <w:rsid w:val="002A4FFF"/>
    <w:rsid w:val="002A533C"/>
    <w:rsid w:val="002A56E1"/>
    <w:rsid w:val="002A5844"/>
    <w:rsid w:val="002A59BD"/>
    <w:rsid w:val="002A75CA"/>
    <w:rsid w:val="002A7889"/>
    <w:rsid w:val="002A799A"/>
    <w:rsid w:val="002B007D"/>
    <w:rsid w:val="002B065D"/>
    <w:rsid w:val="002B097D"/>
    <w:rsid w:val="002B11B2"/>
    <w:rsid w:val="002B18F7"/>
    <w:rsid w:val="002B3C73"/>
    <w:rsid w:val="002B3ED7"/>
    <w:rsid w:val="002B4416"/>
    <w:rsid w:val="002B4778"/>
    <w:rsid w:val="002B5CAF"/>
    <w:rsid w:val="002B75B2"/>
    <w:rsid w:val="002B79B7"/>
    <w:rsid w:val="002B7C62"/>
    <w:rsid w:val="002C0361"/>
    <w:rsid w:val="002C141D"/>
    <w:rsid w:val="002C19C0"/>
    <w:rsid w:val="002C2485"/>
    <w:rsid w:val="002C25E0"/>
    <w:rsid w:val="002C29FF"/>
    <w:rsid w:val="002C2A2D"/>
    <w:rsid w:val="002C36C0"/>
    <w:rsid w:val="002C3928"/>
    <w:rsid w:val="002C3B33"/>
    <w:rsid w:val="002C435E"/>
    <w:rsid w:val="002C43BB"/>
    <w:rsid w:val="002C44AB"/>
    <w:rsid w:val="002C5BC3"/>
    <w:rsid w:val="002C5E39"/>
    <w:rsid w:val="002C5FA2"/>
    <w:rsid w:val="002C6779"/>
    <w:rsid w:val="002C682A"/>
    <w:rsid w:val="002C7747"/>
    <w:rsid w:val="002C7A02"/>
    <w:rsid w:val="002C7BD4"/>
    <w:rsid w:val="002C7D06"/>
    <w:rsid w:val="002D0107"/>
    <w:rsid w:val="002D062E"/>
    <w:rsid w:val="002D0D43"/>
    <w:rsid w:val="002D15C2"/>
    <w:rsid w:val="002D21B0"/>
    <w:rsid w:val="002D2B10"/>
    <w:rsid w:val="002D2BD2"/>
    <w:rsid w:val="002D386A"/>
    <w:rsid w:val="002D38D8"/>
    <w:rsid w:val="002D3928"/>
    <w:rsid w:val="002D4100"/>
    <w:rsid w:val="002D477F"/>
    <w:rsid w:val="002D4A45"/>
    <w:rsid w:val="002D4C83"/>
    <w:rsid w:val="002D4F48"/>
    <w:rsid w:val="002D519B"/>
    <w:rsid w:val="002D621E"/>
    <w:rsid w:val="002D66DA"/>
    <w:rsid w:val="002D6E1D"/>
    <w:rsid w:val="002D6EDB"/>
    <w:rsid w:val="002D7027"/>
    <w:rsid w:val="002D70DC"/>
    <w:rsid w:val="002D730A"/>
    <w:rsid w:val="002D758B"/>
    <w:rsid w:val="002D79BC"/>
    <w:rsid w:val="002D7E58"/>
    <w:rsid w:val="002E026A"/>
    <w:rsid w:val="002E0D31"/>
    <w:rsid w:val="002E0EFA"/>
    <w:rsid w:val="002E1073"/>
    <w:rsid w:val="002E12EC"/>
    <w:rsid w:val="002E146D"/>
    <w:rsid w:val="002E17A5"/>
    <w:rsid w:val="002E2028"/>
    <w:rsid w:val="002E272B"/>
    <w:rsid w:val="002E29F8"/>
    <w:rsid w:val="002E2C52"/>
    <w:rsid w:val="002E30BF"/>
    <w:rsid w:val="002E342B"/>
    <w:rsid w:val="002E3B81"/>
    <w:rsid w:val="002E3D08"/>
    <w:rsid w:val="002E3E1D"/>
    <w:rsid w:val="002E3EEA"/>
    <w:rsid w:val="002E3FA6"/>
    <w:rsid w:val="002E4D08"/>
    <w:rsid w:val="002E4DA5"/>
    <w:rsid w:val="002E52B8"/>
    <w:rsid w:val="002E5D77"/>
    <w:rsid w:val="002E5DBF"/>
    <w:rsid w:val="002E5E01"/>
    <w:rsid w:val="002E60F5"/>
    <w:rsid w:val="002E6536"/>
    <w:rsid w:val="002E69F5"/>
    <w:rsid w:val="002E6CAA"/>
    <w:rsid w:val="002E73EC"/>
    <w:rsid w:val="002F023D"/>
    <w:rsid w:val="002F0BBC"/>
    <w:rsid w:val="002F10EC"/>
    <w:rsid w:val="002F1136"/>
    <w:rsid w:val="002F1231"/>
    <w:rsid w:val="002F1521"/>
    <w:rsid w:val="002F15EE"/>
    <w:rsid w:val="002F3632"/>
    <w:rsid w:val="002F3AFB"/>
    <w:rsid w:val="002F3C41"/>
    <w:rsid w:val="002F4C8E"/>
    <w:rsid w:val="002F5076"/>
    <w:rsid w:val="002F5839"/>
    <w:rsid w:val="002F5C4E"/>
    <w:rsid w:val="002F64D9"/>
    <w:rsid w:val="002F651D"/>
    <w:rsid w:val="002F6648"/>
    <w:rsid w:val="002F6E44"/>
    <w:rsid w:val="002F74FD"/>
    <w:rsid w:val="002F787B"/>
    <w:rsid w:val="002F7974"/>
    <w:rsid w:val="002F7D01"/>
    <w:rsid w:val="0030005C"/>
    <w:rsid w:val="00300369"/>
    <w:rsid w:val="00300BFB"/>
    <w:rsid w:val="00300DF0"/>
    <w:rsid w:val="00301D0A"/>
    <w:rsid w:val="003027B8"/>
    <w:rsid w:val="0030293F"/>
    <w:rsid w:val="00302947"/>
    <w:rsid w:val="00302C50"/>
    <w:rsid w:val="003031C2"/>
    <w:rsid w:val="00303829"/>
    <w:rsid w:val="00303861"/>
    <w:rsid w:val="00304178"/>
    <w:rsid w:val="00304FFF"/>
    <w:rsid w:val="00305557"/>
    <w:rsid w:val="0030561F"/>
    <w:rsid w:val="00305911"/>
    <w:rsid w:val="00305CA3"/>
    <w:rsid w:val="00306E5C"/>
    <w:rsid w:val="00307C19"/>
    <w:rsid w:val="00310732"/>
    <w:rsid w:val="00310BC9"/>
    <w:rsid w:val="00311762"/>
    <w:rsid w:val="00311E98"/>
    <w:rsid w:val="00312215"/>
    <w:rsid w:val="0031249C"/>
    <w:rsid w:val="003125C3"/>
    <w:rsid w:val="00312896"/>
    <w:rsid w:val="00312B6A"/>
    <w:rsid w:val="00312DAB"/>
    <w:rsid w:val="00313EAC"/>
    <w:rsid w:val="003142F4"/>
    <w:rsid w:val="0031454E"/>
    <w:rsid w:val="0031611F"/>
    <w:rsid w:val="00317300"/>
    <w:rsid w:val="00317A33"/>
    <w:rsid w:val="00320339"/>
    <w:rsid w:val="00321214"/>
    <w:rsid w:val="003213D5"/>
    <w:rsid w:val="0032242A"/>
    <w:rsid w:val="00322C95"/>
    <w:rsid w:val="00323737"/>
    <w:rsid w:val="003239C7"/>
    <w:rsid w:val="00323AD6"/>
    <w:rsid w:val="00323F27"/>
    <w:rsid w:val="003242EF"/>
    <w:rsid w:val="003252E1"/>
    <w:rsid w:val="00325339"/>
    <w:rsid w:val="003255AA"/>
    <w:rsid w:val="0032791B"/>
    <w:rsid w:val="003314B6"/>
    <w:rsid w:val="00331A20"/>
    <w:rsid w:val="00331E65"/>
    <w:rsid w:val="003320C2"/>
    <w:rsid w:val="00333107"/>
    <w:rsid w:val="0033322D"/>
    <w:rsid w:val="0033343B"/>
    <w:rsid w:val="0033393C"/>
    <w:rsid w:val="003357EE"/>
    <w:rsid w:val="00337368"/>
    <w:rsid w:val="003378ED"/>
    <w:rsid w:val="00337B4D"/>
    <w:rsid w:val="00337D5B"/>
    <w:rsid w:val="003407A9"/>
    <w:rsid w:val="00340BA3"/>
    <w:rsid w:val="00340BAF"/>
    <w:rsid w:val="00340C2B"/>
    <w:rsid w:val="00340F9A"/>
    <w:rsid w:val="00341018"/>
    <w:rsid w:val="00341FD3"/>
    <w:rsid w:val="003420D9"/>
    <w:rsid w:val="003423E0"/>
    <w:rsid w:val="00342A8A"/>
    <w:rsid w:val="0034301A"/>
    <w:rsid w:val="003439AA"/>
    <w:rsid w:val="00343C1E"/>
    <w:rsid w:val="00343D0F"/>
    <w:rsid w:val="00343D76"/>
    <w:rsid w:val="00344DFD"/>
    <w:rsid w:val="00344EA3"/>
    <w:rsid w:val="003451D3"/>
    <w:rsid w:val="003463AF"/>
    <w:rsid w:val="00346438"/>
    <w:rsid w:val="00346631"/>
    <w:rsid w:val="00346AAD"/>
    <w:rsid w:val="00346D96"/>
    <w:rsid w:val="0034736A"/>
    <w:rsid w:val="0034747C"/>
    <w:rsid w:val="00347B6C"/>
    <w:rsid w:val="0035151C"/>
    <w:rsid w:val="00351B97"/>
    <w:rsid w:val="00352254"/>
    <w:rsid w:val="003522A3"/>
    <w:rsid w:val="00352391"/>
    <w:rsid w:val="00352A1A"/>
    <w:rsid w:val="00353929"/>
    <w:rsid w:val="00353F9E"/>
    <w:rsid w:val="003540D1"/>
    <w:rsid w:val="003545BF"/>
    <w:rsid w:val="0035586A"/>
    <w:rsid w:val="0035611A"/>
    <w:rsid w:val="00356C3D"/>
    <w:rsid w:val="00357B39"/>
    <w:rsid w:val="00357FA4"/>
    <w:rsid w:val="00360B75"/>
    <w:rsid w:val="0036151C"/>
    <w:rsid w:val="00361829"/>
    <w:rsid w:val="00361A9B"/>
    <w:rsid w:val="0036213D"/>
    <w:rsid w:val="003623D5"/>
    <w:rsid w:val="00362CCF"/>
    <w:rsid w:val="003631DB"/>
    <w:rsid w:val="0036378F"/>
    <w:rsid w:val="00364524"/>
    <w:rsid w:val="00364DCE"/>
    <w:rsid w:val="0036513A"/>
    <w:rsid w:val="00365237"/>
    <w:rsid w:val="00365460"/>
    <w:rsid w:val="0036559C"/>
    <w:rsid w:val="0036587E"/>
    <w:rsid w:val="003660CD"/>
    <w:rsid w:val="00366514"/>
    <w:rsid w:val="00366B08"/>
    <w:rsid w:val="00367215"/>
    <w:rsid w:val="00367496"/>
    <w:rsid w:val="003678BE"/>
    <w:rsid w:val="00367AE3"/>
    <w:rsid w:val="00367FFE"/>
    <w:rsid w:val="003700F8"/>
    <w:rsid w:val="0037031F"/>
    <w:rsid w:val="00370949"/>
    <w:rsid w:val="0037243B"/>
    <w:rsid w:val="0037251C"/>
    <w:rsid w:val="0037272C"/>
    <w:rsid w:val="00372B9A"/>
    <w:rsid w:val="003731BF"/>
    <w:rsid w:val="003735FE"/>
    <w:rsid w:val="003748EA"/>
    <w:rsid w:val="00375287"/>
    <w:rsid w:val="00375791"/>
    <w:rsid w:val="00375826"/>
    <w:rsid w:val="00375994"/>
    <w:rsid w:val="003759BD"/>
    <w:rsid w:val="00375C59"/>
    <w:rsid w:val="00375E05"/>
    <w:rsid w:val="00376BB7"/>
    <w:rsid w:val="00376EEE"/>
    <w:rsid w:val="0037702C"/>
    <w:rsid w:val="00377BA1"/>
    <w:rsid w:val="00377FF0"/>
    <w:rsid w:val="00380616"/>
    <w:rsid w:val="00381022"/>
    <w:rsid w:val="003814B8"/>
    <w:rsid w:val="0038259F"/>
    <w:rsid w:val="00382909"/>
    <w:rsid w:val="00382EE1"/>
    <w:rsid w:val="00383201"/>
    <w:rsid w:val="00384258"/>
    <w:rsid w:val="00384CFF"/>
    <w:rsid w:val="00384E98"/>
    <w:rsid w:val="00385131"/>
    <w:rsid w:val="003853BA"/>
    <w:rsid w:val="00385E34"/>
    <w:rsid w:val="0038620B"/>
    <w:rsid w:val="00386C1E"/>
    <w:rsid w:val="00387647"/>
    <w:rsid w:val="0038791A"/>
    <w:rsid w:val="00390056"/>
    <w:rsid w:val="0039055C"/>
    <w:rsid w:val="00390718"/>
    <w:rsid w:val="00390767"/>
    <w:rsid w:val="00390883"/>
    <w:rsid w:val="00391470"/>
    <w:rsid w:val="0039150F"/>
    <w:rsid w:val="003920C4"/>
    <w:rsid w:val="00392184"/>
    <w:rsid w:val="0039225C"/>
    <w:rsid w:val="00392652"/>
    <w:rsid w:val="00392B41"/>
    <w:rsid w:val="0039456F"/>
    <w:rsid w:val="003945C8"/>
    <w:rsid w:val="0039480D"/>
    <w:rsid w:val="00395446"/>
    <w:rsid w:val="0039562C"/>
    <w:rsid w:val="0039566A"/>
    <w:rsid w:val="00395DBD"/>
    <w:rsid w:val="00396725"/>
    <w:rsid w:val="003971DC"/>
    <w:rsid w:val="00397980"/>
    <w:rsid w:val="00397A28"/>
    <w:rsid w:val="00397CD2"/>
    <w:rsid w:val="00397E94"/>
    <w:rsid w:val="00397F05"/>
    <w:rsid w:val="003A0442"/>
    <w:rsid w:val="003A0899"/>
    <w:rsid w:val="003A1512"/>
    <w:rsid w:val="003A1EB7"/>
    <w:rsid w:val="003A2296"/>
    <w:rsid w:val="003A23F3"/>
    <w:rsid w:val="003A244F"/>
    <w:rsid w:val="003A2D82"/>
    <w:rsid w:val="003A337C"/>
    <w:rsid w:val="003A36DA"/>
    <w:rsid w:val="003A38F1"/>
    <w:rsid w:val="003A3D1B"/>
    <w:rsid w:val="003A3F39"/>
    <w:rsid w:val="003A4296"/>
    <w:rsid w:val="003A4549"/>
    <w:rsid w:val="003A462D"/>
    <w:rsid w:val="003A49B3"/>
    <w:rsid w:val="003A4A04"/>
    <w:rsid w:val="003A55B4"/>
    <w:rsid w:val="003A5A57"/>
    <w:rsid w:val="003A61B6"/>
    <w:rsid w:val="003A623F"/>
    <w:rsid w:val="003A6526"/>
    <w:rsid w:val="003A71AD"/>
    <w:rsid w:val="003A7831"/>
    <w:rsid w:val="003A7D1D"/>
    <w:rsid w:val="003B011A"/>
    <w:rsid w:val="003B1688"/>
    <w:rsid w:val="003B1910"/>
    <w:rsid w:val="003B1FA4"/>
    <w:rsid w:val="003B1FE6"/>
    <w:rsid w:val="003B3106"/>
    <w:rsid w:val="003B36EE"/>
    <w:rsid w:val="003B3974"/>
    <w:rsid w:val="003B39E0"/>
    <w:rsid w:val="003B3DAB"/>
    <w:rsid w:val="003B404D"/>
    <w:rsid w:val="003B4A9A"/>
    <w:rsid w:val="003B4B34"/>
    <w:rsid w:val="003B4CDA"/>
    <w:rsid w:val="003B4F2D"/>
    <w:rsid w:val="003B5BD9"/>
    <w:rsid w:val="003B5C3D"/>
    <w:rsid w:val="003B6358"/>
    <w:rsid w:val="003B64A3"/>
    <w:rsid w:val="003B6D4A"/>
    <w:rsid w:val="003B6DB8"/>
    <w:rsid w:val="003B72B9"/>
    <w:rsid w:val="003C0887"/>
    <w:rsid w:val="003C08AF"/>
    <w:rsid w:val="003C2EDD"/>
    <w:rsid w:val="003C2FC7"/>
    <w:rsid w:val="003C3220"/>
    <w:rsid w:val="003C3A47"/>
    <w:rsid w:val="003C3A79"/>
    <w:rsid w:val="003C3D47"/>
    <w:rsid w:val="003C48F2"/>
    <w:rsid w:val="003C5177"/>
    <w:rsid w:val="003C52B0"/>
    <w:rsid w:val="003C5911"/>
    <w:rsid w:val="003C5CDB"/>
    <w:rsid w:val="003C6050"/>
    <w:rsid w:val="003C6110"/>
    <w:rsid w:val="003C6465"/>
    <w:rsid w:val="003C65E4"/>
    <w:rsid w:val="003C72FC"/>
    <w:rsid w:val="003C7712"/>
    <w:rsid w:val="003C7862"/>
    <w:rsid w:val="003C7B64"/>
    <w:rsid w:val="003C7ECD"/>
    <w:rsid w:val="003D007D"/>
    <w:rsid w:val="003D01A1"/>
    <w:rsid w:val="003D04D6"/>
    <w:rsid w:val="003D04F6"/>
    <w:rsid w:val="003D0796"/>
    <w:rsid w:val="003D1670"/>
    <w:rsid w:val="003D18CC"/>
    <w:rsid w:val="003D33E3"/>
    <w:rsid w:val="003D3583"/>
    <w:rsid w:val="003D391E"/>
    <w:rsid w:val="003D3B6F"/>
    <w:rsid w:val="003D40E8"/>
    <w:rsid w:val="003D455E"/>
    <w:rsid w:val="003D5528"/>
    <w:rsid w:val="003D5785"/>
    <w:rsid w:val="003D5A2D"/>
    <w:rsid w:val="003D5A9D"/>
    <w:rsid w:val="003D62C0"/>
    <w:rsid w:val="003D65F6"/>
    <w:rsid w:val="003D6911"/>
    <w:rsid w:val="003D7090"/>
    <w:rsid w:val="003D7E4B"/>
    <w:rsid w:val="003E0035"/>
    <w:rsid w:val="003E0451"/>
    <w:rsid w:val="003E0C14"/>
    <w:rsid w:val="003E0D6F"/>
    <w:rsid w:val="003E1591"/>
    <w:rsid w:val="003E15A2"/>
    <w:rsid w:val="003E1ACF"/>
    <w:rsid w:val="003E216C"/>
    <w:rsid w:val="003E236E"/>
    <w:rsid w:val="003E259D"/>
    <w:rsid w:val="003E26BA"/>
    <w:rsid w:val="003E2906"/>
    <w:rsid w:val="003E2969"/>
    <w:rsid w:val="003E2C1A"/>
    <w:rsid w:val="003E330F"/>
    <w:rsid w:val="003E3478"/>
    <w:rsid w:val="003E37CE"/>
    <w:rsid w:val="003E3E03"/>
    <w:rsid w:val="003E4D27"/>
    <w:rsid w:val="003E4E74"/>
    <w:rsid w:val="003E56D6"/>
    <w:rsid w:val="003E5F7D"/>
    <w:rsid w:val="003E6520"/>
    <w:rsid w:val="003E67E7"/>
    <w:rsid w:val="003E686C"/>
    <w:rsid w:val="003E6B3C"/>
    <w:rsid w:val="003E6B95"/>
    <w:rsid w:val="003E70FF"/>
    <w:rsid w:val="003E76E5"/>
    <w:rsid w:val="003E7F1B"/>
    <w:rsid w:val="003F012E"/>
    <w:rsid w:val="003F0464"/>
    <w:rsid w:val="003F0A96"/>
    <w:rsid w:val="003F0B41"/>
    <w:rsid w:val="003F0C29"/>
    <w:rsid w:val="003F1E39"/>
    <w:rsid w:val="003F229D"/>
    <w:rsid w:val="003F25F0"/>
    <w:rsid w:val="003F2CC9"/>
    <w:rsid w:val="003F2D5B"/>
    <w:rsid w:val="003F4891"/>
    <w:rsid w:val="003F5AD2"/>
    <w:rsid w:val="003F5CA4"/>
    <w:rsid w:val="003F5EBA"/>
    <w:rsid w:val="003F6D50"/>
    <w:rsid w:val="003F6E52"/>
    <w:rsid w:val="003F7006"/>
    <w:rsid w:val="003F7507"/>
    <w:rsid w:val="003F7C72"/>
    <w:rsid w:val="003F7D10"/>
    <w:rsid w:val="004004D2"/>
    <w:rsid w:val="00401000"/>
    <w:rsid w:val="004016C6"/>
    <w:rsid w:val="0040179A"/>
    <w:rsid w:val="00401856"/>
    <w:rsid w:val="0040198F"/>
    <w:rsid w:val="00401FF3"/>
    <w:rsid w:val="004026A1"/>
    <w:rsid w:val="004028A2"/>
    <w:rsid w:val="00402FEB"/>
    <w:rsid w:val="00403344"/>
    <w:rsid w:val="00403378"/>
    <w:rsid w:val="00403C82"/>
    <w:rsid w:val="00404C44"/>
    <w:rsid w:val="00404EE8"/>
    <w:rsid w:val="0040510D"/>
    <w:rsid w:val="0040512D"/>
    <w:rsid w:val="00405B78"/>
    <w:rsid w:val="0040602F"/>
    <w:rsid w:val="00406AFB"/>
    <w:rsid w:val="00407382"/>
    <w:rsid w:val="0040791B"/>
    <w:rsid w:val="00411958"/>
    <w:rsid w:val="00411B2A"/>
    <w:rsid w:val="00412249"/>
    <w:rsid w:val="004123BE"/>
    <w:rsid w:val="00412973"/>
    <w:rsid w:val="00412A80"/>
    <w:rsid w:val="00412AF7"/>
    <w:rsid w:val="00412D0C"/>
    <w:rsid w:val="00412D42"/>
    <w:rsid w:val="00412DA4"/>
    <w:rsid w:val="00412EB6"/>
    <w:rsid w:val="0041351F"/>
    <w:rsid w:val="004137C8"/>
    <w:rsid w:val="00413BF9"/>
    <w:rsid w:val="00413C25"/>
    <w:rsid w:val="00415531"/>
    <w:rsid w:val="00416330"/>
    <w:rsid w:val="00416955"/>
    <w:rsid w:val="004176C7"/>
    <w:rsid w:val="00417877"/>
    <w:rsid w:val="00417D9F"/>
    <w:rsid w:val="00420229"/>
    <w:rsid w:val="00420BCD"/>
    <w:rsid w:val="00420DBA"/>
    <w:rsid w:val="00421311"/>
    <w:rsid w:val="00422951"/>
    <w:rsid w:val="00422E13"/>
    <w:rsid w:val="0042350F"/>
    <w:rsid w:val="00423599"/>
    <w:rsid w:val="0042384C"/>
    <w:rsid w:val="00423893"/>
    <w:rsid w:val="00423BC9"/>
    <w:rsid w:val="00424DCF"/>
    <w:rsid w:val="004255B4"/>
    <w:rsid w:val="00426766"/>
    <w:rsid w:val="004267D0"/>
    <w:rsid w:val="004279CA"/>
    <w:rsid w:val="00427A82"/>
    <w:rsid w:val="00427EA2"/>
    <w:rsid w:val="00430115"/>
    <w:rsid w:val="00430A4B"/>
    <w:rsid w:val="004310CA"/>
    <w:rsid w:val="00431C46"/>
    <w:rsid w:val="004327E6"/>
    <w:rsid w:val="004329DC"/>
    <w:rsid w:val="00432AC6"/>
    <w:rsid w:val="00434121"/>
    <w:rsid w:val="00434C5E"/>
    <w:rsid w:val="00435765"/>
    <w:rsid w:val="00435DD5"/>
    <w:rsid w:val="004360B6"/>
    <w:rsid w:val="0043620D"/>
    <w:rsid w:val="004362E5"/>
    <w:rsid w:val="00436356"/>
    <w:rsid w:val="0043728E"/>
    <w:rsid w:val="00437B7B"/>
    <w:rsid w:val="00437BB7"/>
    <w:rsid w:val="00440722"/>
    <w:rsid w:val="00440768"/>
    <w:rsid w:val="004425D9"/>
    <w:rsid w:val="00443244"/>
    <w:rsid w:val="00444AF6"/>
    <w:rsid w:val="00444E17"/>
    <w:rsid w:val="0044519D"/>
    <w:rsid w:val="00445544"/>
    <w:rsid w:val="00445C0B"/>
    <w:rsid w:val="00445DF6"/>
    <w:rsid w:val="00446195"/>
    <w:rsid w:val="00447CD0"/>
    <w:rsid w:val="00447FC2"/>
    <w:rsid w:val="004502BE"/>
    <w:rsid w:val="004502F4"/>
    <w:rsid w:val="004506F4"/>
    <w:rsid w:val="004509D1"/>
    <w:rsid w:val="00450A42"/>
    <w:rsid w:val="00451342"/>
    <w:rsid w:val="004513A5"/>
    <w:rsid w:val="00451D50"/>
    <w:rsid w:val="00452EC4"/>
    <w:rsid w:val="00453340"/>
    <w:rsid w:val="00453775"/>
    <w:rsid w:val="00453890"/>
    <w:rsid w:val="00454380"/>
    <w:rsid w:val="0045470C"/>
    <w:rsid w:val="004552C8"/>
    <w:rsid w:val="0045536C"/>
    <w:rsid w:val="00455A07"/>
    <w:rsid w:val="00455AEB"/>
    <w:rsid w:val="00455CB1"/>
    <w:rsid w:val="0045603C"/>
    <w:rsid w:val="00456053"/>
    <w:rsid w:val="00456068"/>
    <w:rsid w:val="00456896"/>
    <w:rsid w:val="00456ADA"/>
    <w:rsid w:val="00456B0D"/>
    <w:rsid w:val="0045770D"/>
    <w:rsid w:val="0045790F"/>
    <w:rsid w:val="0045794D"/>
    <w:rsid w:val="00457D63"/>
    <w:rsid w:val="00457E21"/>
    <w:rsid w:val="0046007E"/>
    <w:rsid w:val="0046024B"/>
    <w:rsid w:val="00460E36"/>
    <w:rsid w:val="00460FD9"/>
    <w:rsid w:val="00461155"/>
    <w:rsid w:val="00461695"/>
    <w:rsid w:val="0046218C"/>
    <w:rsid w:val="004623D4"/>
    <w:rsid w:val="00462F41"/>
    <w:rsid w:val="00463944"/>
    <w:rsid w:val="00464D7E"/>
    <w:rsid w:val="0046512A"/>
    <w:rsid w:val="00465234"/>
    <w:rsid w:val="004653B7"/>
    <w:rsid w:val="00465A60"/>
    <w:rsid w:val="00465B24"/>
    <w:rsid w:val="00466368"/>
    <w:rsid w:val="00466858"/>
    <w:rsid w:val="00466D0F"/>
    <w:rsid w:val="00467283"/>
    <w:rsid w:val="00467544"/>
    <w:rsid w:val="004676B8"/>
    <w:rsid w:val="004676BA"/>
    <w:rsid w:val="0046784C"/>
    <w:rsid w:val="00467ECB"/>
    <w:rsid w:val="00467FA0"/>
    <w:rsid w:val="004710C3"/>
    <w:rsid w:val="00471459"/>
    <w:rsid w:val="00472274"/>
    <w:rsid w:val="004722D4"/>
    <w:rsid w:val="00472D9C"/>
    <w:rsid w:val="004737C9"/>
    <w:rsid w:val="00473B60"/>
    <w:rsid w:val="0047557B"/>
    <w:rsid w:val="00475666"/>
    <w:rsid w:val="00475AFF"/>
    <w:rsid w:val="00475B14"/>
    <w:rsid w:val="00475D30"/>
    <w:rsid w:val="004765F4"/>
    <w:rsid w:val="00476B4D"/>
    <w:rsid w:val="00476CBC"/>
    <w:rsid w:val="00476E6C"/>
    <w:rsid w:val="00477282"/>
    <w:rsid w:val="00477947"/>
    <w:rsid w:val="00477D6C"/>
    <w:rsid w:val="00480FA1"/>
    <w:rsid w:val="00481DA8"/>
    <w:rsid w:val="00481DC5"/>
    <w:rsid w:val="00481FD7"/>
    <w:rsid w:val="00482DE5"/>
    <w:rsid w:val="0048321D"/>
    <w:rsid w:val="00483266"/>
    <w:rsid w:val="0048352E"/>
    <w:rsid w:val="00483536"/>
    <w:rsid w:val="004836A9"/>
    <w:rsid w:val="00483B23"/>
    <w:rsid w:val="004840D7"/>
    <w:rsid w:val="004846F4"/>
    <w:rsid w:val="0048488C"/>
    <w:rsid w:val="0048525F"/>
    <w:rsid w:val="00485C09"/>
    <w:rsid w:val="00485C26"/>
    <w:rsid w:val="00485EC0"/>
    <w:rsid w:val="00486BF4"/>
    <w:rsid w:val="00486CD9"/>
    <w:rsid w:val="00487318"/>
    <w:rsid w:val="004875E1"/>
    <w:rsid w:val="00487683"/>
    <w:rsid w:val="00487B37"/>
    <w:rsid w:val="004905FF"/>
    <w:rsid w:val="00490636"/>
    <w:rsid w:val="00490FF0"/>
    <w:rsid w:val="004910FE"/>
    <w:rsid w:val="00491198"/>
    <w:rsid w:val="004917E0"/>
    <w:rsid w:val="00491BF6"/>
    <w:rsid w:val="00491FED"/>
    <w:rsid w:val="00492A10"/>
    <w:rsid w:val="00492C67"/>
    <w:rsid w:val="00492F82"/>
    <w:rsid w:val="00493879"/>
    <w:rsid w:val="0049430E"/>
    <w:rsid w:val="004943C2"/>
    <w:rsid w:val="00494451"/>
    <w:rsid w:val="00494918"/>
    <w:rsid w:val="00494C65"/>
    <w:rsid w:val="00494F0C"/>
    <w:rsid w:val="00494FED"/>
    <w:rsid w:val="00495557"/>
    <w:rsid w:val="0049618D"/>
    <w:rsid w:val="0049643E"/>
    <w:rsid w:val="004965EF"/>
    <w:rsid w:val="0049719D"/>
    <w:rsid w:val="00497366"/>
    <w:rsid w:val="00497EA2"/>
    <w:rsid w:val="00497FCD"/>
    <w:rsid w:val="004A0D1E"/>
    <w:rsid w:val="004A0E66"/>
    <w:rsid w:val="004A0EEC"/>
    <w:rsid w:val="004A130F"/>
    <w:rsid w:val="004A17EF"/>
    <w:rsid w:val="004A1842"/>
    <w:rsid w:val="004A1BDA"/>
    <w:rsid w:val="004A22DA"/>
    <w:rsid w:val="004A2700"/>
    <w:rsid w:val="004A36C8"/>
    <w:rsid w:val="004A3721"/>
    <w:rsid w:val="004A3742"/>
    <w:rsid w:val="004A37B8"/>
    <w:rsid w:val="004A3E7E"/>
    <w:rsid w:val="004A3ED3"/>
    <w:rsid w:val="004A405F"/>
    <w:rsid w:val="004A47BC"/>
    <w:rsid w:val="004A4AC6"/>
    <w:rsid w:val="004A5715"/>
    <w:rsid w:val="004A7023"/>
    <w:rsid w:val="004B1199"/>
    <w:rsid w:val="004B16C4"/>
    <w:rsid w:val="004B1867"/>
    <w:rsid w:val="004B2A64"/>
    <w:rsid w:val="004B2DB8"/>
    <w:rsid w:val="004B41DA"/>
    <w:rsid w:val="004B470D"/>
    <w:rsid w:val="004B4764"/>
    <w:rsid w:val="004B4846"/>
    <w:rsid w:val="004B5394"/>
    <w:rsid w:val="004B5BDD"/>
    <w:rsid w:val="004B6E9E"/>
    <w:rsid w:val="004B6F83"/>
    <w:rsid w:val="004B7245"/>
    <w:rsid w:val="004B7A80"/>
    <w:rsid w:val="004B7C29"/>
    <w:rsid w:val="004C06E5"/>
    <w:rsid w:val="004C19B4"/>
    <w:rsid w:val="004C1B7D"/>
    <w:rsid w:val="004C1E3C"/>
    <w:rsid w:val="004C25F0"/>
    <w:rsid w:val="004C26DD"/>
    <w:rsid w:val="004C2B5D"/>
    <w:rsid w:val="004C2D68"/>
    <w:rsid w:val="004C2D77"/>
    <w:rsid w:val="004C2F56"/>
    <w:rsid w:val="004C339D"/>
    <w:rsid w:val="004C33E8"/>
    <w:rsid w:val="004C38AA"/>
    <w:rsid w:val="004C4307"/>
    <w:rsid w:val="004C4309"/>
    <w:rsid w:val="004C4685"/>
    <w:rsid w:val="004C49E3"/>
    <w:rsid w:val="004C4E8A"/>
    <w:rsid w:val="004C514A"/>
    <w:rsid w:val="004C6572"/>
    <w:rsid w:val="004C6D4F"/>
    <w:rsid w:val="004C6D72"/>
    <w:rsid w:val="004C7541"/>
    <w:rsid w:val="004D08C1"/>
    <w:rsid w:val="004D1E71"/>
    <w:rsid w:val="004D2C72"/>
    <w:rsid w:val="004D2CDF"/>
    <w:rsid w:val="004D33CE"/>
    <w:rsid w:val="004D3AB6"/>
    <w:rsid w:val="004D4AAE"/>
    <w:rsid w:val="004D7C86"/>
    <w:rsid w:val="004E0197"/>
    <w:rsid w:val="004E099E"/>
    <w:rsid w:val="004E1122"/>
    <w:rsid w:val="004E1409"/>
    <w:rsid w:val="004E19F3"/>
    <w:rsid w:val="004E1A87"/>
    <w:rsid w:val="004E1BB0"/>
    <w:rsid w:val="004E3030"/>
    <w:rsid w:val="004E3143"/>
    <w:rsid w:val="004E3311"/>
    <w:rsid w:val="004E38EC"/>
    <w:rsid w:val="004E3933"/>
    <w:rsid w:val="004E3B64"/>
    <w:rsid w:val="004E41C9"/>
    <w:rsid w:val="004E4549"/>
    <w:rsid w:val="004E4C83"/>
    <w:rsid w:val="004E4D53"/>
    <w:rsid w:val="004E4D84"/>
    <w:rsid w:val="004E4EBC"/>
    <w:rsid w:val="004E5104"/>
    <w:rsid w:val="004E5B06"/>
    <w:rsid w:val="004E5FA8"/>
    <w:rsid w:val="004E684C"/>
    <w:rsid w:val="004E6C05"/>
    <w:rsid w:val="004E6FF1"/>
    <w:rsid w:val="004E76DB"/>
    <w:rsid w:val="004F0AEA"/>
    <w:rsid w:val="004F121C"/>
    <w:rsid w:val="004F1B64"/>
    <w:rsid w:val="004F1F90"/>
    <w:rsid w:val="004F2401"/>
    <w:rsid w:val="004F2A44"/>
    <w:rsid w:val="004F2DAD"/>
    <w:rsid w:val="004F34F7"/>
    <w:rsid w:val="004F3637"/>
    <w:rsid w:val="004F3AEA"/>
    <w:rsid w:val="004F55D6"/>
    <w:rsid w:val="004F565A"/>
    <w:rsid w:val="004F571B"/>
    <w:rsid w:val="004F5B25"/>
    <w:rsid w:val="004F64EB"/>
    <w:rsid w:val="004F7A74"/>
    <w:rsid w:val="004F7FA7"/>
    <w:rsid w:val="00500250"/>
    <w:rsid w:val="00500264"/>
    <w:rsid w:val="00500824"/>
    <w:rsid w:val="00500DAB"/>
    <w:rsid w:val="00501144"/>
    <w:rsid w:val="005013EF"/>
    <w:rsid w:val="005019E0"/>
    <w:rsid w:val="0050211F"/>
    <w:rsid w:val="005022E7"/>
    <w:rsid w:val="00502A93"/>
    <w:rsid w:val="00502FAE"/>
    <w:rsid w:val="00503181"/>
    <w:rsid w:val="005034E4"/>
    <w:rsid w:val="005037F9"/>
    <w:rsid w:val="005048C8"/>
    <w:rsid w:val="00505943"/>
    <w:rsid w:val="00506083"/>
    <w:rsid w:val="00506731"/>
    <w:rsid w:val="005068D6"/>
    <w:rsid w:val="00506B86"/>
    <w:rsid w:val="00506EEC"/>
    <w:rsid w:val="00506FD4"/>
    <w:rsid w:val="0051078E"/>
    <w:rsid w:val="005107FF"/>
    <w:rsid w:val="00510CBC"/>
    <w:rsid w:val="0051102D"/>
    <w:rsid w:val="005112A5"/>
    <w:rsid w:val="00511F48"/>
    <w:rsid w:val="00512448"/>
    <w:rsid w:val="0051253A"/>
    <w:rsid w:val="0051266C"/>
    <w:rsid w:val="005139E5"/>
    <w:rsid w:val="00513B72"/>
    <w:rsid w:val="00515277"/>
    <w:rsid w:val="005158C2"/>
    <w:rsid w:val="00515E0D"/>
    <w:rsid w:val="00515F17"/>
    <w:rsid w:val="005163F5"/>
    <w:rsid w:val="005169DE"/>
    <w:rsid w:val="00516EF7"/>
    <w:rsid w:val="0051754D"/>
    <w:rsid w:val="0051785D"/>
    <w:rsid w:val="00517913"/>
    <w:rsid w:val="0052005F"/>
    <w:rsid w:val="00520200"/>
    <w:rsid w:val="00520E2D"/>
    <w:rsid w:val="00520F04"/>
    <w:rsid w:val="00521717"/>
    <w:rsid w:val="005224B2"/>
    <w:rsid w:val="00523372"/>
    <w:rsid w:val="005234B9"/>
    <w:rsid w:val="00523B23"/>
    <w:rsid w:val="00523DFA"/>
    <w:rsid w:val="00525421"/>
    <w:rsid w:val="005254BC"/>
    <w:rsid w:val="005256FC"/>
    <w:rsid w:val="00526229"/>
    <w:rsid w:val="00526865"/>
    <w:rsid w:val="00526C27"/>
    <w:rsid w:val="00526DFF"/>
    <w:rsid w:val="00527473"/>
    <w:rsid w:val="00527DFD"/>
    <w:rsid w:val="00527EF9"/>
    <w:rsid w:val="0053039B"/>
    <w:rsid w:val="005305FF"/>
    <w:rsid w:val="00530AF8"/>
    <w:rsid w:val="00530C9B"/>
    <w:rsid w:val="00530CF4"/>
    <w:rsid w:val="005313F4"/>
    <w:rsid w:val="00532334"/>
    <w:rsid w:val="005324AF"/>
    <w:rsid w:val="00532CDB"/>
    <w:rsid w:val="00533428"/>
    <w:rsid w:val="0053402C"/>
    <w:rsid w:val="00534090"/>
    <w:rsid w:val="005340BA"/>
    <w:rsid w:val="00534ABA"/>
    <w:rsid w:val="005352E4"/>
    <w:rsid w:val="00535FFF"/>
    <w:rsid w:val="0053616F"/>
    <w:rsid w:val="005368AD"/>
    <w:rsid w:val="005370BC"/>
    <w:rsid w:val="005379F3"/>
    <w:rsid w:val="00537B35"/>
    <w:rsid w:val="00537DE7"/>
    <w:rsid w:val="00537EC4"/>
    <w:rsid w:val="00537FE4"/>
    <w:rsid w:val="005400AD"/>
    <w:rsid w:val="0054027D"/>
    <w:rsid w:val="005409EB"/>
    <w:rsid w:val="00541222"/>
    <w:rsid w:val="00541522"/>
    <w:rsid w:val="00541A8D"/>
    <w:rsid w:val="00541B80"/>
    <w:rsid w:val="00544DA0"/>
    <w:rsid w:val="005454BD"/>
    <w:rsid w:val="005457E4"/>
    <w:rsid w:val="00545BEF"/>
    <w:rsid w:val="00546C49"/>
    <w:rsid w:val="00546C62"/>
    <w:rsid w:val="0055010B"/>
    <w:rsid w:val="0055021F"/>
    <w:rsid w:val="0055030F"/>
    <w:rsid w:val="00550642"/>
    <w:rsid w:val="00550D59"/>
    <w:rsid w:val="0055110D"/>
    <w:rsid w:val="00551F81"/>
    <w:rsid w:val="0055210F"/>
    <w:rsid w:val="00552573"/>
    <w:rsid w:val="00552CD7"/>
    <w:rsid w:val="00553026"/>
    <w:rsid w:val="005533BE"/>
    <w:rsid w:val="005536C0"/>
    <w:rsid w:val="0055462D"/>
    <w:rsid w:val="00554B30"/>
    <w:rsid w:val="00554FFB"/>
    <w:rsid w:val="005568DE"/>
    <w:rsid w:val="00557C50"/>
    <w:rsid w:val="00557C82"/>
    <w:rsid w:val="005606B6"/>
    <w:rsid w:val="005608D6"/>
    <w:rsid w:val="00560F19"/>
    <w:rsid w:val="005619DF"/>
    <w:rsid w:val="00561A3E"/>
    <w:rsid w:val="00561E6B"/>
    <w:rsid w:val="005621D2"/>
    <w:rsid w:val="005621E0"/>
    <w:rsid w:val="005625BF"/>
    <w:rsid w:val="005628CE"/>
    <w:rsid w:val="00562903"/>
    <w:rsid w:val="00562D90"/>
    <w:rsid w:val="00563A23"/>
    <w:rsid w:val="00563A5A"/>
    <w:rsid w:val="00563C61"/>
    <w:rsid w:val="00563EB1"/>
    <w:rsid w:val="00563ECB"/>
    <w:rsid w:val="00563F47"/>
    <w:rsid w:val="005640BB"/>
    <w:rsid w:val="00564C23"/>
    <w:rsid w:val="00565406"/>
    <w:rsid w:val="00565570"/>
    <w:rsid w:val="005657DD"/>
    <w:rsid w:val="00565A7C"/>
    <w:rsid w:val="00565B29"/>
    <w:rsid w:val="00565CE8"/>
    <w:rsid w:val="005664CC"/>
    <w:rsid w:val="0056664B"/>
    <w:rsid w:val="00567588"/>
    <w:rsid w:val="00567992"/>
    <w:rsid w:val="00567C3C"/>
    <w:rsid w:val="005702F8"/>
    <w:rsid w:val="005706D7"/>
    <w:rsid w:val="00571231"/>
    <w:rsid w:val="00571767"/>
    <w:rsid w:val="00571E44"/>
    <w:rsid w:val="00573E61"/>
    <w:rsid w:val="0057411B"/>
    <w:rsid w:val="00574525"/>
    <w:rsid w:val="00574778"/>
    <w:rsid w:val="0057498F"/>
    <w:rsid w:val="00574DE9"/>
    <w:rsid w:val="00574E5A"/>
    <w:rsid w:val="00575DF4"/>
    <w:rsid w:val="00576045"/>
    <w:rsid w:val="00576948"/>
    <w:rsid w:val="0057765D"/>
    <w:rsid w:val="005777FC"/>
    <w:rsid w:val="005808EB"/>
    <w:rsid w:val="00580D37"/>
    <w:rsid w:val="00581238"/>
    <w:rsid w:val="00581A23"/>
    <w:rsid w:val="00581FA0"/>
    <w:rsid w:val="00582B90"/>
    <w:rsid w:val="005831A7"/>
    <w:rsid w:val="00583321"/>
    <w:rsid w:val="0058341E"/>
    <w:rsid w:val="00584F3A"/>
    <w:rsid w:val="005853AB"/>
    <w:rsid w:val="00585683"/>
    <w:rsid w:val="00585748"/>
    <w:rsid w:val="005859C5"/>
    <w:rsid w:val="00585C79"/>
    <w:rsid w:val="00586144"/>
    <w:rsid w:val="00587785"/>
    <w:rsid w:val="0058788D"/>
    <w:rsid w:val="00587A33"/>
    <w:rsid w:val="00587E29"/>
    <w:rsid w:val="00587FE6"/>
    <w:rsid w:val="005903AD"/>
    <w:rsid w:val="00591056"/>
    <w:rsid w:val="00591698"/>
    <w:rsid w:val="00591D39"/>
    <w:rsid w:val="00591D92"/>
    <w:rsid w:val="00593A90"/>
    <w:rsid w:val="00593B87"/>
    <w:rsid w:val="00593C1C"/>
    <w:rsid w:val="00593E94"/>
    <w:rsid w:val="00594143"/>
    <w:rsid w:val="00594543"/>
    <w:rsid w:val="00594612"/>
    <w:rsid w:val="00594CFF"/>
    <w:rsid w:val="005954D0"/>
    <w:rsid w:val="0059581F"/>
    <w:rsid w:val="00595873"/>
    <w:rsid w:val="00595CDD"/>
    <w:rsid w:val="005964BB"/>
    <w:rsid w:val="00596A70"/>
    <w:rsid w:val="00596BD3"/>
    <w:rsid w:val="00596BE7"/>
    <w:rsid w:val="00596C3E"/>
    <w:rsid w:val="005977DD"/>
    <w:rsid w:val="00597D9D"/>
    <w:rsid w:val="005A04BD"/>
    <w:rsid w:val="005A0A3F"/>
    <w:rsid w:val="005A114F"/>
    <w:rsid w:val="005A1867"/>
    <w:rsid w:val="005A1F49"/>
    <w:rsid w:val="005A2364"/>
    <w:rsid w:val="005A2480"/>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B20"/>
    <w:rsid w:val="005B0BD6"/>
    <w:rsid w:val="005B0EFB"/>
    <w:rsid w:val="005B1060"/>
    <w:rsid w:val="005B12B9"/>
    <w:rsid w:val="005B17C1"/>
    <w:rsid w:val="005B240E"/>
    <w:rsid w:val="005B2895"/>
    <w:rsid w:val="005B3737"/>
    <w:rsid w:val="005B3A42"/>
    <w:rsid w:val="005B3AB4"/>
    <w:rsid w:val="005B4341"/>
    <w:rsid w:val="005B5D40"/>
    <w:rsid w:val="005B5EFC"/>
    <w:rsid w:val="005B6412"/>
    <w:rsid w:val="005B6698"/>
    <w:rsid w:val="005B68A7"/>
    <w:rsid w:val="005B6AC3"/>
    <w:rsid w:val="005B6FD7"/>
    <w:rsid w:val="005C02E5"/>
    <w:rsid w:val="005C03E1"/>
    <w:rsid w:val="005C055E"/>
    <w:rsid w:val="005C0BF2"/>
    <w:rsid w:val="005C0FA1"/>
    <w:rsid w:val="005C12BC"/>
    <w:rsid w:val="005C1615"/>
    <w:rsid w:val="005C171F"/>
    <w:rsid w:val="005C172F"/>
    <w:rsid w:val="005C1D98"/>
    <w:rsid w:val="005C1DA5"/>
    <w:rsid w:val="005C248D"/>
    <w:rsid w:val="005C2559"/>
    <w:rsid w:val="005C2873"/>
    <w:rsid w:val="005C3479"/>
    <w:rsid w:val="005C34FC"/>
    <w:rsid w:val="005C3B5C"/>
    <w:rsid w:val="005C3C7F"/>
    <w:rsid w:val="005C4B08"/>
    <w:rsid w:val="005C4C02"/>
    <w:rsid w:val="005C5143"/>
    <w:rsid w:val="005C54BA"/>
    <w:rsid w:val="005C5639"/>
    <w:rsid w:val="005C5742"/>
    <w:rsid w:val="005C5FF6"/>
    <w:rsid w:val="005C6D61"/>
    <w:rsid w:val="005C6F00"/>
    <w:rsid w:val="005C760E"/>
    <w:rsid w:val="005C7AE9"/>
    <w:rsid w:val="005C7E9E"/>
    <w:rsid w:val="005D1007"/>
    <w:rsid w:val="005D18C9"/>
    <w:rsid w:val="005D1B72"/>
    <w:rsid w:val="005D1CBF"/>
    <w:rsid w:val="005D2471"/>
    <w:rsid w:val="005D2534"/>
    <w:rsid w:val="005D25A3"/>
    <w:rsid w:val="005D2779"/>
    <w:rsid w:val="005D3242"/>
    <w:rsid w:val="005D3712"/>
    <w:rsid w:val="005D4A67"/>
    <w:rsid w:val="005D610C"/>
    <w:rsid w:val="005D61CD"/>
    <w:rsid w:val="005D74E7"/>
    <w:rsid w:val="005D7F7B"/>
    <w:rsid w:val="005E31EE"/>
    <w:rsid w:val="005E3BCD"/>
    <w:rsid w:val="005E4A87"/>
    <w:rsid w:val="005E4DA5"/>
    <w:rsid w:val="005E503E"/>
    <w:rsid w:val="005E59C7"/>
    <w:rsid w:val="005E5E7B"/>
    <w:rsid w:val="005E6095"/>
    <w:rsid w:val="005E6A3F"/>
    <w:rsid w:val="005E6DB8"/>
    <w:rsid w:val="005E6DD4"/>
    <w:rsid w:val="005E7228"/>
    <w:rsid w:val="005E7284"/>
    <w:rsid w:val="005E748A"/>
    <w:rsid w:val="005E7906"/>
    <w:rsid w:val="005E7BAC"/>
    <w:rsid w:val="005F07B8"/>
    <w:rsid w:val="005F0E5C"/>
    <w:rsid w:val="005F134E"/>
    <w:rsid w:val="005F1365"/>
    <w:rsid w:val="005F1D06"/>
    <w:rsid w:val="005F2C1F"/>
    <w:rsid w:val="005F2E44"/>
    <w:rsid w:val="005F3690"/>
    <w:rsid w:val="005F3986"/>
    <w:rsid w:val="005F3B78"/>
    <w:rsid w:val="005F4C57"/>
    <w:rsid w:val="005F518F"/>
    <w:rsid w:val="005F5B2D"/>
    <w:rsid w:val="005F5EFD"/>
    <w:rsid w:val="005F659D"/>
    <w:rsid w:val="005F6774"/>
    <w:rsid w:val="005F79AA"/>
    <w:rsid w:val="0060044B"/>
    <w:rsid w:val="006013D7"/>
    <w:rsid w:val="006014DB"/>
    <w:rsid w:val="00601587"/>
    <w:rsid w:val="00601CD7"/>
    <w:rsid w:val="00602079"/>
    <w:rsid w:val="006022F3"/>
    <w:rsid w:val="00602579"/>
    <w:rsid w:val="00602BA4"/>
    <w:rsid w:val="00602DA2"/>
    <w:rsid w:val="00602FF4"/>
    <w:rsid w:val="00603228"/>
    <w:rsid w:val="00604A8B"/>
    <w:rsid w:val="00604ACD"/>
    <w:rsid w:val="00604C15"/>
    <w:rsid w:val="00604DC2"/>
    <w:rsid w:val="00605BB3"/>
    <w:rsid w:val="00605FE0"/>
    <w:rsid w:val="006060C4"/>
    <w:rsid w:val="00607C35"/>
    <w:rsid w:val="00607D58"/>
    <w:rsid w:val="00610C34"/>
    <w:rsid w:val="006116F6"/>
    <w:rsid w:val="00611777"/>
    <w:rsid w:val="0061189F"/>
    <w:rsid w:val="0061219B"/>
    <w:rsid w:val="00612D05"/>
    <w:rsid w:val="00613FB6"/>
    <w:rsid w:val="006140C6"/>
    <w:rsid w:val="00614134"/>
    <w:rsid w:val="00614241"/>
    <w:rsid w:val="0061428D"/>
    <w:rsid w:val="00614C21"/>
    <w:rsid w:val="00615411"/>
    <w:rsid w:val="0061599E"/>
    <w:rsid w:val="00615AC7"/>
    <w:rsid w:val="00615BF9"/>
    <w:rsid w:val="006162E6"/>
    <w:rsid w:val="006171A5"/>
    <w:rsid w:val="00620309"/>
    <w:rsid w:val="00620E9B"/>
    <w:rsid w:val="0062159D"/>
    <w:rsid w:val="00621680"/>
    <w:rsid w:val="00621EC5"/>
    <w:rsid w:val="00622378"/>
    <w:rsid w:val="006223E0"/>
    <w:rsid w:val="006224D0"/>
    <w:rsid w:val="00622BCE"/>
    <w:rsid w:val="00622E29"/>
    <w:rsid w:val="00623643"/>
    <w:rsid w:val="00624018"/>
    <w:rsid w:val="006240C4"/>
    <w:rsid w:val="00624B79"/>
    <w:rsid w:val="00625304"/>
    <w:rsid w:val="0062537B"/>
    <w:rsid w:val="0062581B"/>
    <w:rsid w:val="006259DC"/>
    <w:rsid w:val="006261C2"/>
    <w:rsid w:val="006261F4"/>
    <w:rsid w:val="00630F63"/>
    <w:rsid w:val="0063149F"/>
    <w:rsid w:val="0063164E"/>
    <w:rsid w:val="0063191D"/>
    <w:rsid w:val="006324DF"/>
    <w:rsid w:val="00633488"/>
    <w:rsid w:val="00633581"/>
    <w:rsid w:val="006339AF"/>
    <w:rsid w:val="00633C47"/>
    <w:rsid w:val="006348F7"/>
    <w:rsid w:val="00634E4F"/>
    <w:rsid w:val="00634EE2"/>
    <w:rsid w:val="0063512D"/>
    <w:rsid w:val="006358FB"/>
    <w:rsid w:val="00635921"/>
    <w:rsid w:val="00635AE2"/>
    <w:rsid w:val="00635E1E"/>
    <w:rsid w:val="0063677C"/>
    <w:rsid w:val="00636972"/>
    <w:rsid w:val="00636ACF"/>
    <w:rsid w:val="00636B69"/>
    <w:rsid w:val="00636BC2"/>
    <w:rsid w:val="00637A1B"/>
    <w:rsid w:val="0064029A"/>
    <w:rsid w:val="006404D1"/>
    <w:rsid w:val="00640F43"/>
    <w:rsid w:val="006412CA"/>
    <w:rsid w:val="006420DA"/>
    <w:rsid w:val="006425CB"/>
    <w:rsid w:val="00642A0A"/>
    <w:rsid w:val="006430F4"/>
    <w:rsid w:val="00643AC1"/>
    <w:rsid w:val="00643D62"/>
    <w:rsid w:val="00644A04"/>
    <w:rsid w:val="00644A5E"/>
    <w:rsid w:val="00644A6C"/>
    <w:rsid w:val="00644D69"/>
    <w:rsid w:val="006457A8"/>
    <w:rsid w:val="00645EA0"/>
    <w:rsid w:val="00645F76"/>
    <w:rsid w:val="00646EB0"/>
    <w:rsid w:val="0064714D"/>
    <w:rsid w:val="0064727D"/>
    <w:rsid w:val="00647B32"/>
    <w:rsid w:val="00647C27"/>
    <w:rsid w:val="006509EF"/>
    <w:rsid w:val="006519E6"/>
    <w:rsid w:val="00651CDE"/>
    <w:rsid w:val="00652326"/>
    <w:rsid w:val="006524DD"/>
    <w:rsid w:val="00652907"/>
    <w:rsid w:val="00652E06"/>
    <w:rsid w:val="00653FC4"/>
    <w:rsid w:val="00654F91"/>
    <w:rsid w:val="00655330"/>
    <w:rsid w:val="00655361"/>
    <w:rsid w:val="00656224"/>
    <w:rsid w:val="00656253"/>
    <w:rsid w:val="00656799"/>
    <w:rsid w:val="00656B77"/>
    <w:rsid w:val="00656E72"/>
    <w:rsid w:val="006578A1"/>
    <w:rsid w:val="0066137B"/>
    <w:rsid w:val="00661561"/>
    <w:rsid w:val="0066174E"/>
    <w:rsid w:val="00661BBB"/>
    <w:rsid w:val="00661E57"/>
    <w:rsid w:val="006629E4"/>
    <w:rsid w:val="00662EEE"/>
    <w:rsid w:val="00663742"/>
    <w:rsid w:val="00663783"/>
    <w:rsid w:val="00663E47"/>
    <w:rsid w:val="006644A7"/>
    <w:rsid w:val="00664BB9"/>
    <w:rsid w:val="00664BDE"/>
    <w:rsid w:val="0066565B"/>
    <w:rsid w:val="00665C44"/>
    <w:rsid w:val="00666284"/>
    <w:rsid w:val="006667F3"/>
    <w:rsid w:val="00667AEA"/>
    <w:rsid w:val="0067013E"/>
    <w:rsid w:val="006704FA"/>
    <w:rsid w:val="00670687"/>
    <w:rsid w:val="00670DC5"/>
    <w:rsid w:val="00671652"/>
    <w:rsid w:val="00671FAA"/>
    <w:rsid w:val="00672C04"/>
    <w:rsid w:val="0067574E"/>
    <w:rsid w:val="00675CA6"/>
    <w:rsid w:val="00675DA5"/>
    <w:rsid w:val="00677FD9"/>
    <w:rsid w:val="00680482"/>
    <w:rsid w:val="006808DC"/>
    <w:rsid w:val="006809DE"/>
    <w:rsid w:val="006811C8"/>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144"/>
    <w:rsid w:val="006858AA"/>
    <w:rsid w:val="00685BCF"/>
    <w:rsid w:val="006871D0"/>
    <w:rsid w:val="00687398"/>
    <w:rsid w:val="0068751F"/>
    <w:rsid w:val="006900D1"/>
    <w:rsid w:val="00690297"/>
    <w:rsid w:val="00690E92"/>
    <w:rsid w:val="0069103F"/>
    <w:rsid w:val="0069115A"/>
    <w:rsid w:val="006912F1"/>
    <w:rsid w:val="00691387"/>
    <w:rsid w:val="006918A8"/>
    <w:rsid w:val="006918D6"/>
    <w:rsid w:val="006927F2"/>
    <w:rsid w:val="006931E1"/>
    <w:rsid w:val="0069394F"/>
    <w:rsid w:val="00694310"/>
    <w:rsid w:val="006943A8"/>
    <w:rsid w:val="00694700"/>
    <w:rsid w:val="0069470A"/>
    <w:rsid w:val="00694803"/>
    <w:rsid w:val="00694CE8"/>
    <w:rsid w:val="0069529C"/>
    <w:rsid w:val="0069569E"/>
    <w:rsid w:val="006956C6"/>
    <w:rsid w:val="00696EE3"/>
    <w:rsid w:val="0069715D"/>
    <w:rsid w:val="00697392"/>
    <w:rsid w:val="006973E5"/>
    <w:rsid w:val="00697664"/>
    <w:rsid w:val="00697681"/>
    <w:rsid w:val="0069770C"/>
    <w:rsid w:val="006977DD"/>
    <w:rsid w:val="006A08F2"/>
    <w:rsid w:val="006A151A"/>
    <w:rsid w:val="006A1639"/>
    <w:rsid w:val="006A1E62"/>
    <w:rsid w:val="006A2A12"/>
    <w:rsid w:val="006A2E9C"/>
    <w:rsid w:val="006A3558"/>
    <w:rsid w:val="006A35E0"/>
    <w:rsid w:val="006A377F"/>
    <w:rsid w:val="006A384A"/>
    <w:rsid w:val="006A3875"/>
    <w:rsid w:val="006A3D40"/>
    <w:rsid w:val="006A561D"/>
    <w:rsid w:val="006A5A0C"/>
    <w:rsid w:val="006A5BA0"/>
    <w:rsid w:val="006A5BB1"/>
    <w:rsid w:val="006A5D31"/>
    <w:rsid w:val="006A5EBE"/>
    <w:rsid w:val="006A5F88"/>
    <w:rsid w:val="006A6ACB"/>
    <w:rsid w:val="006A7D95"/>
    <w:rsid w:val="006B0681"/>
    <w:rsid w:val="006B120D"/>
    <w:rsid w:val="006B13C1"/>
    <w:rsid w:val="006B196C"/>
    <w:rsid w:val="006B1D17"/>
    <w:rsid w:val="006B2145"/>
    <w:rsid w:val="006B240E"/>
    <w:rsid w:val="006B260F"/>
    <w:rsid w:val="006B2CC7"/>
    <w:rsid w:val="006B2F2F"/>
    <w:rsid w:val="006B3AF9"/>
    <w:rsid w:val="006B44C5"/>
    <w:rsid w:val="006B4567"/>
    <w:rsid w:val="006B555F"/>
    <w:rsid w:val="006B6242"/>
    <w:rsid w:val="006B6C7C"/>
    <w:rsid w:val="006B6EA4"/>
    <w:rsid w:val="006B77BB"/>
    <w:rsid w:val="006B7F8F"/>
    <w:rsid w:val="006B7FC5"/>
    <w:rsid w:val="006C055E"/>
    <w:rsid w:val="006C0937"/>
    <w:rsid w:val="006C0D13"/>
    <w:rsid w:val="006C1455"/>
    <w:rsid w:val="006C14B0"/>
    <w:rsid w:val="006C187F"/>
    <w:rsid w:val="006C19BC"/>
    <w:rsid w:val="006C19D5"/>
    <w:rsid w:val="006C1B44"/>
    <w:rsid w:val="006C1F77"/>
    <w:rsid w:val="006C2211"/>
    <w:rsid w:val="006C3031"/>
    <w:rsid w:val="006C3607"/>
    <w:rsid w:val="006C3990"/>
    <w:rsid w:val="006C3ED2"/>
    <w:rsid w:val="006C40DD"/>
    <w:rsid w:val="006C4233"/>
    <w:rsid w:val="006C42E7"/>
    <w:rsid w:val="006C4422"/>
    <w:rsid w:val="006C5CCA"/>
    <w:rsid w:val="006C61A3"/>
    <w:rsid w:val="006C625F"/>
    <w:rsid w:val="006C662A"/>
    <w:rsid w:val="006C6F8D"/>
    <w:rsid w:val="006C78A6"/>
    <w:rsid w:val="006C7AB4"/>
    <w:rsid w:val="006D006B"/>
    <w:rsid w:val="006D097D"/>
    <w:rsid w:val="006D09FF"/>
    <w:rsid w:val="006D105C"/>
    <w:rsid w:val="006D2877"/>
    <w:rsid w:val="006D30E7"/>
    <w:rsid w:val="006D48E7"/>
    <w:rsid w:val="006D4947"/>
    <w:rsid w:val="006D4EE9"/>
    <w:rsid w:val="006D5F16"/>
    <w:rsid w:val="006D63AD"/>
    <w:rsid w:val="006D664D"/>
    <w:rsid w:val="006D6764"/>
    <w:rsid w:val="006D67D9"/>
    <w:rsid w:val="006D6C93"/>
    <w:rsid w:val="006D7573"/>
    <w:rsid w:val="006E0340"/>
    <w:rsid w:val="006E06F9"/>
    <w:rsid w:val="006E07A9"/>
    <w:rsid w:val="006E0D91"/>
    <w:rsid w:val="006E16A9"/>
    <w:rsid w:val="006E1706"/>
    <w:rsid w:val="006E2F4F"/>
    <w:rsid w:val="006E3CB2"/>
    <w:rsid w:val="006E3DA8"/>
    <w:rsid w:val="006E46CB"/>
    <w:rsid w:val="006E575A"/>
    <w:rsid w:val="006E5B5B"/>
    <w:rsid w:val="006E5DAA"/>
    <w:rsid w:val="006E7006"/>
    <w:rsid w:val="006E74EA"/>
    <w:rsid w:val="006E79C3"/>
    <w:rsid w:val="006F00E7"/>
    <w:rsid w:val="006F0F6E"/>
    <w:rsid w:val="006F1B22"/>
    <w:rsid w:val="006F1BA4"/>
    <w:rsid w:val="006F2259"/>
    <w:rsid w:val="006F2346"/>
    <w:rsid w:val="006F23E1"/>
    <w:rsid w:val="006F264C"/>
    <w:rsid w:val="006F2F8F"/>
    <w:rsid w:val="006F2FDA"/>
    <w:rsid w:val="006F2FE5"/>
    <w:rsid w:val="006F3460"/>
    <w:rsid w:val="006F34FE"/>
    <w:rsid w:val="006F3615"/>
    <w:rsid w:val="006F3C07"/>
    <w:rsid w:val="006F3FA3"/>
    <w:rsid w:val="006F48BA"/>
    <w:rsid w:val="006F4AF9"/>
    <w:rsid w:val="006F54EB"/>
    <w:rsid w:val="006F5CC1"/>
    <w:rsid w:val="006F67A5"/>
    <w:rsid w:val="006F762D"/>
    <w:rsid w:val="00700492"/>
    <w:rsid w:val="0070167E"/>
    <w:rsid w:val="00701D4C"/>
    <w:rsid w:val="00701E1B"/>
    <w:rsid w:val="007020D0"/>
    <w:rsid w:val="00702241"/>
    <w:rsid w:val="00702ED0"/>
    <w:rsid w:val="007033A6"/>
    <w:rsid w:val="00703C09"/>
    <w:rsid w:val="00703F79"/>
    <w:rsid w:val="0070434A"/>
    <w:rsid w:val="007044A4"/>
    <w:rsid w:val="007048C4"/>
    <w:rsid w:val="00704CC4"/>
    <w:rsid w:val="00705345"/>
    <w:rsid w:val="00705684"/>
    <w:rsid w:val="0070638D"/>
    <w:rsid w:val="00706DBF"/>
    <w:rsid w:val="00707A59"/>
    <w:rsid w:val="0071046B"/>
    <w:rsid w:val="00710528"/>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34C"/>
    <w:rsid w:val="00714549"/>
    <w:rsid w:val="0071458E"/>
    <w:rsid w:val="007145C9"/>
    <w:rsid w:val="00714631"/>
    <w:rsid w:val="00714B6E"/>
    <w:rsid w:val="00714DC4"/>
    <w:rsid w:val="0071512F"/>
    <w:rsid w:val="007169AC"/>
    <w:rsid w:val="007169DD"/>
    <w:rsid w:val="00717679"/>
    <w:rsid w:val="00717B67"/>
    <w:rsid w:val="007206A2"/>
    <w:rsid w:val="00720B38"/>
    <w:rsid w:val="00720CA7"/>
    <w:rsid w:val="0072147B"/>
    <w:rsid w:val="0072181E"/>
    <w:rsid w:val="00722267"/>
    <w:rsid w:val="0072285E"/>
    <w:rsid w:val="00722B62"/>
    <w:rsid w:val="00722C62"/>
    <w:rsid w:val="0072321F"/>
    <w:rsid w:val="00723295"/>
    <w:rsid w:val="00723817"/>
    <w:rsid w:val="00723856"/>
    <w:rsid w:val="007238E2"/>
    <w:rsid w:val="007239B4"/>
    <w:rsid w:val="00723D7E"/>
    <w:rsid w:val="00724446"/>
    <w:rsid w:val="00724584"/>
    <w:rsid w:val="007246BA"/>
    <w:rsid w:val="00724AA1"/>
    <w:rsid w:val="00724D39"/>
    <w:rsid w:val="007252B6"/>
    <w:rsid w:val="00725A19"/>
    <w:rsid w:val="00726356"/>
    <w:rsid w:val="007268C7"/>
    <w:rsid w:val="00726AAB"/>
    <w:rsid w:val="00726E11"/>
    <w:rsid w:val="00727077"/>
    <w:rsid w:val="00730EA6"/>
    <w:rsid w:val="00731092"/>
    <w:rsid w:val="00731C15"/>
    <w:rsid w:val="00732045"/>
    <w:rsid w:val="007322A0"/>
    <w:rsid w:val="00732C1A"/>
    <w:rsid w:val="00732EB9"/>
    <w:rsid w:val="00733CDC"/>
    <w:rsid w:val="00734A33"/>
    <w:rsid w:val="00734B9A"/>
    <w:rsid w:val="00735695"/>
    <w:rsid w:val="00735ABB"/>
    <w:rsid w:val="00735F51"/>
    <w:rsid w:val="007360CB"/>
    <w:rsid w:val="00737566"/>
    <w:rsid w:val="00740431"/>
    <w:rsid w:val="00740B96"/>
    <w:rsid w:val="007412EE"/>
    <w:rsid w:val="00741BA2"/>
    <w:rsid w:val="00741CF4"/>
    <w:rsid w:val="00741DCC"/>
    <w:rsid w:val="00741DE2"/>
    <w:rsid w:val="007421A1"/>
    <w:rsid w:val="007427FE"/>
    <w:rsid w:val="00742956"/>
    <w:rsid w:val="00742C51"/>
    <w:rsid w:val="00743445"/>
    <w:rsid w:val="00745BA4"/>
    <w:rsid w:val="00745E01"/>
    <w:rsid w:val="0074666B"/>
    <w:rsid w:val="007468D6"/>
    <w:rsid w:val="00746BFF"/>
    <w:rsid w:val="00747013"/>
    <w:rsid w:val="007470E6"/>
    <w:rsid w:val="007473E1"/>
    <w:rsid w:val="00747897"/>
    <w:rsid w:val="00747D64"/>
    <w:rsid w:val="00747E47"/>
    <w:rsid w:val="00750192"/>
    <w:rsid w:val="007504E1"/>
    <w:rsid w:val="00750544"/>
    <w:rsid w:val="00750804"/>
    <w:rsid w:val="007509AB"/>
    <w:rsid w:val="00751689"/>
    <w:rsid w:val="007524AA"/>
    <w:rsid w:val="00752830"/>
    <w:rsid w:val="00752EAC"/>
    <w:rsid w:val="007530C8"/>
    <w:rsid w:val="00753498"/>
    <w:rsid w:val="00753744"/>
    <w:rsid w:val="00753A93"/>
    <w:rsid w:val="00753C53"/>
    <w:rsid w:val="007541C1"/>
    <w:rsid w:val="00754B45"/>
    <w:rsid w:val="00755663"/>
    <w:rsid w:val="00756386"/>
    <w:rsid w:val="0075645E"/>
    <w:rsid w:val="00756603"/>
    <w:rsid w:val="007575C0"/>
    <w:rsid w:val="00757603"/>
    <w:rsid w:val="007577FD"/>
    <w:rsid w:val="00757D2F"/>
    <w:rsid w:val="0076000E"/>
    <w:rsid w:val="007607C6"/>
    <w:rsid w:val="00760A35"/>
    <w:rsid w:val="00760C00"/>
    <w:rsid w:val="007610E9"/>
    <w:rsid w:val="007611D9"/>
    <w:rsid w:val="00761728"/>
    <w:rsid w:val="00761C6C"/>
    <w:rsid w:val="0076265B"/>
    <w:rsid w:val="00762B72"/>
    <w:rsid w:val="0076364B"/>
    <w:rsid w:val="00763CCB"/>
    <w:rsid w:val="007642B4"/>
    <w:rsid w:val="00764C45"/>
    <w:rsid w:val="007656E7"/>
    <w:rsid w:val="00766277"/>
    <w:rsid w:val="0076656A"/>
    <w:rsid w:val="00766701"/>
    <w:rsid w:val="00766911"/>
    <w:rsid w:val="00767793"/>
    <w:rsid w:val="007679D8"/>
    <w:rsid w:val="00770116"/>
    <w:rsid w:val="00770803"/>
    <w:rsid w:val="00771319"/>
    <w:rsid w:val="007713E8"/>
    <w:rsid w:val="00771794"/>
    <w:rsid w:val="00771CCF"/>
    <w:rsid w:val="00771F7D"/>
    <w:rsid w:val="00772BEA"/>
    <w:rsid w:val="00772C3E"/>
    <w:rsid w:val="00772C97"/>
    <w:rsid w:val="007736E8"/>
    <w:rsid w:val="00774ACE"/>
    <w:rsid w:val="00775823"/>
    <w:rsid w:val="00775F57"/>
    <w:rsid w:val="00776584"/>
    <w:rsid w:val="007769EF"/>
    <w:rsid w:val="00776D4F"/>
    <w:rsid w:val="00776DDC"/>
    <w:rsid w:val="007770F9"/>
    <w:rsid w:val="00777179"/>
    <w:rsid w:val="00777945"/>
    <w:rsid w:val="00777BD6"/>
    <w:rsid w:val="00777D40"/>
    <w:rsid w:val="0078002A"/>
    <w:rsid w:val="007801BB"/>
    <w:rsid w:val="00780B8D"/>
    <w:rsid w:val="00780B8E"/>
    <w:rsid w:val="00781649"/>
    <w:rsid w:val="007818BC"/>
    <w:rsid w:val="007823D6"/>
    <w:rsid w:val="0078254E"/>
    <w:rsid w:val="00782628"/>
    <w:rsid w:val="007826AB"/>
    <w:rsid w:val="00782DAC"/>
    <w:rsid w:val="0078351B"/>
    <w:rsid w:val="007840E2"/>
    <w:rsid w:val="0078569F"/>
    <w:rsid w:val="00785803"/>
    <w:rsid w:val="00785EB4"/>
    <w:rsid w:val="0078609A"/>
    <w:rsid w:val="00786F85"/>
    <w:rsid w:val="0078731A"/>
    <w:rsid w:val="00787487"/>
    <w:rsid w:val="007906F1"/>
    <w:rsid w:val="00790EDA"/>
    <w:rsid w:val="00791349"/>
    <w:rsid w:val="00791444"/>
    <w:rsid w:val="00791D79"/>
    <w:rsid w:val="00791D85"/>
    <w:rsid w:val="00791DAF"/>
    <w:rsid w:val="007924CA"/>
    <w:rsid w:val="0079306B"/>
    <w:rsid w:val="007932D5"/>
    <w:rsid w:val="0079452A"/>
    <w:rsid w:val="0079457F"/>
    <w:rsid w:val="00794CBF"/>
    <w:rsid w:val="00795365"/>
    <w:rsid w:val="0079567E"/>
    <w:rsid w:val="0079599E"/>
    <w:rsid w:val="007961D5"/>
    <w:rsid w:val="00796A6F"/>
    <w:rsid w:val="00796C5D"/>
    <w:rsid w:val="00797B06"/>
    <w:rsid w:val="00797B9C"/>
    <w:rsid w:val="007A0483"/>
    <w:rsid w:val="007A1065"/>
    <w:rsid w:val="007A1D86"/>
    <w:rsid w:val="007A2A97"/>
    <w:rsid w:val="007A2CDC"/>
    <w:rsid w:val="007A371B"/>
    <w:rsid w:val="007A3832"/>
    <w:rsid w:val="007A3A0F"/>
    <w:rsid w:val="007A3B0A"/>
    <w:rsid w:val="007A3E60"/>
    <w:rsid w:val="007A407D"/>
    <w:rsid w:val="007A464F"/>
    <w:rsid w:val="007A56D8"/>
    <w:rsid w:val="007A6196"/>
    <w:rsid w:val="007A62DB"/>
    <w:rsid w:val="007A63D5"/>
    <w:rsid w:val="007A6871"/>
    <w:rsid w:val="007A689A"/>
    <w:rsid w:val="007A68EA"/>
    <w:rsid w:val="007A6B7D"/>
    <w:rsid w:val="007A6D9F"/>
    <w:rsid w:val="007A7061"/>
    <w:rsid w:val="007A7629"/>
    <w:rsid w:val="007B1027"/>
    <w:rsid w:val="007B1691"/>
    <w:rsid w:val="007B174F"/>
    <w:rsid w:val="007B1863"/>
    <w:rsid w:val="007B22E0"/>
    <w:rsid w:val="007B28CA"/>
    <w:rsid w:val="007B3570"/>
    <w:rsid w:val="007B358D"/>
    <w:rsid w:val="007B5401"/>
    <w:rsid w:val="007B5FB4"/>
    <w:rsid w:val="007B6B2B"/>
    <w:rsid w:val="007B75C6"/>
    <w:rsid w:val="007B7949"/>
    <w:rsid w:val="007B7D30"/>
    <w:rsid w:val="007C0FA9"/>
    <w:rsid w:val="007C15BE"/>
    <w:rsid w:val="007C1BB5"/>
    <w:rsid w:val="007C216B"/>
    <w:rsid w:val="007C2413"/>
    <w:rsid w:val="007C25AE"/>
    <w:rsid w:val="007C3152"/>
    <w:rsid w:val="007C333B"/>
    <w:rsid w:val="007C3364"/>
    <w:rsid w:val="007C3914"/>
    <w:rsid w:val="007C3ABA"/>
    <w:rsid w:val="007C3CEA"/>
    <w:rsid w:val="007C3D92"/>
    <w:rsid w:val="007C3E98"/>
    <w:rsid w:val="007C5A8F"/>
    <w:rsid w:val="007C5B38"/>
    <w:rsid w:val="007C76E8"/>
    <w:rsid w:val="007D01E6"/>
    <w:rsid w:val="007D035E"/>
    <w:rsid w:val="007D0396"/>
    <w:rsid w:val="007D0644"/>
    <w:rsid w:val="007D095B"/>
    <w:rsid w:val="007D0D07"/>
    <w:rsid w:val="007D0E80"/>
    <w:rsid w:val="007D1801"/>
    <w:rsid w:val="007D198B"/>
    <w:rsid w:val="007D1FE0"/>
    <w:rsid w:val="007D20BB"/>
    <w:rsid w:val="007D261E"/>
    <w:rsid w:val="007D2F61"/>
    <w:rsid w:val="007D3004"/>
    <w:rsid w:val="007D3242"/>
    <w:rsid w:val="007D33F8"/>
    <w:rsid w:val="007D384A"/>
    <w:rsid w:val="007D3D0E"/>
    <w:rsid w:val="007D3D33"/>
    <w:rsid w:val="007D3D42"/>
    <w:rsid w:val="007D41C2"/>
    <w:rsid w:val="007D4F02"/>
    <w:rsid w:val="007D674C"/>
    <w:rsid w:val="007D6B7B"/>
    <w:rsid w:val="007D6CF1"/>
    <w:rsid w:val="007D7131"/>
    <w:rsid w:val="007D7983"/>
    <w:rsid w:val="007D7BEC"/>
    <w:rsid w:val="007D7CE3"/>
    <w:rsid w:val="007E051A"/>
    <w:rsid w:val="007E056E"/>
    <w:rsid w:val="007E0798"/>
    <w:rsid w:val="007E1674"/>
    <w:rsid w:val="007E1B72"/>
    <w:rsid w:val="007E237B"/>
    <w:rsid w:val="007E3EE3"/>
    <w:rsid w:val="007E57DE"/>
    <w:rsid w:val="007E5902"/>
    <w:rsid w:val="007E6719"/>
    <w:rsid w:val="007E68ED"/>
    <w:rsid w:val="007E69ED"/>
    <w:rsid w:val="007E7B2D"/>
    <w:rsid w:val="007F0221"/>
    <w:rsid w:val="007F034B"/>
    <w:rsid w:val="007F07B9"/>
    <w:rsid w:val="007F0928"/>
    <w:rsid w:val="007F15CE"/>
    <w:rsid w:val="007F1E88"/>
    <w:rsid w:val="007F2039"/>
    <w:rsid w:val="007F2CD7"/>
    <w:rsid w:val="007F3568"/>
    <w:rsid w:val="007F3C97"/>
    <w:rsid w:val="007F422D"/>
    <w:rsid w:val="007F4A72"/>
    <w:rsid w:val="007F4DBA"/>
    <w:rsid w:val="007F50FE"/>
    <w:rsid w:val="007F519C"/>
    <w:rsid w:val="007F519E"/>
    <w:rsid w:val="007F534D"/>
    <w:rsid w:val="007F54A2"/>
    <w:rsid w:val="007F54FE"/>
    <w:rsid w:val="007F5535"/>
    <w:rsid w:val="007F5D32"/>
    <w:rsid w:val="007F6B9E"/>
    <w:rsid w:val="007F72DC"/>
    <w:rsid w:val="007F795F"/>
    <w:rsid w:val="0080069C"/>
    <w:rsid w:val="008006FD"/>
    <w:rsid w:val="008008B3"/>
    <w:rsid w:val="00800C77"/>
    <w:rsid w:val="00800EBA"/>
    <w:rsid w:val="0080148D"/>
    <w:rsid w:val="0080156B"/>
    <w:rsid w:val="00801927"/>
    <w:rsid w:val="00801A3A"/>
    <w:rsid w:val="00801A83"/>
    <w:rsid w:val="00803D32"/>
    <w:rsid w:val="00803E10"/>
    <w:rsid w:val="00804114"/>
    <w:rsid w:val="00804634"/>
    <w:rsid w:val="008047E8"/>
    <w:rsid w:val="0080531E"/>
    <w:rsid w:val="00805C3D"/>
    <w:rsid w:val="00806E34"/>
    <w:rsid w:val="00806EB6"/>
    <w:rsid w:val="00806F1D"/>
    <w:rsid w:val="008077ED"/>
    <w:rsid w:val="00807B6F"/>
    <w:rsid w:val="00807E93"/>
    <w:rsid w:val="00810172"/>
    <w:rsid w:val="00810762"/>
    <w:rsid w:val="00810858"/>
    <w:rsid w:val="00810EFF"/>
    <w:rsid w:val="00811314"/>
    <w:rsid w:val="00811964"/>
    <w:rsid w:val="00811A39"/>
    <w:rsid w:val="0081291B"/>
    <w:rsid w:val="008135BC"/>
    <w:rsid w:val="00813622"/>
    <w:rsid w:val="00813DCF"/>
    <w:rsid w:val="00813FAB"/>
    <w:rsid w:val="00814688"/>
    <w:rsid w:val="0081498C"/>
    <w:rsid w:val="00814AE1"/>
    <w:rsid w:val="00815D31"/>
    <w:rsid w:val="0081601F"/>
    <w:rsid w:val="00816064"/>
    <w:rsid w:val="00816DE3"/>
    <w:rsid w:val="008174B2"/>
    <w:rsid w:val="008178C9"/>
    <w:rsid w:val="00817CFF"/>
    <w:rsid w:val="0082000D"/>
    <w:rsid w:val="0082037E"/>
    <w:rsid w:val="00820673"/>
    <w:rsid w:val="00820C9C"/>
    <w:rsid w:val="00820F55"/>
    <w:rsid w:val="00821572"/>
    <w:rsid w:val="00822310"/>
    <w:rsid w:val="00822800"/>
    <w:rsid w:val="00823794"/>
    <w:rsid w:val="008237F4"/>
    <w:rsid w:val="00823F67"/>
    <w:rsid w:val="00824022"/>
    <w:rsid w:val="0082483A"/>
    <w:rsid w:val="008248BD"/>
    <w:rsid w:val="00824A81"/>
    <w:rsid w:val="00824BAE"/>
    <w:rsid w:val="00824ED8"/>
    <w:rsid w:val="008257B8"/>
    <w:rsid w:val="008260ED"/>
    <w:rsid w:val="0082699D"/>
    <w:rsid w:val="00826E6B"/>
    <w:rsid w:val="008274CD"/>
    <w:rsid w:val="008275FD"/>
    <w:rsid w:val="008278DA"/>
    <w:rsid w:val="00830BA1"/>
    <w:rsid w:val="00830EB2"/>
    <w:rsid w:val="0083149B"/>
    <w:rsid w:val="00831652"/>
    <w:rsid w:val="0083202E"/>
    <w:rsid w:val="00832913"/>
    <w:rsid w:val="00832EDA"/>
    <w:rsid w:val="0083304F"/>
    <w:rsid w:val="0083346C"/>
    <w:rsid w:val="008334C9"/>
    <w:rsid w:val="00834122"/>
    <w:rsid w:val="008352C5"/>
    <w:rsid w:val="008358A6"/>
    <w:rsid w:val="008359FB"/>
    <w:rsid w:val="00835C56"/>
    <w:rsid w:val="008360FC"/>
    <w:rsid w:val="00836487"/>
    <w:rsid w:val="00836E81"/>
    <w:rsid w:val="008377C1"/>
    <w:rsid w:val="00837A2A"/>
    <w:rsid w:val="00837C90"/>
    <w:rsid w:val="00837EB1"/>
    <w:rsid w:val="0084042B"/>
    <w:rsid w:val="008409BB"/>
    <w:rsid w:val="0084184A"/>
    <w:rsid w:val="00841C9D"/>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0A93"/>
    <w:rsid w:val="00851728"/>
    <w:rsid w:val="00851849"/>
    <w:rsid w:val="00851DFF"/>
    <w:rsid w:val="00852FA2"/>
    <w:rsid w:val="00853084"/>
    <w:rsid w:val="00853142"/>
    <w:rsid w:val="008540A6"/>
    <w:rsid w:val="00854420"/>
    <w:rsid w:val="00854481"/>
    <w:rsid w:val="00854ADB"/>
    <w:rsid w:val="00856372"/>
    <w:rsid w:val="00857591"/>
    <w:rsid w:val="008575AD"/>
    <w:rsid w:val="00857E88"/>
    <w:rsid w:val="008612DB"/>
    <w:rsid w:val="00861889"/>
    <w:rsid w:val="00861B57"/>
    <w:rsid w:val="00862AC4"/>
    <w:rsid w:val="00862D38"/>
    <w:rsid w:val="008633AC"/>
    <w:rsid w:val="008634E3"/>
    <w:rsid w:val="0086459B"/>
    <w:rsid w:val="00864627"/>
    <w:rsid w:val="00864635"/>
    <w:rsid w:val="00864678"/>
    <w:rsid w:val="00864C1A"/>
    <w:rsid w:val="00865217"/>
    <w:rsid w:val="008658AA"/>
    <w:rsid w:val="00865CBD"/>
    <w:rsid w:val="00866E37"/>
    <w:rsid w:val="00866F9E"/>
    <w:rsid w:val="0086707A"/>
    <w:rsid w:val="008672E2"/>
    <w:rsid w:val="0086793D"/>
    <w:rsid w:val="00867A87"/>
    <w:rsid w:val="00867B1C"/>
    <w:rsid w:val="008713D6"/>
    <w:rsid w:val="00871643"/>
    <w:rsid w:val="0087281D"/>
    <w:rsid w:val="008732D8"/>
    <w:rsid w:val="00873377"/>
    <w:rsid w:val="00873577"/>
    <w:rsid w:val="008738C8"/>
    <w:rsid w:val="0087409F"/>
    <w:rsid w:val="00874D58"/>
    <w:rsid w:val="008750D2"/>
    <w:rsid w:val="00875AB5"/>
    <w:rsid w:val="00875C91"/>
    <w:rsid w:val="00875EC3"/>
    <w:rsid w:val="00875F85"/>
    <w:rsid w:val="00876750"/>
    <w:rsid w:val="00876C6B"/>
    <w:rsid w:val="00876DC9"/>
    <w:rsid w:val="00877125"/>
    <w:rsid w:val="008777C2"/>
    <w:rsid w:val="0088034E"/>
    <w:rsid w:val="008804A4"/>
    <w:rsid w:val="00881511"/>
    <w:rsid w:val="00881FF0"/>
    <w:rsid w:val="00882448"/>
    <w:rsid w:val="00882D18"/>
    <w:rsid w:val="00882EA8"/>
    <w:rsid w:val="00882F1D"/>
    <w:rsid w:val="00883A4D"/>
    <w:rsid w:val="00883B21"/>
    <w:rsid w:val="00883D2F"/>
    <w:rsid w:val="00883F8F"/>
    <w:rsid w:val="00884235"/>
    <w:rsid w:val="00885038"/>
    <w:rsid w:val="00885285"/>
    <w:rsid w:val="008856BA"/>
    <w:rsid w:val="008857A9"/>
    <w:rsid w:val="00885985"/>
    <w:rsid w:val="00886514"/>
    <w:rsid w:val="00886699"/>
    <w:rsid w:val="0088709A"/>
    <w:rsid w:val="0089088A"/>
    <w:rsid w:val="00890B25"/>
    <w:rsid w:val="00890EB7"/>
    <w:rsid w:val="0089199F"/>
    <w:rsid w:val="00891C32"/>
    <w:rsid w:val="00891D7F"/>
    <w:rsid w:val="00892265"/>
    <w:rsid w:val="0089233E"/>
    <w:rsid w:val="008926C8"/>
    <w:rsid w:val="0089330E"/>
    <w:rsid w:val="00893A8E"/>
    <w:rsid w:val="00893CD6"/>
    <w:rsid w:val="00893E27"/>
    <w:rsid w:val="00894263"/>
    <w:rsid w:val="00894439"/>
    <w:rsid w:val="008945F7"/>
    <w:rsid w:val="0089463D"/>
    <w:rsid w:val="008949BC"/>
    <w:rsid w:val="00894B8E"/>
    <w:rsid w:val="0089554F"/>
    <w:rsid w:val="008955E6"/>
    <w:rsid w:val="00895B5F"/>
    <w:rsid w:val="0089637C"/>
    <w:rsid w:val="00896712"/>
    <w:rsid w:val="00896870"/>
    <w:rsid w:val="008969BD"/>
    <w:rsid w:val="008970B1"/>
    <w:rsid w:val="008A0979"/>
    <w:rsid w:val="008A13BD"/>
    <w:rsid w:val="008A1462"/>
    <w:rsid w:val="008A1596"/>
    <w:rsid w:val="008A1EDF"/>
    <w:rsid w:val="008A2695"/>
    <w:rsid w:val="008A2DC9"/>
    <w:rsid w:val="008A2FB2"/>
    <w:rsid w:val="008A2FF1"/>
    <w:rsid w:val="008A30DF"/>
    <w:rsid w:val="008A32D4"/>
    <w:rsid w:val="008A367F"/>
    <w:rsid w:val="008A37AF"/>
    <w:rsid w:val="008A3D62"/>
    <w:rsid w:val="008A448D"/>
    <w:rsid w:val="008A4A55"/>
    <w:rsid w:val="008A506F"/>
    <w:rsid w:val="008A528A"/>
    <w:rsid w:val="008A5298"/>
    <w:rsid w:val="008A535A"/>
    <w:rsid w:val="008A57D4"/>
    <w:rsid w:val="008A720F"/>
    <w:rsid w:val="008A7890"/>
    <w:rsid w:val="008A7C72"/>
    <w:rsid w:val="008B04F2"/>
    <w:rsid w:val="008B0D0E"/>
    <w:rsid w:val="008B12BB"/>
    <w:rsid w:val="008B1411"/>
    <w:rsid w:val="008B17A2"/>
    <w:rsid w:val="008B25F2"/>
    <w:rsid w:val="008B2643"/>
    <w:rsid w:val="008B2FAE"/>
    <w:rsid w:val="008B3317"/>
    <w:rsid w:val="008B4136"/>
    <w:rsid w:val="008B414B"/>
    <w:rsid w:val="008B4E0E"/>
    <w:rsid w:val="008B4FB9"/>
    <w:rsid w:val="008B5715"/>
    <w:rsid w:val="008B5A2D"/>
    <w:rsid w:val="008B5BC2"/>
    <w:rsid w:val="008B60BB"/>
    <w:rsid w:val="008B6732"/>
    <w:rsid w:val="008B68EC"/>
    <w:rsid w:val="008B711E"/>
    <w:rsid w:val="008B723A"/>
    <w:rsid w:val="008C042F"/>
    <w:rsid w:val="008C057B"/>
    <w:rsid w:val="008C0CAC"/>
    <w:rsid w:val="008C13B4"/>
    <w:rsid w:val="008C1557"/>
    <w:rsid w:val="008C1B8C"/>
    <w:rsid w:val="008C2306"/>
    <w:rsid w:val="008C26D1"/>
    <w:rsid w:val="008C2B7F"/>
    <w:rsid w:val="008C345F"/>
    <w:rsid w:val="008C36AC"/>
    <w:rsid w:val="008C370E"/>
    <w:rsid w:val="008C4953"/>
    <w:rsid w:val="008C4E44"/>
    <w:rsid w:val="008C5853"/>
    <w:rsid w:val="008C6255"/>
    <w:rsid w:val="008C684B"/>
    <w:rsid w:val="008C6ABD"/>
    <w:rsid w:val="008C6F18"/>
    <w:rsid w:val="008C7685"/>
    <w:rsid w:val="008C768E"/>
    <w:rsid w:val="008D007A"/>
    <w:rsid w:val="008D07DE"/>
    <w:rsid w:val="008D0831"/>
    <w:rsid w:val="008D0C1B"/>
    <w:rsid w:val="008D0E40"/>
    <w:rsid w:val="008D0E72"/>
    <w:rsid w:val="008D11E2"/>
    <w:rsid w:val="008D133C"/>
    <w:rsid w:val="008D1A38"/>
    <w:rsid w:val="008D1E7F"/>
    <w:rsid w:val="008D2367"/>
    <w:rsid w:val="008D2FAD"/>
    <w:rsid w:val="008D427A"/>
    <w:rsid w:val="008D4466"/>
    <w:rsid w:val="008D4DD5"/>
    <w:rsid w:val="008D5657"/>
    <w:rsid w:val="008D5E6D"/>
    <w:rsid w:val="008D66B4"/>
    <w:rsid w:val="008D6752"/>
    <w:rsid w:val="008D69E7"/>
    <w:rsid w:val="008D6FC1"/>
    <w:rsid w:val="008E0140"/>
    <w:rsid w:val="008E0688"/>
    <w:rsid w:val="008E0BEF"/>
    <w:rsid w:val="008E266D"/>
    <w:rsid w:val="008E2F0C"/>
    <w:rsid w:val="008E3790"/>
    <w:rsid w:val="008E3E23"/>
    <w:rsid w:val="008E547B"/>
    <w:rsid w:val="008E56C1"/>
    <w:rsid w:val="008E5DF8"/>
    <w:rsid w:val="008E69BE"/>
    <w:rsid w:val="008F0250"/>
    <w:rsid w:val="008F07C6"/>
    <w:rsid w:val="008F11F4"/>
    <w:rsid w:val="008F1952"/>
    <w:rsid w:val="008F254D"/>
    <w:rsid w:val="008F2E0A"/>
    <w:rsid w:val="008F310B"/>
    <w:rsid w:val="008F322B"/>
    <w:rsid w:val="008F34CB"/>
    <w:rsid w:val="008F3519"/>
    <w:rsid w:val="008F3AD3"/>
    <w:rsid w:val="008F3BA3"/>
    <w:rsid w:val="008F3CA7"/>
    <w:rsid w:val="008F443F"/>
    <w:rsid w:val="008F5DE5"/>
    <w:rsid w:val="008F5E42"/>
    <w:rsid w:val="008F63B1"/>
    <w:rsid w:val="008F6973"/>
    <w:rsid w:val="008F6C9F"/>
    <w:rsid w:val="008F6D49"/>
    <w:rsid w:val="008F6E6A"/>
    <w:rsid w:val="008F7839"/>
    <w:rsid w:val="008F7AA7"/>
    <w:rsid w:val="00900947"/>
    <w:rsid w:val="00900A3A"/>
    <w:rsid w:val="00900EB8"/>
    <w:rsid w:val="00900FBA"/>
    <w:rsid w:val="00901F6F"/>
    <w:rsid w:val="009029D9"/>
    <w:rsid w:val="00902E5B"/>
    <w:rsid w:val="00903FD9"/>
    <w:rsid w:val="00904635"/>
    <w:rsid w:val="00904AFF"/>
    <w:rsid w:val="00904C5A"/>
    <w:rsid w:val="00904CF5"/>
    <w:rsid w:val="00905259"/>
    <w:rsid w:val="0090556C"/>
    <w:rsid w:val="00905633"/>
    <w:rsid w:val="00905EAE"/>
    <w:rsid w:val="009060C4"/>
    <w:rsid w:val="00906C91"/>
    <w:rsid w:val="00906C95"/>
    <w:rsid w:val="00907656"/>
    <w:rsid w:val="00907E47"/>
    <w:rsid w:val="00910434"/>
    <w:rsid w:val="009107E5"/>
    <w:rsid w:val="009115EF"/>
    <w:rsid w:val="009116DD"/>
    <w:rsid w:val="00912D1C"/>
    <w:rsid w:val="00913019"/>
    <w:rsid w:val="009131B1"/>
    <w:rsid w:val="00913F1E"/>
    <w:rsid w:val="00913FB2"/>
    <w:rsid w:val="009140C4"/>
    <w:rsid w:val="009144A9"/>
    <w:rsid w:val="0091468B"/>
    <w:rsid w:val="00914B10"/>
    <w:rsid w:val="0091526F"/>
    <w:rsid w:val="009153D2"/>
    <w:rsid w:val="00916286"/>
    <w:rsid w:val="00916595"/>
    <w:rsid w:val="00916C47"/>
    <w:rsid w:val="009171AD"/>
    <w:rsid w:val="00917569"/>
    <w:rsid w:val="00920174"/>
    <w:rsid w:val="009219D2"/>
    <w:rsid w:val="00921A4E"/>
    <w:rsid w:val="00921E37"/>
    <w:rsid w:val="00921F40"/>
    <w:rsid w:val="00922511"/>
    <w:rsid w:val="009225C9"/>
    <w:rsid w:val="00922F07"/>
    <w:rsid w:val="00923463"/>
    <w:rsid w:val="00925238"/>
    <w:rsid w:val="00925ACF"/>
    <w:rsid w:val="0092615D"/>
    <w:rsid w:val="0092616C"/>
    <w:rsid w:val="00926546"/>
    <w:rsid w:val="009265A1"/>
    <w:rsid w:val="00926CEE"/>
    <w:rsid w:val="00927700"/>
    <w:rsid w:val="0093036E"/>
    <w:rsid w:val="00930CA4"/>
    <w:rsid w:val="00931224"/>
    <w:rsid w:val="009317D1"/>
    <w:rsid w:val="00932287"/>
    <w:rsid w:val="00932428"/>
    <w:rsid w:val="0093246A"/>
    <w:rsid w:val="009333D3"/>
    <w:rsid w:val="009339B6"/>
    <w:rsid w:val="00933A8D"/>
    <w:rsid w:val="00933B4C"/>
    <w:rsid w:val="00933DC4"/>
    <w:rsid w:val="0093431B"/>
    <w:rsid w:val="009346D6"/>
    <w:rsid w:val="00934743"/>
    <w:rsid w:val="0093487E"/>
    <w:rsid w:val="00934FFE"/>
    <w:rsid w:val="00936020"/>
    <w:rsid w:val="00936405"/>
    <w:rsid w:val="00936B64"/>
    <w:rsid w:val="009379C4"/>
    <w:rsid w:val="0094041A"/>
    <w:rsid w:val="009405A1"/>
    <w:rsid w:val="00940D32"/>
    <w:rsid w:val="0094190D"/>
    <w:rsid w:val="00941E9E"/>
    <w:rsid w:val="00942354"/>
    <w:rsid w:val="00942681"/>
    <w:rsid w:val="009427AB"/>
    <w:rsid w:val="00942946"/>
    <w:rsid w:val="009438B6"/>
    <w:rsid w:val="00943A7E"/>
    <w:rsid w:val="00943E42"/>
    <w:rsid w:val="00943E5D"/>
    <w:rsid w:val="00944728"/>
    <w:rsid w:val="009447C6"/>
    <w:rsid w:val="00944DE9"/>
    <w:rsid w:val="009453E8"/>
    <w:rsid w:val="00945664"/>
    <w:rsid w:val="0094574D"/>
    <w:rsid w:val="00945AD1"/>
    <w:rsid w:val="00945CED"/>
    <w:rsid w:val="009465B0"/>
    <w:rsid w:val="00946ECB"/>
    <w:rsid w:val="00947268"/>
    <w:rsid w:val="0094750E"/>
    <w:rsid w:val="00947C94"/>
    <w:rsid w:val="009507C8"/>
    <w:rsid w:val="0095115E"/>
    <w:rsid w:val="0095118A"/>
    <w:rsid w:val="00951CEC"/>
    <w:rsid w:val="00952468"/>
    <w:rsid w:val="009530EC"/>
    <w:rsid w:val="00954767"/>
    <w:rsid w:val="0095487A"/>
    <w:rsid w:val="009548FB"/>
    <w:rsid w:val="0095538B"/>
    <w:rsid w:val="00956334"/>
    <w:rsid w:val="00957670"/>
    <w:rsid w:val="00957AF7"/>
    <w:rsid w:val="0096065E"/>
    <w:rsid w:val="00960ACA"/>
    <w:rsid w:val="00960C4F"/>
    <w:rsid w:val="0096217C"/>
    <w:rsid w:val="00962378"/>
    <w:rsid w:val="00962441"/>
    <w:rsid w:val="0096296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761"/>
    <w:rsid w:val="00971B61"/>
    <w:rsid w:val="0097216F"/>
    <w:rsid w:val="00972AFE"/>
    <w:rsid w:val="00972C3B"/>
    <w:rsid w:val="00973057"/>
    <w:rsid w:val="00974D50"/>
    <w:rsid w:val="009751AF"/>
    <w:rsid w:val="00975326"/>
    <w:rsid w:val="00975DEA"/>
    <w:rsid w:val="00976399"/>
    <w:rsid w:val="00976FAC"/>
    <w:rsid w:val="009773E3"/>
    <w:rsid w:val="00977CDF"/>
    <w:rsid w:val="0098043F"/>
    <w:rsid w:val="009804E2"/>
    <w:rsid w:val="009809E6"/>
    <w:rsid w:val="00981038"/>
    <w:rsid w:val="0098106E"/>
    <w:rsid w:val="00981511"/>
    <w:rsid w:val="00981D1C"/>
    <w:rsid w:val="00981E1C"/>
    <w:rsid w:val="00982118"/>
    <w:rsid w:val="00982C62"/>
    <w:rsid w:val="00982C91"/>
    <w:rsid w:val="00982F76"/>
    <w:rsid w:val="00982FA3"/>
    <w:rsid w:val="00983588"/>
    <w:rsid w:val="009836AA"/>
    <w:rsid w:val="009840FD"/>
    <w:rsid w:val="00984701"/>
    <w:rsid w:val="00984847"/>
    <w:rsid w:val="00984BEC"/>
    <w:rsid w:val="00985328"/>
    <w:rsid w:val="00985EB8"/>
    <w:rsid w:val="00985FB3"/>
    <w:rsid w:val="00986566"/>
    <w:rsid w:val="00986CC1"/>
    <w:rsid w:val="00986F4E"/>
    <w:rsid w:val="00987191"/>
    <w:rsid w:val="00987A5A"/>
    <w:rsid w:val="00987CB4"/>
    <w:rsid w:val="0099097E"/>
    <w:rsid w:val="00991265"/>
    <w:rsid w:val="0099132A"/>
    <w:rsid w:val="009921FC"/>
    <w:rsid w:val="0099272B"/>
    <w:rsid w:val="00992A0E"/>
    <w:rsid w:val="00993755"/>
    <w:rsid w:val="0099399E"/>
    <w:rsid w:val="0099413C"/>
    <w:rsid w:val="00994230"/>
    <w:rsid w:val="00994522"/>
    <w:rsid w:val="00994581"/>
    <w:rsid w:val="0099479E"/>
    <w:rsid w:val="009951D8"/>
    <w:rsid w:val="00995355"/>
    <w:rsid w:val="0099586F"/>
    <w:rsid w:val="00995AD0"/>
    <w:rsid w:val="0099719E"/>
    <w:rsid w:val="00997431"/>
    <w:rsid w:val="00997A8A"/>
    <w:rsid w:val="009A0169"/>
    <w:rsid w:val="009A0562"/>
    <w:rsid w:val="009A0D63"/>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74A"/>
    <w:rsid w:val="009B1B0E"/>
    <w:rsid w:val="009B2596"/>
    <w:rsid w:val="009B2D14"/>
    <w:rsid w:val="009B42B6"/>
    <w:rsid w:val="009B42CC"/>
    <w:rsid w:val="009B43D6"/>
    <w:rsid w:val="009B4557"/>
    <w:rsid w:val="009B5081"/>
    <w:rsid w:val="009B6536"/>
    <w:rsid w:val="009B6985"/>
    <w:rsid w:val="009B69B3"/>
    <w:rsid w:val="009B69DB"/>
    <w:rsid w:val="009B7011"/>
    <w:rsid w:val="009B71E4"/>
    <w:rsid w:val="009C04EE"/>
    <w:rsid w:val="009C0CD4"/>
    <w:rsid w:val="009C15E7"/>
    <w:rsid w:val="009C17C8"/>
    <w:rsid w:val="009C3535"/>
    <w:rsid w:val="009C385B"/>
    <w:rsid w:val="009C3E3C"/>
    <w:rsid w:val="009C4353"/>
    <w:rsid w:val="009C456F"/>
    <w:rsid w:val="009C49C2"/>
    <w:rsid w:val="009C4E2D"/>
    <w:rsid w:val="009C62C0"/>
    <w:rsid w:val="009C6690"/>
    <w:rsid w:val="009C6960"/>
    <w:rsid w:val="009C6A88"/>
    <w:rsid w:val="009C72BD"/>
    <w:rsid w:val="009C765D"/>
    <w:rsid w:val="009C7763"/>
    <w:rsid w:val="009C7ADA"/>
    <w:rsid w:val="009C7FC3"/>
    <w:rsid w:val="009D000A"/>
    <w:rsid w:val="009D1A86"/>
    <w:rsid w:val="009D1E12"/>
    <w:rsid w:val="009D2DA9"/>
    <w:rsid w:val="009D2E93"/>
    <w:rsid w:val="009D2EA9"/>
    <w:rsid w:val="009D3038"/>
    <w:rsid w:val="009D34C0"/>
    <w:rsid w:val="009D35FB"/>
    <w:rsid w:val="009D3C40"/>
    <w:rsid w:val="009D4BBE"/>
    <w:rsid w:val="009D4E16"/>
    <w:rsid w:val="009D5893"/>
    <w:rsid w:val="009D6559"/>
    <w:rsid w:val="009D6620"/>
    <w:rsid w:val="009D6C54"/>
    <w:rsid w:val="009D70F3"/>
    <w:rsid w:val="009D72B0"/>
    <w:rsid w:val="009D77AB"/>
    <w:rsid w:val="009D77CE"/>
    <w:rsid w:val="009D7DE3"/>
    <w:rsid w:val="009E004A"/>
    <w:rsid w:val="009E066B"/>
    <w:rsid w:val="009E1515"/>
    <w:rsid w:val="009E1CFF"/>
    <w:rsid w:val="009E1FEE"/>
    <w:rsid w:val="009E23EA"/>
    <w:rsid w:val="009E2D24"/>
    <w:rsid w:val="009E2EA0"/>
    <w:rsid w:val="009E305F"/>
    <w:rsid w:val="009E3554"/>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19D3"/>
    <w:rsid w:val="009F245B"/>
    <w:rsid w:val="009F25E6"/>
    <w:rsid w:val="009F2BE8"/>
    <w:rsid w:val="009F2F09"/>
    <w:rsid w:val="009F3997"/>
    <w:rsid w:val="009F39A7"/>
    <w:rsid w:val="009F40B7"/>
    <w:rsid w:val="009F413B"/>
    <w:rsid w:val="009F4188"/>
    <w:rsid w:val="009F4302"/>
    <w:rsid w:val="009F4393"/>
    <w:rsid w:val="009F4BE9"/>
    <w:rsid w:val="009F4DDC"/>
    <w:rsid w:val="009F5FFB"/>
    <w:rsid w:val="009F62D3"/>
    <w:rsid w:val="009F713C"/>
    <w:rsid w:val="00A00112"/>
    <w:rsid w:val="00A008B5"/>
    <w:rsid w:val="00A017B4"/>
    <w:rsid w:val="00A018B9"/>
    <w:rsid w:val="00A01C53"/>
    <w:rsid w:val="00A01D38"/>
    <w:rsid w:val="00A01FAB"/>
    <w:rsid w:val="00A02414"/>
    <w:rsid w:val="00A025B9"/>
    <w:rsid w:val="00A0355C"/>
    <w:rsid w:val="00A03684"/>
    <w:rsid w:val="00A03A13"/>
    <w:rsid w:val="00A03DF0"/>
    <w:rsid w:val="00A03E13"/>
    <w:rsid w:val="00A040CD"/>
    <w:rsid w:val="00A040F4"/>
    <w:rsid w:val="00A04429"/>
    <w:rsid w:val="00A05077"/>
    <w:rsid w:val="00A06446"/>
    <w:rsid w:val="00A06697"/>
    <w:rsid w:val="00A06C40"/>
    <w:rsid w:val="00A10586"/>
    <w:rsid w:val="00A10A48"/>
    <w:rsid w:val="00A110DA"/>
    <w:rsid w:val="00A1132B"/>
    <w:rsid w:val="00A11930"/>
    <w:rsid w:val="00A11A3F"/>
    <w:rsid w:val="00A11A9D"/>
    <w:rsid w:val="00A11B54"/>
    <w:rsid w:val="00A11CDC"/>
    <w:rsid w:val="00A1238C"/>
    <w:rsid w:val="00A1263D"/>
    <w:rsid w:val="00A12AF2"/>
    <w:rsid w:val="00A12D8A"/>
    <w:rsid w:val="00A12E6C"/>
    <w:rsid w:val="00A136D0"/>
    <w:rsid w:val="00A13D1A"/>
    <w:rsid w:val="00A1405B"/>
    <w:rsid w:val="00A14DC2"/>
    <w:rsid w:val="00A14DD6"/>
    <w:rsid w:val="00A14FEB"/>
    <w:rsid w:val="00A15D5E"/>
    <w:rsid w:val="00A161F8"/>
    <w:rsid w:val="00A1667E"/>
    <w:rsid w:val="00A169FA"/>
    <w:rsid w:val="00A1766A"/>
    <w:rsid w:val="00A200F4"/>
    <w:rsid w:val="00A206C9"/>
    <w:rsid w:val="00A20C27"/>
    <w:rsid w:val="00A20E7D"/>
    <w:rsid w:val="00A216BC"/>
    <w:rsid w:val="00A224C9"/>
    <w:rsid w:val="00A22813"/>
    <w:rsid w:val="00A23931"/>
    <w:rsid w:val="00A23FD6"/>
    <w:rsid w:val="00A24E54"/>
    <w:rsid w:val="00A24F6D"/>
    <w:rsid w:val="00A25317"/>
    <w:rsid w:val="00A25348"/>
    <w:rsid w:val="00A25706"/>
    <w:rsid w:val="00A25D84"/>
    <w:rsid w:val="00A26029"/>
    <w:rsid w:val="00A262E4"/>
    <w:rsid w:val="00A268EA"/>
    <w:rsid w:val="00A26CA5"/>
    <w:rsid w:val="00A27012"/>
    <w:rsid w:val="00A278EE"/>
    <w:rsid w:val="00A27B85"/>
    <w:rsid w:val="00A27C6B"/>
    <w:rsid w:val="00A313C7"/>
    <w:rsid w:val="00A31C96"/>
    <w:rsid w:val="00A31CE0"/>
    <w:rsid w:val="00A31FA9"/>
    <w:rsid w:val="00A32529"/>
    <w:rsid w:val="00A32C0A"/>
    <w:rsid w:val="00A333BF"/>
    <w:rsid w:val="00A33825"/>
    <w:rsid w:val="00A3398F"/>
    <w:rsid w:val="00A34DE4"/>
    <w:rsid w:val="00A35583"/>
    <w:rsid w:val="00A363EF"/>
    <w:rsid w:val="00A36DFE"/>
    <w:rsid w:val="00A370FD"/>
    <w:rsid w:val="00A3798C"/>
    <w:rsid w:val="00A37DD9"/>
    <w:rsid w:val="00A4052F"/>
    <w:rsid w:val="00A4084F"/>
    <w:rsid w:val="00A40E46"/>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47D81"/>
    <w:rsid w:val="00A501B2"/>
    <w:rsid w:val="00A5034A"/>
    <w:rsid w:val="00A50FFA"/>
    <w:rsid w:val="00A521C0"/>
    <w:rsid w:val="00A52952"/>
    <w:rsid w:val="00A539D1"/>
    <w:rsid w:val="00A53F94"/>
    <w:rsid w:val="00A54DAE"/>
    <w:rsid w:val="00A56AB2"/>
    <w:rsid w:val="00A56D3B"/>
    <w:rsid w:val="00A56FFB"/>
    <w:rsid w:val="00A57450"/>
    <w:rsid w:val="00A57479"/>
    <w:rsid w:val="00A57C08"/>
    <w:rsid w:val="00A600D9"/>
    <w:rsid w:val="00A604CD"/>
    <w:rsid w:val="00A62183"/>
    <w:rsid w:val="00A637A0"/>
    <w:rsid w:val="00A63ECD"/>
    <w:rsid w:val="00A64093"/>
    <w:rsid w:val="00A640EB"/>
    <w:rsid w:val="00A64815"/>
    <w:rsid w:val="00A64A33"/>
    <w:rsid w:val="00A65043"/>
    <w:rsid w:val="00A6566C"/>
    <w:rsid w:val="00A667E8"/>
    <w:rsid w:val="00A66DF9"/>
    <w:rsid w:val="00A704E4"/>
    <w:rsid w:val="00A7136A"/>
    <w:rsid w:val="00A71C44"/>
    <w:rsid w:val="00A72079"/>
    <w:rsid w:val="00A72296"/>
    <w:rsid w:val="00A7388E"/>
    <w:rsid w:val="00A74544"/>
    <w:rsid w:val="00A74548"/>
    <w:rsid w:val="00A74DF2"/>
    <w:rsid w:val="00A74E33"/>
    <w:rsid w:val="00A74E4D"/>
    <w:rsid w:val="00A7541F"/>
    <w:rsid w:val="00A7592E"/>
    <w:rsid w:val="00A76C1F"/>
    <w:rsid w:val="00A803FC"/>
    <w:rsid w:val="00A8071A"/>
    <w:rsid w:val="00A807DF"/>
    <w:rsid w:val="00A808F6"/>
    <w:rsid w:val="00A80DD9"/>
    <w:rsid w:val="00A80FCA"/>
    <w:rsid w:val="00A81CBC"/>
    <w:rsid w:val="00A82506"/>
    <w:rsid w:val="00A837CE"/>
    <w:rsid w:val="00A83DB5"/>
    <w:rsid w:val="00A83FBA"/>
    <w:rsid w:val="00A84636"/>
    <w:rsid w:val="00A84FE1"/>
    <w:rsid w:val="00A85080"/>
    <w:rsid w:val="00A856AB"/>
    <w:rsid w:val="00A85A2C"/>
    <w:rsid w:val="00A86406"/>
    <w:rsid w:val="00A86853"/>
    <w:rsid w:val="00A86B75"/>
    <w:rsid w:val="00A86D43"/>
    <w:rsid w:val="00A86E75"/>
    <w:rsid w:val="00A86F33"/>
    <w:rsid w:val="00A900C9"/>
    <w:rsid w:val="00A9065F"/>
    <w:rsid w:val="00A90B0E"/>
    <w:rsid w:val="00A91AA1"/>
    <w:rsid w:val="00A91C8C"/>
    <w:rsid w:val="00A91F0D"/>
    <w:rsid w:val="00A9235A"/>
    <w:rsid w:val="00A92FF7"/>
    <w:rsid w:val="00A93069"/>
    <w:rsid w:val="00A933D8"/>
    <w:rsid w:val="00A9350A"/>
    <w:rsid w:val="00A9468F"/>
    <w:rsid w:val="00A9498D"/>
    <w:rsid w:val="00A95004"/>
    <w:rsid w:val="00A95335"/>
    <w:rsid w:val="00A9566B"/>
    <w:rsid w:val="00A9657F"/>
    <w:rsid w:val="00A967B3"/>
    <w:rsid w:val="00A9797D"/>
    <w:rsid w:val="00A97DF3"/>
    <w:rsid w:val="00A97E86"/>
    <w:rsid w:val="00AA015F"/>
    <w:rsid w:val="00AA05C9"/>
    <w:rsid w:val="00AA0C3A"/>
    <w:rsid w:val="00AA116D"/>
    <w:rsid w:val="00AA1723"/>
    <w:rsid w:val="00AA177E"/>
    <w:rsid w:val="00AA190D"/>
    <w:rsid w:val="00AA1FDD"/>
    <w:rsid w:val="00AA21D5"/>
    <w:rsid w:val="00AA22C3"/>
    <w:rsid w:val="00AA230D"/>
    <w:rsid w:val="00AA34C1"/>
    <w:rsid w:val="00AA4941"/>
    <w:rsid w:val="00AA49E9"/>
    <w:rsid w:val="00AA5475"/>
    <w:rsid w:val="00AA5876"/>
    <w:rsid w:val="00AA6A8A"/>
    <w:rsid w:val="00AA6DD8"/>
    <w:rsid w:val="00AA6F3A"/>
    <w:rsid w:val="00AA6FA3"/>
    <w:rsid w:val="00AA70BB"/>
    <w:rsid w:val="00AA757C"/>
    <w:rsid w:val="00AA7F10"/>
    <w:rsid w:val="00AB0391"/>
    <w:rsid w:val="00AB18AC"/>
    <w:rsid w:val="00AB1916"/>
    <w:rsid w:val="00AB2151"/>
    <w:rsid w:val="00AB2316"/>
    <w:rsid w:val="00AB2C59"/>
    <w:rsid w:val="00AB2C8A"/>
    <w:rsid w:val="00AB3CB4"/>
    <w:rsid w:val="00AB42B6"/>
    <w:rsid w:val="00AB48A9"/>
    <w:rsid w:val="00AB4D67"/>
    <w:rsid w:val="00AB545D"/>
    <w:rsid w:val="00AB54D7"/>
    <w:rsid w:val="00AB57D3"/>
    <w:rsid w:val="00AB57EB"/>
    <w:rsid w:val="00AB6886"/>
    <w:rsid w:val="00AB6AE4"/>
    <w:rsid w:val="00AB6C6C"/>
    <w:rsid w:val="00AB6E00"/>
    <w:rsid w:val="00AB6F37"/>
    <w:rsid w:val="00AB769E"/>
    <w:rsid w:val="00AB7D55"/>
    <w:rsid w:val="00AC0681"/>
    <w:rsid w:val="00AC154B"/>
    <w:rsid w:val="00AC1B72"/>
    <w:rsid w:val="00AC26FE"/>
    <w:rsid w:val="00AC2EBA"/>
    <w:rsid w:val="00AC350D"/>
    <w:rsid w:val="00AC3568"/>
    <w:rsid w:val="00AC3CF2"/>
    <w:rsid w:val="00AC43E4"/>
    <w:rsid w:val="00AC47EC"/>
    <w:rsid w:val="00AC4AF4"/>
    <w:rsid w:val="00AC4E5D"/>
    <w:rsid w:val="00AC5303"/>
    <w:rsid w:val="00AC5D15"/>
    <w:rsid w:val="00AC6C53"/>
    <w:rsid w:val="00AC6E85"/>
    <w:rsid w:val="00AC6EA7"/>
    <w:rsid w:val="00AC7284"/>
    <w:rsid w:val="00AC7CE6"/>
    <w:rsid w:val="00AD0828"/>
    <w:rsid w:val="00AD0910"/>
    <w:rsid w:val="00AD0B13"/>
    <w:rsid w:val="00AD0E69"/>
    <w:rsid w:val="00AD103D"/>
    <w:rsid w:val="00AD159C"/>
    <w:rsid w:val="00AD17FA"/>
    <w:rsid w:val="00AD19EC"/>
    <w:rsid w:val="00AD2717"/>
    <w:rsid w:val="00AD3B7E"/>
    <w:rsid w:val="00AD3DC4"/>
    <w:rsid w:val="00AD4F11"/>
    <w:rsid w:val="00AD4FF4"/>
    <w:rsid w:val="00AD531D"/>
    <w:rsid w:val="00AD600C"/>
    <w:rsid w:val="00AD63D6"/>
    <w:rsid w:val="00AD6CD5"/>
    <w:rsid w:val="00AD733B"/>
    <w:rsid w:val="00AD7937"/>
    <w:rsid w:val="00AD7CA7"/>
    <w:rsid w:val="00AE0040"/>
    <w:rsid w:val="00AE0A61"/>
    <w:rsid w:val="00AE11A0"/>
    <w:rsid w:val="00AE1426"/>
    <w:rsid w:val="00AE184D"/>
    <w:rsid w:val="00AE1C03"/>
    <w:rsid w:val="00AE23E3"/>
    <w:rsid w:val="00AE2F65"/>
    <w:rsid w:val="00AE317E"/>
    <w:rsid w:val="00AE35A5"/>
    <w:rsid w:val="00AE4E2A"/>
    <w:rsid w:val="00AE5CF9"/>
    <w:rsid w:val="00AE5DB6"/>
    <w:rsid w:val="00AE5E0F"/>
    <w:rsid w:val="00AE6629"/>
    <w:rsid w:val="00AE6C3C"/>
    <w:rsid w:val="00AE702E"/>
    <w:rsid w:val="00AE73E0"/>
    <w:rsid w:val="00AF03C0"/>
    <w:rsid w:val="00AF166F"/>
    <w:rsid w:val="00AF1A18"/>
    <w:rsid w:val="00AF1C03"/>
    <w:rsid w:val="00AF281A"/>
    <w:rsid w:val="00AF3143"/>
    <w:rsid w:val="00AF39AF"/>
    <w:rsid w:val="00AF3E3B"/>
    <w:rsid w:val="00AF3E5A"/>
    <w:rsid w:val="00AF4631"/>
    <w:rsid w:val="00AF46FE"/>
    <w:rsid w:val="00AF486F"/>
    <w:rsid w:val="00AF548B"/>
    <w:rsid w:val="00AF55E0"/>
    <w:rsid w:val="00AF5666"/>
    <w:rsid w:val="00AF5870"/>
    <w:rsid w:val="00AF6619"/>
    <w:rsid w:val="00AF6CFD"/>
    <w:rsid w:val="00AF6F20"/>
    <w:rsid w:val="00AF7CFA"/>
    <w:rsid w:val="00AF7DC1"/>
    <w:rsid w:val="00B000AE"/>
    <w:rsid w:val="00B0040B"/>
    <w:rsid w:val="00B00830"/>
    <w:rsid w:val="00B00AB5"/>
    <w:rsid w:val="00B00CC0"/>
    <w:rsid w:val="00B00F5C"/>
    <w:rsid w:val="00B019C1"/>
    <w:rsid w:val="00B0236E"/>
    <w:rsid w:val="00B02506"/>
    <w:rsid w:val="00B02ACE"/>
    <w:rsid w:val="00B02FBF"/>
    <w:rsid w:val="00B0364C"/>
    <w:rsid w:val="00B03785"/>
    <w:rsid w:val="00B03913"/>
    <w:rsid w:val="00B04126"/>
    <w:rsid w:val="00B04CEA"/>
    <w:rsid w:val="00B05607"/>
    <w:rsid w:val="00B05A08"/>
    <w:rsid w:val="00B05F14"/>
    <w:rsid w:val="00B06737"/>
    <w:rsid w:val="00B0784C"/>
    <w:rsid w:val="00B07CE9"/>
    <w:rsid w:val="00B101D5"/>
    <w:rsid w:val="00B10633"/>
    <w:rsid w:val="00B10B08"/>
    <w:rsid w:val="00B11A78"/>
    <w:rsid w:val="00B11C22"/>
    <w:rsid w:val="00B11CFB"/>
    <w:rsid w:val="00B12111"/>
    <w:rsid w:val="00B13E18"/>
    <w:rsid w:val="00B14109"/>
    <w:rsid w:val="00B14410"/>
    <w:rsid w:val="00B1486D"/>
    <w:rsid w:val="00B14D37"/>
    <w:rsid w:val="00B150D6"/>
    <w:rsid w:val="00B15373"/>
    <w:rsid w:val="00B15639"/>
    <w:rsid w:val="00B15D15"/>
    <w:rsid w:val="00B15E42"/>
    <w:rsid w:val="00B15EEE"/>
    <w:rsid w:val="00B16198"/>
    <w:rsid w:val="00B16A2C"/>
    <w:rsid w:val="00B16FB6"/>
    <w:rsid w:val="00B17022"/>
    <w:rsid w:val="00B20DB1"/>
    <w:rsid w:val="00B21736"/>
    <w:rsid w:val="00B218B1"/>
    <w:rsid w:val="00B21A33"/>
    <w:rsid w:val="00B21C89"/>
    <w:rsid w:val="00B22288"/>
    <w:rsid w:val="00B224AA"/>
    <w:rsid w:val="00B22998"/>
    <w:rsid w:val="00B229FE"/>
    <w:rsid w:val="00B2302B"/>
    <w:rsid w:val="00B24363"/>
    <w:rsid w:val="00B2456E"/>
    <w:rsid w:val="00B2467C"/>
    <w:rsid w:val="00B24933"/>
    <w:rsid w:val="00B24979"/>
    <w:rsid w:val="00B250A5"/>
    <w:rsid w:val="00B25651"/>
    <w:rsid w:val="00B2597C"/>
    <w:rsid w:val="00B26937"/>
    <w:rsid w:val="00B30243"/>
    <w:rsid w:val="00B30421"/>
    <w:rsid w:val="00B30DC8"/>
    <w:rsid w:val="00B315BB"/>
    <w:rsid w:val="00B31977"/>
    <w:rsid w:val="00B31A54"/>
    <w:rsid w:val="00B32193"/>
    <w:rsid w:val="00B3235A"/>
    <w:rsid w:val="00B333FE"/>
    <w:rsid w:val="00B3382B"/>
    <w:rsid w:val="00B35094"/>
    <w:rsid w:val="00B350F0"/>
    <w:rsid w:val="00B35546"/>
    <w:rsid w:val="00B357AC"/>
    <w:rsid w:val="00B35992"/>
    <w:rsid w:val="00B35E4B"/>
    <w:rsid w:val="00B35FCC"/>
    <w:rsid w:val="00B360F9"/>
    <w:rsid w:val="00B36518"/>
    <w:rsid w:val="00B36F17"/>
    <w:rsid w:val="00B378CC"/>
    <w:rsid w:val="00B41615"/>
    <w:rsid w:val="00B41FD8"/>
    <w:rsid w:val="00B420DF"/>
    <w:rsid w:val="00B42353"/>
    <w:rsid w:val="00B42507"/>
    <w:rsid w:val="00B428E2"/>
    <w:rsid w:val="00B42A2C"/>
    <w:rsid w:val="00B42A5C"/>
    <w:rsid w:val="00B42A98"/>
    <w:rsid w:val="00B42C64"/>
    <w:rsid w:val="00B448EF"/>
    <w:rsid w:val="00B45FB8"/>
    <w:rsid w:val="00B467DC"/>
    <w:rsid w:val="00B47493"/>
    <w:rsid w:val="00B474C8"/>
    <w:rsid w:val="00B474DF"/>
    <w:rsid w:val="00B47639"/>
    <w:rsid w:val="00B47915"/>
    <w:rsid w:val="00B50979"/>
    <w:rsid w:val="00B50E18"/>
    <w:rsid w:val="00B513A9"/>
    <w:rsid w:val="00B51568"/>
    <w:rsid w:val="00B51610"/>
    <w:rsid w:val="00B5167B"/>
    <w:rsid w:val="00B520D3"/>
    <w:rsid w:val="00B520E3"/>
    <w:rsid w:val="00B52336"/>
    <w:rsid w:val="00B5388C"/>
    <w:rsid w:val="00B5554B"/>
    <w:rsid w:val="00B55CED"/>
    <w:rsid w:val="00B55D57"/>
    <w:rsid w:val="00B55F80"/>
    <w:rsid w:val="00B56480"/>
    <w:rsid w:val="00B565D6"/>
    <w:rsid w:val="00B56C7F"/>
    <w:rsid w:val="00B576A4"/>
    <w:rsid w:val="00B57726"/>
    <w:rsid w:val="00B57998"/>
    <w:rsid w:val="00B57CD0"/>
    <w:rsid w:val="00B57DA9"/>
    <w:rsid w:val="00B60177"/>
    <w:rsid w:val="00B60639"/>
    <w:rsid w:val="00B6129E"/>
    <w:rsid w:val="00B628D3"/>
    <w:rsid w:val="00B6308E"/>
    <w:rsid w:val="00B63650"/>
    <w:rsid w:val="00B63D58"/>
    <w:rsid w:val="00B64E8A"/>
    <w:rsid w:val="00B65588"/>
    <w:rsid w:val="00B658D1"/>
    <w:rsid w:val="00B66064"/>
    <w:rsid w:val="00B6615B"/>
    <w:rsid w:val="00B66995"/>
    <w:rsid w:val="00B66A0A"/>
    <w:rsid w:val="00B671A1"/>
    <w:rsid w:val="00B675A6"/>
    <w:rsid w:val="00B6794D"/>
    <w:rsid w:val="00B67B55"/>
    <w:rsid w:val="00B67C6C"/>
    <w:rsid w:val="00B67D00"/>
    <w:rsid w:val="00B701C9"/>
    <w:rsid w:val="00B70C61"/>
    <w:rsid w:val="00B70E5A"/>
    <w:rsid w:val="00B7220D"/>
    <w:rsid w:val="00B725A8"/>
    <w:rsid w:val="00B72F2D"/>
    <w:rsid w:val="00B73E77"/>
    <w:rsid w:val="00B749B6"/>
    <w:rsid w:val="00B7509A"/>
    <w:rsid w:val="00B75C8F"/>
    <w:rsid w:val="00B75C91"/>
    <w:rsid w:val="00B7613E"/>
    <w:rsid w:val="00B766C1"/>
    <w:rsid w:val="00B76966"/>
    <w:rsid w:val="00B7698B"/>
    <w:rsid w:val="00B76B96"/>
    <w:rsid w:val="00B76EFB"/>
    <w:rsid w:val="00B77129"/>
    <w:rsid w:val="00B779DB"/>
    <w:rsid w:val="00B77C37"/>
    <w:rsid w:val="00B77CF1"/>
    <w:rsid w:val="00B80070"/>
    <w:rsid w:val="00B807BF"/>
    <w:rsid w:val="00B809B1"/>
    <w:rsid w:val="00B81464"/>
    <w:rsid w:val="00B818AE"/>
    <w:rsid w:val="00B82543"/>
    <w:rsid w:val="00B82998"/>
    <w:rsid w:val="00B834B0"/>
    <w:rsid w:val="00B837F6"/>
    <w:rsid w:val="00B83DAE"/>
    <w:rsid w:val="00B84FB4"/>
    <w:rsid w:val="00B86E64"/>
    <w:rsid w:val="00B8756E"/>
    <w:rsid w:val="00B87DF9"/>
    <w:rsid w:val="00B91951"/>
    <w:rsid w:val="00B91A3F"/>
    <w:rsid w:val="00B91A58"/>
    <w:rsid w:val="00B91EAD"/>
    <w:rsid w:val="00B920B9"/>
    <w:rsid w:val="00B92972"/>
    <w:rsid w:val="00B930D2"/>
    <w:rsid w:val="00B937CD"/>
    <w:rsid w:val="00B938BC"/>
    <w:rsid w:val="00B93997"/>
    <w:rsid w:val="00B93C98"/>
    <w:rsid w:val="00B94343"/>
    <w:rsid w:val="00B976BB"/>
    <w:rsid w:val="00BA01A7"/>
    <w:rsid w:val="00BA0224"/>
    <w:rsid w:val="00BA05C8"/>
    <w:rsid w:val="00BA09AA"/>
    <w:rsid w:val="00BA0AD5"/>
    <w:rsid w:val="00BA0CA0"/>
    <w:rsid w:val="00BA0E3C"/>
    <w:rsid w:val="00BA1F3D"/>
    <w:rsid w:val="00BA1F74"/>
    <w:rsid w:val="00BA1FE7"/>
    <w:rsid w:val="00BA2B1D"/>
    <w:rsid w:val="00BA3D14"/>
    <w:rsid w:val="00BA435A"/>
    <w:rsid w:val="00BA47AD"/>
    <w:rsid w:val="00BA54BA"/>
    <w:rsid w:val="00BA5603"/>
    <w:rsid w:val="00BA56D9"/>
    <w:rsid w:val="00BA60F4"/>
    <w:rsid w:val="00BA6194"/>
    <w:rsid w:val="00BA62C0"/>
    <w:rsid w:val="00BA7EEE"/>
    <w:rsid w:val="00BB2008"/>
    <w:rsid w:val="00BB29DF"/>
    <w:rsid w:val="00BB2CFC"/>
    <w:rsid w:val="00BB34DC"/>
    <w:rsid w:val="00BB35D0"/>
    <w:rsid w:val="00BB3AC4"/>
    <w:rsid w:val="00BB3C9F"/>
    <w:rsid w:val="00BB4291"/>
    <w:rsid w:val="00BB4999"/>
    <w:rsid w:val="00BB4BCD"/>
    <w:rsid w:val="00BB4F4E"/>
    <w:rsid w:val="00BB56C7"/>
    <w:rsid w:val="00BB5B62"/>
    <w:rsid w:val="00BB5F36"/>
    <w:rsid w:val="00BB6502"/>
    <w:rsid w:val="00BB6BCD"/>
    <w:rsid w:val="00BB70F9"/>
    <w:rsid w:val="00BB7C9B"/>
    <w:rsid w:val="00BC097B"/>
    <w:rsid w:val="00BC0B86"/>
    <w:rsid w:val="00BC129F"/>
    <w:rsid w:val="00BC1527"/>
    <w:rsid w:val="00BC18FB"/>
    <w:rsid w:val="00BC2306"/>
    <w:rsid w:val="00BC29B9"/>
    <w:rsid w:val="00BC2E4D"/>
    <w:rsid w:val="00BC2F31"/>
    <w:rsid w:val="00BC4036"/>
    <w:rsid w:val="00BC4F0A"/>
    <w:rsid w:val="00BC509F"/>
    <w:rsid w:val="00BC51D2"/>
    <w:rsid w:val="00BC64BE"/>
    <w:rsid w:val="00BC6E7F"/>
    <w:rsid w:val="00BC7155"/>
    <w:rsid w:val="00BC7550"/>
    <w:rsid w:val="00BC7B6E"/>
    <w:rsid w:val="00BD0B72"/>
    <w:rsid w:val="00BD1CA7"/>
    <w:rsid w:val="00BD2668"/>
    <w:rsid w:val="00BD3924"/>
    <w:rsid w:val="00BD450F"/>
    <w:rsid w:val="00BD4512"/>
    <w:rsid w:val="00BD4F02"/>
    <w:rsid w:val="00BD52AA"/>
    <w:rsid w:val="00BD5F0B"/>
    <w:rsid w:val="00BE1061"/>
    <w:rsid w:val="00BE1321"/>
    <w:rsid w:val="00BE2893"/>
    <w:rsid w:val="00BE2EB4"/>
    <w:rsid w:val="00BE2F5A"/>
    <w:rsid w:val="00BE37D3"/>
    <w:rsid w:val="00BE4095"/>
    <w:rsid w:val="00BE49E5"/>
    <w:rsid w:val="00BE522A"/>
    <w:rsid w:val="00BE57B5"/>
    <w:rsid w:val="00BE5821"/>
    <w:rsid w:val="00BE7A7C"/>
    <w:rsid w:val="00BE7D58"/>
    <w:rsid w:val="00BE7EAC"/>
    <w:rsid w:val="00BF06EA"/>
    <w:rsid w:val="00BF0A44"/>
    <w:rsid w:val="00BF0CEC"/>
    <w:rsid w:val="00BF1A44"/>
    <w:rsid w:val="00BF1EDF"/>
    <w:rsid w:val="00BF3112"/>
    <w:rsid w:val="00BF4D3D"/>
    <w:rsid w:val="00BF5B8C"/>
    <w:rsid w:val="00BF5BCC"/>
    <w:rsid w:val="00BF66B7"/>
    <w:rsid w:val="00BF6A68"/>
    <w:rsid w:val="00BF7152"/>
    <w:rsid w:val="00BF73F0"/>
    <w:rsid w:val="00BF7419"/>
    <w:rsid w:val="00BF75B1"/>
    <w:rsid w:val="00BF75C9"/>
    <w:rsid w:val="00BF7BD3"/>
    <w:rsid w:val="00C002C5"/>
    <w:rsid w:val="00C00352"/>
    <w:rsid w:val="00C007CE"/>
    <w:rsid w:val="00C00A22"/>
    <w:rsid w:val="00C00B72"/>
    <w:rsid w:val="00C00F18"/>
    <w:rsid w:val="00C012AE"/>
    <w:rsid w:val="00C01D39"/>
    <w:rsid w:val="00C0200C"/>
    <w:rsid w:val="00C020A8"/>
    <w:rsid w:val="00C02A5F"/>
    <w:rsid w:val="00C034A4"/>
    <w:rsid w:val="00C03DD0"/>
    <w:rsid w:val="00C04445"/>
    <w:rsid w:val="00C045E6"/>
    <w:rsid w:val="00C04705"/>
    <w:rsid w:val="00C04A7F"/>
    <w:rsid w:val="00C04E2B"/>
    <w:rsid w:val="00C051AA"/>
    <w:rsid w:val="00C060A0"/>
    <w:rsid w:val="00C07187"/>
    <w:rsid w:val="00C075C9"/>
    <w:rsid w:val="00C07FAD"/>
    <w:rsid w:val="00C106C4"/>
    <w:rsid w:val="00C109AA"/>
    <w:rsid w:val="00C111EA"/>
    <w:rsid w:val="00C11243"/>
    <w:rsid w:val="00C119AD"/>
    <w:rsid w:val="00C1228D"/>
    <w:rsid w:val="00C13C03"/>
    <w:rsid w:val="00C13FED"/>
    <w:rsid w:val="00C1401F"/>
    <w:rsid w:val="00C14B09"/>
    <w:rsid w:val="00C14E7D"/>
    <w:rsid w:val="00C15189"/>
    <w:rsid w:val="00C15722"/>
    <w:rsid w:val="00C15E48"/>
    <w:rsid w:val="00C16897"/>
    <w:rsid w:val="00C16901"/>
    <w:rsid w:val="00C200C9"/>
    <w:rsid w:val="00C210A1"/>
    <w:rsid w:val="00C21D8E"/>
    <w:rsid w:val="00C22525"/>
    <w:rsid w:val="00C23DBB"/>
    <w:rsid w:val="00C23FE1"/>
    <w:rsid w:val="00C2410D"/>
    <w:rsid w:val="00C244E9"/>
    <w:rsid w:val="00C24BAF"/>
    <w:rsid w:val="00C25F8B"/>
    <w:rsid w:val="00C265C0"/>
    <w:rsid w:val="00C26B9E"/>
    <w:rsid w:val="00C272EF"/>
    <w:rsid w:val="00C2732B"/>
    <w:rsid w:val="00C2753F"/>
    <w:rsid w:val="00C276A8"/>
    <w:rsid w:val="00C27975"/>
    <w:rsid w:val="00C300BC"/>
    <w:rsid w:val="00C30D50"/>
    <w:rsid w:val="00C30F69"/>
    <w:rsid w:val="00C318F7"/>
    <w:rsid w:val="00C319D2"/>
    <w:rsid w:val="00C31F85"/>
    <w:rsid w:val="00C32534"/>
    <w:rsid w:val="00C326EE"/>
    <w:rsid w:val="00C32951"/>
    <w:rsid w:val="00C32A51"/>
    <w:rsid w:val="00C32C02"/>
    <w:rsid w:val="00C33235"/>
    <w:rsid w:val="00C33677"/>
    <w:rsid w:val="00C34137"/>
    <w:rsid w:val="00C3476B"/>
    <w:rsid w:val="00C34A25"/>
    <w:rsid w:val="00C34D60"/>
    <w:rsid w:val="00C35240"/>
    <w:rsid w:val="00C36822"/>
    <w:rsid w:val="00C368B3"/>
    <w:rsid w:val="00C36A9B"/>
    <w:rsid w:val="00C36F07"/>
    <w:rsid w:val="00C370F8"/>
    <w:rsid w:val="00C37214"/>
    <w:rsid w:val="00C372E8"/>
    <w:rsid w:val="00C377C5"/>
    <w:rsid w:val="00C37FDD"/>
    <w:rsid w:val="00C409DC"/>
    <w:rsid w:val="00C40B1B"/>
    <w:rsid w:val="00C40E88"/>
    <w:rsid w:val="00C416A3"/>
    <w:rsid w:val="00C41785"/>
    <w:rsid w:val="00C41FC1"/>
    <w:rsid w:val="00C43367"/>
    <w:rsid w:val="00C434C2"/>
    <w:rsid w:val="00C43940"/>
    <w:rsid w:val="00C44091"/>
    <w:rsid w:val="00C44342"/>
    <w:rsid w:val="00C44694"/>
    <w:rsid w:val="00C44744"/>
    <w:rsid w:val="00C457C1"/>
    <w:rsid w:val="00C46625"/>
    <w:rsid w:val="00C46870"/>
    <w:rsid w:val="00C47545"/>
    <w:rsid w:val="00C47593"/>
    <w:rsid w:val="00C50270"/>
    <w:rsid w:val="00C5044B"/>
    <w:rsid w:val="00C506BD"/>
    <w:rsid w:val="00C50E55"/>
    <w:rsid w:val="00C51426"/>
    <w:rsid w:val="00C51622"/>
    <w:rsid w:val="00C516D0"/>
    <w:rsid w:val="00C51FB3"/>
    <w:rsid w:val="00C5223C"/>
    <w:rsid w:val="00C52A35"/>
    <w:rsid w:val="00C52C22"/>
    <w:rsid w:val="00C53213"/>
    <w:rsid w:val="00C53917"/>
    <w:rsid w:val="00C541DE"/>
    <w:rsid w:val="00C54C11"/>
    <w:rsid w:val="00C54C67"/>
    <w:rsid w:val="00C54E65"/>
    <w:rsid w:val="00C56324"/>
    <w:rsid w:val="00C5653B"/>
    <w:rsid w:val="00C565A3"/>
    <w:rsid w:val="00C56899"/>
    <w:rsid w:val="00C577F7"/>
    <w:rsid w:val="00C6057C"/>
    <w:rsid w:val="00C60667"/>
    <w:rsid w:val="00C6088F"/>
    <w:rsid w:val="00C61AB9"/>
    <w:rsid w:val="00C61F84"/>
    <w:rsid w:val="00C62FF7"/>
    <w:rsid w:val="00C63135"/>
    <w:rsid w:val="00C637DC"/>
    <w:rsid w:val="00C63EE8"/>
    <w:rsid w:val="00C6432E"/>
    <w:rsid w:val="00C6433E"/>
    <w:rsid w:val="00C649E0"/>
    <w:rsid w:val="00C65718"/>
    <w:rsid w:val="00C65C81"/>
    <w:rsid w:val="00C66772"/>
    <w:rsid w:val="00C66D2B"/>
    <w:rsid w:val="00C6742A"/>
    <w:rsid w:val="00C67580"/>
    <w:rsid w:val="00C6781C"/>
    <w:rsid w:val="00C6789B"/>
    <w:rsid w:val="00C67EA1"/>
    <w:rsid w:val="00C70AEE"/>
    <w:rsid w:val="00C718F0"/>
    <w:rsid w:val="00C71D15"/>
    <w:rsid w:val="00C7234D"/>
    <w:rsid w:val="00C7244E"/>
    <w:rsid w:val="00C726C9"/>
    <w:rsid w:val="00C72801"/>
    <w:rsid w:val="00C72C0A"/>
    <w:rsid w:val="00C73E67"/>
    <w:rsid w:val="00C73FAD"/>
    <w:rsid w:val="00C74AE1"/>
    <w:rsid w:val="00C750F7"/>
    <w:rsid w:val="00C757B8"/>
    <w:rsid w:val="00C76906"/>
    <w:rsid w:val="00C76B7C"/>
    <w:rsid w:val="00C76CC7"/>
    <w:rsid w:val="00C76F81"/>
    <w:rsid w:val="00C77242"/>
    <w:rsid w:val="00C776A4"/>
    <w:rsid w:val="00C800DD"/>
    <w:rsid w:val="00C80920"/>
    <w:rsid w:val="00C80B03"/>
    <w:rsid w:val="00C80F0E"/>
    <w:rsid w:val="00C8194E"/>
    <w:rsid w:val="00C819E7"/>
    <w:rsid w:val="00C8243F"/>
    <w:rsid w:val="00C8289B"/>
    <w:rsid w:val="00C82D54"/>
    <w:rsid w:val="00C82F3B"/>
    <w:rsid w:val="00C83504"/>
    <w:rsid w:val="00C837C4"/>
    <w:rsid w:val="00C83829"/>
    <w:rsid w:val="00C83EDD"/>
    <w:rsid w:val="00C84BF1"/>
    <w:rsid w:val="00C84CA2"/>
    <w:rsid w:val="00C85737"/>
    <w:rsid w:val="00C85A36"/>
    <w:rsid w:val="00C85CD1"/>
    <w:rsid w:val="00C86C56"/>
    <w:rsid w:val="00C8773E"/>
    <w:rsid w:val="00C903CA"/>
    <w:rsid w:val="00C90601"/>
    <w:rsid w:val="00C90D16"/>
    <w:rsid w:val="00C9116A"/>
    <w:rsid w:val="00C9265D"/>
    <w:rsid w:val="00C92824"/>
    <w:rsid w:val="00C937BA"/>
    <w:rsid w:val="00C949FC"/>
    <w:rsid w:val="00C95A86"/>
    <w:rsid w:val="00C960CF"/>
    <w:rsid w:val="00C96672"/>
    <w:rsid w:val="00C96678"/>
    <w:rsid w:val="00C96772"/>
    <w:rsid w:val="00C96814"/>
    <w:rsid w:val="00C96CFA"/>
    <w:rsid w:val="00C96E5A"/>
    <w:rsid w:val="00C96EB5"/>
    <w:rsid w:val="00CA0257"/>
    <w:rsid w:val="00CA0917"/>
    <w:rsid w:val="00CA102B"/>
    <w:rsid w:val="00CA24C9"/>
    <w:rsid w:val="00CA283D"/>
    <w:rsid w:val="00CA29D1"/>
    <w:rsid w:val="00CA2DD6"/>
    <w:rsid w:val="00CA3247"/>
    <w:rsid w:val="00CA3752"/>
    <w:rsid w:val="00CA3999"/>
    <w:rsid w:val="00CA39C0"/>
    <w:rsid w:val="00CA59FD"/>
    <w:rsid w:val="00CA5A46"/>
    <w:rsid w:val="00CA5AD3"/>
    <w:rsid w:val="00CA62DD"/>
    <w:rsid w:val="00CA69BA"/>
    <w:rsid w:val="00CA6EA5"/>
    <w:rsid w:val="00CA7700"/>
    <w:rsid w:val="00CA7DE6"/>
    <w:rsid w:val="00CB0339"/>
    <w:rsid w:val="00CB110E"/>
    <w:rsid w:val="00CB11F8"/>
    <w:rsid w:val="00CB171B"/>
    <w:rsid w:val="00CB225B"/>
    <w:rsid w:val="00CB23FC"/>
    <w:rsid w:val="00CB25E5"/>
    <w:rsid w:val="00CB2EF5"/>
    <w:rsid w:val="00CB33E4"/>
    <w:rsid w:val="00CB4230"/>
    <w:rsid w:val="00CB431B"/>
    <w:rsid w:val="00CB4430"/>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1CD8"/>
    <w:rsid w:val="00CC20E0"/>
    <w:rsid w:val="00CC2818"/>
    <w:rsid w:val="00CC2F1F"/>
    <w:rsid w:val="00CC2F7A"/>
    <w:rsid w:val="00CC3379"/>
    <w:rsid w:val="00CC3A70"/>
    <w:rsid w:val="00CC4033"/>
    <w:rsid w:val="00CC40B8"/>
    <w:rsid w:val="00CC5444"/>
    <w:rsid w:val="00CC5631"/>
    <w:rsid w:val="00CC57DD"/>
    <w:rsid w:val="00CC62A6"/>
    <w:rsid w:val="00CC676C"/>
    <w:rsid w:val="00CC6A47"/>
    <w:rsid w:val="00CC6DAD"/>
    <w:rsid w:val="00CC7A11"/>
    <w:rsid w:val="00CC7EA0"/>
    <w:rsid w:val="00CD04A8"/>
    <w:rsid w:val="00CD051B"/>
    <w:rsid w:val="00CD0E92"/>
    <w:rsid w:val="00CD144E"/>
    <w:rsid w:val="00CD1DB1"/>
    <w:rsid w:val="00CD22B5"/>
    <w:rsid w:val="00CD22F4"/>
    <w:rsid w:val="00CD25E1"/>
    <w:rsid w:val="00CD367C"/>
    <w:rsid w:val="00CD3F65"/>
    <w:rsid w:val="00CD454A"/>
    <w:rsid w:val="00CD4F54"/>
    <w:rsid w:val="00CD4FFE"/>
    <w:rsid w:val="00CD56E8"/>
    <w:rsid w:val="00CD57FA"/>
    <w:rsid w:val="00CD5A6E"/>
    <w:rsid w:val="00CD711F"/>
    <w:rsid w:val="00CD7274"/>
    <w:rsid w:val="00CD74A7"/>
    <w:rsid w:val="00CD79B2"/>
    <w:rsid w:val="00CE0D69"/>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1C01"/>
    <w:rsid w:val="00CF205A"/>
    <w:rsid w:val="00CF21A5"/>
    <w:rsid w:val="00CF2518"/>
    <w:rsid w:val="00CF2C4A"/>
    <w:rsid w:val="00CF2DDE"/>
    <w:rsid w:val="00CF344A"/>
    <w:rsid w:val="00CF39A0"/>
    <w:rsid w:val="00CF3D1C"/>
    <w:rsid w:val="00CF4713"/>
    <w:rsid w:val="00CF4A96"/>
    <w:rsid w:val="00CF4B12"/>
    <w:rsid w:val="00CF5663"/>
    <w:rsid w:val="00CF58FE"/>
    <w:rsid w:val="00CF5EBE"/>
    <w:rsid w:val="00CF6D7F"/>
    <w:rsid w:val="00CF783B"/>
    <w:rsid w:val="00CF7D97"/>
    <w:rsid w:val="00CF7EEC"/>
    <w:rsid w:val="00D001C2"/>
    <w:rsid w:val="00D00779"/>
    <w:rsid w:val="00D007C8"/>
    <w:rsid w:val="00D009D8"/>
    <w:rsid w:val="00D012E1"/>
    <w:rsid w:val="00D01318"/>
    <w:rsid w:val="00D01665"/>
    <w:rsid w:val="00D01D1E"/>
    <w:rsid w:val="00D02580"/>
    <w:rsid w:val="00D03BF7"/>
    <w:rsid w:val="00D03C90"/>
    <w:rsid w:val="00D03F1E"/>
    <w:rsid w:val="00D04011"/>
    <w:rsid w:val="00D0428E"/>
    <w:rsid w:val="00D04426"/>
    <w:rsid w:val="00D0482F"/>
    <w:rsid w:val="00D04A33"/>
    <w:rsid w:val="00D05892"/>
    <w:rsid w:val="00D06483"/>
    <w:rsid w:val="00D06824"/>
    <w:rsid w:val="00D06A7C"/>
    <w:rsid w:val="00D06C03"/>
    <w:rsid w:val="00D079E7"/>
    <w:rsid w:val="00D1037A"/>
    <w:rsid w:val="00D10D09"/>
    <w:rsid w:val="00D1163E"/>
    <w:rsid w:val="00D12229"/>
    <w:rsid w:val="00D12362"/>
    <w:rsid w:val="00D128F6"/>
    <w:rsid w:val="00D12A4F"/>
    <w:rsid w:val="00D12CD7"/>
    <w:rsid w:val="00D134E4"/>
    <w:rsid w:val="00D14C15"/>
    <w:rsid w:val="00D15CB3"/>
    <w:rsid w:val="00D15F51"/>
    <w:rsid w:val="00D16ED5"/>
    <w:rsid w:val="00D202B1"/>
    <w:rsid w:val="00D20662"/>
    <w:rsid w:val="00D21291"/>
    <w:rsid w:val="00D21C8A"/>
    <w:rsid w:val="00D2297E"/>
    <w:rsid w:val="00D22DE5"/>
    <w:rsid w:val="00D233BD"/>
    <w:rsid w:val="00D233D7"/>
    <w:rsid w:val="00D2390A"/>
    <w:rsid w:val="00D23CBB"/>
    <w:rsid w:val="00D25487"/>
    <w:rsid w:val="00D25806"/>
    <w:rsid w:val="00D25CBA"/>
    <w:rsid w:val="00D25E46"/>
    <w:rsid w:val="00D25E9D"/>
    <w:rsid w:val="00D25F1C"/>
    <w:rsid w:val="00D2629A"/>
    <w:rsid w:val="00D26DE6"/>
    <w:rsid w:val="00D26EE7"/>
    <w:rsid w:val="00D27A90"/>
    <w:rsid w:val="00D30718"/>
    <w:rsid w:val="00D30DE6"/>
    <w:rsid w:val="00D322FB"/>
    <w:rsid w:val="00D32475"/>
    <w:rsid w:val="00D32EF4"/>
    <w:rsid w:val="00D33F81"/>
    <w:rsid w:val="00D34235"/>
    <w:rsid w:val="00D34850"/>
    <w:rsid w:val="00D34D1C"/>
    <w:rsid w:val="00D3503B"/>
    <w:rsid w:val="00D35060"/>
    <w:rsid w:val="00D35793"/>
    <w:rsid w:val="00D36746"/>
    <w:rsid w:val="00D369D4"/>
    <w:rsid w:val="00D36AD7"/>
    <w:rsid w:val="00D36B1A"/>
    <w:rsid w:val="00D373E9"/>
    <w:rsid w:val="00D37C61"/>
    <w:rsid w:val="00D400FE"/>
    <w:rsid w:val="00D403FF"/>
    <w:rsid w:val="00D404C4"/>
    <w:rsid w:val="00D40B06"/>
    <w:rsid w:val="00D40CE9"/>
    <w:rsid w:val="00D41C5C"/>
    <w:rsid w:val="00D42115"/>
    <w:rsid w:val="00D42EFD"/>
    <w:rsid w:val="00D436F5"/>
    <w:rsid w:val="00D457D1"/>
    <w:rsid w:val="00D458AA"/>
    <w:rsid w:val="00D46112"/>
    <w:rsid w:val="00D46338"/>
    <w:rsid w:val="00D46BA2"/>
    <w:rsid w:val="00D47234"/>
    <w:rsid w:val="00D47281"/>
    <w:rsid w:val="00D47581"/>
    <w:rsid w:val="00D4781B"/>
    <w:rsid w:val="00D50295"/>
    <w:rsid w:val="00D5069A"/>
    <w:rsid w:val="00D50E43"/>
    <w:rsid w:val="00D51469"/>
    <w:rsid w:val="00D52B45"/>
    <w:rsid w:val="00D530EB"/>
    <w:rsid w:val="00D53393"/>
    <w:rsid w:val="00D53439"/>
    <w:rsid w:val="00D535B3"/>
    <w:rsid w:val="00D535B6"/>
    <w:rsid w:val="00D55235"/>
    <w:rsid w:val="00D55798"/>
    <w:rsid w:val="00D55A06"/>
    <w:rsid w:val="00D55D78"/>
    <w:rsid w:val="00D5648B"/>
    <w:rsid w:val="00D572B2"/>
    <w:rsid w:val="00D578C5"/>
    <w:rsid w:val="00D57F53"/>
    <w:rsid w:val="00D60762"/>
    <w:rsid w:val="00D608F2"/>
    <w:rsid w:val="00D60CAB"/>
    <w:rsid w:val="00D610FD"/>
    <w:rsid w:val="00D612AF"/>
    <w:rsid w:val="00D619F3"/>
    <w:rsid w:val="00D62A5B"/>
    <w:rsid w:val="00D62B43"/>
    <w:rsid w:val="00D62ECD"/>
    <w:rsid w:val="00D63748"/>
    <w:rsid w:val="00D639F0"/>
    <w:rsid w:val="00D63C1B"/>
    <w:rsid w:val="00D63D76"/>
    <w:rsid w:val="00D6459D"/>
    <w:rsid w:val="00D64BFF"/>
    <w:rsid w:val="00D64DE1"/>
    <w:rsid w:val="00D64E3F"/>
    <w:rsid w:val="00D653D0"/>
    <w:rsid w:val="00D6692A"/>
    <w:rsid w:val="00D66E55"/>
    <w:rsid w:val="00D672FF"/>
    <w:rsid w:val="00D674E9"/>
    <w:rsid w:val="00D6799A"/>
    <w:rsid w:val="00D7009C"/>
    <w:rsid w:val="00D70F17"/>
    <w:rsid w:val="00D712DA"/>
    <w:rsid w:val="00D719EF"/>
    <w:rsid w:val="00D71A37"/>
    <w:rsid w:val="00D72327"/>
    <w:rsid w:val="00D727E0"/>
    <w:rsid w:val="00D72B87"/>
    <w:rsid w:val="00D72C72"/>
    <w:rsid w:val="00D72ECF"/>
    <w:rsid w:val="00D731EE"/>
    <w:rsid w:val="00D740FB"/>
    <w:rsid w:val="00D74160"/>
    <w:rsid w:val="00D75B70"/>
    <w:rsid w:val="00D75D22"/>
    <w:rsid w:val="00D75DA5"/>
    <w:rsid w:val="00D761F7"/>
    <w:rsid w:val="00D76C58"/>
    <w:rsid w:val="00D76CF2"/>
    <w:rsid w:val="00D76E7C"/>
    <w:rsid w:val="00D80B40"/>
    <w:rsid w:val="00D813CE"/>
    <w:rsid w:val="00D814C2"/>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B7B"/>
    <w:rsid w:val="00D900A1"/>
    <w:rsid w:val="00D907CB"/>
    <w:rsid w:val="00D91BF2"/>
    <w:rsid w:val="00D931FA"/>
    <w:rsid w:val="00D93C1C"/>
    <w:rsid w:val="00D94026"/>
    <w:rsid w:val="00D94120"/>
    <w:rsid w:val="00D951DD"/>
    <w:rsid w:val="00D952ED"/>
    <w:rsid w:val="00D957FA"/>
    <w:rsid w:val="00D962E8"/>
    <w:rsid w:val="00D9664C"/>
    <w:rsid w:val="00D97404"/>
    <w:rsid w:val="00D9754A"/>
    <w:rsid w:val="00D975A3"/>
    <w:rsid w:val="00D979D0"/>
    <w:rsid w:val="00DA08CA"/>
    <w:rsid w:val="00DA0F37"/>
    <w:rsid w:val="00DA101A"/>
    <w:rsid w:val="00DA122C"/>
    <w:rsid w:val="00DA1D01"/>
    <w:rsid w:val="00DA2FD5"/>
    <w:rsid w:val="00DA35FE"/>
    <w:rsid w:val="00DA3D71"/>
    <w:rsid w:val="00DA4838"/>
    <w:rsid w:val="00DA4989"/>
    <w:rsid w:val="00DA5306"/>
    <w:rsid w:val="00DA5721"/>
    <w:rsid w:val="00DA6173"/>
    <w:rsid w:val="00DA7477"/>
    <w:rsid w:val="00DA7573"/>
    <w:rsid w:val="00DA7BD4"/>
    <w:rsid w:val="00DA7EA3"/>
    <w:rsid w:val="00DB0191"/>
    <w:rsid w:val="00DB0359"/>
    <w:rsid w:val="00DB0EF6"/>
    <w:rsid w:val="00DB0F8A"/>
    <w:rsid w:val="00DB15A8"/>
    <w:rsid w:val="00DB26A8"/>
    <w:rsid w:val="00DB27CF"/>
    <w:rsid w:val="00DB324C"/>
    <w:rsid w:val="00DB3C8A"/>
    <w:rsid w:val="00DB3FD3"/>
    <w:rsid w:val="00DB5F2A"/>
    <w:rsid w:val="00DB6F45"/>
    <w:rsid w:val="00DB723C"/>
    <w:rsid w:val="00DB72B7"/>
    <w:rsid w:val="00DB7546"/>
    <w:rsid w:val="00DC02CF"/>
    <w:rsid w:val="00DC0624"/>
    <w:rsid w:val="00DC0FC3"/>
    <w:rsid w:val="00DC1A58"/>
    <w:rsid w:val="00DC1AC0"/>
    <w:rsid w:val="00DC1C3C"/>
    <w:rsid w:val="00DC1CDD"/>
    <w:rsid w:val="00DC1D8E"/>
    <w:rsid w:val="00DC20C3"/>
    <w:rsid w:val="00DC227A"/>
    <w:rsid w:val="00DC2360"/>
    <w:rsid w:val="00DC26E4"/>
    <w:rsid w:val="00DC2BAE"/>
    <w:rsid w:val="00DC2CEE"/>
    <w:rsid w:val="00DC2D4C"/>
    <w:rsid w:val="00DC3257"/>
    <w:rsid w:val="00DC3279"/>
    <w:rsid w:val="00DC351F"/>
    <w:rsid w:val="00DC3BF1"/>
    <w:rsid w:val="00DC4281"/>
    <w:rsid w:val="00DC4D1D"/>
    <w:rsid w:val="00DC4D87"/>
    <w:rsid w:val="00DC54EB"/>
    <w:rsid w:val="00DC580A"/>
    <w:rsid w:val="00DC5B50"/>
    <w:rsid w:val="00DC5E76"/>
    <w:rsid w:val="00DC64A4"/>
    <w:rsid w:val="00DC66BC"/>
    <w:rsid w:val="00DC727F"/>
    <w:rsid w:val="00DC7E78"/>
    <w:rsid w:val="00DD0493"/>
    <w:rsid w:val="00DD04ED"/>
    <w:rsid w:val="00DD0924"/>
    <w:rsid w:val="00DD0CBF"/>
    <w:rsid w:val="00DD1071"/>
    <w:rsid w:val="00DD12FD"/>
    <w:rsid w:val="00DD1576"/>
    <w:rsid w:val="00DD1DDC"/>
    <w:rsid w:val="00DD1F1E"/>
    <w:rsid w:val="00DD2893"/>
    <w:rsid w:val="00DD2B3A"/>
    <w:rsid w:val="00DD3D3B"/>
    <w:rsid w:val="00DD4717"/>
    <w:rsid w:val="00DD495C"/>
    <w:rsid w:val="00DD4F74"/>
    <w:rsid w:val="00DD531F"/>
    <w:rsid w:val="00DD556C"/>
    <w:rsid w:val="00DD5737"/>
    <w:rsid w:val="00DD5E81"/>
    <w:rsid w:val="00DD6C46"/>
    <w:rsid w:val="00DD6C7A"/>
    <w:rsid w:val="00DD6F44"/>
    <w:rsid w:val="00DD7241"/>
    <w:rsid w:val="00DD7513"/>
    <w:rsid w:val="00DD7CCA"/>
    <w:rsid w:val="00DE0B6E"/>
    <w:rsid w:val="00DE0BDE"/>
    <w:rsid w:val="00DE0F58"/>
    <w:rsid w:val="00DE10CF"/>
    <w:rsid w:val="00DE1270"/>
    <w:rsid w:val="00DE144E"/>
    <w:rsid w:val="00DE160A"/>
    <w:rsid w:val="00DE1E1E"/>
    <w:rsid w:val="00DE20FD"/>
    <w:rsid w:val="00DE223E"/>
    <w:rsid w:val="00DE2D33"/>
    <w:rsid w:val="00DE34EB"/>
    <w:rsid w:val="00DE3592"/>
    <w:rsid w:val="00DE37FA"/>
    <w:rsid w:val="00DE3E78"/>
    <w:rsid w:val="00DE41F8"/>
    <w:rsid w:val="00DE4B9D"/>
    <w:rsid w:val="00DE4CBB"/>
    <w:rsid w:val="00DE50EA"/>
    <w:rsid w:val="00DE545C"/>
    <w:rsid w:val="00DE5C9F"/>
    <w:rsid w:val="00DE734E"/>
    <w:rsid w:val="00DE743F"/>
    <w:rsid w:val="00DE771D"/>
    <w:rsid w:val="00DE7887"/>
    <w:rsid w:val="00DE7BF8"/>
    <w:rsid w:val="00DF0DC3"/>
    <w:rsid w:val="00DF14F9"/>
    <w:rsid w:val="00DF1C2D"/>
    <w:rsid w:val="00DF1FAE"/>
    <w:rsid w:val="00DF2AD9"/>
    <w:rsid w:val="00DF2E72"/>
    <w:rsid w:val="00DF54D0"/>
    <w:rsid w:val="00DF580C"/>
    <w:rsid w:val="00DF5C1A"/>
    <w:rsid w:val="00DF67AE"/>
    <w:rsid w:val="00DF6BCB"/>
    <w:rsid w:val="00DF6D45"/>
    <w:rsid w:val="00DF7042"/>
    <w:rsid w:val="00DF7673"/>
    <w:rsid w:val="00DF78FD"/>
    <w:rsid w:val="00DF7EFE"/>
    <w:rsid w:val="00E00E15"/>
    <w:rsid w:val="00E00F63"/>
    <w:rsid w:val="00E010AA"/>
    <w:rsid w:val="00E01210"/>
    <w:rsid w:val="00E01D50"/>
    <w:rsid w:val="00E02664"/>
    <w:rsid w:val="00E02C4D"/>
    <w:rsid w:val="00E02CF6"/>
    <w:rsid w:val="00E031A5"/>
    <w:rsid w:val="00E0341B"/>
    <w:rsid w:val="00E0348F"/>
    <w:rsid w:val="00E035A6"/>
    <w:rsid w:val="00E038F5"/>
    <w:rsid w:val="00E0392A"/>
    <w:rsid w:val="00E03D67"/>
    <w:rsid w:val="00E04510"/>
    <w:rsid w:val="00E04784"/>
    <w:rsid w:val="00E04D33"/>
    <w:rsid w:val="00E05569"/>
    <w:rsid w:val="00E05A6C"/>
    <w:rsid w:val="00E05F59"/>
    <w:rsid w:val="00E0655D"/>
    <w:rsid w:val="00E068EA"/>
    <w:rsid w:val="00E075E5"/>
    <w:rsid w:val="00E10233"/>
    <w:rsid w:val="00E1024A"/>
    <w:rsid w:val="00E103A6"/>
    <w:rsid w:val="00E10B17"/>
    <w:rsid w:val="00E10B67"/>
    <w:rsid w:val="00E12742"/>
    <w:rsid w:val="00E12AB9"/>
    <w:rsid w:val="00E12B67"/>
    <w:rsid w:val="00E12EB3"/>
    <w:rsid w:val="00E139B6"/>
    <w:rsid w:val="00E141D3"/>
    <w:rsid w:val="00E148A9"/>
    <w:rsid w:val="00E14941"/>
    <w:rsid w:val="00E14AB6"/>
    <w:rsid w:val="00E1526B"/>
    <w:rsid w:val="00E1534B"/>
    <w:rsid w:val="00E15408"/>
    <w:rsid w:val="00E15743"/>
    <w:rsid w:val="00E15C52"/>
    <w:rsid w:val="00E15EDA"/>
    <w:rsid w:val="00E15F0B"/>
    <w:rsid w:val="00E160E8"/>
    <w:rsid w:val="00E16199"/>
    <w:rsid w:val="00E16311"/>
    <w:rsid w:val="00E16473"/>
    <w:rsid w:val="00E1702C"/>
    <w:rsid w:val="00E17B36"/>
    <w:rsid w:val="00E20CC5"/>
    <w:rsid w:val="00E21ACA"/>
    <w:rsid w:val="00E22B80"/>
    <w:rsid w:val="00E22C0E"/>
    <w:rsid w:val="00E22CFF"/>
    <w:rsid w:val="00E22F8B"/>
    <w:rsid w:val="00E231CD"/>
    <w:rsid w:val="00E231E1"/>
    <w:rsid w:val="00E23888"/>
    <w:rsid w:val="00E23B9C"/>
    <w:rsid w:val="00E23CE3"/>
    <w:rsid w:val="00E23CF7"/>
    <w:rsid w:val="00E23D6E"/>
    <w:rsid w:val="00E23E76"/>
    <w:rsid w:val="00E249DB"/>
    <w:rsid w:val="00E253A3"/>
    <w:rsid w:val="00E25402"/>
    <w:rsid w:val="00E259B0"/>
    <w:rsid w:val="00E25AF8"/>
    <w:rsid w:val="00E2678F"/>
    <w:rsid w:val="00E26AEC"/>
    <w:rsid w:val="00E2757B"/>
    <w:rsid w:val="00E2792D"/>
    <w:rsid w:val="00E30828"/>
    <w:rsid w:val="00E30B37"/>
    <w:rsid w:val="00E30FB7"/>
    <w:rsid w:val="00E3109C"/>
    <w:rsid w:val="00E311D1"/>
    <w:rsid w:val="00E31C2D"/>
    <w:rsid w:val="00E32432"/>
    <w:rsid w:val="00E33B1E"/>
    <w:rsid w:val="00E34277"/>
    <w:rsid w:val="00E3621B"/>
    <w:rsid w:val="00E36F43"/>
    <w:rsid w:val="00E37593"/>
    <w:rsid w:val="00E37F0C"/>
    <w:rsid w:val="00E40ADF"/>
    <w:rsid w:val="00E40FF6"/>
    <w:rsid w:val="00E418E3"/>
    <w:rsid w:val="00E423DE"/>
    <w:rsid w:val="00E42EA5"/>
    <w:rsid w:val="00E42F07"/>
    <w:rsid w:val="00E4370F"/>
    <w:rsid w:val="00E443AE"/>
    <w:rsid w:val="00E4441D"/>
    <w:rsid w:val="00E44EE2"/>
    <w:rsid w:val="00E453AB"/>
    <w:rsid w:val="00E462E6"/>
    <w:rsid w:val="00E463A0"/>
    <w:rsid w:val="00E4668A"/>
    <w:rsid w:val="00E46FAB"/>
    <w:rsid w:val="00E47018"/>
    <w:rsid w:val="00E47112"/>
    <w:rsid w:val="00E47839"/>
    <w:rsid w:val="00E47B91"/>
    <w:rsid w:val="00E51959"/>
    <w:rsid w:val="00E51CDE"/>
    <w:rsid w:val="00E5210B"/>
    <w:rsid w:val="00E533A1"/>
    <w:rsid w:val="00E53631"/>
    <w:rsid w:val="00E5388F"/>
    <w:rsid w:val="00E54239"/>
    <w:rsid w:val="00E54272"/>
    <w:rsid w:val="00E542BC"/>
    <w:rsid w:val="00E54521"/>
    <w:rsid w:val="00E54617"/>
    <w:rsid w:val="00E5484B"/>
    <w:rsid w:val="00E556E1"/>
    <w:rsid w:val="00E558D9"/>
    <w:rsid w:val="00E56023"/>
    <w:rsid w:val="00E56D6E"/>
    <w:rsid w:val="00E56FEF"/>
    <w:rsid w:val="00E577F9"/>
    <w:rsid w:val="00E57FB5"/>
    <w:rsid w:val="00E60F14"/>
    <w:rsid w:val="00E61B23"/>
    <w:rsid w:val="00E621BF"/>
    <w:rsid w:val="00E625BE"/>
    <w:rsid w:val="00E6284B"/>
    <w:rsid w:val="00E62D07"/>
    <w:rsid w:val="00E62DF6"/>
    <w:rsid w:val="00E630C9"/>
    <w:rsid w:val="00E63A22"/>
    <w:rsid w:val="00E63B8F"/>
    <w:rsid w:val="00E64138"/>
    <w:rsid w:val="00E646B5"/>
    <w:rsid w:val="00E64F87"/>
    <w:rsid w:val="00E65427"/>
    <w:rsid w:val="00E6543F"/>
    <w:rsid w:val="00E661C0"/>
    <w:rsid w:val="00E663F5"/>
    <w:rsid w:val="00E664B7"/>
    <w:rsid w:val="00E66968"/>
    <w:rsid w:val="00E66E97"/>
    <w:rsid w:val="00E70BD6"/>
    <w:rsid w:val="00E71305"/>
    <w:rsid w:val="00E72383"/>
    <w:rsid w:val="00E724D2"/>
    <w:rsid w:val="00E72D9F"/>
    <w:rsid w:val="00E7353E"/>
    <w:rsid w:val="00E73C41"/>
    <w:rsid w:val="00E742A0"/>
    <w:rsid w:val="00E74933"/>
    <w:rsid w:val="00E74EDC"/>
    <w:rsid w:val="00E75167"/>
    <w:rsid w:val="00E75737"/>
    <w:rsid w:val="00E75875"/>
    <w:rsid w:val="00E75886"/>
    <w:rsid w:val="00E75D6E"/>
    <w:rsid w:val="00E76007"/>
    <w:rsid w:val="00E76181"/>
    <w:rsid w:val="00E770F2"/>
    <w:rsid w:val="00E7712E"/>
    <w:rsid w:val="00E7726C"/>
    <w:rsid w:val="00E77EAC"/>
    <w:rsid w:val="00E802A4"/>
    <w:rsid w:val="00E81069"/>
    <w:rsid w:val="00E8107A"/>
    <w:rsid w:val="00E817AD"/>
    <w:rsid w:val="00E817EF"/>
    <w:rsid w:val="00E8184F"/>
    <w:rsid w:val="00E81F02"/>
    <w:rsid w:val="00E828D5"/>
    <w:rsid w:val="00E82D81"/>
    <w:rsid w:val="00E83259"/>
    <w:rsid w:val="00E83331"/>
    <w:rsid w:val="00E839BE"/>
    <w:rsid w:val="00E83CAC"/>
    <w:rsid w:val="00E83FCD"/>
    <w:rsid w:val="00E84C89"/>
    <w:rsid w:val="00E85E56"/>
    <w:rsid w:val="00E860DD"/>
    <w:rsid w:val="00E864B3"/>
    <w:rsid w:val="00E8713D"/>
    <w:rsid w:val="00E873A9"/>
    <w:rsid w:val="00E90329"/>
    <w:rsid w:val="00E90708"/>
    <w:rsid w:val="00E909B4"/>
    <w:rsid w:val="00E910D5"/>
    <w:rsid w:val="00E922C4"/>
    <w:rsid w:val="00E9339E"/>
    <w:rsid w:val="00E943AE"/>
    <w:rsid w:val="00E947B0"/>
    <w:rsid w:val="00E95D82"/>
    <w:rsid w:val="00E95E03"/>
    <w:rsid w:val="00E95F21"/>
    <w:rsid w:val="00E96273"/>
    <w:rsid w:val="00E967B6"/>
    <w:rsid w:val="00E96E97"/>
    <w:rsid w:val="00E97D49"/>
    <w:rsid w:val="00E97FC5"/>
    <w:rsid w:val="00EA0251"/>
    <w:rsid w:val="00EA0578"/>
    <w:rsid w:val="00EA0AC3"/>
    <w:rsid w:val="00EA1065"/>
    <w:rsid w:val="00EA1434"/>
    <w:rsid w:val="00EA3C3E"/>
    <w:rsid w:val="00EA4694"/>
    <w:rsid w:val="00EA48D3"/>
    <w:rsid w:val="00EA50EE"/>
    <w:rsid w:val="00EA546B"/>
    <w:rsid w:val="00EA57C5"/>
    <w:rsid w:val="00EA5D7E"/>
    <w:rsid w:val="00EA5F31"/>
    <w:rsid w:val="00EA5F92"/>
    <w:rsid w:val="00EA616E"/>
    <w:rsid w:val="00EA644E"/>
    <w:rsid w:val="00EA64B4"/>
    <w:rsid w:val="00EA65F1"/>
    <w:rsid w:val="00EA6665"/>
    <w:rsid w:val="00EA679F"/>
    <w:rsid w:val="00EA6935"/>
    <w:rsid w:val="00EA6967"/>
    <w:rsid w:val="00EA6F44"/>
    <w:rsid w:val="00EA7163"/>
    <w:rsid w:val="00EA7613"/>
    <w:rsid w:val="00EA7705"/>
    <w:rsid w:val="00EA793B"/>
    <w:rsid w:val="00EA7A7E"/>
    <w:rsid w:val="00EA7FF8"/>
    <w:rsid w:val="00EB0495"/>
    <w:rsid w:val="00EB05DA"/>
    <w:rsid w:val="00EB190F"/>
    <w:rsid w:val="00EB235B"/>
    <w:rsid w:val="00EB31A3"/>
    <w:rsid w:val="00EB325B"/>
    <w:rsid w:val="00EB33DA"/>
    <w:rsid w:val="00EB35C2"/>
    <w:rsid w:val="00EB3E22"/>
    <w:rsid w:val="00EB45E7"/>
    <w:rsid w:val="00EB693B"/>
    <w:rsid w:val="00EB7BA9"/>
    <w:rsid w:val="00EB7D75"/>
    <w:rsid w:val="00EC0B20"/>
    <w:rsid w:val="00EC0EE7"/>
    <w:rsid w:val="00EC1C3A"/>
    <w:rsid w:val="00EC1F51"/>
    <w:rsid w:val="00EC2B1D"/>
    <w:rsid w:val="00EC2BF0"/>
    <w:rsid w:val="00EC2CAE"/>
    <w:rsid w:val="00EC4233"/>
    <w:rsid w:val="00EC4544"/>
    <w:rsid w:val="00EC4A85"/>
    <w:rsid w:val="00EC57B2"/>
    <w:rsid w:val="00EC58F4"/>
    <w:rsid w:val="00EC650B"/>
    <w:rsid w:val="00EC658F"/>
    <w:rsid w:val="00EC7808"/>
    <w:rsid w:val="00EC7BFA"/>
    <w:rsid w:val="00ED042E"/>
    <w:rsid w:val="00ED1295"/>
    <w:rsid w:val="00ED1A2D"/>
    <w:rsid w:val="00ED2725"/>
    <w:rsid w:val="00ED2FF0"/>
    <w:rsid w:val="00ED2FF5"/>
    <w:rsid w:val="00ED34D1"/>
    <w:rsid w:val="00ED367F"/>
    <w:rsid w:val="00ED3E32"/>
    <w:rsid w:val="00ED4206"/>
    <w:rsid w:val="00ED4B95"/>
    <w:rsid w:val="00ED58A2"/>
    <w:rsid w:val="00ED58C3"/>
    <w:rsid w:val="00ED5BC8"/>
    <w:rsid w:val="00ED5C71"/>
    <w:rsid w:val="00ED5E17"/>
    <w:rsid w:val="00ED5EEE"/>
    <w:rsid w:val="00ED60B4"/>
    <w:rsid w:val="00ED667C"/>
    <w:rsid w:val="00ED7966"/>
    <w:rsid w:val="00EE01CC"/>
    <w:rsid w:val="00EE04EE"/>
    <w:rsid w:val="00EE0C41"/>
    <w:rsid w:val="00EE1219"/>
    <w:rsid w:val="00EE1760"/>
    <w:rsid w:val="00EE287D"/>
    <w:rsid w:val="00EE2A78"/>
    <w:rsid w:val="00EE3B32"/>
    <w:rsid w:val="00EE3CFF"/>
    <w:rsid w:val="00EE3F39"/>
    <w:rsid w:val="00EE414C"/>
    <w:rsid w:val="00EE44FE"/>
    <w:rsid w:val="00EE5406"/>
    <w:rsid w:val="00EE5EF8"/>
    <w:rsid w:val="00EE6964"/>
    <w:rsid w:val="00EE6A1C"/>
    <w:rsid w:val="00EE6A1D"/>
    <w:rsid w:val="00EE6AE0"/>
    <w:rsid w:val="00EE6D18"/>
    <w:rsid w:val="00EE7E7A"/>
    <w:rsid w:val="00EF0A94"/>
    <w:rsid w:val="00EF0BB0"/>
    <w:rsid w:val="00EF0BF3"/>
    <w:rsid w:val="00EF1230"/>
    <w:rsid w:val="00EF153F"/>
    <w:rsid w:val="00EF223B"/>
    <w:rsid w:val="00EF29DE"/>
    <w:rsid w:val="00EF2BF3"/>
    <w:rsid w:val="00EF3978"/>
    <w:rsid w:val="00EF3AAC"/>
    <w:rsid w:val="00EF4906"/>
    <w:rsid w:val="00EF4D42"/>
    <w:rsid w:val="00EF4FD1"/>
    <w:rsid w:val="00EF5318"/>
    <w:rsid w:val="00EF58FA"/>
    <w:rsid w:val="00EF708A"/>
    <w:rsid w:val="00EF72C3"/>
    <w:rsid w:val="00EF74BD"/>
    <w:rsid w:val="00EF7867"/>
    <w:rsid w:val="00EF79CE"/>
    <w:rsid w:val="00F00136"/>
    <w:rsid w:val="00F00152"/>
    <w:rsid w:val="00F0031A"/>
    <w:rsid w:val="00F00352"/>
    <w:rsid w:val="00F00B1B"/>
    <w:rsid w:val="00F00E37"/>
    <w:rsid w:val="00F010EE"/>
    <w:rsid w:val="00F01383"/>
    <w:rsid w:val="00F0167D"/>
    <w:rsid w:val="00F0177A"/>
    <w:rsid w:val="00F019D5"/>
    <w:rsid w:val="00F02500"/>
    <w:rsid w:val="00F032E2"/>
    <w:rsid w:val="00F037E3"/>
    <w:rsid w:val="00F03FF2"/>
    <w:rsid w:val="00F04350"/>
    <w:rsid w:val="00F04B66"/>
    <w:rsid w:val="00F04F9E"/>
    <w:rsid w:val="00F056EB"/>
    <w:rsid w:val="00F06A47"/>
    <w:rsid w:val="00F0717F"/>
    <w:rsid w:val="00F073FC"/>
    <w:rsid w:val="00F0747A"/>
    <w:rsid w:val="00F07849"/>
    <w:rsid w:val="00F07882"/>
    <w:rsid w:val="00F07883"/>
    <w:rsid w:val="00F07BB7"/>
    <w:rsid w:val="00F10177"/>
    <w:rsid w:val="00F1085A"/>
    <w:rsid w:val="00F10C29"/>
    <w:rsid w:val="00F10D83"/>
    <w:rsid w:val="00F1196B"/>
    <w:rsid w:val="00F11A6A"/>
    <w:rsid w:val="00F11F41"/>
    <w:rsid w:val="00F12010"/>
    <w:rsid w:val="00F126BD"/>
    <w:rsid w:val="00F13433"/>
    <w:rsid w:val="00F134FC"/>
    <w:rsid w:val="00F1350E"/>
    <w:rsid w:val="00F14419"/>
    <w:rsid w:val="00F1470E"/>
    <w:rsid w:val="00F147A5"/>
    <w:rsid w:val="00F14AA7"/>
    <w:rsid w:val="00F15884"/>
    <w:rsid w:val="00F15B8E"/>
    <w:rsid w:val="00F16665"/>
    <w:rsid w:val="00F16CFF"/>
    <w:rsid w:val="00F16FB0"/>
    <w:rsid w:val="00F17165"/>
    <w:rsid w:val="00F1733B"/>
    <w:rsid w:val="00F17474"/>
    <w:rsid w:val="00F17A9F"/>
    <w:rsid w:val="00F17FF1"/>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6AC3"/>
    <w:rsid w:val="00F270E8"/>
    <w:rsid w:val="00F27EF5"/>
    <w:rsid w:val="00F27FDB"/>
    <w:rsid w:val="00F30251"/>
    <w:rsid w:val="00F304BE"/>
    <w:rsid w:val="00F305B6"/>
    <w:rsid w:val="00F305CC"/>
    <w:rsid w:val="00F3179A"/>
    <w:rsid w:val="00F31D54"/>
    <w:rsid w:val="00F32357"/>
    <w:rsid w:val="00F32C70"/>
    <w:rsid w:val="00F3443B"/>
    <w:rsid w:val="00F34E02"/>
    <w:rsid w:val="00F3549E"/>
    <w:rsid w:val="00F365A7"/>
    <w:rsid w:val="00F3681C"/>
    <w:rsid w:val="00F3769D"/>
    <w:rsid w:val="00F40243"/>
    <w:rsid w:val="00F404F4"/>
    <w:rsid w:val="00F40B2D"/>
    <w:rsid w:val="00F40E3D"/>
    <w:rsid w:val="00F4143E"/>
    <w:rsid w:val="00F41707"/>
    <w:rsid w:val="00F418DD"/>
    <w:rsid w:val="00F41CC5"/>
    <w:rsid w:val="00F41D25"/>
    <w:rsid w:val="00F423C2"/>
    <w:rsid w:val="00F4260F"/>
    <w:rsid w:val="00F4326C"/>
    <w:rsid w:val="00F433F8"/>
    <w:rsid w:val="00F433FE"/>
    <w:rsid w:val="00F43627"/>
    <w:rsid w:val="00F43781"/>
    <w:rsid w:val="00F4456E"/>
    <w:rsid w:val="00F4463C"/>
    <w:rsid w:val="00F45B60"/>
    <w:rsid w:val="00F473A5"/>
    <w:rsid w:val="00F473F3"/>
    <w:rsid w:val="00F474B8"/>
    <w:rsid w:val="00F4776C"/>
    <w:rsid w:val="00F478CA"/>
    <w:rsid w:val="00F47CE2"/>
    <w:rsid w:val="00F501F3"/>
    <w:rsid w:val="00F5068A"/>
    <w:rsid w:val="00F50A98"/>
    <w:rsid w:val="00F50E5F"/>
    <w:rsid w:val="00F51460"/>
    <w:rsid w:val="00F51667"/>
    <w:rsid w:val="00F521DC"/>
    <w:rsid w:val="00F52D95"/>
    <w:rsid w:val="00F53199"/>
    <w:rsid w:val="00F541A1"/>
    <w:rsid w:val="00F54281"/>
    <w:rsid w:val="00F54B09"/>
    <w:rsid w:val="00F54BEA"/>
    <w:rsid w:val="00F54E8A"/>
    <w:rsid w:val="00F559A8"/>
    <w:rsid w:val="00F55BBE"/>
    <w:rsid w:val="00F55C21"/>
    <w:rsid w:val="00F55E5F"/>
    <w:rsid w:val="00F55F6D"/>
    <w:rsid w:val="00F56337"/>
    <w:rsid w:val="00F5720F"/>
    <w:rsid w:val="00F5736B"/>
    <w:rsid w:val="00F57414"/>
    <w:rsid w:val="00F57880"/>
    <w:rsid w:val="00F608AB"/>
    <w:rsid w:val="00F60BE7"/>
    <w:rsid w:val="00F6159C"/>
    <w:rsid w:val="00F61714"/>
    <w:rsid w:val="00F621C3"/>
    <w:rsid w:val="00F6238F"/>
    <w:rsid w:val="00F63E59"/>
    <w:rsid w:val="00F64655"/>
    <w:rsid w:val="00F64BE0"/>
    <w:rsid w:val="00F65B68"/>
    <w:rsid w:val="00F663EC"/>
    <w:rsid w:val="00F67846"/>
    <w:rsid w:val="00F67B42"/>
    <w:rsid w:val="00F70B72"/>
    <w:rsid w:val="00F70DEF"/>
    <w:rsid w:val="00F70EA3"/>
    <w:rsid w:val="00F71398"/>
    <w:rsid w:val="00F7294C"/>
    <w:rsid w:val="00F72C5F"/>
    <w:rsid w:val="00F73549"/>
    <w:rsid w:val="00F75782"/>
    <w:rsid w:val="00F77F29"/>
    <w:rsid w:val="00F804C2"/>
    <w:rsid w:val="00F80C1D"/>
    <w:rsid w:val="00F81130"/>
    <w:rsid w:val="00F818F7"/>
    <w:rsid w:val="00F81B9C"/>
    <w:rsid w:val="00F8325D"/>
    <w:rsid w:val="00F832A9"/>
    <w:rsid w:val="00F832B0"/>
    <w:rsid w:val="00F83307"/>
    <w:rsid w:val="00F833A5"/>
    <w:rsid w:val="00F83966"/>
    <w:rsid w:val="00F844D3"/>
    <w:rsid w:val="00F84629"/>
    <w:rsid w:val="00F84A19"/>
    <w:rsid w:val="00F84AA1"/>
    <w:rsid w:val="00F84B71"/>
    <w:rsid w:val="00F84F0E"/>
    <w:rsid w:val="00F8519E"/>
    <w:rsid w:val="00F85A68"/>
    <w:rsid w:val="00F85FF5"/>
    <w:rsid w:val="00F865DB"/>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02"/>
    <w:rsid w:val="00F95DD6"/>
    <w:rsid w:val="00F96370"/>
    <w:rsid w:val="00F971BD"/>
    <w:rsid w:val="00F9755A"/>
    <w:rsid w:val="00F97940"/>
    <w:rsid w:val="00F97AF8"/>
    <w:rsid w:val="00F97BA3"/>
    <w:rsid w:val="00F97EA2"/>
    <w:rsid w:val="00F97F0D"/>
    <w:rsid w:val="00FA0099"/>
    <w:rsid w:val="00FA05E3"/>
    <w:rsid w:val="00FA0B0A"/>
    <w:rsid w:val="00FA121C"/>
    <w:rsid w:val="00FA1407"/>
    <w:rsid w:val="00FA1A68"/>
    <w:rsid w:val="00FA1B1A"/>
    <w:rsid w:val="00FA2747"/>
    <w:rsid w:val="00FA2A33"/>
    <w:rsid w:val="00FA2C8F"/>
    <w:rsid w:val="00FA2CF7"/>
    <w:rsid w:val="00FA3410"/>
    <w:rsid w:val="00FA360B"/>
    <w:rsid w:val="00FA3860"/>
    <w:rsid w:val="00FA3A50"/>
    <w:rsid w:val="00FA3DD1"/>
    <w:rsid w:val="00FA4763"/>
    <w:rsid w:val="00FA4830"/>
    <w:rsid w:val="00FA5032"/>
    <w:rsid w:val="00FA6980"/>
    <w:rsid w:val="00FA6CDF"/>
    <w:rsid w:val="00FA6DDC"/>
    <w:rsid w:val="00FA7BB5"/>
    <w:rsid w:val="00FA7C85"/>
    <w:rsid w:val="00FB0437"/>
    <w:rsid w:val="00FB0C8B"/>
    <w:rsid w:val="00FB12D8"/>
    <w:rsid w:val="00FB176A"/>
    <w:rsid w:val="00FB1C00"/>
    <w:rsid w:val="00FB1CDC"/>
    <w:rsid w:val="00FB238A"/>
    <w:rsid w:val="00FB2446"/>
    <w:rsid w:val="00FB2C81"/>
    <w:rsid w:val="00FB33DA"/>
    <w:rsid w:val="00FB3BC4"/>
    <w:rsid w:val="00FB3F9C"/>
    <w:rsid w:val="00FB3FDE"/>
    <w:rsid w:val="00FB4676"/>
    <w:rsid w:val="00FB5552"/>
    <w:rsid w:val="00FB5789"/>
    <w:rsid w:val="00FB5F3A"/>
    <w:rsid w:val="00FB62B1"/>
    <w:rsid w:val="00FB6AA9"/>
    <w:rsid w:val="00FB6AD4"/>
    <w:rsid w:val="00FB7306"/>
    <w:rsid w:val="00FB7F22"/>
    <w:rsid w:val="00FC00F3"/>
    <w:rsid w:val="00FC01DA"/>
    <w:rsid w:val="00FC0A33"/>
    <w:rsid w:val="00FC0B8D"/>
    <w:rsid w:val="00FC1416"/>
    <w:rsid w:val="00FC14B2"/>
    <w:rsid w:val="00FC1823"/>
    <w:rsid w:val="00FC19F4"/>
    <w:rsid w:val="00FC1E35"/>
    <w:rsid w:val="00FC2198"/>
    <w:rsid w:val="00FC26A4"/>
    <w:rsid w:val="00FC2C93"/>
    <w:rsid w:val="00FC325A"/>
    <w:rsid w:val="00FC3388"/>
    <w:rsid w:val="00FC33E3"/>
    <w:rsid w:val="00FC33ED"/>
    <w:rsid w:val="00FC345A"/>
    <w:rsid w:val="00FC3BEE"/>
    <w:rsid w:val="00FC43AD"/>
    <w:rsid w:val="00FC5876"/>
    <w:rsid w:val="00FC62F5"/>
    <w:rsid w:val="00FC731E"/>
    <w:rsid w:val="00FD035A"/>
    <w:rsid w:val="00FD03B6"/>
    <w:rsid w:val="00FD07C3"/>
    <w:rsid w:val="00FD12AF"/>
    <w:rsid w:val="00FD19F1"/>
    <w:rsid w:val="00FD1A7E"/>
    <w:rsid w:val="00FD24E6"/>
    <w:rsid w:val="00FD2C7F"/>
    <w:rsid w:val="00FD2CBC"/>
    <w:rsid w:val="00FD2CC3"/>
    <w:rsid w:val="00FD31BF"/>
    <w:rsid w:val="00FD3CC7"/>
    <w:rsid w:val="00FD4148"/>
    <w:rsid w:val="00FD4D5B"/>
    <w:rsid w:val="00FD4EB7"/>
    <w:rsid w:val="00FD53DF"/>
    <w:rsid w:val="00FD5996"/>
    <w:rsid w:val="00FD6453"/>
    <w:rsid w:val="00FD67FD"/>
    <w:rsid w:val="00FD7366"/>
    <w:rsid w:val="00FD7C86"/>
    <w:rsid w:val="00FD7CB2"/>
    <w:rsid w:val="00FD7D25"/>
    <w:rsid w:val="00FD7D46"/>
    <w:rsid w:val="00FD7D8B"/>
    <w:rsid w:val="00FE0AF2"/>
    <w:rsid w:val="00FE1C47"/>
    <w:rsid w:val="00FE22DD"/>
    <w:rsid w:val="00FE2CFB"/>
    <w:rsid w:val="00FE4A60"/>
    <w:rsid w:val="00FE4EBD"/>
    <w:rsid w:val="00FE54E0"/>
    <w:rsid w:val="00FE55F0"/>
    <w:rsid w:val="00FE5BE9"/>
    <w:rsid w:val="00FE6331"/>
    <w:rsid w:val="00FE685B"/>
    <w:rsid w:val="00FE6C12"/>
    <w:rsid w:val="00FE7894"/>
    <w:rsid w:val="00FF01FA"/>
    <w:rsid w:val="00FF1696"/>
    <w:rsid w:val="00FF21B5"/>
    <w:rsid w:val="00FF21C3"/>
    <w:rsid w:val="00FF26FA"/>
    <w:rsid w:val="00FF2826"/>
    <w:rsid w:val="00FF2A11"/>
    <w:rsid w:val="00FF2AA0"/>
    <w:rsid w:val="00FF330E"/>
    <w:rsid w:val="00FF3F49"/>
    <w:rsid w:val="00FF3F6C"/>
    <w:rsid w:val="00FF4603"/>
    <w:rsid w:val="00FF4B07"/>
    <w:rsid w:val="00FF4BFC"/>
    <w:rsid w:val="00FF4C11"/>
    <w:rsid w:val="00FF4D63"/>
    <w:rsid w:val="00FF56B9"/>
    <w:rsid w:val="00FF57E8"/>
    <w:rsid w:val="00FF58C0"/>
    <w:rsid w:val="00FF5948"/>
    <w:rsid w:val="00FF60E5"/>
    <w:rsid w:val="00FF6B71"/>
    <w:rsid w:val="00FF6EDF"/>
    <w:rsid w:val="00FF6EEA"/>
    <w:rsid w:val="00FF70B3"/>
    <w:rsid w:val="00FF73B2"/>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812E5"/>
  <w15:docId w15:val="{B56CDCDD-4E76-4ADE-A682-ACCBA4E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uiPriority="0" w:qFormat="1"/>
    <w:lsdException w:name="List Number" w:semiHidden="1"/>
    <w:lsdException w:name="List 2" w:semiHidden="1"/>
    <w:lsdException w:name="List 3" w:semiHidden="1"/>
    <w:lsdException w:name="List 4" w:semiHidden="1"/>
    <w:lsdException w:name="List 5" w:semiHidden="1"/>
    <w:lsdException w:name="List Bullet 2" w:semiHidden="1" w:uiPriority="1"/>
    <w:lsdException w:name="List Bullet 3" w:semiHidden="1" w:uiPriority="1" w:qFormat="1"/>
    <w:lsdException w:name="List Bullet 4" w:semiHidden="1" w:uiPriority="1"/>
    <w:lsdException w:name="List Bullet 5" w:semiHidden="1" w:uiPriority="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96BDA"/>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rFonts w:eastAsiaTheme="majorEastAsia" w:cstheme="majorBidi"/>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rFonts w:eastAsiaTheme="majorEastAsia" w:cstheme="majorBidi"/>
      <w:b/>
      <w:bCs/>
      <w:sz w:val="28"/>
    </w:rPr>
  </w:style>
  <w:style w:type="paragraph" w:styleId="Heading4">
    <w:name w:val="heading 4"/>
    <w:basedOn w:val="Heading3"/>
    <w:next w:val="BodyText"/>
    <w:link w:val="Heading4Char"/>
    <w:qFormat/>
    <w:rsid w:val="00620E9B"/>
    <w:pPr>
      <w:tabs>
        <w:tab w:val="clear" w:pos="851"/>
      </w:tabs>
      <w:spacing w:before="280"/>
      <w:outlineLvl w:val="3"/>
    </w:pPr>
    <w:rPr>
      <w:color w:val="0F7B7D"/>
      <w:sz w:val="24"/>
    </w:rPr>
  </w:style>
  <w:style w:type="paragraph" w:styleId="Heading5">
    <w:name w:val="heading 5"/>
    <w:basedOn w:val="Normal"/>
    <w:next w:val="BodyText"/>
    <w:link w:val="Heading5Char"/>
    <w:qFormat/>
    <w:rsid w:val="00C012AE"/>
    <w:pPr>
      <w:keepNext/>
      <w:spacing w:before="24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8EC"/>
    <w:rPr>
      <w:rFonts w:ascii="Calibri" w:eastAsiaTheme="majorEastAsia" w:hAnsi="Calibri" w:cstheme="majorBidi"/>
      <w:b/>
      <w:bCs/>
      <w:color w:val="1C556C"/>
      <w:sz w:val="48"/>
      <w:szCs w:val="28"/>
      <w:lang w:eastAsia="en-NZ"/>
    </w:rPr>
  </w:style>
  <w:style w:type="character" w:customStyle="1" w:styleId="Heading2Char">
    <w:name w:val="Heading 2 Char"/>
    <w:basedOn w:val="DefaultParagraphFont"/>
    <w:link w:val="Heading2"/>
    <w:rsid w:val="00B51610"/>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rsid w:val="008B68EC"/>
    <w:rPr>
      <w:rFonts w:ascii="Calibri" w:eastAsiaTheme="majorEastAsia" w:hAnsi="Calibri" w:cstheme="majorBidi"/>
      <w:b/>
      <w:bCs/>
      <w:sz w:val="28"/>
      <w:lang w:eastAsia="en-NZ"/>
    </w:rPr>
  </w:style>
  <w:style w:type="character" w:customStyle="1" w:styleId="Heading4Char">
    <w:name w:val="Heading 4 Char"/>
    <w:basedOn w:val="DefaultParagraphFont"/>
    <w:link w:val="Heading4"/>
    <w:rsid w:val="00620E9B"/>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C012AE"/>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3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ox">
    <w:name w:val="Box"/>
    <w:basedOn w:val="Normal"/>
    <w:uiPriority w:val="1"/>
    <w:semiHidden/>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semiHidden/>
    <w:qFormat/>
    <w:rsid w:val="00A56D3B"/>
    <w:pPr>
      <w:tabs>
        <w:tab w:val="left" w:pos="680"/>
      </w:tabs>
      <w:spacing w:before="0"/>
      <w:ind w:left="681" w:hanging="397"/>
    </w:pPr>
  </w:style>
  <w:style w:type="paragraph" w:customStyle="1" w:styleId="Boxheading">
    <w:name w:val="Box heading"/>
    <w:basedOn w:val="Box"/>
    <w:next w:val="Box"/>
    <w:uiPriority w:val="1"/>
    <w:semiHidden/>
    <w:qFormat/>
    <w:rsid w:val="001820A3"/>
    <w:pPr>
      <w:keepNext/>
      <w:spacing w:after="0"/>
    </w:pPr>
    <w:rPr>
      <w:b/>
    </w:rPr>
  </w:style>
  <w:style w:type="paragraph" w:customStyle="1" w:styleId="Bullet">
    <w:name w:val="Bullet"/>
    <w:basedOn w:val="Normal"/>
    <w:link w:val="BulletChar"/>
    <w:qFormat/>
    <w:rsid w:val="008B5A2D"/>
    <w:pPr>
      <w:numPr>
        <w:numId w:val="14"/>
      </w:numPr>
      <w:tabs>
        <w:tab w:val="left" w:pos="397"/>
      </w:tabs>
      <w:spacing w:before="0" w:line="280" w:lineRule="exact"/>
      <w:jc w:val="left"/>
    </w:pPr>
    <w:rPr>
      <w:rFonts w:eastAsia="Times New Roman" w:cs="Times New Roman"/>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uiPriority w:val="1"/>
    <w:qFormat/>
    <w:rsid w:val="00EA64B4"/>
    <w:pPr>
      <w:keepNext/>
      <w:ind w:left="1134" w:hanging="1134"/>
      <w:jc w:val="left"/>
    </w:pPr>
    <w:rPr>
      <w:b/>
      <w:sz w:val="20"/>
    </w:rPr>
  </w:style>
  <w:style w:type="character" w:styleId="FootnoteReference">
    <w:name w:val="footnote reference"/>
    <w:uiPriority w:val="99"/>
    <w:semiHidden/>
    <w:rsid w:val="00800C77"/>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semiHidden/>
    <w:qFormat/>
    <w:rsid w:val="00EA64B4"/>
    <w:pPr>
      <w:tabs>
        <w:tab w:val="left" w:pos="680"/>
      </w:tabs>
      <w:jc w:val="left"/>
    </w:pPr>
    <w:rPr>
      <w:sz w:val="18"/>
    </w:rPr>
  </w:style>
  <w:style w:type="paragraph" w:styleId="Title">
    <w:name w:val="Title"/>
    <w:basedOn w:val="Normal"/>
    <w:link w:val="TitleChar"/>
    <w:uiPriority w:val="2"/>
    <w:semiHidden/>
    <w:rsid w:val="00624018"/>
    <w:pPr>
      <w:spacing w:line="360" w:lineRule="auto"/>
      <w:jc w:val="center"/>
    </w:pPr>
    <w:rPr>
      <w:b/>
      <w:color w:val="17556C"/>
      <w:sz w:val="52"/>
    </w:rPr>
  </w:style>
  <w:style w:type="character" w:customStyle="1" w:styleId="TitleChar">
    <w:name w:val="Title Char"/>
    <w:basedOn w:val="DefaultParagraphFont"/>
    <w:link w:val="Title"/>
    <w:uiPriority w:val="2"/>
    <w:semiHidden/>
    <w:rsid w:val="00620E9B"/>
    <w:rPr>
      <w:rFonts w:ascii="Calibri" w:eastAsiaTheme="minorEastAsia" w:hAnsi="Calibri"/>
      <w:b/>
      <w:color w:val="17556C"/>
      <w:sz w:val="52"/>
      <w:lang w:eastAsia="en-NZ"/>
    </w:rPr>
  </w:style>
  <w:style w:type="paragraph" w:styleId="Subtitle">
    <w:name w:val="Subtitle"/>
    <w:basedOn w:val="Title"/>
    <w:link w:val="SubtitleChar"/>
    <w:uiPriority w:val="2"/>
    <w:semiHidden/>
    <w:rsid w:val="00D94120"/>
    <w:pPr>
      <w:spacing w:before="600" w:line="240" w:lineRule="auto"/>
    </w:pPr>
    <w:rPr>
      <w:sz w:val="36"/>
      <w:szCs w:val="36"/>
    </w:rPr>
  </w:style>
  <w:style w:type="character" w:customStyle="1" w:styleId="SubtitleChar">
    <w:name w:val="Subtitle Char"/>
    <w:basedOn w:val="DefaultParagraphFont"/>
    <w:link w:val="Subtitle"/>
    <w:uiPriority w:val="2"/>
    <w:semiHidden/>
    <w:rsid w:val="00620E9B"/>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semiHidden/>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8"/>
      </w:numPr>
      <w:spacing w:before="0"/>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EA7163"/>
    <w:pPr>
      <w:keepNext/>
      <w:spacing w:line="240" w:lineRule="auto"/>
      <w:ind w:left="284"/>
    </w:pPr>
    <w:rPr>
      <w:b/>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0"/>
      </w:numPr>
    </w:pPr>
  </w:style>
  <w:style w:type="numbering" w:customStyle="1" w:styleId="Style2">
    <w:name w:val="Style2"/>
    <w:uiPriority w:val="99"/>
    <w:rsid w:val="008E0688"/>
    <w:pPr>
      <w:numPr>
        <w:numId w:val="11"/>
      </w:numPr>
    </w:pPr>
  </w:style>
  <w:style w:type="paragraph" w:customStyle="1" w:styleId="Greenbullet-casestudytables">
    <w:name w:val="Green bullet - case study tables"/>
    <w:basedOn w:val="Greentext-casestudytables"/>
    <w:uiPriority w:val="1"/>
    <w:rsid w:val="001D062C"/>
    <w:pPr>
      <w:numPr>
        <w:numId w:val="12"/>
      </w:numPr>
      <w:spacing w:before="0"/>
      <w:ind w:left="681" w:hanging="397"/>
    </w:pPr>
    <w:rPr>
      <w:rFonts w:eastAsia="Times New Roman"/>
    </w:rPr>
  </w:style>
  <w:style w:type="paragraph" w:customStyle="1" w:styleId="Greentext-casestudytables">
    <w:name w:val="Green text - case study tables"/>
    <w:basedOn w:val="BodyText"/>
    <w:uiPriority w:val="1"/>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1754D"/>
    <w:pPr>
      <w:keepNext/>
      <w:spacing w:before="240" w:after="0"/>
    </w:pPr>
    <w:rPr>
      <w:rFonts w:eastAsia="Times New Roman"/>
      <w:b/>
    </w:rPr>
  </w:style>
  <w:style w:type="numbering" w:customStyle="1" w:styleId="Style3">
    <w:name w:val="Style3"/>
    <w:uiPriority w:val="99"/>
    <w:rsid w:val="008B5A2D"/>
    <w:pPr>
      <w:numPr>
        <w:numId w:val="13"/>
      </w:numPr>
    </w:pPr>
  </w:style>
  <w:style w:type="paragraph" w:customStyle="1" w:styleId="Blueboxtext">
    <w:name w:val="Blue box text"/>
    <w:basedOn w:val="Normal"/>
    <w:uiPriority w:val="1"/>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qFormat/>
    <w:rsid w:val="005D3242"/>
    <w:pPr>
      <w:numPr>
        <w:numId w:val="2"/>
      </w:numPr>
      <w:tabs>
        <w:tab w:val="left" w:pos="680"/>
      </w:tabs>
      <w:spacing w:before="0"/>
    </w:pPr>
    <w:rPr>
      <w:rFonts w:cs="Times New Roman"/>
      <w:szCs w:val="20"/>
    </w:rPr>
  </w:style>
  <w:style w:type="paragraph" w:customStyle="1" w:styleId="Blueboxheading">
    <w:name w:val="Blue box heading"/>
    <w:basedOn w:val="Blueboxtext"/>
    <w:next w:val="Blueboxtext"/>
    <w:uiPriority w:val="1"/>
    <w:qFormat/>
    <w:rsid w:val="007823D6"/>
    <w:pPr>
      <w:keepNext/>
      <w:spacing w:before="240" w:after="0"/>
    </w:pPr>
    <w:rPr>
      <w:rFonts w:cs="Times New Roman"/>
      <w:b/>
      <w:szCs w:val="20"/>
    </w:rPr>
  </w:style>
  <w:style w:type="paragraph" w:customStyle="1" w:styleId="Blue-boxsub-bullet">
    <w:name w:val="Blue-box sub-bullet"/>
    <w:basedOn w:val="Blueboxtext"/>
    <w:uiPriority w:val="1"/>
    <w:qFormat/>
    <w:rsid w:val="007823D6"/>
    <w:pPr>
      <w:numPr>
        <w:numId w:val="15"/>
      </w:numPr>
      <w:spacing w:before="0"/>
    </w:pPr>
    <w:rPr>
      <w:rFonts w:cs="Times New Roman"/>
      <w:szCs w:val="20"/>
    </w:rPr>
  </w:style>
  <w:style w:type="paragraph" w:customStyle="1" w:styleId="Greensub-bullet-casestudytables">
    <w:name w:val="Green sub-bullet - case study tables"/>
    <w:basedOn w:val="Greentext-casestudytables"/>
    <w:uiPriority w:val="1"/>
    <w:qFormat/>
    <w:rsid w:val="00C15722"/>
    <w:pPr>
      <w:numPr>
        <w:numId w:val="16"/>
      </w:numPr>
      <w:spacing w:before="0"/>
      <w:ind w:left="1077" w:hanging="397"/>
    </w:pPr>
  </w:style>
  <w:style w:type="paragraph" w:styleId="CommentText">
    <w:name w:val="annotation text"/>
    <w:basedOn w:val="Normal"/>
    <w:link w:val="CommentTextChar"/>
    <w:uiPriority w:val="99"/>
    <w:semiHidden/>
    <w:rsid w:val="00B20DB1"/>
    <w:pPr>
      <w:spacing w:line="240" w:lineRule="auto"/>
    </w:pPr>
    <w:rPr>
      <w:sz w:val="20"/>
      <w:szCs w:val="20"/>
    </w:rPr>
  </w:style>
  <w:style w:type="character" w:customStyle="1" w:styleId="CommentTextChar">
    <w:name w:val="Comment Text Char"/>
    <w:basedOn w:val="DefaultParagraphFont"/>
    <w:link w:val="CommentText"/>
    <w:uiPriority w:val="99"/>
    <w:semiHidden/>
    <w:rsid w:val="00B20DB1"/>
    <w:rPr>
      <w:rFonts w:ascii="Calibri" w:eastAsiaTheme="minorEastAsia" w:hAnsi="Calibri"/>
      <w:sz w:val="20"/>
      <w:szCs w:val="20"/>
      <w:lang w:eastAsia="en-NZ"/>
    </w:rPr>
  </w:style>
  <w:style w:type="table" w:customStyle="1" w:styleId="TableGrid1">
    <w:name w:val="Table Grid1"/>
    <w:basedOn w:val="TableNormal"/>
    <w:next w:val="TableGrid"/>
    <w:uiPriority w:val="59"/>
    <w:rsid w:val="003C6050"/>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854ADB"/>
    <w:pPr>
      <w:spacing w:after="0" w:line="240" w:lineRule="auto"/>
    </w:pPr>
    <w:rPr>
      <w:rFonts w:ascii="Calibri" w:eastAsia="Calibri" w:hAnsi="Calibri" w:cs="Times New Roman"/>
      <w:color w:val="153F50" w:themeColor="accent1" w:themeShade="BF"/>
      <w:sz w:val="20"/>
      <w:szCs w:val="20"/>
      <w:lang w:eastAsia="en-NZ"/>
    </w:rPr>
    <w:tblPr>
      <w:tblStyleRowBandSize w:val="1"/>
      <w:tblStyleColBandSize w:val="1"/>
      <w:tblInd w:w="0" w:type="nil"/>
      <w:tblBorders>
        <w:top w:val="single" w:sz="4" w:space="0" w:color="4CAAD0" w:themeColor="accent1" w:themeTint="99"/>
        <w:left w:val="single" w:sz="4" w:space="0" w:color="4CAAD0" w:themeColor="accent1" w:themeTint="99"/>
        <w:bottom w:val="single" w:sz="4" w:space="0" w:color="4CAAD0" w:themeColor="accent1" w:themeTint="99"/>
        <w:right w:val="single" w:sz="4" w:space="0" w:color="4CAAD0" w:themeColor="accent1" w:themeTint="99"/>
        <w:insideH w:val="single" w:sz="4" w:space="0" w:color="4CAAD0" w:themeColor="accent1" w:themeTint="99"/>
        <w:insideV w:val="single" w:sz="4" w:space="0" w:color="4CAAD0" w:themeColor="accent1" w:themeTint="99"/>
      </w:tblBorders>
    </w:tblPr>
    <w:tblStylePr w:type="firstRow">
      <w:rPr>
        <w:b/>
        <w:bCs/>
      </w:rPr>
      <w:tblPr/>
      <w:tcPr>
        <w:tcBorders>
          <w:bottom w:val="single" w:sz="12" w:space="0" w:color="4CAAD0" w:themeColor="accent1" w:themeTint="99"/>
        </w:tcBorders>
      </w:tcPr>
    </w:tblStylePr>
    <w:tblStylePr w:type="lastRow">
      <w:rPr>
        <w:b/>
        <w:bCs/>
      </w:rPr>
      <w:tblPr/>
      <w:tcPr>
        <w:tcBorders>
          <w:top w:val="double" w:sz="4" w:space="0" w:color="4CAAD0" w:themeColor="accent1" w:themeTint="99"/>
        </w:tcBorders>
      </w:tcPr>
    </w:tblStylePr>
    <w:tblStylePr w:type="firstCol">
      <w:rPr>
        <w:b/>
        <w:bCs/>
      </w:rPr>
    </w:tblStylePr>
    <w:tblStylePr w:type="lastCol">
      <w:rPr>
        <w:b/>
        <w:bCs/>
      </w:rPr>
    </w:tblStylePr>
    <w:tblStylePr w:type="band1Vert">
      <w:tblPr/>
      <w:tcPr>
        <w:shd w:val="clear" w:color="auto" w:fill="C3E2EF" w:themeFill="accent1" w:themeFillTint="33"/>
      </w:tcPr>
    </w:tblStylePr>
    <w:tblStylePr w:type="band1Horz">
      <w:tblPr/>
      <w:tcPr>
        <w:shd w:val="clear" w:color="auto" w:fill="C3E2EF" w:themeFill="accent1" w:themeFillTint="33"/>
      </w:tcPr>
    </w:tblStylePr>
  </w:style>
  <w:style w:type="character" w:customStyle="1" w:styleId="UnresolvedMention1">
    <w:name w:val="Unresolved Mention1"/>
    <w:basedOn w:val="DefaultParagraphFont"/>
    <w:uiPriority w:val="99"/>
    <w:semiHidden/>
    <w:unhideWhenUsed/>
    <w:rsid w:val="00CF6D7F"/>
    <w:rPr>
      <w:color w:val="605E5C"/>
      <w:shd w:val="clear" w:color="auto" w:fill="E1DFDD"/>
    </w:rPr>
  </w:style>
  <w:style w:type="table" w:customStyle="1" w:styleId="TableGrid2">
    <w:name w:val="Table Grid2"/>
    <w:basedOn w:val="TableNormal"/>
    <w:next w:val="TableGrid"/>
    <w:uiPriority w:val="39"/>
    <w:rsid w:val="00EA0AC3"/>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37BB7"/>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8D66B4"/>
    <w:rPr>
      <w:color w:val="605E5C"/>
      <w:shd w:val="clear" w:color="auto" w:fill="E1DFDD"/>
    </w:rPr>
  </w:style>
  <w:style w:type="paragraph" w:styleId="ListBullet">
    <w:name w:val="List Bullet"/>
    <w:basedOn w:val="BodyText"/>
    <w:semiHidden/>
    <w:qFormat/>
    <w:rsid w:val="00E873A9"/>
    <w:pPr>
      <w:numPr>
        <w:numId w:val="35"/>
      </w:numPr>
      <w:spacing w:line="240" w:lineRule="auto"/>
    </w:pPr>
    <w:rPr>
      <w:rFonts w:eastAsia="Times New Roman" w:cs="Times New Roman"/>
      <w:lang w:eastAsia="en-AU"/>
    </w:rPr>
  </w:style>
  <w:style w:type="paragraph" w:styleId="ListBullet2">
    <w:name w:val="List Bullet 2"/>
    <w:basedOn w:val="ListBullet"/>
    <w:uiPriority w:val="1"/>
    <w:semiHidden/>
    <w:rsid w:val="00E873A9"/>
    <w:pPr>
      <w:numPr>
        <w:ilvl w:val="1"/>
      </w:numPr>
    </w:pPr>
  </w:style>
  <w:style w:type="paragraph" w:styleId="ListBullet3">
    <w:name w:val="List Bullet 3"/>
    <w:basedOn w:val="ListBullet"/>
    <w:uiPriority w:val="1"/>
    <w:qFormat/>
    <w:rsid w:val="00E873A9"/>
    <w:pPr>
      <w:numPr>
        <w:ilvl w:val="2"/>
      </w:numPr>
    </w:pPr>
  </w:style>
  <w:style w:type="paragraph" w:styleId="ListBullet4">
    <w:name w:val="List Bullet 4"/>
    <w:basedOn w:val="ListBullet"/>
    <w:uiPriority w:val="1"/>
    <w:semiHidden/>
    <w:rsid w:val="00E873A9"/>
    <w:pPr>
      <w:numPr>
        <w:ilvl w:val="3"/>
      </w:numPr>
    </w:pPr>
  </w:style>
  <w:style w:type="paragraph" w:styleId="ListBullet5">
    <w:name w:val="List Bullet 5"/>
    <w:basedOn w:val="ListBullet4"/>
    <w:uiPriority w:val="1"/>
    <w:semiHidden/>
    <w:rsid w:val="00E873A9"/>
    <w:pPr>
      <w:numPr>
        <w:ilvl w:val="4"/>
      </w:numPr>
    </w:pPr>
  </w:style>
  <w:style w:type="paragraph" w:customStyle="1" w:styleId="Bullets">
    <w:name w:val="Bullets"/>
    <w:basedOn w:val="ListBullet"/>
    <w:qFormat/>
    <w:rsid w:val="00E873A9"/>
    <w:pPr>
      <w:spacing w:before="0"/>
    </w:pPr>
  </w:style>
  <w:style w:type="character" w:customStyle="1" w:styleId="UnresolvedMention">
    <w:name w:val="Unresolved Mention"/>
    <w:basedOn w:val="DefaultParagraphFont"/>
    <w:uiPriority w:val="99"/>
    <w:semiHidden/>
    <w:unhideWhenUsed/>
    <w:rsid w:val="003B1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471604294">
      <w:bodyDiv w:val="1"/>
      <w:marLeft w:val="0"/>
      <w:marRight w:val="0"/>
      <w:marTop w:val="0"/>
      <w:marBottom w:val="0"/>
      <w:divBdr>
        <w:top w:val="none" w:sz="0" w:space="0" w:color="auto"/>
        <w:left w:val="none" w:sz="0" w:space="0" w:color="auto"/>
        <w:bottom w:val="none" w:sz="0" w:space="0" w:color="auto"/>
        <w:right w:val="none" w:sz="0" w:space="0" w:color="auto"/>
      </w:divBdr>
      <w:divsChild>
        <w:div w:id="705905970">
          <w:marLeft w:val="0"/>
          <w:marRight w:val="0"/>
          <w:marTop w:val="0"/>
          <w:marBottom w:val="0"/>
          <w:divBdr>
            <w:top w:val="none" w:sz="0" w:space="0" w:color="auto"/>
            <w:left w:val="none" w:sz="0" w:space="0" w:color="auto"/>
            <w:bottom w:val="none" w:sz="0" w:space="0" w:color="auto"/>
            <w:right w:val="none" w:sz="0" w:space="0" w:color="auto"/>
          </w:divBdr>
        </w:div>
      </w:divsChild>
    </w:div>
    <w:div w:id="855382789">
      <w:bodyDiv w:val="1"/>
      <w:marLeft w:val="0"/>
      <w:marRight w:val="0"/>
      <w:marTop w:val="0"/>
      <w:marBottom w:val="0"/>
      <w:divBdr>
        <w:top w:val="none" w:sz="0" w:space="0" w:color="auto"/>
        <w:left w:val="none" w:sz="0" w:space="0" w:color="auto"/>
        <w:bottom w:val="none" w:sz="0" w:space="0" w:color="auto"/>
        <w:right w:val="none" w:sz="0" w:space="0" w:color="auto"/>
      </w:divBdr>
    </w:div>
    <w:div w:id="1511946977">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781102987">
      <w:bodyDiv w:val="1"/>
      <w:marLeft w:val="0"/>
      <w:marRight w:val="0"/>
      <w:marTop w:val="0"/>
      <w:marBottom w:val="0"/>
      <w:divBdr>
        <w:top w:val="none" w:sz="0" w:space="0" w:color="auto"/>
        <w:left w:val="none" w:sz="0" w:space="0" w:color="auto"/>
        <w:bottom w:val="none" w:sz="0" w:space="0" w:color="auto"/>
        <w:right w:val="none" w:sz="0" w:space="0" w:color="auto"/>
      </w:divBdr>
    </w:div>
    <w:div w:id="1841920212">
      <w:bodyDiv w:val="1"/>
      <w:marLeft w:val="0"/>
      <w:marRight w:val="0"/>
      <w:marTop w:val="0"/>
      <w:marBottom w:val="0"/>
      <w:divBdr>
        <w:top w:val="none" w:sz="0" w:space="0" w:color="auto"/>
        <w:left w:val="none" w:sz="0" w:space="0" w:color="auto"/>
        <w:bottom w:val="none" w:sz="0" w:space="0" w:color="auto"/>
        <w:right w:val="none" w:sz="0" w:space="0" w:color="auto"/>
      </w:divBdr>
    </w:div>
    <w:div w:id="190225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3.gi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emf"/><Relationship Id="rId29" Type="http://schemas.openxmlformats.org/officeDocument/2006/relationships/hyperlink" Target="mailto:etsconsultation@mf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etsconsultation@mfe.govt.nz"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environment.govt.nz" TargetMode="External"/><Relationship Id="rId23" Type="http://schemas.openxmlformats.org/officeDocument/2006/relationships/hyperlink" Target="https://consult.environment.govt.nz/climate/reforming-industrial-allocation-in-the-nz-ets" TargetMode="External"/><Relationship Id="rId28" Type="http://schemas.openxmlformats.org/officeDocument/2006/relationships/hyperlink" Target="https://consult.environment.govt.nz/" TargetMode="Externa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consult.environment.govt.nz/climate/designing-a-governance-framework-for-the-nz-ets" TargetMode="External"/><Relationship Id="rId27" Type="http://schemas.openxmlformats.org/officeDocument/2006/relationships/hyperlink" Target="https://www.mbie.govt.nz/assets/discussion-document-accelerating-renewable-energy-and-energy-efficiency.pdf" TargetMode="External"/><Relationship Id="rId30" Type="http://schemas.openxmlformats.org/officeDocument/2006/relationships/hyperlink" Target="mailto:etsconsultation@mfe.govt.n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pa.govt.nz/industry-areas/emissions-trading-scheme/industrial-allocations/" TargetMode="External"/><Relationship Id="rId2" Type="http://schemas.openxmlformats.org/officeDocument/2006/relationships/hyperlink" Target="https://environment.govt.nz/publications/potential-for-emissions-leakage-from-selected-industries-in-the-ets" TargetMode="External"/><Relationship Id="rId1" Type="http://schemas.openxmlformats.org/officeDocument/2006/relationships/hyperlink" Target="https://environment.govt.nz/publications/countervailing-forces-climate-targets-and-implications-for-competitiveness-leakage-and-innovation/" TargetMode="External"/><Relationship Id="rId4" Type="http://schemas.openxmlformats.org/officeDocument/2006/relationships/hyperlink" Target="https://environment.govt.nz/assets/Publications/Files/maori-impacts-analysis-conclusions-jan0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tonv\AppData\Local\Microsoft\Windows\INetCache\IE\X5IYNSMW\MfE%20report%20template.dotx" TargetMode="Externa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Ben20</b:Tag>
    <b:SourceType>Report</b:SourceType>
    <b:Guid>{EC4569E2-DFDC-4C15-B031-BA52499C21FD}</b:Guid>
    <b:Author>
      <b:Author>
        <b:NameList>
          <b:Person>
            <b:Last>Rontard</b:Last>
            <b:First>Benjamin</b:First>
          </b:Person>
          <b:Person>
            <b:Last>Leining</b:Last>
            <b:First>Catherine </b:First>
          </b:Person>
        </b:NameList>
      </b:Author>
    </b:Author>
    <b:Title>Industrial Free Allocation Post-2020 in the NZ ETS</b:Title>
    <b:Year>2020</b:Year>
    <b:Publisher>Motu Economic and Public Policy Reseach</b:Publisher>
    <b:RefOrder>2</b:RefOrder>
  </b:Source>
  <b:Source>
    <b:Tag>Tim21</b:Tag>
    <b:SourceType>Report</b:SourceType>
    <b:Guid>{84750B3D-F564-4F0B-88B9-3EA4A4D750A1}</b:Guid>
    <b:Author>
      <b:Author>
        <b:NameList>
          <b:Person>
            <b:Last>Denne</b:Last>
            <b:First>Tim</b:First>
          </b:Person>
        </b:NameList>
      </b:Author>
    </b:Author>
    <b:Title>Potential for emissions leakage from selected industries in the ETS</b:Title>
    <b:Year>2021</b:Year>
    <b:Publisher>Resource Economics </b:Publisher>
    <b:RefOrder>1</b:RefOrder>
  </b:Source>
</b:Sources>
</file>

<file path=customXml/itemProps1.xml><?xml version="1.0" encoding="utf-8"?>
<ds:datastoreItem xmlns:ds="http://schemas.openxmlformats.org/officeDocument/2006/customXml" ds:itemID="{F4CBB231-B368-45E0-AEC1-17DBA6DD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report template.dotx</Template>
  <TotalTime>1</TotalTime>
  <Pages>1</Pages>
  <Words>17487</Words>
  <Characters>99677</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suttonv</dc:creator>
  <cp:lastModifiedBy>Lani Nesbit</cp:lastModifiedBy>
  <cp:revision>5</cp:revision>
  <dcterms:created xsi:type="dcterms:W3CDTF">2021-07-07T04:14:00Z</dcterms:created>
  <dcterms:modified xsi:type="dcterms:W3CDTF">2021-07-07T05:45:00Z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2021-06-08T22:25:59Z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1e725cf9-43cb-4e5f-8f14-ebb5a122695c</vt:lpwstr>
  </property>
  <property fmtid="{D5CDD505-2E9C-101B-9397-08002B2CF9AE}" pid="8" name="MSIP_Label_52dda6cc-d61d-4fd2-bf18-9b3017d931cc_ContentBits">
    <vt:lpwstr>0</vt:lpwstr>
  </property>
</Properties>
</file>