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391F3" w14:textId="2896AF36" w:rsidR="0080531E" w:rsidRPr="00B510A6" w:rsidRDefault="007A7C46" w:rsidP="0003640E">
      <w:pPr>
        <w:pStyle w:val="BodyText"/>
      </w:pPr>
      <w:r>
        <w:rPr>
          <w:noProof/>
        </w:rPr>
        <w:drawing>
          <wp:anchor distT="0" distB="0" distL="114300" distR="114300" simplePos="0" relativeHeight="251672576" behindDoc="0" locked="0" layoutInCell="1" allowOverlap="1" wp14:anchorId="37CC6CA1" wp14:editId="283FB45C">
            <wp:simplePos x="0" y="0"/>
            <wp:positionH relativeFrom="page">
              <wp:align>right</wp:align>
            </wp:positionH>
            <wp:positionV relativeFrom="paragraph">
              <wp:posOffset>-3586822</wp:posOffset>
            </wp:positionV>
            <wp:extent cx="7538304" cy="10663310"/>
            <wp:effectExtent l="0" t="0" r="5715" b="5080"/>
            <wp:wrapNone/>
            <wp:docPr id="10" name="Picture 10" descr="A picture containing text, nature, road,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ature, road, highland&#10;&#10;Description automatically generated"/>
                    <pic:cNvPicPr/>
                  </pic:nvPicPr>
                  <pic:blipFill>
                    <a:blip r:embed="rId12"/>
                    <a:stretch>
                      <a:fillRect/>
                    </a:stretch>
                  </pic:blipFill>
                  <pic:spPr>
                    <a:xfrm>
                      <a:off x="0" y="0"/>
                      <a:ext cx="7538304" cy="10663310"/>
                    </a:xfrm>
                    <a:prstGeom prst="rect">
                      <a:avLst/>
                    </a:prstGeom>
                  </pic:spPr>
                </pic:pic>
              </a:graphicData>
            </a:graphic>
            <wp14:sizeRelH relativeFrom="margin">
              <wp14:pctWidth>0</wp14:pctWidth>
            </wp14:sizeRelH>
            <wp14:sizeRelV relativeFrom="margin">
              <wp14:pctHeight>0</wp14:pctHeight>
            </wp14:sizeRelV>
          </wp:anchor>
        </w:drawing>
      </w:r>
    </w:p>
    <w:p w14:paraId="4C42FD67" w14:textId="77777777" w:rsidR="0003640E" w:rsidRPr="00B510A6" w:rsidRDefault="0003640E" w:rsidP="0003640E">
      <w:pPr>
        <w:pStyle w:val="BodyText"/>
      </w:pPr>
    </w:p>
    <w:p w14:paraId="4100485C" w14:textId="77777777" w:rsidR="0003640E" w:rsidRPr="00B510A6" w:rsidRDefault="0003640E" w:rsidP="0080531E">
      <w:pPr>
        <w:jc w:val="left"/>
        <w:rPr>
          <w:color w:val="FF0000"/>
        </w:rPr>
        <w:sectPr w:rsidR="0003640E" w:rsidRPr="00B510A6" w:rsidSect="0070143B">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42E4D97F" w14:textId="77777777" w:rsidR="00452EC4" w:rsidRPr="00B510A6" w:rsidRDefault="00452EC4" w:rsidP="00775F57">
      <w:pPr>
        <w:pStyle w:val="Imprint"/>
        <w:spacing w:before="0" w:after="0"/>
        <w:rPr>
          <w:b/>
        </w:rPr>
      </w:pPr>
      <w:r w:rsidRPr="00B510A6">
        <w:rPr>
          <w:b/>
        </w:rPr>
        <w:lastRenderedPageBreak/>
        <w:t>Disclaimer</w:t>
      </w:r>
    </w:p>
    <w:p w14:paraId="6078C270" w14:textId="77777777" w:rsidR="00410402" w:rsidRPr="00735C90" w:rsidRDefault="00410402" w:rsidP="00410402">
      <w:pPr>
        <w:pStyle w:val="Imprint"/>
      </w:pPr>
      <w:r w:rsidRPr="00735C90">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13C832B5" w14:textId="77777777" w:rsidR="00410402" w:rsidRPr="00735C90" w:rsidRDefault="00410402" w:rsidP="00410402">
      <w:pPr>
        <w:pStyle w:val="Imprint"/>
        <w:numPr>
          <w:ilvl w:val="0"/>
          <w:numId w:val="35"/>
        </w:numPr>
        <w:spacing w:before="0"/>
        <w:ind w:left="397" w:hanging="397"/>
      </w:pPr>
      <w:r w:rsidRPr="00735C90">
        <w:t xml:space="preserve">The information does not alter the laws of New Zealand, other official guidelines, or requirements. </w:t>
      </w:r>
    </w:p>
    <w:p w14:paraId="024E1270" w14:textId="77777777" w:rsidR="00410402" w:rsidRPr="00735C90" w:rsidRDefault="00410402" w:rsidP="00410402">
      <w:pPr>
        <w:pStyle w:val="Imprint"/>
        <w:numPr>
          <w:ilvl w:val="0"/>
          <w:numId w:val="35"/>
        </w:numPr>
        <w:spacing w:before="0"/>
        <w:ind w:left="397" w:hanging="397"/>
      </w:pPr>
      <w:r w:rsidRPr="00735C90">
        <w:t xml:space="preserve">It does not constitute legal advice, and users should take specific advice from qualified professionals before taking any action based on information in this publication. </w:t>
      </w:r>
    </w:p>
    <w:p w14:paraId="08260D83" w14:textId="77777777" w:rsidR="00410402" w:rsidRPr="00735C90" w:rsidRDefault="00410402" w:rsidP="00410402">
      <w:pPr>
        <w:pStyle w:val="Imprint"/>
        <w:numPr>
          <w:ilvl w:val="0"/>
          <w:numId w:val="35"/>
        </w:numPr>
        <w:spacing w:before="0"/>
        <w:ind w:left="397" w:hanging="397"/>
        <w:rPr>
          <w:rFonts w:asciiTheme="minorHAnsi" w:hAnsiTheme="minorHAnsi"/>
        </w:rPr>
      </w:pPr>
      <w:r w:rsidRPr="00735C90">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36E0FE42" w14:textId="3CB7A01B" w:rsidR="00452EC4" w:rsidRPr="00B510A6" w:rsidRDefault="00410402" w:rsidP="00410402">
      <w:pPr>
        <w:pStyle w:val="Imprint"/>
      </w:pPr>
      <w:r w:rsidRPr="00735C90">
        <w:t xml:space="preserve">All references to websites, </w:t>
      </w:r>
      <w:proofErr w:type="gramStart"/>
      <w:r w:rsidRPr="00735C90">
        <w:t>organisations</w:t>
      </w:r>
      <w:proofErr w:type="gramEnd"/>
      <w:r w:rsidRPr="00735C90">
        <w:t xml:space="preserve"> or people not within the Ministry are for convenience only and should not be taken as endorsement of those websites or information contained in those websites nor of organisations or people referred to.</w:t>
      </w:r>
    </w:p>
    <w:p w14:paraId="0702FA95" w14:textId="77777777" w:rsidR="00452EC4" w:rsidRPr="00B510A6" w:rsidRDefault="00452EC4" w:rsidP="00452EC4">
      <w:pPr>
        <w:pStyle w:val="Imprint"/>
      </w:pPr>
    </w:p>
    <w:p w14:paraId="1853CA79" w14:textId="7A384264" w:rsidR="00452EC4" w:rsidRPr="00B510A6" w:rsidRDefault="00452EC4" w:rsidP="002F4650">
      <w:pPr>
        <w:pStyle w:val="Imprint"/>
      </w:pPr>
      <w:r w:rsidRPr="00B510A6">
        <w:t xml:space="preserve">This </w:t>
      </w:r>
      <w:r w:rsidR="00775F57" w:rsidRPr="00B510A6">
        <w:t>document</w:t>
      </w:r>
      <w:r w:rsidRPr="00B510A6">
        <w:t xml:space="preserve"> may be cited as:</w:t>
      </w:r>
      <w:r w:rsidR="00775F57" w:rsidRPr="00B510A6">
        <w:t xml:space="preserve"> Ministry for the Environment</w:t>
      </w:r>
      <w:r w:rsidR="00583E5D">
        <w:t xml:space="preserve"> and Ministry for Primary Industries</w:t>
      </w:r>
      <w:r w:rsidR="00775F57" w:rsidRPr="00B510A6">
        <w:t xml:space="preserve">. </w:t>
      </w:r>
      <w:r w:rsidR="002F4650" w:rsidRPr="00B510A6">
        <w:t>2021</w:t>
      </w:r>
      <w:r w:rsidR="00775F57" w:rsidRPr="00B510A6">
        <w:t xml:space="preserve">. </w:t>
      </w:r>
      <w:r w:rsidR="002F4650" w:rsidRPr="00B510A6">
        <w:rPr>
          <w:i/>
        </w:rPr>
        <w:t xml:space="preserve">Government </w:t>
      </w:r>
      <w:r w:rsidR="00E13188">
        <w:rPr>
          <w:i/>
        </w:rPr>
        <w:t>r</w:t>
      </w:r>
      <w:r w:rsidR="002F4650" w:rsidRPr="00B510A6">
        <w:rPr>
          <w:i/>
        </w:rPr>
        <w:t>esponse to</w:t>
      </w:r>
      <w:r w:rsidR="00F93AD4">
        <w:rPr>
          <w:i/>
        </w:rPr>
        <w:t> </w:t>
      </w:r>
      <w:r w:rsidR="002F4650" w:rsidRPr="00B510A6">
        <w:rPr>
          <w:i/>
        </w:rPr>
        <w:t xml:space="preserve">the </w:t>
      </w:r>
      <w:r w:rsidR="00E13188">
        <w:rPr>
          <w:i/>
        </w:rPr>
        <w:t>f</w:t>
      </w:r>
      <w:r w:rsidR="002F4650" w:rsidRPr="00B510A6">
        <w:rPr>
          <w:i/>
        </w:rPr>
        <w:t xml:space="preserve">indings of the Overseer </w:t>
      </w:r>
      <w:r w:rsidR="00E13188">
        <w:rPr>
          <w:i/>
        </w:rPr>
        <w:t>peer r</w:t>
      </w:r>
      <w:r w:rsidR="002F4650" w:rsidRPr="00B510A6">
        <w:rPr>
          <w:i/>
        </w:rPr>
        <w:t xml:space="preserve">eview </w:t>
      </w:r>
      <w:r w:rsidR="00E13188">
        <w:rPr>
          <w:i/>
        </w:rPr>
        <w:t>r</w:t>
      </w:r>
      <w:r w:rsidR="002F4650" w:rsidRPr="00B510A6">
        <w:rPr>
          <w:i/>
        </w:rPr>
        <w:t>eport</w:t>
      </w:r>
      <w:r w:rsidR="00775F57" w:rsidRPr="00B510A6">
        <w:t>. Wellington: Ministry</w:t>
      </w:r>
      <w:r w:rsidR="004E2839" w:rsidRPr="00B510A6">
        <w:t> </w:t>
      </w:r>
      <w:r w:rsidR="00775F57" w:rsidRPr="00B510A6">
        <w:t>for</w:t>
      </w:r>
      <w:r w:rsidR="004E2839" w:rsidRPr="00B510A6">
        <w:t> </w:t>
      </w:r>
      <w:r w:rsidR="00775F57" w:rsidRPr="00B510A6">
        <w:t>the Environment</w:t>
      </w:r>
      <w:r w:rsidR="00F00989">
        <w:t xml:space="preserve"> and Ministry for Primary Industries</w:t>
      </w:r>
      <w:r w:rsidR="00775F57" w:rsidRPr="00B510A6">
        <w:t>.</w:t>
      </w:r>
    </w:p>
    <w:p w14:paraId="618B3B1A" w14:textId="77777777" w:rsidR="0080531E" w:rsidRPr="00B510A6" w:rsidRDefault="0080531E" w:rsidP="0080531E">
      <w:pPr>
        <w:pStyle w:val="Imprint"/>
      </w:pPr>
    </w:p>
    <w:p w14:paraId="1FF8992F" w14:textId="77777777" w:rsidR="00457135" w:rsidRPr="00B510A6" w:rsidRDefault="00457135" w:rsidP="0080531E">
      <w:pPr>
        <w:pStyle w:val="Imprint"/>
      </w:pPr>
    </w:p>
    <w:p w14:paraId="0658136D" w14:textId="38481007" w:rsidR="008B7ACB" w:rsidRDefault="0080531E" w:rsidP="0080531E">
      <w:pPr>
        <w:pStyle w:val="Imprint"/>
      </w:pPr>
      <w:r w:rsidRPr="00B510A6">
        <w:t xml:space="preserve">Published in </w:t>
      </w:r>
      <w:r w:rsidR="00BD4C18">
        <w:t>August</w:t>
      </w:r>
      <w:r w:rsidR="00775F57" w:rsidRPr="00B510A6">
        <w:t xml:space="preserve"> </w:t>
      </w:r>
      <w:r w:rsidR="004E2839" w:rsidRPr="00B510A6">
        <w:t>2021</w:t>
      </w:r>
      <w:r w:rsidRPr="00B510A6">
        <w:t xml:space="preserve"> by </w:t>
      </w:r>
      <w:r w:rsidRPr="00B510A6">
        <w:br/>
        <w:t xml:space="preserve">Ministry for the Environment </w:t>
      </w:r>
      <w:r w:rsidRPr="00B510A6">
        <w:br/>
      </w:r>
      <w:proofErr w:type="spellStart"/>
      <w:r w:rsidRPr="00B510A6">
        <w:t>Manatū</w:t>
      </w:r>
      <w:proofErr w:type="spellEnd"/>
      <w:r w:rsidRPr="00B510A6">
        <w:t xml:space="preserve"> </w:t>
      </w:r>
      <w:proofErr w:type="spellStart"/>
      <w:r w:rsidRPr="00B510A6">
        <w:t>Mō</w:t>
      </w:r>
      <w:proofErr w:type="spellEnd"/>
      <w:r w:rsidRPr="00B510A6">
        <w:t xml:space="preserve"> </w:t>
      </w:r>
      <w:proofErr w:type="spellStart"/>
      <w:r w:rsidRPr="00B510A6">
        <w:t>Te</w:t>
      </w:r>
      <w:proofErr w:type="spellEnd"/>
      <w:r w:rsidRPr="00B510A6">
        <w:t xml:space="preserve"> </w:t>
      </w:r>
      <w:proofErr w:type="spellStart"/>
      <w:r w:rsidRPr="00B510A6">
        <w:t>Taiao</w:t>
      </w:r>
      <w:proofErr w:type="spellEnd"/>
      <w:r w:rsidRPr="00B510A6">
        <w:br/>
        <w:t>PO Box 10362, Wellington 6143, New Zealand</w:t>
      </w:r>
      <w:r w:rsidR="008B7ACB">
        <w:tab/>
      </w:r>
    </w:p>
    <w:p w14:paraId="569454A9" w14:textId="0772114B" w:rsidR="00BD4C18" w:rsidRPr="00B510A6" w:rsidRDefault="00BD4C18" w:rsidP="0080531E">
      <w:pPr>
        <w:pStyle w:val="Imprint"/>
      </w:pPr>
      <w:r>
        <w:t>Ministry for Primary Industries</w:t>
      </w:r>
      <w:r>
        <w:br/>
      </w:r>
      <w:proofErr w:type="spellStart"/>
      <w:r w:rsidRPr="00B510A6">
        <w:t>Manatū</w:t>
      </w:r>
      <w:proofErr w:type="spellEnd"/>
      <w:r w:rsidRPr="00B510A6">
        <w:t xml:space="preserve"> </w:t>
      </w:r>
      <w:r>
        <w:t>Ahu Matua</w:t>
      </w:r>
      <w:r>
        <w:br/>
      </w:r>
      <w:r w:rsidRPr="008B7ACB">
        <w:t>PO Box 2526, Wellington 6140, New Zealand</w:t>
      </w:r>
      <w:r>
        <w:br/>
      </w:r>
    </w:p>
    <w:p w14:paraId="2CF713BF" w14:textId="509976C2" w:rsidR="0080531E" w:rsidRDefault="0080531E" w:rsidP="00863F44">
      <w:pPr>
        <w:pStyle w:val="Imprint"/>
        <w:tabs>
          <w:tab w:val="left" w:pos="0"/>
        </w:tabs>
      </w:pPr>
      <w:r w:rsidRPr="00B510A6">
        <w:t xml:space="preserve">ISBN: </w:t>
      </w:r>
      <w:r w:rsidR="00E13188" w:rsidRPr="00E13188">
        <w:t>978-1-99-003369-8</w:t>
      </w:r>
      <w:r w:rsidR="00863F44">
        <w:br/>
      </w:r>
      <w:r w:rsidRPr="00B510A6">
        <w:t xml:space="preserve">Publication number: </w:t>
      </w:r>
      <w:r w:rsidRPr="00E13188">
        <w:t xml:space="preserve">ME </w:t>
      </w:r>
      <w:r w:rsidR="00E13188" w:rsidRPr="00E13188">
        <w:t>1582</w:t>
      </w:r>
    </w:p>
    <w:p w14:paraId="1DBD4554" w14:textId="77777777" w:rsidR="0080531E" w:rsidRPr="00B510A6" w:rsidRDefault="0080531E" w:rsidP="00593E94">
      <w:pPr>
        <w:pStyle w:val="Imprint"/>
        <w:spacing w:after="80"/>
      </w:pPr>
      <w:r w:rsidRPr="00B510A6">
        <w:t xml:space="preserve">© Crown copyright New Zealand </w:t>
      </w:r>
      <w:r w:rsidR="00043782" w:rsidRPr="00B510A6">
        <w:t>2021</w:t>
      </w:r>
    </w:p>
    <w:p w14:paraId="0119712D" w14:textId="4611AEAF" w:rsidR="00A84FE1" w:rsidRPr="00B510A6" w:rsidRDefault="0080531E" w:rsidP="00043782">
      <w:pPr>
        <w:pStyle w:val="Imprint"/>
        <w:spacing w:before="240" w:after="0"/>
      </w:pPr>
      <w:r w:rsidRPr="00B510A6">
        <w:t xml:space="preserve">This document is available </w:t>
      </w:r>
      <w:r w:rsidR="003F7B99" w:rsidRPr="00B510A6">
        <w:t xml:space="preserve">on the </w:t>
      </w:r>
      <w:r w:rsidRPr="00B510A6">
        <w:t>Ministry for</w:t>
      </w:r>
      <w:r w:rsidR="004C4E8A" w:rsidRPr="00B510A6">
        <w:t xml:space="preserve"> the Environment </w:t>
      </w:r>
      <w:r w:rsidR="00CB557F" w:rsidRPr="00B510A6">
        <w:t>website</w:t>
      </w:r>
      <w:r w:rsidRPr="00B510A6">
        <w:t xml:space="preserve">: </w:t>
      </w:r>
      <w:hyperlink r:id="rId19" w:history="1">
        <w:r w:rsidR="00863F44" w:rsidRPr="00BD12A2">
          <w:rPr>
            <w:rStyle w:val="Hyperlink"/>
          </w:rPr>
          <w:t>environ</w:t>
        </w:r>
        <w:r w:rsidR="00863F44">
          <w:rPr>
            <w:rStyle w:val="Hyperlink"/>
          </w:rPr>
          <w:t>ment</w:t>
        </w:r>
        <w:r w:rsidR="00863F44" w:rsidRPr="00BD12A2">
          <w:rPr>
            <w:rStyle w:val="Hyperlink"/>
          </w:rPr>
          <w:t>.govt.nz</w:t>
        </w:r>
      </w:hyperlink>
      <w:r w:rsidR="00797AC1" w:rsidRPr="00B510A6">
        <w:rPr>
          <w:rStyle w:val="Hyperlink"/>
        </w:rPr>
        <w:t xml:space="preserve"> </w:t>
      </w:r>
      <w:r w:rsidR="00797AC1" w:rsidRPr="00B510A6">
        <w:t xml:space="preserve">and on the Ministry for Primary Industries website: </w:t>
      </w:r>
      <w:hyperlink r:id="rId20" w:history="1">
        <w:r w:rsidR="00F93AD4">
          <w:rPr>
            <w:rStyle w:val="Hyperlink"/>
          </w:rPr>
          <w:t>www.mpi.govt.nz/news-and-resources/publications</w:t>
        </w:r>
      </w:hyperlink>
    </w:p>
    <w:p w14:paraId="48176DAA" w14:textId="77777777" w:rsidR="0080531E" w:rsidRPr="00B510A6" w:rsidRDefault="0080531E" w:rsidP="00A84FE1">
      <w:pPr>
        <w:sectPr w:rsidR="0080531E" w:rsidRPr="00B510A6" w:rsidSect="009C4F17">
          <w:headerReference w:type="even" r:id="rId21"/>
          <w:headerReference w:type="default" r:id="rId22"/>
          <w:footerReference w:type="even" r:id="rId23"/>
          <w:footerReference w:type="default" r:id="rId24"/>
          <w:pgSz w:w="11907" w:h="16840" w:code="9"/>
          <w:pgMar w:top="1134" w:right="1701" w:bottom="1134" w:left="1701" w:header="567" w:footer="567" w:gutter="0"/>
          <w:pgNumType w:fmt="lowerRoman"/>
          <w:cols w:space="720"/>
        </w:sectPr>
      </w:pPr>
    </w:p>
    <w:p w14:paraId="45D6F3F1" w14:textId="77777777" w:rsidR="0080531E" w:rsidRPr="00B510A6" w:rsidRDefault="0080531E" w:rsidP="008B68EC">
      <w:pPr>
        <w:pStyle w:val="Heading"/>
      </w:pPr>
      <w:r w:rsidRPr="00B510A6">
        <w:lastRenderedPageBreak/>
        <w:t>Contents</w:t>
      </w:r>
    </w:p>
    <w:p w14:paraId="39DBB18A" w14:textId="0F021C9A" w:rsidR="00532605" w:rsidRDefault="00775F57">
      <w:pPr>
        <w:pStyle w:val="TOC1"/>
        <w:rPr>
          <w:rFonts w:asciiTheme="minorHAnsi" w:hAnsiTheme="minorHAnsi"/>
          <w:noProof/>
        </w:rPr>
      </w:pPr>
      <w:r w:rsidRPr="00B510A6">
        <w:rPr>
          <w:color w:val="0092CF"/>
        </w:rPr>
        <w:fldChar w:fldCharType="begin"/>
      </w:r>
      <w:r w:rsidRPr="00B510A6">
        <w:rPr>
          <w:color w:val="0092CF"/>
        </w:rPr>
        <w:instrText xml:space="preserve"> TOC \h \z \t "Heading 1,1,Heading 2,2" </w:instrText>
      </w:r>
      <w:r w:rsidRPr="00B510A6">
        <w:rPr>
          <w:color w:val="0092CF"/>
        </w:rPr>
        <w:fldChar w:fldCharType="separate"/>
      </w:r>
      <w:hyperlink w:anchor="_Toc79488692" w:history="1">
        <w:r w:rsidR="00532605" w:rsidRPr="00C44116">
          <w:rPr>
            <w:rStyle w:val="Hyperlink"/>
            <w:noProof/>
          </w:rPr>
          <w:t>Message from the Ministers</w:t>
        </w:r>
        <w:r w:rsidR="00532605">
          <w:rPr>
            <w:noProof/>
            <w:webHidden/>
          </w:rPr>
          <w:tab/>
        </w:r>
        <w:r w:rsidR="00532605">
          <w:rPr>
            <w:noProof/>
            <w:webHidden/>
          </w:rPr>
          <w:fldChar w:fldCharType="begin"/>
        </w:r>
        <w:r w:rsidR="00532605">
          <w:rPr>
            <w:noProof/>
            <w:webHidden/>
          </w:rPr>
          <w:instrText xml:space="preserve"> PAGEREF _Toc79488692 \h </w:instrText>
        </w:r>
        <w:r w:rsidR="00532605">
          <w:rPr>
            <w:noProof/>
            <w:webHidden/>
          </w:rPr>
        </w:r>
        <w:r w:rsidR="00532605">
          <w:rPr>
            <w:noProof/>
            <w:webHidden/>
          </w:rPr>
          <w:fldChar w:fldCharType="separate"/>
        </w:r>
        <w:r w:rsidR="00532605">
          <w:rPr>
            <w:noProof/>
            <w:webHidden/>
          </w:rPr>
          <w:t>5</w:t>
        </w:r>
        <w:r w:rsidR="00532605">
          <w:rPr>
            <w:noProof/>
            <w:webHidden/>
          </w:rPr>
          <w:fldChar w:fldCharType="end"/>
        </w:r>
      </w:hyperlink>
    </w:p>
    <w:p w14:paraId="3C36D400" w14:textId="2E6549C4" w:rsidR="00532605" w:rsidRDefault="00EF074C">
      <w:pPr>
        <w:pStyle w:val="TOC1"/>
        <w:rPr>
          <w:rFonts w:asciiTheme="minorHAnsi" w:hAnsiTheme="minorHAnsi"/>
          <w:noProof/>
        </w:rPr>
      </w:pPr>
      <w:hyperlink w:anchor="_Toc79488693" w:history="1">
        <w:r w:rsidR="00532605" w:rsidRPr="00C44116">
          <w:rPr>
            <w:rStyle w:val="Hyperlink"/>
            <w:noProof/>
          </w:rPr>
          <w:t>Executive summary</w:t>
        </w:r>
        <w:r w:rsidR="00532605">
          <w:rPr>
            <w:noProof/>
            <w:webHidden/>
          </w:rPr>
          <w:tab/>
        </w:r>
        <w:r w:rsidR="00532605">
          <w:rPr>
            <w:noProof/>
            <w:webHidden/>
          </w:rPr>
          <w:fldChar w:fldCharType="begin"/>
        </w:r>
        <w:r w:rsidR="00532605">
          <w:rPr>
            <w:noProof/>
            <w:webHidden/>
          </w:rPr>
          <w:instrText xml:space="preserve"> PAGEREF _Toc79488693 \h </w:instrText>
        </w:r>
        <w:r w:rsidR="00532605">
          <w:rPr>
            <w:noProof/>
            <w:webHidden/>
          </w:rPr>
        </w:r>
        <w:r w:rsidR="00532605">
          <w:rPr>
            <w:noProof/>
            <w:webHidden/>
          </w:rPr>
          <w:fldChar w:fldCharType="separate"/>
        </w:r>
        <w:r w:rsidR="00532605">
          <w:rPr>
            <w:noProof/>
            <w:webHidden/>
          </w:rPr>
          <w:t>6</w:t>
        </w:r>
        <w:r w:rsidR="00532605">
          <w:rPr>
            <w:noProof/>
            <w:webHidden/>
          </w:rPr>
          <w:fldChar w:fldCharType="end"/>
        </w:r>
      </w:hyperlink>
    </w:p>
    <w:p w14:paraId="1E6FC7D0" w14:textId="5855B1C6" w:rsidR="00532605" w:rsidRDefault="00EF074C">
      <w:pPr>
        <w:pStyle w:val="TOC1"/>
        <w:rPr>
          <w:rFonts w:asciiTheme="minorHAnsi" w:hAnsiTheme="minorHAnsi"/>
          <w:noProof/>
        </w:rPr>
      </w:pPr>
      <w:hyperlink w:anchor="_Toc79488694" w:history="1">
        <w:r w:rsidR="00532605" w:rsidRPr="00C44116">
          <w:rPr>
            <w:rStyle w:val="Hyperlink"/>
            <w:noProof/>
          </w:rPr>
          <w:t>1</w:t>
        </w:r>
        <w:r w:rsidR="00532605">
          <w:rPr>
            <w:rFonts w:asciiTheme="minorHAnsi" w:hAnsiTheme="minorHAnsi"/>
            <w:noProof/>
          </w:rPr>
          <w:tab/>
        </w:r>
        <w:r w:rsidR="00532605" w:rsidRPr="00C44116">
          <w:rPr>
            <w:rStyle w:val="Hyperlink"/>
            <w:noProof/>
          </w:rPr>
          <w:t>Introduction</w:t>
        </w:r>
        <w:r w:rsidR="00532605">
          <w:rPr>
            <w:noProof/>
            <w:webHidden/>
          </w:rPr>
          <w:tab/>
        </w:r>
        <w:r w:rsidR="00532605">
          <w:rPr>
            <w:noProof/>
            <w:webHidden/>
          </w:rPr>
          <w:fldChar w:fldCharType="begin"/>
        </w:r>
        <w:r w:rsidR="00532605">
          <w:rPr>
            <w:noProof/>
            <w:webHidden/>
          </w:rPr>
          <w:instrText xml:space="preserve"> PAGEREF _Toc79488694 \h </w:instrText>
        </w:r>
        <w:r w:rsidR="00532605">
          <w:rPr>
            <w:noProof/>
            <w:webHidden/>
          </w:rPr>
        </w:r>
        <w:r w:rsidR="00532605">
          <w:rPr>
            <w:noProof/>
            <w:webHidden/>
          </w:rPr>
          <w:fldChar w:fldCharType="separate"/>
        </w:r>
        <w:r w:rsidR="00532605">
          <w:rPr>
            <w:noProof/>
            <w:webHidden/>
          </w:rPr>
          <w:t>9</w:t>
        </w:r>
        <w:r w:rsidR="00532605">
          <w:rPr>
            <w:noProof/>
            <w:webHidden/>
          </w:rPr>
          <w:fldChar w:fldCharType="end"/>
        </w:r>
      </w:hyperlink>
    </w:p>
    <w:p w14:paraId="415138CD" w14:textId="6AF0DADA" w:rsidR="00532605" w:rsidRDefault="00EF074C">
      <w:pPr>
        <w:pStyle w:val="TOC1"/>
        <w:rPr>
          <w:rFonts w:asciiTheme="minorHAnsi" w:hAnsiTheme="minorHAnsi"/>
          <w:noProof/>
        </w:rPr>
      </w:pPr>
      <w:hyperlink w:anchor="_Toc79488695" w:history="1">
        <w:r w:rsidR="00532605" w:rsidRPr="00C44116">
          <w:rPr>
            <w:rStyle w:val="Hyperlink"/>
            <w:noProof/>
          </w:rPr>
          <w:t>2</w:t>
        </w:r>
        <w:r w:rsidR="00532605">
          <w:rPr>
            <w:rFonts w:asciiTheme="minorHAnsi" w:hAnsiTheme="minorHAnsi"/>
            <w:noProof/>
          </w:rPr>
          <w:tab/>
        </w:r>
        <w:r w:rsidR="00532605" w:rsidRPr="00C44116">
          <w:rPr>
            <w:rStyle w:val="Hyperlink"/>
            <w:noProof/>
          </w:rPr>
          <w:t>About Overseer</w:t>
        </w:r>
        <w:r w:rsidR="00532605">
          <w:rPr>
            <w:noProof/>
            <w:webHidden/>
          </w:rPr>
          <w:tab/>
        </w:r>
        <w:r w:rsidR="00532605">
          <w:rPr>
            <w:noProof/>
            <w:webHidden/>
          </w:rPr>
          <w:fldChar w:fldCharType="begin"/>
        </w:r>
        <w:r w:rsidR="00532605">
          <w:rPr>
            <w:noProof/>
            <w:webHidden/>
          </w:rPr>
          <w:instrText xml:space="preserve"> PAGEREF _Toc79488695 \h </w:instrText>
        </w:r>
        <w:r w:rsidR="00532605">
          <w:rPr>
            <w:noProof/>
            <w:webHidden/>
          </w:rPr>
        </w:r>
        <w:r w:rsidR="00532605">
          <w:rPr>
            <w:noProof/>
            <w:webHidden/>
          </w:rPr>
          <w:fldChar w:fldCharType="separate"/>
        </w:r>
        <w:r w:rsidR="00532605">
          <w:rPr>
            <w:noProof/>
            <w:webHidden/>
          </w:rPr>
          <w:t>10</w:t>
        </w:r>
        <w:r w:rsidR="00532605">
          <w:rPr>
            <w:noProof/>
            <w:webHidden/>
          </w:rPr>
          <w:fldChar w:fldCharType="end"/>
        </w:r>
      </w:hyperlink>
    </w:p>
    <w:p w14:paraId="63FCD9D3" w14:textId="74D17126" w:rsidR="00532605" w:rsidRDefault="00EF074C">
      <w:pPr>
        <w:pStyle w:val="TOC2"/>
        <w:tabs>
          <w:tab w:val="left" w:pos="1134"/>
        </w:tabs>
        <w:rPr>
          <w:rFonts w:asciiTheme="minorHAnsi" w:hAnsiTheme="minorHAnsi"/>
          <w:noProof/>
        </w:rPr>
      </w:pPr>
      <w:hyperlink w:anchor="_Toc79488696" w:history="1">
        <w:r w:rsidR="00532605" w:rsidRPr="00C44116">
          <w:rPr>
            <w:rStyle w:val="Hyperlink"/>
            <w:rFonts w:eastAsia="Calibri" w:cs="Arial"/>
            <w:noProof/>
          </w:rPr>
          <w:t>2.1</w:t>
        </w:r>
        <w:r w:rsidR="00532605">
          <w:rPr>
            <w:rFonts w:asciiTheme="minorHAnsi" w:hAnsiTheme="minorHAnsi"/>
            <w:noProof/>
          </w:rPr>
          <w:tab/>
        </w:r>
        <w:r w:rsidR="00532605" w:rsidRPr="00C44116">
          <w:rPr>
            <w:rStyle w:val="Hyperlink"/>
            <w:rFonts w:eastAsia="Calibri"/>
            <w:noProof/>
          </w:rPr>
          <w:t>How Overseer is used</w:t>
        </w:r>
        <w:r w:rsidR="00532605">
          <w:rPr>
            <w:noProof/>
            <w:webHidden/>
          </w:rPr>
          <w:tab/>
        </w:r>
        <w:r w:rsidR="00532605">
          <w:rPr>
            <w:noProof/>
            <w:webHidden/>
          </w:rPr>
          <w:fldChar w:fldCharType="begin"/>
        </w:r>
        <w:r w:rsidR="00532605">
          <w:rPr>
            <w:noProof/>
            <w:webHidden/>
          </w:rPr>
          <w:instrText xml:space="preserve"> PAGEREF _Toc79488696 \h </w:instrText>
        </w:r>
        <w:r w:rsidR="00532605">
          <w:rPr>
            <w:noProof/>
            <w:webHidden/>
          </w:rPr>
        </w:r>
        <w:r w:rsidR="00532605">
          <w:rPr>
            <w:noProof/>
            <w:webHidden/>
          </w:rPr>
          <w:fldChar w:fldCharType="separate"/>
        </w:r>
        <w:r w:rsidR="00532605">
          <w:rPr>
            <w:noProof/>
            <w:webHidden/>
          </w:rPr>
          <w:t>10</w:t>
        </w:r>
        <w:r w:rsidR="00532605">
          <w:rPr>
            <w:noProof/>
            <w:webHidden/>
          </w:rPr>
          <w:fldChar w:fldCharType="end"/>
        </w:r>
      </w:hyperlink>
    </w:p>
    <w:p w14:paraId="763D6D2F" w14:textId="5F0E0258" w:rsidR="00532605" w:rsidRDefault="00EF074C">
      <w:pPr>
        <w:pStyle w:val="TOC2"/>
        <w:tabs>
          <w:tab w:val="left" w:pos="1134"/>
        </w:tabs>
        <w:rPr>
          <w:rFonts w:asciiTheme="minorHAnsi" w:hAnsiTheme="minorHAnsi"/>
          <w:noProof/>
        </w:rPr>
      </w:pPr>
      <w:hyperlink w:anchor="_Toc79488697" w:history="1">
        <w:r w:rsidR="00532605" w:rsidRPr="00C44116">
          <w:rPr>
            <w:rStyle w:val="Hyperlink"/>
            <w:rFonts w:eastAsia="Calibri" w:cs="Arial"/>
            <w:noProof/>
          </w:rPr>
          <w:t>2.2</w:t>
        </w:r>
        <w:r w:rsidR="00532605">
          <w:rPr>
            <w:rFonts w:asciiTheme="minorHAnsi" w:hAnsiTheme="minorHAnsi"/>
            <w:noProof/>
          </w:rPr>
          <w:tab/>
        </w:r>
        <w:r w:rsidR="00532605" w:rsidRPr="00C44116">
          <w:rPr>
            <w:rStyle w:val="Hyperlink"/>
            <w:rFonts w:eastAsia="Calibri"/>
            <w:noProof/>
          </w:rPr>
          <w:t>Positive features of Overseer</w:t>
        </w:r>
        <w:r w:rsidR="00532605">
          <w:rPr>
            <w:noProof/>
            <w:webHidden/>
          </w:rPr>
          <w:tab/>
        </w:r>
        <w:r w:rsidR="00532605">
          <w:rPr>
            <w:noProof/>
            <w:webHidden/>
          </w:rPr>
          <w:fldChar w:fldCharType="begin"/>
        </w:r>
        <w:r w:rsidR="00532605">
          <w:rPr>
            <w:noProof/>
            <w:webHidden/>
          </w:rPr>
          <w:instrText xml:space="preserve"> PAGEREF _Toc79488697 \h </w:instrText>
        </w:r>
        <w:r w:rsidR="00532605">
          <w:rPr>
            <w:noProof/>
            <w:webHidden/>
          </w:rPr>
        </w:r>
        <w:r w:rsidR="00532605">
          <w:rPr>
            <w:noProof/>
            <w:webHidden/>
          </w:rPr>
          <w:fldChar w:fldCharType="separate"/>
        </w:r>
        <w:r w:rsidR="00532605">
          <w:rPr>
            <w:noProof/>
            <w:webHidden/>
          </w:rPr>
          <w:t>10</w:t>
        </w:r>
        <w:r w:rsidR="00532605">
          <w:rPr>
            <w:noProof/>
            <w:webHidden/>
          </w:rPr>
          <w:fldChar w:fldCharType="end"/>
        </w:r>
      </w:hyperlink>
    </w:p>
    <w:p w14:paraId="2D9295BE" w14:textId="32D67553" w:rsidR="00532605" w:rsidRDefault="00EF074C">
      <w:pPr>
        <w:pStyle w:val="TOC2"/>
        <w:tabs>
          <w:tab w:val="left" w:pos="1134"/>
        </w:tabs>
        <w:rPr>
          <w:rFonts w:asciiTheme="minorHAnsi" w:hAnsiTheme="minorHAnsi"/>
          <w:noProof/>
        </w:rPr>
      </w:pPr>
      <w:hyperlink w:anchor="_Toc79488698" w:history="1">
        <w:r w:rsidR="00532605" w:rsidRPr="00C44116">
          <w:rPr>
            <w:rStyle w:val="Hyperlink"/>
            <w:rFonts w:eastAsia="Calibri" w:cs="Arial"/>
            <w:noProof/>
          </w:rPr>
          <w:t>2.3</w:t>
        </w:r>
        <w:r w:rsidR="00532605">
          <w:rPr>
            <w:rFonts w:asciiTheme="minorHAnsi" w:hAnsiTheme="minorHAnsi"/>
            <w:noProof/>
          </w:rPr>
          <w:tab/>
        </w:r>
        <w:r w:rsidR="00532605" w:rsidRPr="00C44116">
          <w:rPr>
            <w:rStyle w:val="Hyperlink"/>
            <w:rFonts w:eastAsia="Calibri"/>
            <w:noProof/>
          </w:rPr>
          <w:t>Policy context for Overseer use in regulation</w:t>
        </w:r>
        <w:r w:rsidR="00532605">
          <w:rPr>
            <w:noProof/>
            <w:webHidden/>
          </w:rPr>
          <w:tab/>
        </w:r>
        <w:r w:rsidR="00532605">
          <w:rPr>
            <w:noProof/>
            <w:webHidden/>
          </w:rPr>
          <w:fldChar w:fldCharType="begin"/>
        </w:r>
        <w:r w:rsidR="00532605">
          <w:rPr>
            <w:noProof/>
            <w:webHidden/>
          </w:rPr>
          <w:instrText xml:space="preserve"> PAGEREF _Toc79488698 \h </w:instrText>
        </w:r>
        <w:r w:rsidR="00532605">
          <w:rPr>
            <w:noProof/>
            <w:webHidden/>
          </w:rPr>
        </w:r>
        <w:r w:rsidR="00532605">
          <w:rPr>
            <w:noProof/>
            <w:webHidden/>
          </w:rPr>
          <w:fldChar w:fldCharType="separate"/>
        </w:r>
        <w:r w:rsidR="00532605">
          <w:rPr>
            <w:noProof/>
            <w:webHidden/>
          </w:rPr>
          <w:t>11</w:t>
        </w:r>
        <w:r w:rsidR="00532605">
          <w:rPr>
            <w:noProof/>
            <w:webHidden/>
          </w:rPr>
          <w:fldChar w:fldCharType="end"/>
        </w:r>
      </w:hyperlink>
    </w:p>
    <w:p w14:paraId="6B8762A0" w14:textId="39CA4A45" w:rsidR="00532605" w:rsidRDefault="00EF074C">
      <w:pPr>
        <w:pStyle w:val="TOC1"/>
        <w:rPr>
          <w:rFonts w:asciiTheme="minorHAnsi" w:hAnsiTheme="minorHAnsi"/>
          <w:noProof/>
        </w:rPr>
      </w:pPr>
      <w:hyperlink w:anchor="_Toc79488699" w:history="1">
        <w:r w:rsidR="00532605" w:rsidRPr="00C44116">
          <w:rPr>
            <w:rStyle w:val="Hyperlink"/>
            <w:noProof/>
          </w:rPr>
          <w:t>3</w:t>
        </w:r>
        <w:r w:rsidR="00532605">
          <w:rPr>
            <w:rFonts w:asciiTheme="minorHAnsi" w:hAnsiTheme="minorHAnsi"/>
            <w:noProof/>
          </w:rPr>
          <w:tab/>
        </w:r>
        <w:r w:rsidR="00532605" w:rsidRPr="00C44116">
          <w:rPr>
            <w:rStyle w:val="Hyperlink"/>
            <w:noProof/>
          </w:rPr>
          <w:t>Overseer whole-model review</w:t>
        </w:r>
        <w:r w:rsidR="00532605">
          <w:rPr>
            <w:noProof/>
            <w:webHidden/>
          </w:rPr>
          <w:tab/>
        </w:r>
        <w:r w:rsidR="00532605">
          <w:rPr>
            <w:noProof/>
            <w:webHidden/>
          </w:rPr>
          <w:fldChar w:fldCharType="begin"/>
        </w:r>
        <w:r w:rsidR="00532605">
          <w:rPr>
            <w:noProof/>
            <w:webHidden/>
          </w:rPr>
          <w:instrText xml:space="preserve"> PAGEREF _Toc79488699 \h </w:instrText>
        </w:r>
        <w:r w:rsidR="00532605">
          <w:rPr>
            <w:noProof/>
            <w:webHidden/>
          </w:rPr>
        </w:r>
        <w:r w:rsidR="00532605">
          <w:rPr>
            <w:noProof/>
            <w:webHidden/>
          </w:rPr>
          <w:fldChar w:fldCharType="separate"/>
        </w:r>
        <w:r w:rsidR="00532605">
          <w:rPr>
            <w:noProof/>
            <w:webHidden/>
          </w:rPr>
          <w:t>12</w:t>
        </w:r>
        <w:r w:rsidR="00532605">
          <w:rPr>
            <w:noProof/>
            <w:webHidden/>
          </w:rPr>
          <w:fldChar w:fldCharType="end"/>
        </w:r>
      </w:hyperlink>
    </w:p>
    <w:p w14:paraId="43DF94B4" w14:textId="38ABE085" w:rsidR="00532605" w:rsidRDefault="00EF074C">
      <w:pPr>
        <w:pStyle w:val="TOC2"/>
        <w:tabs>
          <w:tab w:val="left" w:pos="1134"/>
        </w:tabs>
        <w:rPr>
          <w:rFonts w:asciiTheme="minorHAnsi" w:hAnsiTheme="minorHAnsi"/>
          <w:noProof/>
        </w:rPr>
      </w:pPr>
      <w:hyperlink w:anchor="_Toc79488700" w:history="1">
        <w:r w:rsidR="00532605" w:rsidRPr="00C44116">
          <w:rPr>
            <w:rStyle w:val="Hyperlink"/>
            <w:noProof/>
          </w:rPr>
          <w:t>3.1</w:t>
        </w:r>
        <w:r w:rsidR="00532605">
          <w:rPr>
            <w:rFonts w:asciiTheme="minorHAnsi" w:hAnsiTheme="minorHAnsi"/>
            <w:noProof/>
          </w:rPr>
          <w:tab/>
        </w:r>
        <w:r w:rsidR="00532605" w:rsidRPr="00C44116">
          <w:rPr>
            <w:rStyle w:val="Hyperlink"/>
            <w:noProof/>
          </w:rPr>
          <w:t>How the Science Advisory Panel undertook its review</w:t>
        </w:r>
        <w:r w:rsidR="00532605">
          <w:rPr>
            <w:noProof/>
            <w:webHidden/>
          </w:rPr>
          <w:tab/>
        </w:r>
        <w:r w:rsidR="00532605">
          <w:rPr>
            <w:noProof/>
            <w:webHidden/>
          </w:rPr>
          <w:fldChar w:fldCharType="begin"/>
        </w:r>
        <w:r w:rsidR="00532605">
          <w:rPr>
            <w:noProof/>
            <w:webHidden/>
          </w:rPr>
          <w:instrText xml:space="preserve"> PAGEREF _Toc79488700 \h </w:instrText>
        </w:r>
        <w:r w:rsidR="00532605">
          <w:rPr>
            <w:noProof/>
            <w:webHidden/>
          </w:rPr>
        </w:r>
        <w:r w:rsidR="00532605">
          <w:rPr>
            <w:noProof/>
            <w:webHidden/>
          </w:rPr>
          <w:fldChar w:fldCharType="separate"/>
        </w:r>
        <w:r w:rsidR="00532605">
          <w:rPr>
            <w:noProof/>
            <w:webHidden/>
          </w:rPr>
          <w:t>12</w:t>
        </w:r>
        <w:r w:rsidR="00532605">
          <w:rPr>
            <w:noProof/>
            <w:webHidden/>
          </w:rPr>
          <w:fldChar w:fldCharType="end"/>
        </w:r>
      </w:hyperlink>
    </w:p>
    <w:p w14:paraId="73588B8A" w14:textId="1FB93319" w:rsidR="00532605" w:rsidRDefault="00EF074C">
      <w:pPr>
        <w:pStyle w:val="TOC2"/>
        <w:tabs>
          <w:tab w:val="left" w:pos="1134"/>
        </w:tabs>
        <w:rPr>
          <w:rFonts w:asciiTheme="minorHAnsi" w:hAnsiTheme="minorHAnsi"/>
          <w:noProof/>
        </w:rPr>
      </w:pPr>
      <w:hyperlink w:anchor="_Toc79488701" w:history="1">
        <w:r w:rsidR="00532605" w:rsidRPr="00C44116">
          <w:rPr>
            <w:rStyle w:val="Hyperlink"/>
            <w:noProof/>
          </w:rPr>
          <w:t>3.2</w:t>
        </w:r>
        <w:r w:rsidR="00532605">
          <w:rPr>
            <w:rFonts w:asciiTheme="minorHAnsi" w:hAnsiTheme="minorHAnsi"/>
            <w:noProof/>
          </w:rPr>
          <w:tab/>
        </w:r>
        <w:r w:rsidR="00532605" w:rsidRPr="00C44116">
          <w:rPr>
            <w:rStyle w:val="Hyperlink"/>
            <w:noProof/>
          </w:rPr>
          <w:t>Review findings</w:t>
        </w:r>
        <w:r w:rsidR="00532605">
          <w:rPr>
            <w:noProof/>
            <w:webHidden/>
          </w:rPr>
          <w:tab/>
        </w:r>
        <w:r w:rsidR="00532605">
          <w:rPr>
            <w:noProof/>
            <w:webHidden/>
          </w:rPr>
          <w:fldChar w:fldCharType="begin"/>
        </w:r>
        <w:r w:rsidR="00532605">
          <w:rPr>
            <w:noProof/>
            <w:webHidden/>
          </w:rPr>
          <w:instrText xml:space="preserve"> PAGEREF _Toc79488701 \h </w:instrText>
        </w:r>
        <w:r w:rsidR="00532605">
          <w:rPr>
            <w:noProof/>
            <w:webHidden/>
          </w:rPr>
        </w:r>
        <w:r w:rsidR="00532605">
          <w:rPr>
            <w:noProof/>
            <w:webHidden/>
          </w:rPr>
          <w:fldChar w:fldCharType="separate"/>
        </w:r>
        <w:r w:rsidR="00532605">
          <w:rPr>
            <w:noProof/>
            <w:webHidden/>
          </w:rPr>
          <w:t>13</w:t>
        </w:r>
        <w:r w:rsidR="00532605">
          <w:rPr>
            <w:noProof/>
            <w:webHidden/>
          </w:rPr>
          <w:fldChar w:fldCharType="end"/>
        </w:r>
      </w:hyperlink>
    </w:p>
    <w:p w14:paraId="26EE1848" w14:textId="6B673139" w:rsidR="00532605" w:rsidRDefault="00EF074C">
      <w:pPr>
        <w:pStyle w:val="TOC2"/>
        <w:tabs>
          <w:tab w:val="left" w:pos="1134"/>
        </w:tabs>
        <w:rPr>
          <w:rFonts w:asciiTheme="minorHAnsi" w:hAnsiTheme="minorHAnsi"/>
          <w:noProof/>
        </w:rPr>
      </w:pPr>
      <w:hyperlink w:anchor="_Toc79488702" w:history="1">
        <w:r w:rsidR="00532605" w:rsidRPr="00C44116">
          <w:rPr>
            <w:rStyle w:val="Hyperlink"/>
            <w:noProof/>
          </w:rPr>
          <w:t>3.3</w:t>
        </w:r>
        <w:r w:rsidR="00532605">
          <w:rPr>
            <w:rFonts w:asciiTheme="minorHAnsi" w:hAnsiTheme="minorHAnsi"/>
            <w:noProof/>
          </w:rPr>
          <w:tab/>
        </w:r>
        <w:r w:rsidR="00532605" w:rsidRPr="00C44116">
          <w:rPr>
            <w:rStyle w:val="Hyperlink"/>
            <w:noProof/>
          </w:rPr>
          <w:t>Panel’s conclusions</w:t>
        </w:r>
        <w:r w:rsidR="00532605">
          <w:rPr>
            <w:noProof/>
            <w:webHidden/>
          </w:rPr>
          <w:tab/>
        </w:r>
        <w:r w:rsidR="00532605">
          <w:rPr>
            <w:noProof/>
            <w:webHidden/>
          </w:rPr>
          <w:fldChar w:fldCharType="begin"/>
        </w:r>
        <w:r w:rsidR="00532605">
          <w:rPr>
            <w:noProof/>
            <w:webHidden/>
          </w:rPr>
          <w:instrText xml:space="preserve"> PAGEREF _Toc79488702 \h </w:instrText>
        </w:r>
        <w:r w:rsidR="00532605">
          <w:rPr>
            <w:noProof/>
            <w:webHidden/>
          </w:rPr>
        </w:r>
        <w:r w:rsidR="00532605">
          <w:rPr>
            <w:noProof/>
            <w:webHidden/>
          </w:rPr>
          <w:fldChar w:fldCharType="separate"/>
        </w:r>
        <w:r w:rsidR="00532605">
          <w:rPr>
            <w:noProof/>
            <w:webHidden/>
          </w:rPr>
          <w:t>14</w:t>
        </w:r>
        <w:r w:rsidR="00532605">
          <w:rPr>
            <w:noProof/>
            <w:webHidden/>
          </w:rPr>
          <w:fldChar w:fldCharType="end"/>
        </w:r>
      </w:hyperlink>
    </w:p>
    <w:p w14:paraId="17265268" w14:textId="42279383" w:rsidR="00532605" w:rsidRDefault="00EF074C">
      <w:pPr>
        <w:pStyle w:val="TOC1"/>
        <w:rPr>
          <w:rFonts w:asciiTheme="minorHAnsi" w:hAnsiTheme="minorHAnsi"/>
          <w:noProof/>
        </w:rPr>
      </w:pPr>
      <w:hyperlink w:anchor="_Toc79488703" w:history="1">
        <w:r w:rsidR="00532605" w:rsidRPr="00C44116">
          <w:rPr>
            <w:rStyle w:val="Hyperlink"/>
            <w:noProof/>
          </w:rPr>
          <w:t>4</w:t>
        </w:r>
        <w:r w:rsidR="00532605">
          <w:rPr>
            <w:rFonts w:asciiTheme="minorHAnsi" w:hAnsiTheme="minorHAnsi"/>
            <w:noProof/>
          </w:rPr>
          <w:tab/>
        </w:r>
        <w:r w:rsidR="00532605" w:rsidRPr="00C44116">
          <w:rPr>
            <w:rStyle w:val="Hyperlink"/>
            <w:noProof/>
          </w:rPr>
          <w:t>The Government’s response</w:t>
        </w:r>
        <w:r w:rsidR="00532605">
          <w:rPr>
            <w:noProof/>
            <w:webHidden/>
          </w:rPr>
          <w:tab/>
        </w:r>
        <w:r w:rsidR="00532605">
          <w:rPr>
            <w:noProof/>
            <w:webHidden/>
          </w:rPr>
          <w:fldChar w:fldCharType="begin"/>
        </w:r>
        <w:r w:rsidR="00532605">
          <w:rPr>
            <w:noProof/>
            <w:webHidden/>
          </w:rPr>
          <w:instrText xml:space="preserve"> PAGEREF _Toc79488703 \h </w:instrText>
        </w:r>
        <w:r w:rsidR="00532605">
          <w:rPr>
            <w:noProof/>
            <w:webHidden/>
          </w:rPr>
        </w:r>
        <w:r w:rsidR="00532605">
          <w:rPr>
            <w:noProof/>
            <w:webHidden/>
          </w:rPr>
          <w:fldChar w:fldCharType="separate"/>
        </w:r>
        <w:r w:rsidR="00532605">
          <w:rPr>
            <w:noProof/>
            <w:webHidden/>
          </w:rPr>
          <w:t>15</w:t>
        </w:r>
        <w:r w:rsidR="00532605">
          <w:rPr>
            <w:noProof/>
            <w:webHidden/>
          </w:rPr>
          <w:fldChar w:fldCharType="end"/>
        </w:r>
      </w:hyperlink>
    </w:p>
    <w:p w14:paraId="343427DD" w14:textId="68ED8D04" w:rsidR="00532605" w:rsidRDefault="00EF074C">
      <w:pPr>
        <w:pStyle w:val="TOC2"/>
        <w:tabs>
          <w:tab w:val="left" w:pos="1134"/>
        </w:tabs>
        <w:rPr>
          <w:rFonts w:asciiTheme="minorHAnsi" w:hAnsiTheme="minorHAnsi"/>
          <w:noProof/>
        </w:rPr>
      </w:pPr>
      <w:hyperlink w:anchor="_Toc79488704" w:history="1">
        <w:r w:rsidR="00532605" w:rsidRPr="00C44116">
          <w:rPr>
            <w:rStyle w:val="Hyperlink"/>
            <w:rFonts w:cs="Arial"/>
            <w:noProof/>
          </w:rPr>
          <w:t>4.1</w:t>
        </w:r>
        <w:r w:rsidR="00532605">
          <w:rPr>
            <w:rFonts w:asciiTheme="minorHAnsi" w:hAnsiTheme="minorHAnsi"/>
            <w:noProof/>
          </w:rPr>
          <w:tab/>
        </w:r>
        <w:r w:rsidR="00532605" w:rsidRPr="00C44116">
          <w:rPr>
            <w:rStyle w:val="Hyperlink"/>
            <w:noProof/>
          </w:rPr>
          <w:t>Ongoing implementation of planning and regulatory functions</w:t>
        </w:r>
        <w:r w:rsidR="00532605">
          <w:rPr>
            <w:noProof/>
            <w:webHidden/>
          </w:rPr>
          <w:tab/>
        </w:r>
        <w:r w:rsidR="00532605">
          <w:rPr>
            <w:noProof/>
            <w:webHidden/>
          </w:rPr>
          <w:fldChar w:fldCharType="begin"/>
        </w:r>
        <w:r w:rsidR="00532605">
          <w:rPr>
            <w:noProof/>
            <w:webHidden/>
          </w:rPr>
          <w:instrText xml:space="preserve"> PAGEREF _Toc79488704 \h </w:instrText>
        </w:r>
        <w:r w:rsidR="00532605">
          <w:rPr>
            <w:noProof/>
            <w:webHidden/>
          </w:rPr>
        </w:r>
        <w:r w:rsidR="00532605">
          <w:rPr>
            <w:noProof/>
            <w:webHidden/>
          </w:rPr>
          <w:fldChar w:fldCharType="separate"/>
        </w:r>
        <w:r w:rsidR="00532605">
          <w:rPr>
            <w:noProof/>
            <w:webHidden/>
          </w:rPr>
          <w:t>15</w:t>
        </w:r>
        <w:r w:rsidR="00532605">
          <w:rPr>
            <w:noProof/>
            <w:webHidden/>
          </w:rPr>
          <w:fldChar w:fldCharType="end"/>
        </w:r>
      </w:hyperlink>
    </w:p>
    <w:p w14:paraId="4FEA1915" w14:textId="2BA57F1C" w:rsidR="00532605" w:rsidRDefault="00EF074C">
      <w:pPr>
        <w:pStyle w:val="TOC2"/>
        <w:tabs>
          <w:tab w:val="left" w:pos="1134"/>
        </w:tabs>
        <w:rPr>
          <w:rFonts w:asciiTheme="minorHAnsi" w:hAnsiTheme="minorHAnsi"/>
          <w:noProof/>
        </w:rPr>
      </w:pPr>
      <w:hyperlink w:anchor="_Toc79488705" w:history="1">
        <w:r w:rsidR="00532605" w:rsidRPr="00C44116">
          <w:rPr>
            <w:rStyle w:val="Hyperlink"/>
            <w:rFonts w:cs="Arial"/>
            <w:noProof/>
          </w:rPr>
          <w:t>4.2</w:t>
        </w:r>
        <w:r w:rsidR="00532605">
          <w:rPr>
            <w:rFonts w:asciiTheme="minorHAnsi" w:hAnsiTheme="minorHAnsi"/>
            <w:noProof/>
          </w:rPr>
          <w:tab/>
        </w:r>
        <w:r w:rsidR="00532605" w:rsidRPr="00C44116">
          <w:rPr>
            <w:rStyle w:val="Hyperlink"/>
            <w:noProof/>
          </w:rPr>
          <w:t>Developing regional plans to meet the NPS-FM deadlines</w:t>
        </w:r>
        <w:r w:rsidR="00532605">
          <w:rPr>
            <w:noProof/>
            <w:webHidden/>
          </w:rPr>
          <w:tab/>
        </w:r>
        <w:r w:rsidR="00532605">
          <w:rPr>
            <w:noProof/>
            <w:webHidden/>
          </w:rPr>
          <w:fldChar w:fldCharType="begin"/>
        </w:r>
        <w:r w:rsidR="00532605">
          <w:rPr>
            <w:noProof/>
            <w:webHidden/>
          </w:rPr>
          <w:instrText xml:space="preserve"> PAGEREF _Toc79488705 \h </w:instrText>
        </w:r>
        <w:r w:rsidR="00532605">
          <w:rPr>
            <w:noProof/>
            <w:webHidden/>
          </w:rPr>
        </w:r>
        <w:r w:rsidR="00532605">
          <w:rPr>
            <w:noProof/>
            <w:webHidden/>
          </w:rPr>
          <w:fldChar w:fldCharType="separate"/>
        </w:r>
        <w:r w:rsidR="00532605">
          <w:rPr>
            <w:noProof/>
            <w:webHidden/>
          </w:rPr>
          <w:t>17</w:t>
        </w:r>
        <w:r w:rsidR="00532605">
          <w:rPr>
            <w:noProof/>
            <w:webHidden/>
          </w:rPr>
          <w:fldChar w:fldCharType="end"/>
        </w:r>
      </w:hyperlink>
    </w:p>
    <w:p w14:paraId="62D125A0" w14:textId="014AB04E" w:rsidR="00532605" w:rsidRDefault="00EF074C">
      <w:pPr>
        <w:pStyle w:val="TOC2"/>
        <w:tabs>
          <w:tab w:val="left" w:pos="1134"/>
        </w:tabs>
        <w:rPr>
          <w:rFonts w:asciiTheme="minorHAnsi" w:hAnsiTheme="minorHAnsi"/>
          <w:noProof/>
        </w:rPr>
      </w:pPr>
      <w:hyperlink w:anchor="_Toc79488706" w:history="1">
        <w:r w:rsidR="00532605" w:rsidRPr="00C44116">
          <w:rPr>
            <w:rStyle w:val="Hyperlink"/>
            <w:rFonts w:cs="Arial"/>
            <w:noProof/>
          </w:rPr>
          <w:t>4.3</w:t>
        </w:r>
        <w:r w:rsidR="00532605">
          <w:rPr>
            <w:rFonts w:asciiTheme="minorHAnsi" w:hAnsiTheme="minorHAnsi"/>
            <w:noProof/>
          </w:rPr>
          <w:tab/>
        </w:r>
        <w:r w:rsidR="00532605" w:rsidRPr="00C44116">
          <w:rPr>
            <w:rStyle w:val="Hyperlink"/>
            <w:noProof/>
          </w:rPr>
          <w:t>Managing the risks of increasing nitrogen discharges</w:t>
        </w:r>
        <w:r w:rsidR="00532605">
          <w:rPr>
            <w:noProof/>
            <w:webHidden/>
          </w:rPr>
          <w:tab/>
        </w:r>
        <w:r w:rsidR="00532605">
          <w:rPr>
            <w:noProof/>
            <w:webHidden/>
          </w:rPr>
          <w:fldChar w:fldCharType="begin"/>
        </w:r>
        <w:r w:rsidR="00532605">
          <w:rPr>
            <w:noProof/>
            <w:webHidden/>
          </w:rPr>
          <w:instrText xml:space="preserve"> PAGEREF _Toc79488706 \h </w:instrText>
        </w:r>
        <w:r w:rsidR="00532605">
          <w:rPr>
            <w:noProof/>
            <w:webHidden/>
          </w:rPr>
        </w:r>
        <w:r w:rsidR="00532605">
          <w:rPr>
            <w:noProof/>
            <w:webHidden/>
          </w:rPr>
          <w:fldChar w:fldCharType="separate"/>
        </w:r>
        <w:r w:rsidR="00532605">
          <w:rPr>
            <w:noProof/>
            <w:webHidden/>
          </w:rPr>
          <w:t>18</w:t>
        </w:r>
        <w:r w:rsidR="00532605">
          <w:rPr>
            <w:noProof/>
            <w:webHidden/>
          </w:rPr>
          <w:fldChar w:fldCharType="end"/>
        </w:r>
      </w:hyperlink>
    </w:p>
    <w:p w14:paraId="0C9D53A7" w14:textId="084F90FC" w:rsidR="00532605" w:rsidRDefault="00EF074C">
      <w:pPr>
        <w:pStyle w:val="TOC1"/>
        <w:rPr>
          <w:rFonts w:asciiTheme="minorHAnsi" w:hAnsiTheme="minorHAnsi"/>
          <w:noProof/>
        </w:rPr>
      </w:pPr>
      <w:hyperlink w:anchor="_Toc79488707" w:history="1">
        <w:r w:rsidR="00532605" w:rsidRPr="00C44116">
          <w:rPr>
            <w:rStyle w:val="Hyperlink"/>
            <w:noProof/>
          </w:rPr>
          <w:t>5</w:t>
        </w:r>
        <w:r w:rsidR="00532605">
          <w:rPr>
            <w:rFonts w:asciiTheme="minorHAnsi" w:hAnsiTheme="minorHAnsi"/>
            <w:noProof/>
          </w:rPr>
          <w:tab/>
        </w:r>
        <w:r w:rsidR="00532605" w:rsidRPr="00C44116">
          <w:rPr>
            <w:rStyle w:val="Hyperlink"/>
            <w:noProof/>
          </w:rPr>
          <w:t>The way forward: the next 12 months</w:t>
        </w:r>
        <w:r w:rsidR="00532605">
          <w:rPr>
            <w:noProof/>
            <w:webHidden/>
          </w:rPr>
          <w:tab/>
        </w:r>
        <w:r w:rsidR="00532605">
          <w:rPr>
            <w:noProof/>
            <w:webHidden/>
          </w:rPr>
          <w:fldChar w:fldCharType="begin"/>
        </w:r>
        <w:r w:rsidR="00532605">
          <w:rPr>
            <w:noProof/>
            <w:webHidden/>
          </w:rPr>
          <w:instrText xml:space="preserve"> PAGEREF _Toc79488707 \h </w:instrText>
        </w:r>
        <w:r w:rsidR="00532605">
          <w:rPr>
            <w:noProof/>
            <w:webHidden/>
          </w:rPr>
        </w:r>
        <w:r w:rsidR="00532605">
          <w:rPr>
            <w:noProof/>
            <w:webHidden/>
          </w:rPr>
          <w:fldChar w:fldCharType="separate"/>
        </w:r>
        <w:r w:rsidR="00532605">
          <w:rPr>
            <w:noProof/>
            <w:webHidden/>
          </w:rPr>
          <w:t>20</w:t>
        </w:r>
        <w:r w:rsidR="00532605">
          <w:rPr>
            <w:noProof/>
            <w:webHidden/>
          </w:rPr>
          <w:fldChar w:fldCharType="end"/>
        </w:r>
      </w:hyperlink>
    </w:p>
    <w:p w14:paraId="0A9EF00F" w14:textId="6EC326D6" w:rsidR="00532605" w:rsidRDefault="00EF074C">
      <w:pPr>
        <w:pStyle w:val="TOC2"/>
        <w:tabs>
          <w:tab w:val="left" w:pos="1134"/>
        </w:tabs>
        <w:rPr>
          <w:rFonts w:asciiTheme="minorHAnsi" w:hAnsiTheme="minorHAnsi"/>
          <w:noProof/>
        </w:rPr>
      </w:pPr>
      <w:hyperlink w:anchor="_Toc79488708" w:history="1">
        <w:r w:rsidR="00532605" w:rsidRPr="00C44116">
          <w:rPr>
            <w:rStyle w:val="Hyperlink"/>
            <w:noProof/>
          </w:rPr>
          <w:t>5.1</w:t>
        </w:r>
        <w:r w:rsidR="00532605">
          <w:rPr>
            <w:rFonts w:asciiTheme="minorHAnsi" w:hAnsiTheme="minorHAnsi"/>
            <w:noProof/>
          </w:rPr>
          <w:tab/>
        </w:r>
        <w:r w:rsidR="00532605" w:rsidRPr="00C44116">
          <w:rPr>
            <w:rStyle w:val="Hyperlink"/>
            <w:noProof/>
          </w:rPr>
          <w:t>Ongoing support for regional councils</w:t>
        </w:r>
        <w:r w:rsidR="00532605">
          <w:rPr>
            <w:noProof/>
            <w:webHidden/>
          </w:rPr>
          <w:tab/>
        </w:r>
        <w:r w:rsidR="00532605">
          <w:rPr>
            <w:noProof/>
            <w:webHidden/>
          </w:rPr>
          <w:fldChar w:fldCharType="begin"/>
        </w:r>
        <w:r w:rsidR="00532605">
          <w:rPr>
            <w:noProof/>
            <w:webHidden/>
          </w:rPr>
          <w:instrText xml:space="preserve"> PAGEREF _Toc79488708 \h </w:instrText>
        </w:r>
        <w:r w:rsidR="00532605">
          <w:rPr>
            <w:noProof/>
            <w:webHidden/>
          </w:rPr>
        </w:r>
        <w:r w:rsidR="00532605">
          <w:rPr>
            <w:noProof/>
            <w:webHidden/>
          </w:rPr>
          <w:fldChar w:fldCharType="separate"/>
        </w:r>
        <w:r w:rsidR="00532605">
          <w:rPr>
            <w:noProof/>
            <w:webHidden/>
          </w:rPr>
          <w:t>21</w:t>
        </w:r>
        <w:r w:rsidR="00532605">
          <w:rPr>
            <w:noProof/>
            <w:webHidden/>
          </w:rPr>
          <w:fldChar w:fldCharType="end"/>
        </w:r>
      </w:hyperlink>
    </w:p>
    <w:p w14:paraId="0E6C2061" w14:textId="7E1F0CBD" w:rsidR="00532605" w:rsidRDefault="00EF074C">
      <w:pPr>
        <w:pStyle w:val="TOC2"/>
        <w:tabs>
          <w:tab w:val="left" w:pos="1134"/>
        </w:tabs>
        <w:rPr>
          <w:rFonts w:asciiTheme="minorHAnsi" w:hAnsiTheme="minorHAnsi"/>
          <w:noProof/>
        </w:rPr>
      </w:pPr>
      <w:hyperlink w:anchor="_Toc79488709" w:history="1">
        <w:r w:rsidR="00532605" w:rsidRPr="00C44116">
          <w:rPr>
            <w:rStyle w:val="Hyperlink"/>
            <w:noProof/>
          </w:rPr>
          <w:t>5.2</w:t>
        </w:r>
        <w:r w:rsidR="00532605">
          <w:rPr>
            <w:rFonts w:asciiTheme="minorHAnsi" w:hAnsiTheme="minorHAnsi"/>
            <w:noProof/>
          </w:rPr>
          <w:tab/>
        </w:r>
        <w:r w:rsidR="00532605" w:rsidRPr="00C44116">
          <w:rPr>
            <w:rStyle w:val="Hyperlink"/>
            <w:noProof/>
          </w:rPr>
          <w:t>Understanding our current and future needs</w:t>
        </w:r>
        <w:r w:rsidR="00532605">
          <w:rPr>
            <w:noProof/>
            <w:webHidden/>
          </w:rPr>
          <w:tab/>
        </w:r>
        <w:r w:rsidR="00532605">
          <w:rPr>
            <w:noProof/>
            <w:webHidden/>
          </w:rPr>
          <w:fldChar w:fldCharType="begin"/>
        </w:r>
        <w:r w:rsidR="00532605">
          <w:rPr>
            <w:noProof/>
            <w:webHidden/>
          </w:rPr>
          <w:instrText xml:space="preserve"> PAGEREF _Toc79488709 \h </w:instrText>
        </w:r>
        <w:r w:rsidR="00532605">
          <w:rPr>
            <w:noProof/>
            <w:webHidden/>
          </w:rPr>
        </w:r>
        <w:r w:rsidR="00532605">
          <w:rPr>
            <w:noProof/>
            <w:webHidden/>
          </w:rPr>
          <w:fldChar w:fldCharType="separate"/>
        </w:r>
        <w:r w:rsidR="00532605">
          <w:rPr>
            <w:noProof/>
            <w:webHidden/>
          </w:rPr>
          <w:t>21</w:t>
        </w:r>
        <w:r w:rsidR="00532605">
          <w:rPr>
            <w:noProof/>
            <w:webHidden/>
          </w:rPr>
          <w:fldChar w:fldCharType="end"/>
        </w:r>
      </w:hyperlink>
    </w:p>
    <w:p w14:paraId="6522F42A" w14:textId="44042163" w:rsidR="00532605" w:rsidRDefault="00EF074C">
      <w:pPr>
        <w:pStyle w:val="TOC2"/>
        <w:tabs>
          <w:tab w:val="left" w:pos="1134"/>
        </w:tabs>
        <w:rPr>
          <w:rFonts w:asciiTheme="minorHAnsi" w:hAnsiTheme="minorHAnsi"/>
          <w:noProof/>
        </w:rPr>
      </w:pPr>
      <w:hyperlink w:anchor="_Toc79488710" w:history="1">
        <w:r w:rsidR="00532605" w:rsidRPr="00C44116">
          <w:rPr>
            <w:rStyle w:val="Hyperlink"/>
            <w:noProof/>
          </w:rPr>
          <w:t>5.3</w:t>
        </w:r>
        <w:r w:rsidR="00532605">
          <w:rPr>
            <w:rFonts w:asciiTheme="minorHAnsi" w:hAnsiTheme="minorHAnsi"/>
            <w:noProof/>
          </w:rPr>
          <w:tab/>
        </w:r>
        <w:r w:rsidR="00532605" w:rsidRPr="00C44116">
          <w:rPr>
            <w:rStyle w:val="Hyperlink"/>
            <w:noProof/>
          </w:rPr>
          <w:t>Option (a): Nutrient risk assessment approach</w:t>
        </w:r>
        <w:r w:rsidR="00532605">
          <w:rPr>
            <w:noProof/>
            <w:webHidden/>
          </w:rPr>
          <w:tab/>
        </w:r>
        <w:r w:rsidR="00532605">
          <w:rPr>
            <w:noProof/>
            <w:webHidden/>
          </w:rPr>
          <w:fldChar w:fldCharType="begin"/>
        </w:r>
        <w:r w:rsidR="00532605">
          <w:rPr>
            <w:noProof/>
            <w:webHidden/>
          </w:rPr>
          <w:instrText xml:space="preserve"> PAGEREF _Toc79488710 \h </w:instrText>
        </w:r>
        <w:r w:rsidR="00532605">
          <w:rPr>
            <w:noProof/>
            <w:webHidden/>
          </w:rPr>
        </w:r>
        <w:r w:rsidR="00532605">
          <w:rPr>
            <w:noProof/>
            <w:webHidden/>
          </w:rPr>
          <w:fldChar w:fldCharType="separate"/>
        </w:r>
        <w:r w:rsidR="00532605">
          <w:rPr>
            <w:noProof/>
            <w:webHidden/>
          </w:rPr>
          <w:t>21</w:t>
        </w:r>
        <w:r w:rsidR="00532605">
          <w:rPr>
            <w:noProof/>
            <w:webHidden/>
          </w:rPr>
          <w:fldChar w:fldCharType="end"/>
        </w:r>
      </w:hyperlink>
    </w:p>
    <w:p w14:paraId="08FDE1AD" w14:textId="4950611B" w:rsidR="00532605" w:rsidRDefault="00EF074C">
      <w:pPr>
        <w:pStyle w:val="TOC2"/>
        <w:tabs>
          <w:tab w:val="left" w:pos="1134"/>
        </w:tabs>
        <w:rPr>
          <w:rFonts w:asciiTheme="minorHAnsi" w:hAnsiTheme="minorHAnsi"/>
          <w:noProof/>
        </w:rPr>
      </w:pPr>
      <w:hyperlink w:anchor="_Toc79488711" w:history="1">
        <w:r w:rsidR="00532605" w:rsidRPr="00C44116">
          <w:rPr>
            <w:rStyle w:val="Hyperlink"/>
            <w:noProof/>
          </w:rPr>
          <w:t>5.4</w:t>
        </w:r>
        <w:r w:rsidR="00532605">
          <w:rPr>
            <w:rFonts w:asciiTheme="minorHAnsi" w:hAnsiTheme="minorHAnsi"/>
            <w:noProof/>
          </w:rPr>
          <w:tab/>
        </w:r>
        <w:r w:rsidR="00532605" w:rsidRPr="00C44116">
          <w:rPr>
            <w:rStyle w:val="Hyperlink"/>
            <w:noProof/>
          </w:rPr>
          <w:t>Option (b): Amending Overseer to address Panel concerns</w:t>
        </w:r>
        <w:r w:rsidR="00532605">
          <w:rPr>
            <w:noProof/>
            <w:webHidden/>
          </w:rPr>
          <w:tab/>
        </w:r>
        <w:r w:rsidR="00532605">
          <w:rPr>
            <w:noProof/>
            <w:webHidden/>
          </w:rPr>
          <w:fldChar w:fldCharType="begin"/>
        </w:r>
        <w:r w:rsidR="00532605">
          <w:rPr>
            <w:noProof/>
            <w:webHidden/>
          </w:rPr>
          <w:instrText xml:space="preserve"> PAGEREF _Toc79488711 \h </w:instrText>
        </w:r>
        <w:r w:rsidR="00532605">
          <w:rPr>
            <w:noProof/>
            <w:webHidden/>
          </w:rPr>
        </w:r>
        <w:r w:rsidR="00532605">
          <w:rPr>
            <w:noProof/>
            <w:webHidden/>
          </w:rPr>
          <w:fldChar w:fldCharType="separate"/>
        </w:r>
        <w:r w:rsidR="00532605">
          <w:rPr>
            <w:noProof/>
            <w:webHidden/>
          </w:rPr>
          <w:t>23</w:t>
        </w:r>
        <w:r w:rsidR="00532605">
          <w:rPr>
            <w:noProof/>
            <w:webHidden/>
          </w:rPr>
          <w:fldChar w:fldCharType="end"/>
        </w:r>
      </w:hyperlink>
    </w:p>
    <w:p w14:paraId="0EC76B57" w14:textId="6FDB5E3B" w:rsidR="00532605" w:rsidRDefault="00EF074C">
      <w:pPr>
        <w:pStyle w:val="TOC2"/>
        <w:tabs>
          <w:tab w:val="left" w:pos="1134"/>
        </w:tabs>
        <w:rPr>
          <w:rFonts w:asciiTheme="minorHAnsi" w:hAnsiTheme="minorHAnsi"/>
          <w:noProof/>
        </w:rPr>
      </w:pPr>
      <w:hyperlink w:anchor="_Toc79488712" w:history="1">
        <w:r w:rsidR="00532605" w:rsidRPr="00C44116">
          <w:rPr>
            <w:rStyle w:val="Hyperlink"/>
            <w:noProof/>
          </w:rPr>
          <w:t>5.5</w:t>
        </w:r>
        <w:r w:rsidR="00532605">
          <w:rPr>
            <w:rFonts w:asciiTheme="minorHAnsi" w:hAnsiTheme="minorHAnsi"/>
            <w:noProof/>
          </w:rPr>
          <w:tab/>
        </w:r>
        <w:r w:rsidR="00532605" w:rsidRPr="00C44116">
          <w:rPr>
            <w:rStyle w:val="Hyperlink"/>
            <w:noProof/>
          </w:rPr>
          <w:t>Option (c): Control of practices and inputs</w:t>
        </w:r>
        <w:r w:rsidR="00532605">
          <w:rPr>
            <w:noProof/>
            <w:webHidden/>
          </w:rPr>
          <w:tab/>
        </w:r>
        <w:r w:rsidR="00532605">
          <w:rPr>
            <w:noProof/>
            <w:webHidden/>
          </w:rPr>
          <w:fldChar w:fldCharType="begin"/>
        </w:r>
        <w:r w:rsidR="00532605">
          <w:rPr>
            <w:noProof/>
            <w:webHidden/>
          </w:rPr>
          <w:instrText xml:space="preserve"> PAGEREF _Toc79488712 \h </w:instrText>
        </w:r>
        <w:r w:rsidR="00532605">
          <w:rPr>
            <w:noProof/>
            <w:webHidden/>
          </w:rPr>
        </w:r>
        <w:r w:rsidR="00532605">
          <w:rPr>
            <w:noProof/>
            <w:webHidden/>
          </w:rPr>
          <w:fldChar w:fldCharType="separate"/>
        </w:r>
        <w:r w:rsidR="00532605">
          <w:rPr>
            <w:noProof/>
            <w:webHidden/>
          </w:rPr>
          <w:t>23</w:t>
        </w:r>
        <w:r w:rsidR="00532605">
          <w:rPr>
            <w:noProof/>
            <w:webHidden/>
          </w:rPr>
          <w:fldChar w:fldCharType="end"/>
        </w:r>
      </w:hyperlink>
    </w:p>
    <w:p w14:paraId="136D92A5" w14:textId="5C199835" w:rsidR="00532605" w:rsidRDefault="00EF074C">
      <w:pPr>
        <w:pStyle w:val="TOC2"/>
        <w:tabs>
          <w:tab w:val="left" w:pos="1134"/>
        </w:tabs>
        <w:rPr>
          <w:rFonts w:asciiTheme="minorHAnsi" w:hAnsiTheme="minorHAnsi"/>
          <w:noProof/>
        </w:rPr>
      </w:pPr>
      <w:hyperlink w:anchor="_Toc79488713" w:history="1">
        <w:r w:rsidR="00532605" w:rsidRPr="00C44116">
          <w:rPr>
            <w:rStyle w:val="Hyperlink"/>
            <w:noProof/>
          </w:rPr>
          <w:t>5.6</w:t>
        </w:r>
        <w:r w:rsidR="00532605">
          <w:rPr>
            <w:rFonts w:asciiTheme="minorHAnsi" w:hAnsiTheme="minorHAnsi"/>
            <w:noProof/>
          </w:rPr>
          <w:tab/>
        </w:r>
        <w:r w:rsidR="00532605" w:rsidRPr="00C44116">
          <w:rPr>
            <w:rStyle w:val="Hyperlink"/>
            <w:noProof/>
          </w:rPr>
          <w:t>Option (d): New management tools</w:t>
        </w:r>
        <w:r w:rsidR="00532605">
          <w:rPr>
            <w:noProof/>
            <w:webHidden/>
          </w:rPr>
          <w:tab/>
        </w:r>
        <w:r w:rsidR="00532605">
          <w:rPr>
            <w:noProof/>
            <w:webHidden/>
          </w:rPr>
          <w:fldChar w:fldCharType="begin"/>
        </w:r>
        <w:r w:rsidR="00532605">
          <w:rPr>
            <w:noProof/>
            <w:webHidden/>
          </w:rPr>
          <w:instrText xml:space="preserve"> PAGEREF _Toc79488713 \h </w:instrText>
        </w:r>
        <w:r w:rsidR="00532605">
          <w:rPr>
            <w:noProof/>
            <w:webHidden/>
          </w:rPr>
        </w:r>
        <w:r w:rsidR="00532605">
          <w:rPr>
            <w:noProof/>
            <w:webHidden/>
          </w:rPr>
          <w:fldChar w:fldCharType="separate"/>
        </w:r>
        <w:r w:rsidR="00532605">
          <w:rPr>
            <w:noProof/>
            <w:webHidden/>
          </w:rPr>
          <w:t>24</w:t>
        </w:r>
        <w:r w:rsidR="00532605">
          <w:rPr>
            <w:noProof/>
            <w:webHidden/>
          </w:rPr>
          <w:fldChar w:fldCharType="end"/>
        </w:r>
      </w:hyperlink>
    </w:p>
    <w:p w14:paraId="6D9F7398" w14:textId="5A1EC711" w:rsidR="00532605" w:rsidRDefault="00EF074C">
      <w:pPr>
        <w:pStyle w:val="TOC1"/>
        <w:rPr>
          <w:rFonts w:asciiTheme="minorHAnsi" w:hAnsiTheme="minorHAnsi"/>
          <w:noProof/>
        </w:rPr>
      </w:pPr>
      <w:hyperlink w:anchor="_Toc79488714" w:history="1">
        <w:r w:rsidR="00532605" w:rsidRPr="00C44116">
          <w:rPr>
            <w:rStyle w:val="Hyperlink"/>
            <w:noProof/>
          </w:rPr>
          <w:t>Appendices</w:t>
        </w:r>
        <w:r w:rsidR="00532605">
          <w:rPr>
            <w:noProof/>
            <w:webHidden/>
          </w:rPr>
          <w:tab/>
        </w:r>
        <w:r w:rsidR="00532605">
          <w:rPr>
            <w:noProof/>
            <w:webHidden/>
          </w:rPr>
          <w:fldChar w:fldCharType="begin"/>
        </w:r>
        <w:r w:rsidR="00532605">
          <w:rPr>
            <w:noProof/>
            <w:webHidden/>
          </w:rPr>
          <w:instrText xml:space="preserve"> PAGEREF _Toc79488714 \h </w:instrText>
        </w:r>
        <w:r w:rsidR="00532605">
          <w:rPr>
            <w:noProof/>
            <w:webHidden/>
          </w:rPr>
        </w:r>
        <w:r w:rsidR="00532605">
          <w:rPr>
            <w:noProof/>
            <w:webHidden/>
          </w:rPr>
          <w:fldChar w:fldCharType="separate"/>
        </w:r>
        <w:r w:rsidR="00532605">
          <w:rPr>
            <w:noProof/>
            <w:webHidden/>
          </w:rPr>
          <w:t>26</w:t>
        </w:r>
        <w:r w:rsidR="00532605">
          <w:rPr>
            <w:noProof/>
            <w:webHidden/>
          </w:rPr>
          <w:fldChar w:fldCharType="end"/>
        </w:r>
      </w:hyperlink>
    </w:p>
    <w:p w14:paraId="19227C24" w14:textId="26C27C6A" w:rsidR="00532605" w:rsidRDefault="00EF074C">
      <w:pPr>
        <w:pStyle w:val="TOC2"/>
        <w:rPr>
          <w:rFonts w:asciiTheme="minorHAnsi" w:hAnsiTheme="minorHAnsi"/>
          <w:noProof/>
        </w:rPr>
      </w:pPr>
      <w:hyperlink w:anchor="_Toc79488715" w:history="1">
        <w:r w:rsidR="00532605" w:rsidRPr="00C44116">
          <w:rPr>
            <w:rStyle w:val="Hyperlink"/>
            <w:noProof/>
          </w:rPr>
          <w:t>Appendix A: Science Advisory Panel</w:t>
        </w:r>
        <w:r w:rsidR="00532605">
          <w:rPr>
            <w:noProof/>
            <w:webHidden/>
          </w:rPr>
          <w:tab/>
        </w:r>
        <w:r w:rsidR="00532605">
          <w:rPr>
            <w:noProof/>
            <w:webHidden/>
          </w:rPr>
          <w:fldChar w:fldCharType="begin"/>
        </w:r>
        <w:r w:rsidR="00532605">
          <w:rPr>
            <w:noProof/>
            <w:webHidden/>
          </w:rPr>
          <w:instrText xml:space="preserve"> PAGEREF _Toc79488715 \h </w:instrText>
        </w:r>
        <w:r w:rsidR="00532605">
          <w:rPr>
            <w:noProof/>
            <w:webHidden/>
          </w:rPr>
        </w:r>
        <w:r w:rsidR="00532605">
          <w:rPr>
            <w:noProof/>
            <w:webHidden/>
          </w:rPr>
          <w:fldChar w:fldCharType="separate"/>
        </w:r>
        <w:r w:rsidR="00532605">
          <w:rPr>
            <w:noProof/>
            <w:webHidden/>
          </w:rPr>
          <w:t>26</w:t>
        </w:r>
        <w:r w:rsidR="00532605">
          <w:rPr>
            <w:noProof/>
            <w:webHidden/>
          </w:rPr>
          <w:fldChar w:fldCharType="end"/>
        </w:r>
      </w:hyperlink>
    </w:p>
    <w:p w14:paraId="5B013689" w14:textId="1E81883D" w:rsidR="00532605" w:rsidRDefault="00EF074C">
      <w:pPr>
        <w:pStyle w:val="TOC2"/>
        <w:rPr>
          <w:rFonts w:asciiTheme="minorHAnsi" w:hAnsiTheme="minorHAnsi"/>
          <w:noProof/>
        </w:rPr>
      </w:pPr>
      <w:hyperlink w:anchor="_Toc79488716" w:history="1">
        <w:r w:rsidR="00532605" w:rsidRPr="00C44116">
          <w:rPr>
            <w:rStyle w:val="Hyperlink"/>
            <w:noProof/>
          </w:rPr>
          <w:t>Appendix B: Existing use of Overseer</w:t>
        </w:r>
        <w:r w:rsidR="00532605">
          <w:rPr>
            <w:noProof/>
            <w:webHidden/>
          </w:rPr>
          <w:tab/>
        </w:r>
        <w:r w:rsidR="00532605">
          <w:rPr>
            <w:noProof/>
            <w:webHidden/>
          </w:rPr>
          <w:fldChar w:fldCharType="begin"/>
        </w:r>
        <w:r w:rsidR="00532605">
          <w:rPr>
            <w:noProof/>
            <w:webHidden/>
          </w:rPr>
          <w:instrText xml:space="preserve"> PAGEREF _Toc79488716 \h </w:instrText>
        </w:r>
        <w:r w:rsidR="00532605">
          <w:rPr>
            <w:noProof/>
            <w:webHidden/>
          </w:rPr>
        </w:r>
        <w:r w:rsidR="00532605">
          <w:rPr>
            <w:noProof/>
            <w:webHidden/>
          </w:rPr>
          <w:fldChar w:fldCharType="separate"/>
        </w:r>
        <w:r w:rsidR="00532605">
          <w:rPr>
            <w:noProof/>
            <w:webHidden/>
          </w:rPr>
          <w:t>28</w:t>
        </w:r>
        <w:r w:rsidR="00532605">
          <w:rPr>
            <w:noProof/>
            <w:webHidden/>
          </w:rPr>
          <w:fldChar w:fldCharType="end"/>
        </w:r>
      </w:hyperlink>
    </w:p>
    <w:p w14:paraId="58960E38" w14:textId="5006B3DF" w:rsidR="00532605" w:rsidRDefault="00EF074C">
      <w:pPr>
        <w:pStyle w:val="TOC2"/>
        <w:rPr>
          <w:rFonts w:asciiTheme="minorHAnsi" w:hAnsiTheme="minorHAnsi"/>
          <w:noProof/>
        </w:rPr>
      </w:pPr>
      <w:hyperlink w:anchor="_Toc79488717" w:history="1">
        <w:r w:rsidR="00532605" w:rsidRPr="00C44116">
          <w:rPr>
            <w:rStyle w:val="Hyperlink"/>
            <w:noProof/>
          </w:rPr>
          <w:t>Appendix C: Examples of risk assessment approaches</w:t>
        </w:r>
        <w:r w:rsidR="00532605">
          <w:rPr>
            <w:noProof/>
            <w:webHidden/>
          </w:rPr>
          <w:tab/>
        </w:r>
        <w:r w:rsidR="00532605">
          <w:rPr>
            <w:noProof/>
            <w:webHidden/>
          </w:rPr>
          <w:fldChar w:fldCharType="begin"/>
        </w:r>
        <w:r w:rsidR="00532605">
          <w:rPr>
            <w:noProof/>
            <w:webHidden/>
          </w:rPr>
          <w:instrText xml:space="preserve"> PAGEREF _Toc79488717 \h </w:instrText>
        </w:r>
        <w:r w:rsidR="00532605">
          <w:rPr>
            <w:noProof/>
            <w:webHidden/>
          </w:rPr>
        </w:r>
        <w:r w:rsidR="00532605">
          <w:rPr>
            <w:noProof/>
            <w:webHidden/>
          </w:rPr>
          <w:fldChar w:fldCharType="separate"/>
        </w:r>
        <w:r w:rsidR="00532605">
          <w:rPr>
            <w:noProof/>
            <w:webHidden/>
          </w:rPr>
          <w:t>32</w:t>
        </w:r>
        <w:r w:rsidR="00532605">
          <w:rPr>
            <w:noProof/>
            <w:webHidden/>
          </w:rPr>
          <w:fldChar w:fldCharType="end"/>
        </w:r>
      </w:hyperlink>
    </w:p>
    <w:p w14:paraId="7C666B0D" w14:textId="0FAC5C21" w:rsidR="0080531E" w:rsidRPr="00B510A6" w:rsidRDefault="00775F57" w:rsidP="002B4778">
      <w:pPr>
        <w:pStyle w:val="Glossary"/>
      </w:pPr>
      <w:r w:rsidRPr="00B510A6">
        <w:rPr>
          <w:color w:val="0092CF"/>
        </w:rPr>
        <w:fldChar w:fldCharType="end"/>
      </w:r>
    </w:p>
    <w:p w14:paraId="0025D035" w14:textId="77777777" w:rsidR="00796A6F" w:rsidRPr="00B510A6" w:rsidRDefault="00796A6F" w:rsidP="00554B30">
      <w:r w:rsidRPr="00B510A6">
        <w:br w:type="page"/>
      </w:r>
    </w:p>
    <w:p w14:paraId="45B125BE" w14:textId="77777777" w:rsidR="00532334" w:rsidRPr="00B510A6" w:rsidRDefault="00B51610" w:rsidP="008B68EC">
      <w:pPr>
        <w:pStyle w:val="Heading"/>
      </w:pPr>
      <w:r w:rsidRPr="00B510A6">
        <w:lastRenderedPageBreak/>
        <w:t>Figure</w:t>
      </w:r>
    </w:p>
    <w:p w14:paraId="3D89207F" w14:textId="17B072A8" w:rsidR="00532605" w:rsidRDefault="004943C2">
      <w:pPr>
        <w:pStyle w:val="TableofFigures"/>
        <w:tabs>
          <w:tab w:val="right" w:pos="8495"/>
        </w:tabs>
        <w:rPr>
          <w:rFonts w:asciiTheme="minorHAnsi" w:hAnsiTheme="minorHAnsi"/>
          <w:noProof/>
        </w:rPr>
      </w:pPr>
      <w:r w:rsidRPr="00B510A6">
        <w:fldChar w:fldCharType="begin"/>
      </w:r>
      <w:r w:rsidRPr="00B510A6">
        <w:instrText xml:space="preserve"> TOC \h \z \t "Figure heading" \c </w:instrText>
      </w:r>
      <w:r w:rsidRPr="00B510A6">
        <w:fldChar w:fldCharType="separate"/>
      </w:r>
      <w:hyperlink w:anchor="_Toc79488718" w:history="1">
        <w:r w:rsidR="00532605" w:rsidRPr="00740570">
          <w:rPr>
            <w:rStyle w:val="Hyperlink"/>
            <w:noProof/>
          </w:rPr>
          <w:t xml:space="preserve">Figure 1: </w:t>
        </w:r>
        <w:r w:rsidR="00532605">
          <w:rPr>
            <w:rFonts w:asciiTheme="minorHAnsi" w:hAnsiTheme="minorHAnsi"/>
            <w:noProof/>
          </w:rPr>
          <w:tab/>
        </w:r>
        <w:r w:rsidR="00532605" w:rsidRPr="00740570">
          <w:rPr>
            <w:rStyle w:val="Hyperlink"/>
            <w:noProof/>
          </w:rPr>
          <w:t>Future work timeline</w:t>
        </w:r>
        <w:r w:rsidR="00532605">
          <w:rPr>
            <w:noProof/>
            <w:webHidden/>
          </w:rPr>
          <w:tab/>
        </w:r>
        <w:r w:rsidR="00532605">
          <w:rPr>
            <w:noProof/>
            <w:webHidden/>
          </w:rPr>
          <w:fldChar w:fldCharType="begin"/>
        </w:r>
        <w:r w:rsidR="00532605">
          <w:rPr>
            <w:noProof/>
            <w:webHidden/>
          </w:rPr>
          <w:instrText xml:space="preserve"> PAGEREF _Toc79488718 \h </w:instrText>
        </w:r>
        <w:r w:rsidR="00532605">
          <w:rPr>
            <w:noProof/>
            <w:webHidden/>
          </w:rPr>
        </w:r>
        <w:r w:rsidR="00532605">
          <w:rPr>
            <w:noProof/>
            <w:webHidden/>
          </w:rPr>
          <w:fldChar w:fldCharType="separate"/>
        </w:r>
        <w:r w:rsidR="00532605">
          <w:rPr>
            <w:noProof/>
            <w:webHidden/>
          </w:rPr>
          <w:t>25</w:t>
        </w:r>
        <w:r w:rsidR="00532605">
          <w:rPr>
            <w:noProof/>
            <w:webHidden/>
          </w:rPr>
          <w:fldChar w:fldCharType="end"/>
        </w:r>
      </w:hyperlink>
    </w:p>
    <w:p w14:paraId="396756F4" w14:textId="50B08905" w:rsidR="008A2FF1" w:rsidRPr="00B510A6" w:rsidRDefault="004943C2" w:rsidP="00D51469">
      <w:pPr>
        <w:pStyle w:val="BodyText"/>
      </w:pPr>
      <w:r w:rsidRPr="00B510A6">
        <w:fldChar w:fldCharType="end"/>
      </w:r>
    </w:p>
    <w:p w14:paraId="4C7F99DE" w14:textId="77777777" w:rsidR="00583F4E" w:rsidRPr="00B510A6" w:rsidRDefault="00796A6F" w:rsidP="00583F4E">
      <w:pPr>
        <w:pStyle w:val="Heading1"/>
      </w:pPr>
      <w:bookmarkStart w:id="0" w:name="_Toc215561202"/>
      <w:r w:rsidRPr="00B510A6">
        <w:br w:type="page"/>
      </w:r>
      <w:bookmarkStart w:id="1" w:name="_Toc77326644"/>
      <w:bookmarkStart w:id="2" w:name="_Toc79488692"/>
      <w:r w:rsidR="00583F4E" w:rsidRPr="00B510A6">
        <w:lastRenderedPageBreak/>
        <w:t>Message from the Ministers</w:t>
      </w:r>
      <w:bookmarkEnd w:id="1"/>
      <w:bookmarkEnd w:id="2"/>
    </w:p>
    <w:p w14:paraId="0B0C1115" w14:textId="62E9292E" w:rsidR="00210941" w:rsidRDefault="00210941" w:rsidP="00210941">
      <w:pPr>
        <w:spacing w:before="0" w:after="200" w:line="276" w:lineRule="auto"/>
        <w:jc w:val="left"/>
      </w:pPr>
      <w:r>
        <w:t>There are three main causes of water quality degradation – excessive sediment, microbial contaminants and/or nutrients. For many New Zealand’s rivers, the main nutrient challenge is excessive nitrogen in its various forms.</w:t>
      </w:r>
    </w:p>
    <w:p w14:paraId="3EF268CF" w14:textId="51DF879F" w:rsidR="00210941" w:rsidRDefault="00210941" w:rsidP="00210941">
      <w:pPr>
        <w:spacing w:before="0" w:after="200" w:line="276" w:lineRule="auto"/>
        <w:jc w:val="left"/>
      </w:pPr>
      <w:r>
        <w:t xml:space="preserve">Diffuse nutrient discharges from farmland and their risk to freshwater are managed in a variety of ways, including </w:t>
      </w:r>
      <w:proofErr w:type="gramStart"/>
      <w:r>
        <w:t>through the use of</w:t>
      </w:r>
      <w:proofErr w:type="gramEnd"/>
      <w:r>
        <w:t xml:space="preserve"> the Overseer on-farm nutrient model. Overseer has helped farmers and regional councils gather data on inputs like fertiliser and livestock numbers, via an online, user-friendly interface. Using those data, it has sought to estimate the extent of nutrient ‘loss’ from farm systems.</w:t>
      </w:r>
    </w:p>
    <w:p w14:paraId="78A6F721" w14:textId="07487BB0" w:rsidR="00210941" w:rsidRDefault="00210941" w:rsidP="00210941">
      <w:pPr>
        <w:spacing w:before="0" w:after="200" w:line="276" w:lineRule="auto"/>
        <w:jc w:val="left"/>
      </w:pPr>
      <w:r>
        <w:t>Industry and environmental groups have, for some time, debated the application of Overseer’s nutrient loss modelling to regional councils’ planning and consenting functions.</w:t>
      </w:r>
    </w:p>
    <w:p w14:paraId="613796B8" w14:textId="580D57DE" w:rsidR="00210941" w:rsidRDefault="00210941" w:rsidP="00210941">
      <w:pPr>
        <w:spacing w:before="0" w:after="200" w:line="276" w:lineRule="auto"/>
        <w:jc w:val="left"/>
      </w:pPr>
      <w:r>
        <w:t>In 2018 the Parliamentary Commissioner for the Environment recommended a review of Overseer be undertaken. An independent Scientific Advisory Panel was subsequently established by the Government to undertake this important work.</w:t>
      </w:r>
    </w:p>
    <w:p w14:paraId="46966FD1" w14:textId="084E6B1F" w:rsidR="00210941" w:rsidRDefault="00210941" w:rsidP="00210941">
      <w:pPr>
        <w:spacing w:before="0" w:after="200" w:line="276" w:lineRule="auto"/>
        <w:jc w:val="left"/>
      </w:pPr>
      <w:r>
        <w:t>We thank the Scientific Advisory Panel for their careful review of the Overseer model. The Panel has identified a range of shortcomings in the modelling approach. The review will help us develop better tools for farmers and regulators to meet future Essential Freshwater requirements.</w:t>
      </w:r>
    </w:p>
    <w:p w14:paraId="55715955" w14:textId="0186F104" w:rsidR="00210941" w:rsidRDefault="00210941" w:rsidP="00210941">
      <w:pPr>
        <w:spacing w:before="0" w:after="200" w:line="276" w:lineRule="auto"/>
        <w:jc w:val="left"/>
      </w:pPr>
      <w:r>
        <w:t>The Panel’s findings require a response from Government. That is what this report provides. It is apparent that, at least in its current state, Overseer does not provide reliable results across the range of situations it is currently used for.</w:t>
      </w:r>
    </w:p>
    <w:p w14:paraId="3642160F" w14:textId="65D51FF8" w:rsidR="00BE77DB" w:rsidRDefault="00BE77DB" w:rsidP="00210941">
      <w:pPr>
        <w:spacing w:before="0" w:after="200" w:line="276" w:lineRule="auto"/>
        <w:jc w:val="left"/>
      </w:pPr>
      <w:r w:rsidRPr="00BE77DB">
        <w:t xml:space="preserve">Overseer will be supported while the next generation of Overseer and additional tools are </w:t>
      </w:r>
      <w:r w:rsidR="00190A63">
        <w:t xml:space="preserve">developed and </w:t>
      </w:r>
      <w:r w:rsidRPr="00BE77DB">
        <w:t>made available</w:t>
      </w:r>
      <w:r>
        <w:t xml:space="preserve"> </w:t>
      </w:r>
      <w:r w:rsidRPr="00BE77DB">
        <w:t xml:space="preserve">to </w:t>
      </w:r>
      <w:r w:rsidR="00190A63">
        <w:t xml:space="preserve">help </w:t>
      </w:r>
      <w:r w:rsidRPr="00BE77DB">
        <w:t>manage nutrient losses from farms. We will also assist regional councils to continue with their freshwater plan-making, monitoring and compliance work.</w:t>
      </w:r>
    </w:p>
    <w:p w14:paraId="64467AEF" w14:textId="302C8048" w:rsidR="00210941" w:rsidRDefault="00210941" w:rsidP="00210941">
      <w:pPr>
        <w:spacing w:before="0" w:after="200" w:line="276" w:lineRule="auto"/>
        <w:jc w:val="left"/>
      </w:pPr>
      <w:r>
        <w:t>We will now progress the next, solutions-oriented, phase of this programme to address the issues identified in the Panel’s report. The attached document describes that work and the role that Overseer may play in the future.</w:t>
      </w:r>
    </w:p>
    <w:p w14:paraId="72BF87B5" w14:textId="138104BF" w:rsidR="00EF074C" w:rsidRDefault="00EF074C" w:rsidP="00EF074C">
      <w:pPr>
        <w:pStyle w:val="BodyText"/>
      </w:pPr>
      <w:bookmarkStart w:id="3" w:name="_Toc77326645"/>
      <w:r>
        <w:rPr>
          <w:noProof/>
        </w:rPr>
        <w:drawing>
          <wp:inline distT="0" distB="0" distL="0" distR="0" wp14:anchorId="529A3067" wp14:editId="003FD1C3">
            <wp:extent cx="2224673" cy="8001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stretch>
                      <a:fillRect/>
                    </a:stretch>
                  </pic:blipFill>
                  <pic:spPr>
                    <a:xfrm>
                      <a:off x="0" y="0"/>
                      <a:ext cx="2224673" cy="800100"/>
                    </a:xfrm>
                    <a:prstGeom prst="rect">
                      <a:avLst/>
                    </a:prstGeom>
                  </pic:spPr>
                </pic:pic>
              </a:graphicData>
            </a:graphic>
          </wp:inline>
        </w:drawing>
      </w:r>
      <w:r>
        <w:tab/>
      </w:r>
      <w:r>
        <w:tab/>
      </w:r>
      <w:r>
        <w:rPr>
          <w:noProof/>
        </w:rPr>
        <w:drawing>
          <wp:inline distT="0" distB="0" distL="0" distR="0" wp14:anchorId="579FCBF5" wp14:editId="2860552A">
            <wp:extent cx="1629124" cy="800100"/>
            <wp:effectExtent l="0" t="0" r="9525"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pic:nvPicPr>
                  <pic:blipFill>
                    <a:blip r:embed="rId26"/>
                    <a:stretch>
                      <a:fillRect/>
                    </a:stretch>
                  </pic:blipFill>
                  <pic:spPr>
                    <a:xfrm>
                      <a:off x="0" y="0"/>
                      <a:ext cx="1640427" cy="805651"/>
                    </a:xfrm>
                    <a:prstGeom prst="rect">
                      <a:avLst/>
                    </a:prstGeom>
                  </pic:spPr>
                </pic:pic>
              </a:graphicData>
            </a:graphic>
          </wp:inline>
        </w:drawing>
      </w:r>
    </w:p>
    <w:p w14:paraId="38C6239D" w14:textId="6F1C81B1" w:rsidR="00EF074C" w:rsidRPr="00735C90" w:rsidRDefault="00EF074C" w:rsidP="00EF074C">
      <w:pPr>
        <w:pStyle w:val="BodyText"/>
      </w:pPr>
      <w:r w:rsidRPr="008B6A46">
        <w:t>Hon David Parker</w:t>
      </w:r>
      <w:r>
        <w:tab/>
      </w:r>
      <w:r>
        <w:tab/>
      </w:r>
      <w:r>
        <w:tab/>
      </w:r>
      <w:r>
        <w:tab/>
      </w:r>
      <w:r>
        <w:tab/>
      </w:r>
      <w:r>
        <w:tab/>
      </w:r>
      <w:r>
        <w:tab/>
      </w:r>
      <w:r w:rsidRPr="00735C90">
        <w:t>Hon Damien O’Connor</w:t>
      </w:r>
      <w:r w:rsidRPr="00735C90">
        <w:br/>
        <w:t>Minister for the Environment</w:t>
      </w:r>
      <w:r>
        <w:tab/>
      </w:r>
      <w:r>
        <w:tab/>
      </w:r>
      <w:r>
        <w:tab/>
      </w:r>
      <w:r>
        <w:tab/>
      </w:r>
      <w:r w:rsidRPr="00735C90">
        <w:t>Minister of Agriculture</w:t>
      </w:r>
    </w:p>
    <w:p w14:paraId="3806B045" w14:textId="510FCE95" w:rsidR="007A7C46" w:rsidRPr="00B510A6" w:rsidRDefault="007A7C46" w:rsidP="007A7C46">
      <w:pPr>
        <w:spacing w:before="0" w:after="200" w:line="276" w:lineRule="auto"/>
        <w:jc w:val="left"/>
      </w:pPr>
      <w:r w:rsidRPr="00B510A6">
        <w:br w:type="page"/>
      </w:r>
    </w:p>
    <w:p w14:paraId="297B7734" w14:textId="77777777" w:rsidR="009831A5" w:rsidRPr="00B510A6" w:rsidRDefault="009831A5" w:rsidP="009831A5">
      <w:pPr>
        <w:pStyle w:val="Heading1"/>
      </w:pPr>
      <w:bookmarkStart w:id="4" w:name="_Toc79488693"/>
      <w:r w:rsidRPr="00B510A6">
        <w:lastRenderedPageBreak/>
        <w:t xml:space="preserve">Executive </w:t>
      </w:r>
      <w:r w:rsidR="000E2E96">
        <w:t>s</w:t>
      </w:r>
      <w:r w:rsidRPr="00B510A6">
        <w:t>ummary</w:t>
      </w:r>
      <w:bookmarkEnd w:id="3"/>
      <w:bookmarkEnd w:id="4"/>
      <w:r w:rsidRPr="00B510A6">
        <w:t xml:space="preserve"> </w:t>
      </w:r>
    </w:p>
    <w:p w14:paraId="0098E009" w14:textId="30D8D210" w:rsidR="009831A5" w:rsidRPr="00B510A6" w:rsidRDefault="009831A5" w:rsidP="009831A5">
      <w:pPr>
        <w:pStyle w:val="BodyText"/>
      </w:pPr>
      <w:r w:rsidRPr="00B510A6">
        <w:t xml:space="preserve">In late 2018 the Parliamentary Commissioner for the Environment (PCE) </w:t>
      </w:r>
      <w:r w:rsidR="00210941">
        <w:t xml:space="preserve">outlined </w:t>
      </w:r>
      <w:r w:rsidRPr="00B510A6">
        <w:t>steps that should be taken for the Overseer model to be used confidently in</w:t>
      </w:r>
      <w:r w:rsidR="00D06782">
        <w:t> </w:t>
      </w:r>
      <w:r w:rsidRPr="00B510A6">
        <w:t>regulation</w:t>
      </w:r>
      <w:r w:rsidR="00210941">
        <w:t xml:space="preserve">, including recommending that </w:t>
      </w:r>
      <w:r w:rsidRPr="00B510A6">
        <w:t xml:space="preserve">a whole-model peer review of Overseer be </w:t>
      </w:r>
      <w:r w:rsidR="00210941">
        <w:t xml:space="preserve">undertaken </w:t>
      </w:r>
      <w:r w:rsidRPr="00B510A6">
        <w:t>by</w:t>
      </w:r>
      <w:r w:rsidR="00D06782">
        <w:t> </w:t>
      </w:r>
      <w:r w:rsidRPr="00B510A6">
        <w:t>technical experts independent of those who developed the model</w:t>
      </w:r>
      <w:r w:rsidR="00824842">
        <w:rPr>
          <w:rStyle w:val="FootnoteReference"/>
        </w:rPr>
        <w:footnoteReference w:id="2"/>
      </w:r>
      <w:r w:rsidRPr="00B510A6">
        <w:t>. That review was subsequently commissioned by the Ministry for Primary Industries (MPI) and the Ministry for</w:t>
      </w:r>
      <w:r w:rsidR="00D06782">
        <w:t> </w:t>
      </w:r>
      <w:r w:rsidRPr="00B510A6">
        <w:t>the Environment (MfE). The Science Advisory Panel (the Panel) that undertook th</w:t>
      </w:r>
      <w:r w:rsidR="00824842">
        <w:t>e</w:t>
      </w:r>
      <w:r w:rsidRPr="00B510A6">
        <w:t xml:space="preserve"> review has now reported its findings. The Government thanks the Panel members for their hard work</w:t>
      </w:r>
      <w:r w:rsidR="00D06782">
        <w:t> </w:t>
      </w:r>
      <w:r w:rsidRPr="00B510A6">
        <w:t xml:space="preserve">over the past year. </w:t>
      </w:r>
    </w:p>
    <w:p w14:paraId="03D75A18" w14:textId="62C2F85D" w:rsidR="009831A5" w:rsidRPr="00B510A6" w:rsidRDefault="009831A5" w:rsidP="009831A5">
      <w:pPr>
        <w:pStyle w:val="BodyText"/>
      </w:pPr>
      <w:r w:rsidRPr="00B510A6">
        <w:t>Overseer is a tool commonly used to inform our understanding of nutrient loss across agricultural landscapes and the effect of farm practices on those nutrient losses, at both farm</w:t>
      </w:r>
      <w:r w:rsidR="00A75412" w:rsidRPr="00B510A6">
        <w:t> </w:t>
      </w:r>
      <w:r w:rsidRPr="00B510A6">
        <w:t>and catchment scales. Although Overseer was conceived as a decision-support tool for agricultural producers (principally to inform fertiliser application decisions), it has evolved over the years to become a tool used by regulators to enable limits to be set for diffuse nitrogen discharges</w:t>
      </w:r>
      <w:r w:rsidR="00824842">
        <w:t xml:space="preserve"> –</w:t>
      </w:r>
      <w:r w:rsidRPr="00B510A6">
        <w:t xml:space="preserve"> compliance with which is required to be assessed using Overseer modelling.</w:t>
      </w:r>
      <w:r w:rsidR="00797AC1" w:rsidRPr="00B510A6">
        <w:t xml:space="preserve"> </w:t>
      </w:r>
    </w:p>
    <w:p w14:paraId="77A7ED42" w14:textId="61C13EFF" w:rsidR="009831A5" w:rsidRPr="00B510A6" w:rsidRDefault="009831A5" w:rsidP="009831A5">
      <w:pPr>
        <w:pStyle w:val="BodyText"/>
      </w:pPr>
      <w:r w:rsidRPr="00B510A6">
        <w:t>Overseer does not model diffuse discharges of sediment or pathogens.</w:t>
      </w:r>
      <w:r w:rsidR="00797AC1" w:rsidRPr="00B510A6">
        <w:t xml:space="preserve"> </w:t>
      </w:r>
      <w:r w:rsidRPr="00B510A6">
        <w:t>Overseer’s role in existing regulation is variable across the country but, where used, generally forms part of a wider suite of controls</w:t>
      </w:r>
      <w:r w:rsidR="00DE30A6">
        <w:t>,</w:t>
      </w:r>
      <w:r w:rsidRPr="00B510A6">
        <w:t xml:space="preserve"> including direct controls on practices and inputs and a requirement for farm planning, enabling farm-specific risks across all four </w:t>
      </w:r>
      <w:r w:rsidR="00833573">
        <w:t>main</w:t>
      </w:r>
      <w:r w:rsidR="00833573" w:rsidRPr="00B510A6">
        <w:t xml:space="preserve"> </w:t>
      </w:r>
      <w:r w:rsidRPr="00B510A6">
        <w:t>diffuse contaminants to be identified and addressed.</w:t>
      </w:r>
    </w:p>
    <w:p w14:paraId="0045FE91" w14:textId="78CD2352" w:rsidR="009831A5" w:rsidRPr="00B510A6" w:rsidRDefault="009831A5" w:rsidP="009831A5">
      <w:pPr>
        <w:pStyle w:val="BodyText"/>
      </w:pPr>
      <w:r w:rsidRPr="00B510A6">
        <w:t>In 2020</w:t>
      </w:r>
      <w:r w:rsidR="00833573">
        <w:t>,</w:t>
      </w:r>
      <w:r w:rsidRPr="00B510A6">
        <w:t xml:space="preserve"> the Government released the Essential Freshwater reforms. </w:t>
      </w:r>
      <w:r w:rsidR="00833573">
        <w:t>Important</w:t>
      </w:r>
      <w:r w:rsidR="00833573" w:rsidRPr="00B510A6">
        <w:t xml:space="preserve"> </w:t>
      </w:r>
      <w:r w:rsidRPr="00B510A6">
        <w:t>components of</w:t>
      </w:r>
      <w:r w:rsidR="00833573">
        <w:t> </w:t>
      </w:r>
      <w:r w:rsidRPr="00B510A6">
        <w:t>the reform package included the National Policy Statement for Freshwater Management (NPS</w:t>
      </w:r>
      <w:r w:rsidR="00833573">
        <w:noBreakHyphen/>
      </w:r>
      <w:r w:rsidRPr="00B510A6">
        <w:t>FM) 2020 and the Resource Management (National Environmental Standards for Freshwater) Regulations 2020 (NES-F).</w:t>
      </w:r>
      <w:r w:rsidR="00797AC1" w:rsidRPr="00B510A6">
        <w:t xml:space="preserve"> </w:t>
      </w:r>
      <w:r w:rsidR="00824842">
        <w:t>Neither of those</w:t>
      </w:r>
      <w:r w:rsidR="00FC7752" w:rsidRPr="00B510A6">
        <w:t xml:space="preserve"> </w:t>
      </w:r>
      <w:r w:rsidRPr="00B510A6">
        <w:t>instruments require the use of, or refer to, Overseer modelling.</w:t>
      </w:r>
      <w:r w:rsidR="00797AC1" w:rsidRPr="00B510A6">
        <w:t xml:space="preserve"> </w:t>
      </w:r>
      <w:r w:rsidRPr="00B510A6">
        <w:t>Nevertheless, it has been expected that Overseer would be used for implementation of some elements of those instruments.</w:t>
      </w:r>
    </w:p>
    <w:p w14:paraId="18439F06" w14:textId="77777777" w:rsidR="009831A5" w:rsidRPr="00B510A6" w:rsidRDefault="009831A5" w:rsidP="009831A5">
      <w:pPr>
        <w:pStyle w:val="BodyText"/>
      </w:pPr>
      <w:r w:rsidRPr="00B510A6">
        <w:t>In that context, the review is important. If Overseer is to be used to manage nutrients, we need to have a high level of confidence in its modelling estimates.</w:t>
      </w:r>
    </w:p>
    <w:p w14:paraId="7538724F" w14:textId="3C385984" w:rsidR="009831A5" w:rsidRPr="00B510A6" w:rsidRDefault="005C117A" w:rsidP="009831A5">
      <w:pPr>
        <w:pStyle w:val="BodyText"/>
      </w:pPr>
      <w:r>
        <w:t xml:space="preserve">The </w:t>
      </w:r>
      <w:r w:rsidRPr="001B1840">
        <w:rPr>
          <w:bCs/>
        </w:rPr>
        <w:t xml:space="preserve">Panel concluded that, in its current form, </w:t>
      </w:r>
      <w:r>
        <w:rPr>
          <w:bCs/>
        </w:rPr>
        <w:t>it</w:t>
      </w:r>
      <w:r w:rsidRPr="001B1840">
        <w:rPr>
          <w:bCs/>
        </w:rPr>
        <w:t xml:space="preserve"> would not have confidence </w:t>
      </w:r>
      <w:r>
        <w:rPr>
          <w:bCs/>
        </w:rPr>
        <w:t>that</w:t>
      </w:r>
      <w:r w:rsidRPr="001B1840">
        <w:rPr>
          <w:bCs/>
        </w:rPr>
        <w:t xml:space="preserve"> Overseer’s estimates of nitrogen lost from farms</w:t>
      </w:r>
      <w:r>
        <w:rPr>
          <w:bCs/>
        </w:rPr>
        <w:t xml:space="preserve"> are suitable for use as a stand-alone measure of total losses</w:t>
      </w:r>
      <w:r w:rsidR="009831A5" w:rsidRPr="005C117A">
        <w:t>.</w:t>
      </w:r>
      <w:r w:rsidR="009831A5" w:rsidRPr="00B510A6">
        <w:t xml:space="preserve"> </w:t>
      </w:r>
      <w:r w:rsidR="00824842">
        <w:t xml:space="preserve">The </w:t>
      </w:r>
      <w:r w:rsidR="009831A5" w:rsidRPr="00B510A6">
        <w:t xml:space="preserve">Panel concluded that, in its current form, </w:t>
      </w:r>
      <w:r w:rsidR="00824842">
        <w:t xml:space="preserve">it </w:t>
      </w:r>
      <w:r w:rsidR="009831A5" w:rsidRPr="00B510A6">
        <w:t>would not have confidence in Overseer’s estimates of nitrogen lost from farms</w:t>
      </w:r>
      <w:r w:rsidR="00C374D3">
        <w:rPr>
          <w:rStyle w:val="FootnoteReference"/>
        </w:rPr>
        <w:footnoteReference w:id="3"/>
      </w:r>
      <w:r w:rsidR="009831A5" w:rsidRPr="00B510A6">
        <w:t xml:space="preserve">. The Panel identified a general concern with the model structure as well as </w:t>
      </w:r>
      <w:r w:rsidR="00FE5BA6">
        <w:t xml:space="preserve">some </w:t>
      </w:r>
      <w:r w:rsidR="009831A5" w:rsidRPr="00B510A6">
        <w:t xml:space="preserve">specific areas of concern. Importantly though, the Panel did not assess the model for ease of use, its data files, nor its use as a social tool to encourage farmers to adopt farm management strategies that would successfully reduce a catchment’s nutrient load. </w:t>
      </w:r>
    </w:p>
    <w:p w14:paraId="118633B3" w14:textId="77777777" w:rsidR="009831A5" w:rsidRPr="00B510A6" w:rsidRDefault="009831A5" w:rsidP="009831A5">
      <w:pPr>
        <w:pStyle w:val="BodyText"/>
      </w:pPr>
      <w:r w:rsidRPr="00B510A6">
        <w:t>The specific areas of concern include that Overseer:</w:t>
      </w:r>
    </w:p>
    <w:p w14:paraId="647A0E66" w14:textId="77777777" w:rsidR="009831A5" w:rsidRPr="00B510A6" w:rsidRDefault="009831A5" w:rsidP="009831A5">
      <w:pPr>
        <w:pStyle w:val="Bullet"/>
      </w:pPr>
      <w:r w:rsidRPr="00B510A6">
        <w:t>does not balance mass (that is, some nitrogen is not accounted for</w:t>
      </w:r>
      <w:r w:rsidR="000479B4">
        <w:t xml:space="preserve"> or </w:t>
      </w:r>
      <w:r w:rsidRPr="00B510A6">
        <w:t>is unexplained)</w:t>
      </w:r>
    </w:p>
    <w:p w14:paraId="39875DFC" w14:textId="77777777" w:rsidR="009831A5" w:rsidRPr="00B510A6" w:rsidRDefault="009831A5" w:rsidP="009831A5">
      <w:pPr>
        <w:pStyle w:val="Bullet"/>
      </w:pPr>
      <w:r w:rsidRPr="00B510A6">
        <w:lastRenderedPageBreak/>
        <w:t>treats the soil as a single homogenous layer, limiting its ability to model soil hydrological flows and, therefore, drainage of the soil solution and nitrate leaching</w:t>
      </w:r>
    </w:p>
    <w:p w14:paraId="192D5ADA" w14:textId="24F25AFD" w:rsidR="009831A5" w:rsidRPr="00B510A6" w:rsidRDefault="009831A5" w:rsidP="009831A5">
      <w:pPr>
        <w:pStyle w:val="Bullet"/>
      </w:pPr>
      <w:r w:rsidRPr="00B510A6">
        <w:t>does not</w:t>
      </w:r>
      <w:r w:rsidR="00143E96">
        <w:t xml:space="preserve"> adequately</w:t>
      </w:r>
      <w:r w:rsidRPr="00B510A6">
        <w:t xml:space="preserve"> capture overland flow; such flow can, in some landscapes, be a significant pathway for losses of non-nitrate forms of nitrogen. Overseer has focused more on leaching of nitrate-nitrogen</w:t>
      </w:r>
    </w:p>
    <w:p w14:paraId="7C03098D" w14:textId="77777777" w:rsidR="009831A5" w:rsidRPr="00B510A6" w:rsidRDefault="009831A5" w:rsidP="009831A5">
      <w:pPr>
        <w:pStyle w:val="Bullet"/>
      </w:pPr>
      <w:r w:rsidRPr="00B510A6">
        <w:t>uses a form of climate data averaged over 30 years rather than actual climate data</w:t>
      </w:r>
      <w:r w:rsidR="00731950">
        <w:t>,</w:t>
      </w:r>
      <w:r w:rsidRPr="00B510A6">
        <w:t xml:space="preserve"> with</w:t>
      </w:r>
      <w:r w:rsidR="00101A79">
        <w:t> </w:t>
      </w:r>
      <w:r w:rsidRPr="00B510A6">
        <w:t>the consequence that drainage and episodic weather events (</w:t>
      </w:r>
      <w:proofErr w:type="spellStart"/>
      <w:r w:rsidRPr="00B510A6">
        <w:t>eg</w:t>
      </w:r>
      <w:proofErr w:type="spellEnd"/>
      <w:r w:rsidR="00731950">
        <w:t>,</w:t>
      </w:r>
      <w:r w:rsidRPr="00B510A6">
        <w:t xml:space="preserve"> high rainfall events</w:t>
      </w:r>
      <w:r w:rsidR="00101A79">
        <w:t> </w:t>
      </w:r>
      <w:r w:rsidRPr="00B510A6">
        <w:t xml:space="preserve">associated particularly </w:t>
      </w:r>
      <w:r w:rsidR="008F375B">
        <w:t xml:space="preserve">with </w:t>
      </w:r>
      <w:r w:rsidRPr="00B510A6">
        <w:t>high nutrient loss risk periods) are not adequately represented.</w:t>
      </w:r>
    </w:p>
    <w:p w14:paraId="1B925472" w14:textId="77777777" w:rsidR="009831A5" w:rsidRPr="00B510A6" w:rsidRDefault="009831A5" w:rsidP="009831A5">
      <w:pPr>
        <w:pStyle w:val="BodyText"/>
      </w:pPr>
      <w:r w:rsidRPr="00B510A6">
        <w:t>The Government’s response to the Panel’s findings will be to put in place one or more of the following options:</w:t>
      </w:r>
    </w:p>
    <w:p w14:paraId="57BE5462" w14:textId="77777777" w:rsidR="009831A5" w:rsidRPr="00B510A6" w:rsidRDefault="009831A5" w:rsidP="00035728">
      <w:pPr>
        <w:pStyle w:val="BodyText"/>
        <w:spacing w:before="0"/>
        <w:ind w:left="397" w:hanging="397"/>
      </w:pPr>
      <w:r w:rsidRPr="00B510A6">
        <w:t>(a)</w:t>
      </w:r>
      <w:r w:rsidRPr="00B510A6">
        <w:tab/>
      </w:r>
      <w:r w:rsidR="000269AB">
        <w:t>t</w:t>
      </w:r>
      <w:r w:rsidRPr="00B510A6">
        <w:t xml:space="preserve">he creation of a </w:t>
      </w:r>
      <w:r w:rsidRPr="00B510A6">
        <w:rPr>
          <w:i/>
          <w:iCs/>
        </w:rPr>
        <w:t>new risk index tool</w:t>
      </w:r>
      <w:r w:rsidRPr="00B510A6">
        <w:t>, potentially using elements of Overseer (including the user interface); and</w:t>
      </w:r>
    </w:p>
    <w:p w14:paraId="3BB80B91" w14:textId="15EA466A" w:rsidR="009831A5" w:rsidRPr="00B510A6" w:rsidRDefault="009831A5" w:rsidP="00035728">
      <w:pPr>
        <w:pStyle w:val="BodyText"/>
        <w:spacing w:before="0"/>
        <w:ind w:left="397" w:hanging="397"/>
      </w:pPr>
      <w:r w:rsidRPr="00B510A6">
        <w:t>(b)</w:t>
      </w:r>
      <w:r w:rsidRPr="00B510A6">
        <w:tab/>
      </w:r>
      <w:r w:rsidR="00143E96">
        <w:t>development of</w:t>
      </w:r>
      <w:r w:rsidR="00BE77DB">
        <w:t xml:space="preserve"> a next generation</w:t>
      </w:r>
      <w:r w:rsidR="00143E96">
        <w:t xml:space="preserve"> </w:t>
      </w:r>
      <w:r w:rsidRPr="00B510A6">
        <w:rPr>
          <w:i/>
          <w:iCs/>
        </w:rPr>
        <w:t>Overseer</w:t>
      </w:r>
      <w:r w:rsidRPr="00B510A6">
        <w:t xml:space="preserve"> to address the issues raised by the Review Panel </w:t>
      </w:r>
      <w:r w:rsidR="00143E96">
        <w:t xml:space="preserve">and ensure </w:t>
      </w:r>
      <w:r w:rsidRPr="00B510A6">
        <w:t xml:space="preserve">that </w:t>
      </w:r>
      <w:r w:rsidR="00143E96">
        <w:t xml:space="preserve">it </w:t>
      </w:r>
      <w:r w:rsidRPr="00B510A6">
        <w:t>is fit for purpose as a tool to use in appropriate regulatory settings; and/or</w:t>
      </w:r>
    </w:p>
    <w:p w14:paraId="1EA09CF5" w14:textId="16E1F8DE" w:rsidR="009831A5" w:rsidRPr="00B510A6" w:rsidRDefault="009831A5" w:rsidP="00035728">
      <w:pPr>
        <w:pStyle w:val="BodyText"/>
        <w:spacing w:before="0"/>
        <w:ind w:left="397" w:hanging="397"/>
      </w:pPr>
      <w:r w:rsidRPr="00B510A6">
        <w:t>(c)</w:t>
      </w:r>
      <w:r w:rsidRPr="00B510A6">
        <w:tab/>
      </w:r>
      <w:r w:rsidR="00DE576B">
        <w:t>g</w:t>
      </w:r>
      <w:r w:rsidRPr="00B510A6">
        <w:t xml:space="preserve">reater use of </w:t>
      </w:r>
      <w:r w:rsidRPr="00B510A6">
        <w:rPr>
          <w:i/>
          <w:iCs/>
        </w:rPr>
        <w:t>controls on practices and inputs</w:t>
      </w:r>
      <w:r w:rsidRPr="00B510A6">
        <w:t xml:space="preserve"> to manage nitrogen loss (including through amendment to the NES-F); and/or </w:t>
      </w:r>
    </w:p>
    <w:p w14:paraId="12B23055" w14:textId="77777777" w:rsidR="009831A5" w:rsidRPr="00B510A6" w:rsidRDefault="009831A5" w:rsidP="00035728">
      <w:pPr>
        <w:pStyle w:val="BodyText"/>
        <w:spacing w:before="0"/>
        <w:ind w:left="397" w:hanging="397"/>
      </w:pPr>
      <w:r w:rsidRPr="00B510A6">
        <w:t>(d)</w:t>
      </w:r>
      <w:r w:rsidRPr="00B510A6">
        <w:tab/>
      </w:r>
      <w:r w:rsidR="00DE576B">
        <w:t>a</w:t>
      </w:r>
      <w:r w:rsidRPr="00B510A6">
        <w:t xml:space="preserve"> completely new approach to understanding and managing diffuse nutrient loss risk.</w:t>
      </w:r>
      <w:r w:rsidR="00797AC1" w:rsidRPr="00B510A6">
        <w:t xml:space="preserve"> </w:t>
      </w:r>
      <w:r w:rsidRPr="00B510A6">
        <w:t>This might include, for example;</w:t>
      </w:r>
    </w:p>
    <w:p w14:paraId="58F4F1BD" w14:textId="77777777" w:rsidR="009831A5" w:rsidRPr="00B510A6" w:rsidRDefault="009831A5" w:rsidP="00D373CD">
      <w:pPr>
        <w:pStyle w:val="Sub-list"/>
        <w:numPr>
          <w:ilvl w:val="0"/>
          <w:numId w:val="41"/>
        </w:numPr>
      </w:pPr>
      <w:r w:rsidRPr="00B510A6">
        <w:t xml:space="preserve">near </w:t>
      </w:r>
      <w:r w:rsidRPr="00B510A6">
        <w:rPr>
          <w:i/>
          <w:iCs/>
        </w:rPr>
        <w:t>real</w:t>
      </w:r>
      <w:r w:rsidR="00DE576B">
        <w:rPr>
          <w:i/>
          <w:iCs/>
        </w:rPr>
        <w:t>-</w:t>
      </w:r>
      <w:r w:rsidRPr="00B510A6">
        <w:rPr>
          <w:i/>
          <w:iCs/>
        </w:rPr>
        <w:t>time monitoring</w:t>
      </w:r>
      <w:r w:rsidRPr="00B510A6">
        <w:t xml:space="preserve"> of water quality at the local scale</w:t>
      </w:r>
    </w:p>
    <w:p w14:paraId="47EAB6BA" w14:textId="77777777" w:rsidR="009831A5" w:rsidRPr="00B510A6" w:rsidRDefault="009831A5" w:rsidP="00D373CD">
      <w:pPr>
        <w:pStyle w:val="Sub-list"/>
        <w:numPr>
          <w:ilvl w:val="0"/>
          <w:numId w:val="41"/>
        </w:numPr>
      </w:pPr>
      <w:r w:rsidRPr="00B510A6">
        <w:t xml:space="preserve">a tool that provides detailed understanding of nutrient loss risk based on the </w:t>
      </w:r>
      <w:r w:rsidRPr="00B510A6">
        <w:rPr>
          <w:i/>
          <w:iCs/>
        </w:rPr>
        <w:t>characteristics of land</w:t>
      </w:r>
    </w:p>
    <w:p w14:paraId="1270D9F6" w14:textId="77777777" w:rsidR="009831A5" w:rsidRPr="00B510A6" w:rsidRDefault="009831A5" w:rsidP="00D373CD">
      <w:pPr>
        <w:pStyle w:val="Sub-list"/>
        <w:numPr>
          <w:ilvl w:val="0"/>
          <w:numId w:val="41"/>
        </w:numPr>
      </w:pPr>
      <w:r w:rsidRPr="00B510A6">
        <w:t>a new nutrient loss model.</w:t>
      </w:r>
    </w:p>
    <w:p w14:paraId="0E66646C" w14:textId="7A0FF50F" w:rsidR="009831A5" w:rsidRPr="00B510A6" w:rsidRDefault="009831A5" w:rsidP="009831A5">
      <w:pPr>
        <w:pStyle w:val="BodyText"/>
      </w:pPr>
      <w:r w:rsidRPr="00B510A6">
        <w:t xml:space="preserve">The options recognise that Overseer currently plays many </w:t>
      </w:r>
      <w:proofErr w:type="gramStart"/>
      <w:r w:rsidRPr="00B510A6">
        <w:t>roles</w:t>
      </w:r>
      <w:proofErr w:type="gramEnd"/>
      <w:r w:rsidRPr="00B510A6">
        <w:t xml:space="preserve"> and a wider suite of tools </w:t>
      </w:r>
      <w:r w:rsidR="00190A63">
        <w:t>are likely</w:t>
      </w:r>
      <w:r w:rsidRPr="00B510A6">
        <w:t xml:space="preserve"> necessary to adequately </w:t>
      </w:r>
      <w:r w:rsidR="00DD6D3A">
        <w:t>fulfil</w:t>
      </w:r>
      <w:r w:rsidRPr="00B510A6">
        <w:t xml:space="preserve"> future needs.</w:t>
      </w:r>
      <w:r w:rsidR="00797AC1" w:rsidRPr="00B510A6">
        <w:t xml:space="preserve"> </w:t>
      </w:r>
    </w:p>
    <w:p w14:paraId="0927439A" w14:textId="5CA63E1D" w:rsidR="009831A5" w:rsidRPr="00B510A6" w:rsidRDefault="009831A5" w:rsidP="009831A5">
      <w:pPr>
        <w:pStyle w:val="BodyText"/>
      </w:pPr>
      <w:r w:rsidRPr="00B510A6">
        <w:t xml:space="preserve">The options also recognise that some issues of concern identified by the Panel may be able to be addressed. </w:t>
      </w:r>
      <w:r w:rsidR="000B6231">
        <w:t xml:space="preserve">Some issues may be easier to address than others. </w:t>
      </w:r>
      <w:r w:rsidRPr="00B510A6">
        <w:t xml:space="preserve">For example, it would be possible to modify Overseer to use actual climate data rather than data averaged over 30 years. </w:t>
      </w:r>
      <w:r w:rsidRPr="00617310">
        <w:t>Similarly, in most catchments with a high nitrogen load, nitrate-nitrogen is the predominant nitrogen species.</w:t>
      </w:r>
      <w:r w:rsidR="00797AC1" w:rsidRPr="00B510A6">
        <w:t xml:space="preserve"> </w:t>
      </w:r>
      <w:r w:rsidRPr="00B510A6">
        <w:t xml:space="preserve">Hence the issues raised by </w:t>
      </w:r>
      <w:r w:rsidR="000B6231">
        <w:t xml:space="preserve">the Panel that </w:t>
      </w:r>
      <w:r w:rsidRPr="00B510A6">
        <w:t>Overseer focus</w:t>
      </w:r>
      <w:r w:rsidR="000B6231">
        <w:t>es</w:t>
      </w:r>
      <w:r w:rsidRPr="00B510A6">
        <w:t xml:space="preserve"> on nitrate-nitrogen</w:t>
      </w:r>
      <w:r w:rsidR="000B6231">
        <w:t>, while</w:t>
      </w:r>
      <w:r w:rsidRPr="00B510A6">
        <w:t xml:space="preserve"> not accounting </w:t>
      </w:r>
      <w:r w:rsidR="000B6231">
        <w:t xml:space="preserve">adequately </w:t>
      </w:r>
      <w:r w:rsidRPr="00B510A6">
        <w:t xml:space="preserve">for </w:t>
      </w:r>
      <w:r w:rsidR="000B6231">
        <w:t xml:space="preserve">nitrogen lost by </w:t>
      </w:r>
      <w:r w:rsidRPr="00B510A6">
        <w:t>overland flows may not be material in those catchments and could be addressed by restricting the recommended use of Overseer to particular catchments</w:t>
      </w:r>
      <w:r w:rsidR="006363E6">
        <w:t xml:space="preserve"> or </w:t>
      </w:r>
      <w:r w:rsidRPr="00B510A6">
        <w:t>situations (that is, where overland flows are not a factor because of low slope and good drainage).</w:t>
      </w:r>
    </w:p>
    <w:p w14:paraId="42591F8C" w14:textId="7D618676" w:rsidR="009831A5" w:rsidRPr="00B510A6" w:rsidRDefault="009831A5" w:rsidP="009831A5">
      <w:pPr>
        <w:pStyle w:val="BodyText"/>
      </w:pPr>
      <w:r w:rsidRPr="00B510A6">
        <w:t xml:space="preserve">The Government has committed to </w:t>
      </w:r>
      <w:r w:rsidR="000B6231">
        <w:t xml:space="preserve">continuing to </w:t>
      </w:r>
      <w:r w:rsidRPr="00B510A6">
        <w:t xml:space="preserve">support Overseer while the issues raised by the </w:t>
      </w:r>
      <w:r w:rsidR="000B6231">
        <w:t xml:space="preserve">Review </w:t>
      </w:r>
      <w:r w:rsidRPr="00B510A6">
        <w:t>Report</w:t>
      </w:r>
      <w:r w:rsidR="00B15FDF">
        <w:t>,</w:t>
      </w:r>
      <w:r w:rsidRPr="00B510A6">
        <w:t xml:space="preserve"> and possible options to address those issues, are resolved. This will ensure continuity of access to Overseer, as required by some existing regional plans and resource consents.</w:t>
      </w:r>
      <w:r w:rsidR="00797AC1" w:rsidRPr="00B510A6">
        <w:t xml:space="preserve"> </w:t>
      </w:r>
      <w:r w:rsidRPr="00B510A6">
        <w:t>It will also preserve options for the continued use and development of Overseer (or elements of Overseer) as set out in (a) and (b) above, while considering further options (c) and (d).</w:t>
      </w:r>
    </w:p>
    <w:p w14:paraId="701C04F7" w14:textId="77777777" w:rsidR="009831A5" w:rsidRPr="00B510A6" w:rsidRDefault="009831A5" w:rsidP="009831A5">
      <w:pPr>
        <w:pStyle w:val="BodyText"/>
      </w:pPr>
      <w:r w:rsidRPr="00B510A6">
        <w:t>Statistical testing (such as sensitivity and uncertainty analyses) of all future nutrient management tools will be considered.</w:t>
      </w:r>
    </w:p>
    <w:p w14:paraId="7DF76007" w14:textId="3C20ADE3" w:rsidR="009831A5" w:rsidRPr="00B510A6" w:rsidRDefault="009831A5" w:rsidP="009831A5">
      <w:pPr>
        <w:pStyle w:val="BodyText"/>
      </w:pPr>
      <w:r w:rsidRPr="00B510A6">
        <w:lastRenderedPageBreak/>
        <w:t>In the immediate term, regional councils will continue to implement their plans and administer consents to manage fresh</w:t>
      </w:r>
      <w:r w:rsidR="00C028BE">
        <w:t xml:space="preserve"> </w:t>
      </w:r>
      <w:r w:rsidRPr="00B510A6">
        <w:t xml:space="preserve">water at the farm level. Councils will use all available evidence and will need to be </w:t>
      </w:r>
      <w:r w:rsidR="000B6231">
        <w:t>careful not to rely solely</w:t>
      </w:r>
      <w:r w:rsidRPr="00B510A6">
        <w:t xml:space="preserve"> on Overseer modelling </w:t>
      </w:r>
      <w:r w:rsidR="000B6231">
        <w:t>for their understanding of total nitrogen losses</w:t>
      </w:r>
      <w:r w:rsidRPr="00B510A6">
        <w:t xml:space="preserve">. </w:t>
      </w:r>
      <w:r w:rsidR="000B6231">
        <w:t xml:space="preserve">This will be particularly important where nitrate-nitrogen is not the dominant form of nitrogen loss. </w:t>
      </w:r>
      <w:r w:rsidRPr="00B510A6">
        <w:t xml:space="preserve">Where existing plans provide for alternative modelling approaches or for control to be exercised using means not dependent on Overseer, those opportunities should be </w:t>
      </w:r>
      <w:r w:rsidR="000B6231">
        <w:t>considered</w:t>
      </w:r>
      <w:r w:rsidRPr="00B510A6">
        <w:t xml:space="preserve">. </w:t>
      </w:r>
    </w:p>
    <w:p w14:paraId="162BE6C1" w14:textId="2A4FEE15" w:rsidR="009831A5" w:rsidRPr="00B510A6" w:rsidRDefault="009831A5" w:rsidP="00EC4351">
      <w:pPr>
        <w:pStyle w:val="BodyText"/>
        <w:keepLines/>
      </w:pPr>
      <w:r w:rsidRPr="00B510A6">
        <w:t>As regional councils continue their regional plan development consistent with their obligations under the NPS-FM 2020, they can continue to use Overseer (as necessary) as an input to catchment</w:t>
      </w:r>
      <w:r w:rsidR="002E2493">
        <w:t>-</w:t>
      </w:r>
      <w:r w:rsidRPr="00B510A6">
        <w:t xml:space="preserve">level modelling subject to the due diligence checks as outlined in this report. Similarly, councils can proceed to develop plans on the basis that </w:t>
      </w:r>
      <w:r w:rsidR="004A1A8B">
        <w:t xml:space="preserve">farm-level </w:t>
      </w:r>
      <w:r w:rsidRPr="00B510A6">
        <w:t>nutrient loss estimating and/or risk assessment tool(s) will be available for use for the implementation of those new plans as required by the end of 2024, to give effect to the NPS-FM.</w:t>
      </w:r>
    </w:p>
    <w:p w14:paraId="2D40377B" w14:textId="0C2A4982" w:rsidR="009831A5" w:rsidRPr="00B510A6" w:rsidRDefault="009831A5" w:rsidP="009831A5">
      <w:pPr>
        <w:pStyle w:val="BodyText"/>
      </w:pPr>
      <w:r w:rsidRPr="00B510A6">
        <w:t xml:space="preserve">The Government will be </w:t>
      </w:r>
      <w:proofErr w:type="gramStart"/>
      <w:r w:rsidRPr="00B510A6">
        <w:t>taking action</w:t>
      </w:r>
      <w:proofErr w:type="gramEnd"/>
      <w:r w:rsidRPr="00B510A6">
        <w:t xml:space="preserve"> over the coming months to ensure all users are well</w:t>
      </w:r>
      <w:r w:rsidR="00250709">
        <w:t xml:space="preserve"> </w:t>
      </w:r>
      <w:r w:rsidRPr="00B510A6">
        <w:t xml:space="preserve">placed and can act with confidence. MfE </w:t>
      </w:r>
      <w:r w:rsidR="004A1A8B">
        <w:t xml:space="preserve">will </w:t>
      </w:r>
      <w:r w:rsidRPr="00B510A6">
        <w:t>issu</w:t>
      </w:r>
      <w:r w:rsidR="004A1A8B">
        <w:t>e</w:t>
      </w:r>
      <w:r w:rsidRPr="00B510A6">
        <w:t xml:space="preserve"> guidance material for regional councils on the appropriate use of Overseer in its current form. </w:t>
      </w:r>
    </w:p>
    <w:p w14:paraId="139D3A76" w14:textId="77777777" w:rsidR="00583F4E" w:rsidRPr="00B510A6" w:rsidRDefault="009831A5" w:rsidP="009831A5">
      <w:pPr>
        <w:pStyle w:val="BodyText"/>
      </w:pPr>
      <w:r w:rsidRPr="00B510A6">
        <w:t>More broadly, MfE is also developing best practice guidance for models used in environmental regulation. This will inform the approaches and tools developed and used in the longer term.</w:t>
      </w:r>
      <w:r w:rsidR="00797AC1" w:rsidRPr="00B510A6">
        <w:t xml:space="preserve"> </w:t>
      </w:r>
      <w:r w:rsidRPr="00B510A6">
        <w:t>Transparency will be a</w:t>
      </w:r>
      <w:r w:rsidR="009169A3">
        <w:t>n</w:t>
      </w:r>
      <w:r w:rsidRPr="00B510A6">
        <w:t xml:space="preserve"> </w:t>
      </w:r>
      <w:r w:rsidR="009169A3">
        <w:t>important</w:t>
      </w:r>
      <w:r w:rsidR="009169A3" w:rsidRPr="00B510A6">
        <w:t xml:space="preserve"> </w:t>
      </w:r>
      <w:r w:rsidRPr="00B510A6">
        <w:t xml:space="preserve">feature. </w:t>
      </w:r>
      <w:r w:rsidRPr="00617310">
        <w:t>This means the underlying scientific principles, sources</w:t>
      </w:r>
      <w:r w:rsidR="00A75412" w:rsidRPr="00617310">
        <w:t> </w:t>
      </w:r>
      <w:r w:rsidRPr="00617310">
        <w:t>of data and equations used to build the models must be available for public review.</w:t>
      </w:r>
      <w:r w:rsidRPr="00B510A6">
        <w:t xml:space="preserve"> Transparency is vital for users and regulators to have confidence in models used in regulation.</w:t>
      </w:r>
    </w:p>
    <w:p w14:paraId="11D86D01" w14:textId="77777777" w:rsidR="009C4F17" w:rsidRPr="00B510A6" w:rsidRDefault="009C4F17">
      <w:pPr>
        <w:spacing w:before="0" w:after="200" w:line="276" w:lineRule="auto"/>
        <w:jc w:val="left"/>
      </w:pPr>
      <w:r w:rsidRPr="00B510A6">
        <w:br w:type="page"/>
      </w:r>
    </w:p>
    <w:p w14:paraId="36DA7251" w14:textId="77777777" w:rsidR="00D55FDA" w:rsidRPr="00B510A6" w:rsidRDefault="00D55FDA" w:rsidP="00172E06">
      <w:pPr>
        <w:pStyle w:val="Heading1"/>
        <w:numPr>
          <w:ilvl w:val="0"/>
          <w:numId w:val="17"/>
        </w:numPr>
      </w:pPr>
      <w:bookmarkStart w:id="5" w:name="_Toc71027217"/>
      <w:bookmarkStart w:id="6" w:name="_Toc77078034"/>
      <w:bookmarkStart w:id="7" w:name="_Toc77171872"/>
      <w:bookmarkStart w:id="8" w:name="_Toc77326646"/>
      <w:bookmarkStart w:id="9" w:name="_Toc79488694"/>
      <w:r w:rsidRPr="00B510A6">
        <w:lastRenderedPageBreak/>
        <w:t>Introduction</w:t>
      </w:r>
      <w:bookmarkEnd w:id="5"/>
      <w:bookmarkEnd w:id="6"/>
      <w:bookmarkEnd w:id="7"/>
      <w:bookmarkEnd w:id="8"/>
      <w:bookmarkEnd w:id="9"/>
    </w:p>
    <w:p w14:paraId="23F290DD" w14:textId="77777777" w:rsidR="0056198A" w:rsidRDefault="0056198A" w:rsidP="00D55FDA">
      <w:pPr>
        <w:pStyle w:val="BodyText"/>
      </w:pPr>
      <w:r>
        <w:t xml:space="preserve">This report sets out the Government’s response to the whole-model review of Overseer (the Review Report). That Review Report should be read alongside this document. </w:t>
      </w:r>
    </w:p>
    <w:p w14:paraId="0B9D8D74" w14:textId="42F6BB71" w:rsidR="00D55FDA" w:rsidRPr="00B510A6" w:rsidRDefault="0056198A" w:rsidP="00D55FDA">
      <w:pPr>
        <w:pStyle w:val="BodyText"/>
      </w:pPr>
      <w:r>
        <w:t xml:space="preserve">The Review Report was prepared in response to the </w:t>
      </w:r>
      <w:r w:rsidR="00D55FDA" w:rsidRPr="00B510A6">
        <w:t>2018</w:t>
      </w:r>
      <w:r>
        <w:t xml:space="preserve"> report of</w:t>
      </w:r>
      <w:r w:rsidR="00D55FDA" w:rsidRPr="00B510A6">
        <w:t xml:space="preserve"> the Parliamentary Commissioner for the Environment (PCE)</w:t>
      </w:r>
      <w:r w:rsidR="00F00989">
        <w:t xml:space="preserve"> </w:t>
      </w:r>
      <w:r w:rsidR="00D55FDA" w:rsidRPr="00B510A6">
        <w:t xml:space="preserve">entitled </w:t>
      </w:r>
      <w:r w:rsidR="00D55FDA" w:rsidRPr="00B510A6">
        <w:rPr>
          <w:rFonts w:eastAsia="Calibri" w:cs="Arial"/>
          <w:i/>
          <w:iCs/>
        </w:rPr>
        <w:t>Overseer and regulatory oversight: Models, uncertainty and cleaning up our waterways.</w:t>
      </w:r>
      <w:r w:rsidR="00D55FDA" w:rsidRPr="00B510A6">
        <w:rPr>
          <w:rStyle w:val="FootnoteReference"/>
        </w:rPr>
        <w:footnoteReference w:id="4"/>
      </w:r>
      <w:r w:rsidR="00D55FDA" w:rsidRPr="00B510A6">
        <w:t xml:space="preserve"> </w:t>
      </w:r>
      <w:r w:rsidR="00D55FDA" w:rsidRPr="00B510A6">
        <w:rPr>
          <w:rFonts w:eastAsia="Calibri" w:cs="Arial"/>
        </w:rPr>
        <w:t xml:space="preserve">The PCE’s report noted that the whole Overseer model, and many of its sub-models, had never been subjected to the rigour of independent peer review and highlighted that a </w:t>
      </w:r>
      <w:r w:rsidR="000A4E4B">
        <w:t>“</w:t>
      </w:r>
      <w:r w:rsidR="00D55FDA" w:rsidRPr="00AC7985">
        <w:t>significant amount of information needed to confirm Overseer’s use in a regulatory setting is lacking</w:t>
      </w:r>
      <w:r w:rsidR="000A4E4B">
        <w:t>”</w:t>
      </w:r>
      <w:r w:rsidR="00D55FDA" w:rsidRPr="00AC7985">
        <w:t>.</w:t>
      </w:r>
    </w:p>
    <w:p w14:paraId="36484088" w14:textId="29D77F72" w:rsidR="00D55FDA" w:rsidRPr="00B510A6" w:rsidRDefault="00D55FDA" w:rsidP="00D55FDA">
      <w:pPr>
        <w:pStyle w:val="BodyText"/>
      </w:pPr>
      <w:r w:rsidRPr="00B510A6">
        <w:t xml:space="preserve">Accordingly, one of several recommendations made by the PCE was that an independent review of the model be completed. In response, the Government convened </w:t>
      </w:r>
      <w:r w:rsidR="0056198A">
        <w:t>an</w:t>
      </w:r>
      <w:r w:rsidR="0026174A" w:rsidRPr="00B510A6">
        <w:t xml:space="preserve"> </w:t>
      </w:r>
      <w:r w:rsidRPr="00B510A6">
        <w:t>expert Science Advisory Panel (the Panel) comprising local and international environmental modelling and science experts.</w:t>
      </w:r>
      <w:r w:rsidRPr="00B510A6">
        <w:rPr>
          <w:rStyle w:val="FootnoteReference"/>
        </w:rPr>
        <w:footnoteReference w:id="5"/>
      </w:r>
      <w:r w:rsidR="00797AC1" w:rsidRPr="00B510A6">
        <w:t xml:space="preserve"> </w:t>
      </w:r>
    </w:p>
    <w:p w14:paraId="0F9E953B" w14:textId="521E2079" w:rsidR="00D6188E" w:rsidRDefault="00D55FDA" w:rsidP="00D55FDA">
      <w:pPr>
        <w:pStyle w:val="BodyText"/>
      </w:pPr>
      <w:r w:rsidRPr="00B510A6">
        <w:t>The Panel has now completed its</w:t>
      </w:r>
      <w:r w:rsidR="00F00989">
        <w:t xml:space="preserve"> </w:t>
      </w:r>
      <w:r w:rsidRPr="00B510A6">
        <w:t>review and its report</w:t>
      </w:r>
      <w:r w:rsidR="00F00989">
        <w:t xml:space="preserve"> </w:t>
      </w:r>
      <w:r w:rsidRPr="00B510A6">
        <w:t xml:space="preserve">has been publicly released. The Review Report reached conclusions that may be of concern to many users of Overseer. </w:t>
      </w:r>
    </w:p>
    <w:p w14:paraId="0CE06D63" w14:textId="757FE1BF" w:rsidR="00D55FDA" w:rsidRPr="00B510A6" w:rsidRDefault="00D55FDA" w:rsidP="00D55FDA">
      <w:pPr>
        <w:pStyle w:val="BodyText"/>
      </w:pPr>
      <w:r w:rsidRPr="00B510A6">
        <w:t xml:space="preserve">The purpose of this report is to </w:t>
      </w:r>
      <w:r w:rsidR="00805332">
        <w:t xml:space="preserve">set out </w:t>
      </w:r>
      <w:r w:rsidRPr="00B510A6">
        <w:t>how the Government intends to respond to the Review Report and address the concerns of Overseer users to ensure agricultural producers and councils have the tools needed to make sound land-use decisions and contribute to the effective management of freshwater</w:t>
      </w:r>
      <w:r w:rsidR="00BD43F0">
        <w:t>.</w:t>
      </w:r>
    </w:p>
    <w:p w14:paraId="18D1297D" w14:textId="77777777" w:rsidR="00D55FDA" w:rsidRPr="00B510A6" w:rsidRDefault="00D55FDA">
      <w:pPr>
        <w:spacing w:before="0" w:after="200" w:line="276" w:lineRule="auto"/>
        <w:jc w:val="left"/>
      </w:pPr>
      <w:r w:rsidRPr="00B510A6">
        <w:br w:type="page"/>
      </w:r>
    </w:p>
    <w:p w14:paraId="2B314E91" w14:textId="77777777" w:rsidR="006C1F08" w:rsidRPr="00B510A6" w:rsidRDefault="006C1F08" w:rsidP="00172E06">
      <w:pPr>
        <w:pStyle w:val="Heading1"/>
        <w:numPr>
          <w:ilvl w:val="0"/>
          <w:numId w:val="17"/>
        </w:numPr>
      </w:pPr>
      <w:bookmarkStart w:id="10" w:name="_Toc71027219"/>
      <w:bookmarkStart w:id="11" w:name="_Toc77078035"/>
      <w:bookmarkStart w:id="12" w:name="_Toc77171873"/>
      <w:bookmarkStart w:id="13" w:name="_Toc77326647"/>
      <w:bookmarkStart w:id="14" w:name="_Toc79488695"/>
      <w:r w:rsidRPr="00B510A6">
        <w:lastRenderedPageBreak/>
        <w:t>About Overseer</w:t>
      </w:r>
      <w:bookmarkEnd w:id="10"/>
      <w:bookmarkEnd w:id="11"/>
      <w:bookmarkEnd w:id="12"/>
      <w:bookmarkEnd w:id="13"/>
      <w:bookmarkEnd w:id="14"/>
    </w:p>
    <w:p w14:paraId="1D9FE652" w14:textId="77777777" w:rsidR="006C1F08" w:rsidRPr="00B510A6" w:rsidRDefault="006C1F08" w:rsidP="006B77B6">
      <w:pPr>
        <w:pStyle w:val="BodyText"/>
        <w:spacing w:before="100" w:after="100"/>
        <w:rPr>
          <w:rFonts w:eastAsia="Calibri"/>
        </w:rPr>
      </w:pPr>
      <w:r w:rsidRPr="00B510A6">
        <w:rPr>
          <w:rFonts w:eastAsia="Calibri"/>
        </w:rPr>
        <w:t xml:space="preserve">Overseer is a computer software tool that models the nutrient flows onto and off farms and farm blocks. Overseer aims to provide a quantitative description of farm nutrient dynamics for a range of farm-system types. It models nitrogen, phosphorus, sulphur, potassium, calcium, </w:t>
      </w:r>
      <w:proofErr w:type="gramStart"/>
      <w:r w:rsidRPr="00B510A6">
        <w:rPr>
          <w:rFonts w:eastAsia="Calibri"/>
        </w:rPr>
        <w:t>sodium</w:t>
      </w:r>
      <w:proofErr w:type="gramEnd"/>
      <w:r w:rsidRPr="00B510A6">
        <w:rPr>
          <w:rFonts w:eastAsia="Calibri"/>
        </w:rPr>
        <w:t xml:space="preserve"> and magnesium, as well as greenhouse gas emissions. It has supported farm decision-making for many years. Overseer originated in the 1980s </w:t>
      </w:r>
      <w:proofErr w:type="gramStart"/>
      <w:r w:rsidRPr="00B510A6">
        <w:rPr>
          <w:rFonts w:eastAsia="Calibri"/>
        </w:rPr>
        <w:t>as a way to</w:t>
      </w:r>
      <w:proofErr w:type="gramEnd"/>
      <w:r w:rsidRPr="00B510A6">
        <w:rPr>
          <w:rFonts w:eastAsia="Calibri"/>
        </w:rPr>
        <w:t xml:space="preserve"> </w:t>
      </w:r>
      <w:r w:rsidR="00BA45C2">
        <w:rPr>
          <w:rFonts w:eastAsia="Calibri"/>
        </w:rPr>
        <w:t>help</w:t>
      </w:r>
      <w:r w:rsidR="00BA45C2" w:rsidRPr="00B510A6">
        <w:rPr>
          <w:rFonts w:eastAsia="Calibri"/>
        </w:rPr>
        <w:t xml:space="preserve"> </w:t>
      </w:r>
      <w:r w:rsidRPr="00B510A6">
        <w:rPr>
          <w:rFonts w:eastAsia="Calibri"/>
        </w:rPr>
        <w:t>farmers and their advisors to make decisions about nutrient management and fertiliser use</w:t>
      </w:r>
      <w:r w:rsidR="00D734B8">
        <w:rPr>
          <w:rFonts w:eastAsia="Calibri"/>
        </w:rPr>
        <w:t>,</w:t>
      </w:r>
      <w:r w:rsidRPr="00B510A6">
        <w:rPr>
          <w:rFonts w:eastAsia="Calibri"/>
        </w:rPr>
        <w:t xml:space="preserve"> in particular. As the model has been developed over time, the uses to which it has been put have increased, as has the </w:t>
      </w:r>
      <w:r w:rsidR="00D734B8">
        <w:rPr>
          <w:rFonts w:eastAsia="Calibri"/>
        </w:rPr>
        <w:t>variety</w:t>
      </w:r>
      <w:r w:rsidR="00D734B8" w:rsidRPr="00B510A6">
        <w:rPr>
          <w:rFonts w:eastAsia="Calibri"/>
        </w:rPr>
        <w:t xml:space="preserve"> </w:t>
      </w:r>
      <w:r w:rsidRPr="00B510A6">
        <w:rPr>
          <w:rFonts w:eastAsia="Calibri"/>
        </w:rPr>
        <w:t>of users and functions within the modelling tool.</w:t>
      </w:r>
      <w:r w:rsidRPr="00B510A6">
        <w:rPr>
          <w:rStyle w:val="FootnoteReference"/>
        </w:rPr>
        <w:footnoteReference w:id="6"/>
      </w:r>
      <w:r w:rsidRPr="00B510A6">
        <w:rPr>
          <w:rFonts w:eastAsia="Calibri"/>
        </w:rPr>
        <w:t xml:space="preserve"> </w:t>
      </w:r>
    </w:p>
    <w:p w14:paraId="1A53A2DF" w14:textId="45FB83A9" w:rsidR="006C1F08" w:rsidRPr="00B510A6" w:rsidRDefault="006C1F08" w:rsidP="006B77B6">
      <w:pPr>
        <w:pStyle w:val="BodyText"/>
        <w:spacing w:before="100" w:after="100"/>
        <w:rPr>
          <w:rFonts w:eastAsia="Calibri"/>
        </w:rPr>
      </w:pPr>
      <w:r w:rsidRPr="00B510A6">
        <w:rPr>
          <w:rFonts w:eastAsia="Calibri"/>
        </w:rPr>
        <w:t>Overseer consists of the modelling software itself (not all of which is publicly accessible for scrutiny by third parties) and a</w:t>
      </w:r>
      <w:r w:rsidR="0002112A">
        <w:rPr>
          <w:rFonts w:eastAsia="Calibri"/>
        </w:rPr>
        <w:t>n award-winning</w:t>
      </w:r>
      <w:r w:rsidRPr="00B510A6">
        <w:rPr>
          <w:rFonts w:eastAsia="Calibri"/>
        </w:rPr>
        <w:t xml:space="preserve"> user interface that is regarded as easy to use. The wider Overseer ‘ecosystem’ also includes a large database of farm input data and modelling results allowing reporting of not just individual farm-nutrient management performance but collective performance of multiple farms at various scales. This is a valuable resource for nutrient management and for understanding nutrient-loss risk across the landscape.</w:t>
      </w:r>
    </w:p>
    <w:p w14:paraId="159BF8A4" w14:textId="6DC790B2" w:rsidR="006C1F08" w:rsidRPr="00B510A6" w:rsidRDefault="003E51E6" w:rsidP="006B77B6">
      <w:pPr>
        <w:pStyle w:val="BodyText"/>
        <w:spacing w:before="100" w:after="100"/>
        <w:rPr>
          <w:rFonts w:eastAsia="Calibri"/>
        </w:rPr>
      </w:pPr>
      <w:r>
        <w:rPr>
          <w:rFonts w:eastAsia="Calibri"/>
        </w:rPr>
        <w:t>T</w:t>
      </w:r>
      <w:r w:rsidR="006C1F08" w:rsidRPr="00B510A6">
        <w:rPr>
          <w:rFonts w:eastAsia="Calibri"/>
        </w:rPr>
        <w:t xml:space="preserve">he Overseer model </w:t>
      </w:r>
      <w:r>
        <w:rPr>
          <w:rFonts w:eastAsia="Calibri"/>
        </w:rPr>
        <w:t xml:space="preserve">has </w:t>
      </w:r>
      <w:r w:rsidRPr="00B510A6">
        <w:rPr>
          <w:rFonts w:eastAsia="Calibri"/>
        </w:rPr>
        <w:t xml:space="preserve">various ‘sub-models’ </w:t>
      </w:r>
      <w:r w:rsidR="0002112A">
        <w:rPr>
          <w:rFonts w:eastAsia="Calibri"/>
        </w:rPr>
        <w:t xml:space="preserve">within the Overseer model </w:t>
      </w:r>
      <w:r w:rsidR="006C1F08" w:rsidRPr="00B510A6">
        <w:rPr>
          <w:rFonts w:eastAsia="Calibri"/>
        </w:rPr>
        <w:t>that represent aspects of the nitrogen cycle within a farm system. These sub</w:t>
      </w:r>
      <w:r w:rsidR="00527168">
        <w:rPr>
          <w:rFonts w:eastAsia="Calibri"/>
        </w:rPr>
        <w:t>-</w:t>
      </w:r>
      <w:r w:rsidR="006C1F08" w:rsidRPr="00B510A6">
        <w:rPr>
          <w:rFonts w:eastAsia="Calibri"/>
        </w:rPr>
        <w:t>models are built on a significant body of</w:t>
      </w:r>
      <w:r w:rsidR="00797AC1" w:rsidRPr="00B510A6">
        <w:rPr>
          <w:rFonts w:eastAsia="Calibri"/>
        </w:rPr>
        <w:t> </w:t>
      </w:r>
      <w:r w:rsidR="006C1F08" w:rsidRPr="00B510A6">
        <w:rPr>
          <w:rFonts w:eastAsia="Calibri"/>
        </w:rPr>
        <w:t xml:space="preserve">scientific research, and that base research remains valid. </w:t>
      </w:r>
    </w:p>
    <w:p w14:paraId="1B9E64D3" w14:textId="77777777" w:rsidR="006C1F08" w:rsidRPr="00B510A6" w:rsidRDefault="006C1F08" w:rsidP="006B77B6">
      <w:pPr>
        <w:pStyle w:val="Heading2"/>
        <w:numPr>
          <w:ilvl w:val="0"/>
          <w:numId w:val="18"/>
        </w:numPr>
        <w:spacing w:before="280"/>
        <w:rPr>
          <w:rFonts w:eastAsia="Calibri"/>
        </w:rPr>
      </w:pPr>
      <w:bookmarkStart w:id="15" w:name="_Toc71027220"/>
      <w:bookmarkStart w:id="16" w:name="_Toc77078036"/>
      <w:bookmarkStart w:id="17" w:name="_Toc77171874"/>
      <w:bookmarkStart w:id="18" w:name="_Toc77326648"/>
      <w:bookmarkStart w:id="19" w:name="_Toc79488696"/>
      <w:r w:rsidRPr="00B510A6">
        <w:rPr>
          <w:rFonts w:eastAsia="Calibri"/>
        </w:rPr>
        <w:t>How Overseer is used</w:t>
      </w:r>
      <w:bookmarkEnd w:id="15"/>
      <w:bookmarkEnd w:id="16"/>
      <w:bookmarkEnd w:id="17"/>
      <w:bookmarkEnd w:id="18"/>
      <w:bookmarkEnd w:id="19"/>
    </w:p>
    <w:p w14:paraId="268EC3CD" w14:textId="21705F2B" w:rsidR="006C1F08" w:rsidRPr="00B510A6" w:rsidRDefault="006C1F08" w:rsidP="006B77B6">
      <w:pPr>
        <w:pStyle w:val="BodyText"/>
        <w:spacing w:before="100" w:after="100"/>
        <w:rPr>
          <w:rFonts w:eastAsia="Calibri"/>
        </w:rPr>
      </w:pPr>
      <w:r w:rsidRPr="00B510A6">
        <w:rPr>
          <w:rFonts w:eastAsia="Calibri"/>
        </w:rPr>
        <w:t xml:space="preserve">The Overseer tool is used in many ways by different user groups. It is used by farmers and their advisors as a tool to guide farm planning and management. Since around 2005, however, Overseer has also been used by many regional councils to </w:t>
      </w:r>
      <w:r w:rsidR="0017219A">
        <w:rPr>
          <w:rFonts w:eastAsia="Calibri"/>
        </w:rPr>
        <w:t>help</w:t>
      </w:r>
      <w:r w:rsidR="0017219A" w:rsidRPr="00B510A6">
        <w:rPr>
          <w:rFonts w:eastAsia="Calibri"/>
        </w:rPr>
        <w:t xml:space="preserve"> </w:t>
      </w:r>
      <w:r w:rsidRPr="00B510A6">
        <w:rPr>
          <w:rFonts w:eastAsia="Calibri"/>
        </w:rPr>
        <w:t xml:space="preserve">in freshwater management and planning. Use in regulatory contexts has been growing as regional councils </w:t>
      </w:r>
      <w:r w:rsidR="0002112A">
        <w:rPr>
          <w:rFonts w:eastAsia="Calibri"/>
        </w:rPr>
        <w:t xml:space="preserve">have sought more </w:t>
      </w:r>
      <w:r w:rsidRPr="00B510A6">
        <w:rPr>
          <w:rFonts w:eastAsia="Calibri"/>
        </w:rPr>
        <w:t>quantified control and accounting of diffuse agricultural discharges to</w:t>
      </w:r>
      <w:r w:rsidR="00894975">
        <w:rPr>
          <w:rFonts w:eastAsia="Calibri"/>
        </w:rPr>
        <w:t xml:space="preserve"> fulfil their obligations under</w:t>
      </w:r>
      <w:r w:rsidR="00894975" w:rsidRPr="001B1840">
        <w:rPr>
          <w:rFonts w:eastAsia="Calibri" w:cs="Arial"/>
        </w:rPr>
        <w:t xml:space="preserve"> the National Policy Statements for Freshwater that existed in the 2011</w:t>
      </w:r>
      <w:r w:rsidR="0002112A">
        <w:rPr>
          <w:rFonts w:eastAsia="Calibri"/>
        </w:rPr>
        <w:t>–</w:t>
      </w:r>
      <w:r w:rsidR="00894975" w:rsidRPr="001B1840">
        <w:rPr>
          <w:rFonts w:eastAsia="Calibri" w:cs="Arial"/>
        </w:rPr>
        <w:t>2019 period</w:t>
      </w:r>
      <w:r w:rsidR="0017219A">
        <w:rPr>
          <w:rFonts w:eastAsia="Calibri"/>
        </w:rPr>
        <w:t>.</w:t>
      </w:r>
      <w:r w:rsidRPr="00B510A6">
        <w:rPr>
          <w:rStyle w:val="FootnoteReference"/>
          <w:rFonts w:eastAsia="Calibri" w:cs="Arial"/>
        </w:rPr>
        <w:footnoteReference w:id="7"/>
      </w:r>
    </w:p>
    <w:p w14:paraId="4DFA5E72" w14:textId="1ABDB6B1" w:rsidR="006C1F08" w:rsidRPr="00B510A6" w:rsidRDefault="006C1F08" w:rsidP="006B77B6">
      <w:pPr>
        <w:pStyle w:val="BodyText"/>
        <w:spacing w:before="100" w:after="100"/>
        <w:rPr>
          <w:rFonts w:eastAsia="Calibri"/>
        </w:rPr>
      </w:pPr>
      <w:r w:rsidRPr="00B510A6">
        <w:rPr>
          <w:rFonts w:eastAsia="Calibri"/>
        </w:rPr>
        <w:t xml:space="preserve">The Overseer model is managed by Overseer Ltd. The Overseer model intellectual property is jointly owned by the Ministry for Primary Industries, the Fertiliser Association of New Zealand and AgResearch (the Owners) and is exclusively licensed to Overseer Ltd. A full discussion of the ownership structure can be found in the </w:t>
      </w:r>
      <w:r w:rsidR="006C34D9">
        <w:rPr>
          <w:rFonts w:eastAsia="Calibri"/>
        </w:rPr>
        <w:t xml:space="preserve">PCE </w:t>
      </w:r>
      <w:r w:rsidRPr="00B510A6">
        <w:rPr>
          <w:rFonts w:eastAsia="Calibri"/>
        </w:rPr>
        <w:t>report.</w:t>
      </w:r>
    </w:p>
    <w:p w14:paraId="1906267D" w14:textId="77777777" w:rsidR="006C1F08" w:rsidRPr="00B510A6" w:rsidRDefault="006C1F08" w:rsidP="006B77B6">
      <w:pPr>
        <w:pStyle w:val="Heading2"/>
        <w:numPr>
          <w:ilvl w:val="0"/>
          <w:numId w:val="18"/>
        </w:numPr>
        <w:spacing w:before="280"/>
        <w:rPr>
          <w:rFonts w:eastAsia="Calibri"/>
        </w:rPr>
      </w:pPr>
      <w:bookmarkStart w:id="20" w:name="_Toc77078037"/>
      <w:bookmarkStart w:id="21" w:name="_Toc77326649"/>
      <w:bookmarkStart w:id="22" w:name="_Toc79488697"/>
      <w:r w:rsidRPr="00B510A6">
        <w:rPr>
          <w:rFonts w:eastAsia="Calibri"/>
        </w:rPr>
        <w:t>Positive features of Overseer</w:t>
      </w:r>
      <w:bookmarkEnd w:id="20"/>
      <w:bookmarkEnd w:id="21"/>
      <w:bookmarkEnd w:id="22"/>
    </w:p>
    <w:p w14:paraId="1BFF528B" w14:textId="77777777" w:rsidR="006C1F08" w:rsidRPr="00B510A6" w:rsidRDefault="006C1F08" w:rsidP="006B77B6">
      <w:pPr>
        <w:pStyle w:val="BodyText"/>
        <w:spacing w:after="100"/>
        <w:rPr>
          <w:rFonts w:eastAsia="Calibri"/>
        </w:rPr>
      </w:pPr>
      <w:r w:rsidRPr="00B510A6">
        <w:rPr>
          <w:rFonts w:eastAsia="Calibri"/>
        </w:rPr>
        <w:t>Positive features of Overseer that increase usability for farmers and their advis</w:t>
      </w:r>
      <w:r w:rsidR="004E640B">
        <w:rPr>
          <w:rFonts w:eastAsia="Calibri"/>
        </w:rPr>
        <w:t>o</w:t>
      </w:r>
      <w:r w:rsidRPr="00B510A6">
        <w:rPr>
          <w:rFonts w:eastAsia="Calibri"/>
        </w:rPr>
        <w:t>rs include:</w:t>
      </w:r>
    </w:p>
    <w:p w14:paraId="2D0E5CC3" w14:textId="77777777" w:rsidR="005532C3" w:rsidRPr="00B510A6" w:rsidRDefault="00AA2E1B" w:rsidP="006B77B6">
      <w:pPr>
        <w:pStyle w:val="Bullet"/>
        <w:spacing w:after="100"/>
        <w:rPr>
          <w:rFonts w:eastAsia="Calibri"/>
        </w:rPr>
      </w:pPr>
      <w:r>
        <w:rPr>
          <w:rFonts w:eastAsia="Calibri"/>
        </w:rPr>
        <w:t>a</w:t>
      </w:r>
      <w:r w:rsidR="005532C3" w:rsidRPr="00B510A6">
        <w:rPr>
          <w:rFonts w:eastAsia="Calibri"/>
        </w:rPr>
        <w:t>utomatic use of datasets (for exampl</w:t>
      </w:r>
      <w:r w:rsidR="005532C3" w:rsidRPr="00B510A6" w:rsidDel="00F20543">
        <w:rPr>
          <w:rFonts w:eastAsia="Calibri"/>
        </w:rPr>
        <w:t>e</w:t>
      </w:r>
      <w:r w:rsidR="005532C3" w:rsidRPr="00B510A6">
        <w:rPr>
          <w:rFonts w:eastAsia="Calibri"/>
        </w:rPr>
        <w:t>, climate and soil data)</w:t>
      </w:r>
    </w:p>
    <w:p w14:paraId="1B097C82" w14:textId="77777777" w:rsidR="005532C3" w:rsidRPr="00B510A6" w:rsidRDefault="00AA2E1B" w:rsidP="006B77B6">
      <w:pPr>
        <w:pStyle w:val="Bullet"/>
        <w:spacing w:after="100"/>
        <w:rPr>
          <w:rFonts w:eastAsia="Calibri"/>
        </w:rPr>
      </w:pPr>
      <w:r>
        <w:rPr>
          <w:rFonts w:eastAsia="Calibri"/>
        </w:rPr>
        <w:t>t</w:t>
      </w:r>
      <w:r w:rsidR="005532C3" w:rsidRPr="00B510A6">
        <w:rPr>
          <w:rFonts w:eastAsia="Calibri"/>
        </w:rPr>
        <w:t xml:space="preserve">he use of real production information, feed and fertiliser input data, and farmer-estimated crop yields. This removes the need for the model to predict information that users already know </w:t>
      </w:r>
    </w:p>
    <w:p w14:paraId="55FA4EA2" w14:textId="77777777" w:rsidR="005532C3" w:rsidRPr="00B510A6" w:rsidRDefault="00AA2E1B" w:rsidP="005532C3">
      <w:pPr>
        <w:pStyle w:val="Bullet"/>
        <w:rPr>
          <w:rFonts w:eastAsia="Calibri"/>
        </w:rPr>
      </w:pPr>
      <w:r>
        <w:rPr>
          <w:rFonts w:eastAsia="Calibri"/>
        </w:rPr>
        <w:lastRenderedPageBreak/>
        <w:t>a</w:t>
      </w:r>
      <w:r w:rsidR="005532C3" w:rsidRPr="00B510A6">
        <w:rPr>
          <w:rFonts w:eastAsia="Calibri"/>
        </w:rPr>
        <w:t>n enabling user interface, providing a level of user comfort in interacting with Overseer that is more difficult in many other models of agricultural</w:t>
      </w:r>
      <w:r w:rsidR="00B4643C">
        <w:rPr>
          <w:rFonts w:eastAsia="Calibri"/>
        </w:rPr>
        <w:t xml:space="preserve"> and</w:t>
      </w:r>
      <w:r w:rsidR="005532C3" w:rsidRPr="00B510A6">
        <w:rPr>
          <w:rFonts w:eastAsia="Calibri"/>
        </w:rPr>
        <w:t>/</w:t>
      </w:r>
      <w:r w:rsidR="00B4643C">
        <w:rPr>
          <w:rFonts w:eastAsia="Calibri"/>
        </w:rPr>
        <w:t xml:space="preserve">or </w:t>
      </w:r>
      <w:r w:rsidR="005532C3" w:rsidRPr="00B510A6">
        <w:rPr>
          <w:rFonts w:eastAsia="Calibri"/>
        </w:rPr>
        <w:t>biophysical processes.</w:t>
      </w:r>
    </w:p>
    <w:p w14:paraId="7EA77AA9" w14:textId="77777777" w:rsidR="005532C3" w:rsidRPr="00B510A6" w:rsidRDefault="005532C3" w:rsidP="00172E06">
      <w:pPr>
        <w:pStyle w:val="Heading2"/>
        <w:numPr>
          <w:ilvl w:val="0"/>
          <w:numId w:val="18"/>
        </w:numPr>
        <w:rPr>
          <w:rFonts w:eastAsia="Calibri"/>
        </w:rPr>
      </w:pPr>
      <w:bookmarkStart w:id="23" w:name="_Toc77078038"/>
      <w:bookmarkStart w:id="24" w:name="_Toc77326650"/>
      <w:bookmarkStart w:id="25" w:name="_Toc79488698"/>
      <w:r w:rsidRPr="00B510A6">
        <w:rPr>
          <w:rFonts w:eastAsia="Calibri"/>
        </w:rPr>
        <w:t>Policy context for Overseer use in regulation</w:t>
      </w:r>
      <w:bookmarkEnd w:id="23"/>
      <w:bookmarkEnd w:id="24"/>
      <w:bookmarkEnd w:id="25"/>
    </w:p>
    <w:p w14:paraId="7A198F1D" w14:textId="77777777" w:rsidR="005532C3" w:rsidRPr="00B510A6" w:rsidRDefault="005532C3" w:rsidP="005532C3">
      <w:pPr>
        <w:pStyle w:val="BodyText"/>
      </w:pPr>
      <w:r w:rsidRPr="00B510A6">
        <w:t>In 2020</w:t>
      </w:r>
      <w:r w:rsidR="00040418">
        <w:t>,</w:t>
      </w:r>
      <w:r w:rsidRPr="00B510A6">
        <w:t xml:space="preserve"> the Government released the Essential Freshwater reforms.</w:t>
      </w:r>
      <w:r w:rsidR="00797AC1" w:rsidRPr="00B510A6">
        <w:t xml:space="preserve"> </w:t>
      </w:r>
      <w:r w:rsidRPr="00B510A6">
        <w:t xml:space="preserve">The reforms had three </w:t>
      </w:r>
      <w:r w:rsidR="006C59B8">
        <w:t>main</w:t>
      </w:r>
      <w:r w:rsidR="006C59B8" w:rsidRPr="00B510A6">
        <w:t> </w:t>
      </w:r>
      <w:r w:rsidRPr="00B510A6">
        <w:t>objectives:</w:t>
      </w:r>
    </w:p>
    <w:p w14:paraId="41945720" w14:textId="77777777" w:rsidR="005532C3" w:rsidRPr="00B510A6" w:rsidRDefault="005532C3" w:rsidP="005532C3">
      <w:pPr>
        <w:pStyle w:val="Bullet"/>
      </w:pPr>
      <w:r w:rsidRPr="00B510A6">
        <w:t>to stop further degradation</w:t>
      </w:r>
    </w:p>
    <w:p w14:paraId="72DF4FBF" w14:textId="77777777" w:rsidR="005532C3" w:rsidRPr="00B510A6" w:rsidRDefault="005532C3" w:rsidP="005532C3">
      <w:pPr>
        <w:pStyle w:val="Bullet"/>
      </w:pPr>
      <w:r w:rsidRPr="00B510A6">
        <w:t>to make material improvement in the health of waterways within five years</w:t>
      </w:r>
    </w:p>
    <w:p w14:paraId="7C034C84" w14:textId="77777777" w:rsidR="005532C3" w:rsidRPr="00B510A6" w:rsidRDefault="005532C3" w:rsidP="005532C3">
      <w:pPr>
        <w:pStyle w:val="Bullet"/>
      </w:pPr>
      <w:r w:rsidRPr="00B510A6">
        <w:t xml:space="preserve">set Aotearoa New Zealand on a path to restore </w:t>
      </w:r>
      <w:r w:rsidR="006C59B8">
        <w:t>its</w:t>
      </w:r>
      <w:r w:rsidR="006C59B8" w:rsidRPr="00B510A6">
        <w:t xml:space="preserve"> </w:t>
      </w:r>
      <w:r w:rsidRPr="00B510A6">
        <w:t>fresh</w:t>
      </w:r>
      <w:r w:rsidR="006C59B8">
        <w:t xml:space="preserve"> </w:t>
      </w:r>
      <w:r w:rsidRPr="00B510A6">
        <w:t>water within a generation.</w:t>
      </w:r>
    </w:p>
    <w:p w14:paraId="259B6728" w14:textId="1AC6B792" w:rsidR="005532C3" w:rsidRPr="00B510A6" w:rsidRDefault="00787903" w:rsidP="005532C3">
      <w:pPr>
        <w:pStyle w:val="BodyText"/>
      </w:pPr>
      <w:r>
        <w:t>Significant</w:t>
      </w:r>
      <w:r w:rsidRPr="00B510A6">
        <w:t xml:space="preserve"> </w:t>
      </w:r>
      <w:r w:rsidR="005532C3" w:rsidRPr="00B510A6">
        <w:t>components of the reform included the National Policy Statement for Freshwater Management (NPS-FM) 2020</w:t>
      </w:r>
      <w:r>
        <w:t xml:space="preserve"> and</w:t>
      </w:r>
      <w:r w:rsidR="005532C3" w:rsidRPr="00B510A6">
        <w:t xml:space="preserve"> the Resource Management (National Environmental Standards for Freshwater) Regulations 2020 (NES-F).</w:t>
      </w:r>
    </w:p>
    <w:p w14:paraId="55D11F1B" w14:textId="77777777" w:rsidR="005532C3" w:rsidRPr="00B510A6" w:rsidRDefault="005532C3" w:rsidP="005532C3">
      <w:pPr>
        <w:pStyle w:val="BodyText"/>
      </w:pPr>
      <w:r w:rsidRPr="00B510A6">
        <w:t xml:space="preserve">As discussed below, the implementation of both instruments requires a tool (or </w:t>
      </w:r>
      <w:r w:rsidR="003E0747">
        <w:t>variety</w:t>
      </w:r>
      <w:r w:rsidR="003E0747" w:rsidRPr="00B510A6">
        <w:t xml:space="preserve"> </w:t>
      </w:r>
      <w:r w:rsidRPr="00B510A6">
        <w:t>of</w:t>
      </w:r>
      <w:r w:rsidR="00165A36" w:rsidRPr="00B510A6">
        <w:t> </w:t>
      </w:r>
      <w:r w:rsidRPr="00B510A6">
        <w:t>tools) to be available to primary producers and regulators to assess the risk of nutrient (and</w:t>
      </w:r>
      <w:r w:rsidR="00165A36" w:rsidRPr="00B510A6">
        <w:t> </w:t>
      </w:r>
      <w:r w:rsidRPr="00B510A6">
        <w:t>other diffuse contaminant) loss associated with land use. Being able to reliably estimate nutrient losses from agricultural landscapes at both farm and catchment scales allows for a broad range of regulatory responses and is particularly helpful when seeking to manage down losses fairly and consistently at the catchment scale.</w:t>
      </w:r>
    </w:p>
    <w:p w14:paraId="52A323C7" w14:textId="547D234C" w:rsidR="005532C3" w:rsidRPr="00B510A6" w:rsidRDefault="005532C3" w:rsidP="005532C3">
      <w:pPr>
        <w:pStyle w:val="BodyText"/>
      </w:pPr>
      <w:r w:rsidRPr="00B510A6">
        <w:t>Despite that, the use of Overseer is not a mandatory requirement of either the NPS-FM or the NES-F. Regional councils and others are not constrained in the tools they may use to fulfil functions and responsibilities under these instruments. Regional councils and agricultural users and their advis</w:t>
      </w:r>
      <w:r w:rsidR="00994432">
        <w:t>o</w:t>
      </w:r>
      <w:r w:rsidRPr="00B510A6">
        <w:t>rs would, nonetheless, be expecting to use Overseer for implementation of some elements of those instruments.</w:t>
      </w:r>
    </w:p>
    <w:p w14:paraId="57A06262" w14:textId="0A36B8AB" w:rsidR="005532C3" w:rsidRPr="00B510A6" w:rsidRDefault="005532C3" w:rsidP="005532C3">
      <w:pPr>
        <w:pStyle w:val="BodyText"/>
      </w:pPr>
      <w:r w:rsidRPr="00B510A6">
        <w:rPr>
          <w:spacing w:val="-2"/>
        </w:rPr>
        <w:t>The Review is important in that context. If Overseer is to be used to promote the Government’s</w:t>
      </w:r>
      <w:r w:rsidRPr="00B510A6">
        <w:t xml:space="preserve"> objectives for fresh</w:t>
      </w:r>
      <w:r w:rsidR="001B4E59">
        <w:t xml:space="preserve"> </w:t>
      </w:r>
      <w:r w:rsidRPr="00B510A6">
        <w:t xml:space="preserve">water, insofar as they are affected by nutrients, </w:t>
      </w:r>
      <w:r w:rsidR="00D6188E">
        <w:t>the Government</w:t>
      </w:r>
      <w:r w:rsidRPr="00B510A6">
        <w:t xml:space="preserve"> need</w:t>
      </w:r>
      <w:r w:rsidR="00D6188E">
        <w:t>s</w:t>
      </w:r>
      <w:r w:rsidRPr="00B510A6">
        <w:t xml:space="preserve"> to have a high level of confidence in its modelling estimates.</w:t>
      </w:r>
    </w:p>
    <w:p w14:paraId="3EEB2251" w14:textId="77777777" w:rsidR="006276F0" w:rsidRPr="00B510A6" w:rsidRDefault="006276F0">
      <w:pPr>
        <w:spacing w:before="0" w:after="200" w:line="276" w:lineRule="auto"/>
        <w:jc w:val="left"/>
      </w:pPr>
      <w:r w:rsidRPr="00B510A6">
        <w:br w:type="page"/>
      </w:r>
    </w:p>
    <w:p w14:paraId="5D9059A9" w14:textId="77777777" w:rsidR="006276F0" w:rsidRPr="00B510A6" w:rsidRDefault="006276F0" w:rsidP="00172E06">
      <w:pPr>
        <w:pStyle w:val="Heading1"/>
        <w:numPr>
          <w:ilvl w:val="0"/>
          <w:numId w:val="17"/>
        </w:numPr>
      </w:pPr>
      <w:bookmarkStart w:id="26" w:name="_Toc77326651"/>
      <w:bookmarkStart w:id="27" w:name="_Toc79488699"/>
      <w:r w:rsidRPr="00B510A6">
        <w:lastRenderedPageBreak/>
        <w:t>Overseer whole-model review</w:t>
      </w:r>
      <w:bookmarkEnd w:id="26"/>
      <w:bookmarkEnd w:id="27"/>
    </w:p>
    <w:p w14:paraId="05CC993E" w14:textId="77777777" w:rsidR="006276F0" w:rsidRPr="00B510A6" w:rsidRDefault="006276F0" w:rsidP="00172E06">
      <w:pPr>
        <w:pStyle w:val="Heading2"/>
        <w:numPr>
          <w:ilvl w:val="1"/>
          <w:numId w:val="19"/>
        </w:numPr>
        <w:spacing w:before="240"/>
      </w:pPr>
      <w:bookmarkStart w:id="28" w:name="_Toc77326652"/>
      <w:bookmarkStart w:id="29" w:name="_Toc79488700"/>
      <w:r w:rsidRPr="00B510A6">
        <w:t>How the Science Advisory Panel undertook its</w:t>
      </w:r>
      <w:r w:rsidR="00B43204" w:rsidRPr="00B510A6">
        <w:t> </w:t>
      </w:r>
      <w:r w:rsidRPr="00B510A6">
        <w:t>review</w:t>
      </w:r>
      <w:bookmarkEnd w:id="28"/>
      <w:bookmarkEnd w:id="29"/>
    </w:p>
    <w:p w14:paraId="151F81C5" w14:textId="38FCBD99" w:rsidR="006276F0" w:rsidRPr="00B510A6" w:rsidRDefault="006276F0" w:rsidP="006276F0">
      <w:pPr>
        <w:pStyle w:val="BodyText"/>
      </w:pPr>
      <w:r w:rsidRPr="00B510A6">
        <w:t>The Panel was convened</w:t>
      </w:r>
      <w:r w:rsidR="005878B5">
        <w:t xml:space="preserve"> virtually</w:t>
      </w:r>
      <w:r w:rsidRPr="00B510A6">
        <w:t xml:space="preserve"> in late March 2020 and met online many times over the following 12 months. Panel members received documentation from AgResearch and Overseer Ltd (including material that was the </w:t>
      </w:r>
      <w:r w:rsidR="004A25A8">
        <w:t>o</w:t>
      </w:r>
      <w:r w:rsidRPr="00B510A6">
        <w:t>wners’ intellectual property and not in the public domain); engaged in discussions about the modelling information with staff from both organisations; and heard from users of the model, including representatives from Waikato Regional Council and Environment Canterbury.</w:t>
      </w:r>
    </w:p>
    <w:p w14:paraId="74C2166A" w14:textId="115EA878" w:rsidR="006276F0" w:rsidRPr="00B510A6" w:rsidRDefault="006276F0" w:rsidP="006276F0">
      <w:pPr>
        <w:pStyle w:val="BodyText"/>
      </w:pPr>
      <w:r w:rsidRPr="00B510A6">
        <w:t>The Panel’s approach to the review represented international best practice for assessing model adequacy</w:t>
      </w:r>
      <w:r w:rsidR="005878B5">
        <w:t xml:space="preserve">, which </w:t>
      </w:r>
      <w:r w:rsidRPr="00B510A6">
        <w:t>includes assessing model structure, data used in model development, model behaviour, model sensitivity and comparing model results with experimental data. Much of the Review Report focused on a comprehensive assessment of the structure of the Overseer model</w:t>
      </w:r>
      <w:r w:rsidR="00400186">
        <w:t>,</w:t>
      </w:r>
      <w:r w:rsidRPr="00B510A6">
        <w:t xml:space="preserve"> to determine whether Overseer adequately simulates the main pathways and processes that affect nutrient loss from agricultural farming systems. </w:t>
      </w:r>
    </w:p>
    <w:p w14:paraId="54E2D505" w14:textId="71DC61DA" w:rsidR="009C4F17" w:rsidRPr="00B510A6" w:rsidRDefault="006276F0" w:rsidP="008F40C6">
      <w:pPr>
        <w:pStyle w:val="BodyText"/>
      </w:pPr>
      <w:r w:rsidRPr="00B510A6">
        <w:t>Although the Panel acknowledged that assessments of model adequacy may include an assessment of whether the model is in good agreement with observational and experimental data, it also noted that a model’s underlying structure must be sound for such a comparison with experimental data</w:t>
      </w:r>
      <w:r w:rsidR="004A0388">
        <w:t>,</w:t>
      </w:r>
      <w:r w:rsidRPr="00B510A6">
        <w:t xml:space="preserve"> to be useful. The</w:t>
      </w:r>
      <w:r w:rsidR="005878B5">
        <w:t>refore, the</w:t>
      </w:r>
      <w:r w:rsidRPr="00B510A6">
        <w:t xml:space="preserve"> Panel did not consider comparisons with such data as part of its review. The Panel preferred instead to focus on a detailed interrogation of the model structure</w:t>
      </w:r>
      <w:r w:rsidR="00A310AA">
        <w:t>,</w:t>
      </w:r>
      <w:r w:rsidRPr="00B510A6">
        <w:t xml:space="preserve"> as noted above. It considered that “comparing a large agroecosystem model to measured observational or experimental data is a tremendous challenge, one not commonly attempted in literature”. The reasons for this opinion are not repeated here but are </w:t>
      </w:r>
      <w:r w:rsidR="000B6DAD">
        <w:t>clearly</w:t>
      </w:r>
      <w:r w:rsidR="000B6DAD" w:rsidRPr="00B510A6">
        <w:t xml:space="preserve"> </w:t>
      </w:r>
      <w:r w:rsidRPr="00B510A6">
        <w:t xml:space="preserve">set out in section 4.2.5 and </w:t>
      </w:r>
      <w:r w:rsidR="00893F59">
        <w:t xml:space="preserve">section </w:t>
      </w:r>
      <w:r w:rsidRPr="00B510A6">
        <w:t xml:space="preserve">10.2.5 of the </w:t>
      </w:r>
      <w:hyperlink r:id="rId27" w:history="1">
        <w:r w:rsidRPr="008B3B9C">
          <w:rPr>
            <w:rStyle w:val="Hyperlink"/>
          </w:rPr>
          <w:t>Review Report</w:t>
        </w:r>
      </w:hyperlink>
      <w:r w:rsidRPr="00B510A6">
        <w:t>.</w:t>
      </w:r>
    </w:p>
    <w:p w14:paraId="1D130C0B" w14:textId="77777777" w:rsidR="008F40C6" w:rsidRPr="00B510A6" w:rsidRDefault="008F40C6" w:rsidP="008F40C6">
      <w:pPr>
        <w:pStyle w:val="BodyText"/>
      </w:pPr>
      <w:bookmarkStart w:id="30" w:name="_Hlk75262049"/>
      <w:r w:rsidRPr="00B510A6">
        <w:t>The Panel drew on mātauranga Māori,</w:t>
      </w:r>
      <w:r w:rsidRPr="00B510A6">
        <w:rPr>
          <w:rStyle w:val="FootnoteReference"/>
          <w:color w:val="000000"/>
        </w:rPr>
        <w:footnoteReference w:id="8"/>
      </w:r>
      <w:r w:rsidRPr="00B510A6">
        <w:t xml:space="preserve"> assessing the extent to which Overseer can support kaitiaki to improve or sustain </w:t>
      </w:r>
      <w:r w:rsidR="00B8530D">
        <w:t xml:space="preserve">the </w:t>
      </w:r>
      <w:r w:rsidRPr="00B510A6">
        <w:t xml:space="preserve">mauri and mana of Papatūānuku (the Earth Mother), as well as modelling, agricultural </w:t>
      </w:r>
      <w:proofErr w:type="gramStart"/>
      <w:r w:rsidRPr="00B510A6">
        <w:t>sciences</w:t>
      </w:r>
      <w:proofErr w:type="gramEnd"/>
      <w:r w:rsidRPr="00B510A6">
        <w:t xml:space="preserve"> and nutrient dynamics. </w:t>
      </w:r>
    </w:p>
    <w:p w14:paraId="7EC1B2B2" w14:textId="77777777" w:rsidR="008F40C6" w:rsidRPr="00B510A6" w:rsidRDefault="008F40C6" w:rsidP="004936B1">
      <w:pPr>
        <w:pStyle w:val="BodyText"/>
      </w:pPr>
      <w:r w:rsidRPr="00B510A6">
        <w:t xml:space="preserve">Under its terms of reference, the Panel did not consider Overseer’s modelling of greenhouse gases (see </w:t>
      </w:r>
      <w:proofErr w:type="spellStart"/>
      <w:r w:rsidRPr="00B510A6">
        <w:t>Kelliher</w:t>
      </w:r>
      <w:proofErr w:type="spellEnd"/>
      <w:r w:rsidRPr="00B510A6">
        <w:t xml:space="preserve"> et al (2015) and de Klein et al (2017) for reviews of Overseer’s greenhouse gas components</w:t>
      </w:r>
      <w:r w:rsidRPr="00B510A6">
        <w:rPr>
          <w:rStyle w:val="FootnoteReference"/>
          <w:color w:val="000000"/>
        </w:rPr>
        <w:footnoteReference w:id="9"/>
      </w:r>
      <w:r w:rsidRPr="00B510A6">
        <w:t>).</w:t>
      </w:r>
      <w:bookmarkStart w:id="31" w:name="_Toc77171877"/>
      <w:bookmarkEnd w:id="30"/>
      <w:bookmarkEnd w:id="31"/>
    </w:p>
    <w:p w14:paraId="67F15969" w14:textId="77777777" w:rsidR="008F40C6" w:rsidRPr="00B510A6" w:rsidRDefault="008F40C6" w:rsidP="008F40C6">
      <w:pPr>
        <w:pStyle w:val="BodyText"/>
        <w:rPr>
          <w:rFonts w:cs="Calibri"/>
          <w:lang w:eastAsia="en-GB"/>
        </w:rPr>
      </w:pPr>
      <w:r w:rsidRPr="00B510A6">
        <w:t>The Panel did not assess the model for ease of use, its data files nor its use as a social tool to encourage farmers to adopt farm management strategies that would successfully reduce a catchment’s nutrient load.</w:t>
      </w:r>
    </w:p>
    <w:p w14:paraId="31001000" w14:textId="77777777" w:rsidR="00E96F3E" w:rsidRPr="00B510A6" w:rsidRDefault="00E96F3E" w:rsidP="00172E06">
      <w:pPr>
        <w:pStyle w:val="Heading2"/>
        <w:numPr>
          <w:ilvl w:val="1"/>
          <w:numId w:val="19"/>
        </w:numPr>
        <w:spacing w:before="240"/>
      </w:pPr>
      <w:bookmarkStart w:id="32" w:name="_Toc71027226"/>
      <w:bookmarkStart w:id="33" w:name="_Toc77078041"/>
      <w:bookmarkStart w:id="34" w:name="_Toc77171878"/>
      <w:bookmarkStart w:id="35" w:name="_Toc77326653"/>
      <w:bookmarkStart w:id="36" w:name="_Toc79488701"/>
      <w:r w:rsidRPr="00B510A6">
        <w:lastRenderedPageBreak/>
        <w:t>Review</w:t>
      </w:r>
      <w:bookmarkEnd w:id="32"/>
      <w:r w:rsidRPr="00B510A6">
        <w:t xml:space="preserve"> findings</w:t>
      </w:r>
      <w:bookmarkEnd w:id="33"/>
      <w:bookmarkEnd w:id="34"/>
      <w:bookmarkEnd w:id="35"/>
      <w:bookmarkEnd w:id="36"/>
    </w:p>
    <w:p w14:paraId="6A729754" w14:textId="77777777" w:rsidR="00E96F3E" w:rsidRPr="00B510A6" w:rsidRDefault="00E96F3E" w:rsidP="00E96F3E">
      <w:pPr>
        <w:pStyle w:val="BodyText"/>
        <w:rPr>
          <w:rFonts w:eastAsia="Calibri" w:cs="Arial"/>
        </w:rPr>
      </w:pPr>
      <w:r w:rsidRPr="00B510A6">
        <w:t>The findings of the Panel are summarised below</w:t>
      </w:r>
      <w:r w:rsidR="00C02C92">
        <w:t>.</w:t>
      </w:r>
    </w:p>
    <w:p w14:paraId="49246EB8" w14:textId="77777777" w:rsidR="00E96F3E" w:rsidRPr="00B510A6" w:rsidRDefault="00E96F3E" w:rsidP="00797AC1">
      <w:pPr>
        <w:pStyle w:val="Heading3"/>
        <w:rPr>
          <w:rFonts w:eastAsia="Calibri"/>
        </w:rPr>
      </w:pPr>
      <w:bookmarkStart w:id="37" w:name="_Toc77078042"/>
      <w:bookmarkStart w:id="38" w:name="_Toc77171879"/>
      <w:r w:rsidRPr="00B510A6">
        <w:t>Overseer’s</w:t>
      </w:r>
      <w:r w:rsidRPr="00B510A6">
        <w:rPr>
          <w:rFonts w:eastAsia="Calibri"/>
        </w:rPr>
        <w:t xml:space="preserve"> structure and data</w:t>
      </w:r>
      <w:bookmarkEnd w:id="37"/>
      <w:bookmarkEnd w:id="38"/>
    </w:p>
    <w:p w14:paraId="15B876B1" w14:textId="311ADD43" w:rsidR="00E96F3E" w:rsidRPr="00B510A6" w:rsidRDefault="00E96F3E" w:rsidP="004C1C61">
      <w:pPr>
        <w:pStyle w:val="BodyText"/>
        <w:rPr>
          <w:rFonts w:cs="Calibri"/>
        </w:rPr>
      </w:pPr>
      <w:r w:rsidRPr="00B510A6">
        <w:t>The Panel found that the use of average climate data, homogeneous soil profiles and the omission of ammoniacal nitrogen and soil organic matter dynamics within Overseer meant its predictions do not account for potentially significant components of nutrient losses, at least in some catchments and for some land uses. In addition, it found that Overseer does not, and was never intended to, model episodic events</w:t>
      </w:r>
      <w:r w:rsidR="00820E02">
        <w:t>,</w:t>
      </w:r>
      <w:r w:rsidRPr="00B510A6">
        <w:t xml:space="preserve"> such as intermittent heavy rain or periods of drought. The Panel considered this to be a significant weakness </w:t>
      </w:r>
      <w:r w:rsidR="005878B5">
        <w:t>as</w:t>
      </w:r>
      <w:r w:rsidRPr="00B510A6">
        <w:t xml:space="preserve"> episodic events can be critical drivers of nutrient losses on some properties, and farm plans to manage nutrient loss should factor such events into mitigation strategies. The Panel was also concerned that </w:t>
      </w:r>
      <w:r w:rsidRPr="00B510A6">
        <w:rPr>
          <w:rFonts w:cs="Calibri"/>
        </w:rPr>
        <w:t>Overseer does not balance mass</w:t>
      </w:r>
      <w:r w:rsidRPr="00B510A6">
        <w:rPr>
          <w:rStyle w:val="FootnoteReference"/>
          <w:rFonts w:cs="Calibri"/>
          <w:color w:val="000000"/>
        </w:rPr>
        <w:footnoteReference w:id="10"/>
      </w:r>
      <w:r w:rsidRPr="00B510A6">
        <w:rPr>
          <w:rFonts w:cs="Calibri"/>
        </w:rPr>
        <w:t xml:space="preserve"> and it inadequately accommodates deep-rooting plants. </w:t>
      </w:r>
    </w:p>
    <w:p w14:paraId="60AE22B7" w14:textId="77777777" w:rsidR="004C1C61" w:rsidRPr="00B510A6" w:rsidRDefault="004C1C61" w:rsidP="00797AC1">
      <w:pPr>
        <w:pStyle w:val="Heading3"/>
      </w:pPr>
      <w:r w:rsidRPr="00B510A6">
        <w:t xml:space="preserve">Relative and absolute nitrate-loss estimates </w:t>
      </w:r>
    </w:p>
    <w:p w14:paraId="1376AC16" w14:textId="77777777" w:rsidR="004C1C61" w:rsidRPr="00B510A6" w:rsidRDefault="004C1C61" w:rsidP="004C1C61">
      <w:pPr>
        <w:pStyle w:val="BodyText"/>
      </w:pPr>
      <w:r w:rsidRPr="00B510A6">
        <w:t xml:space="preserve">The Panel noted that a common belief among users </w:t>
      </w:r>
      <w:r w:rsidR="009F46F2">
        <w:t xml:space="preserve">has been </w:t>
      </w:r>
      <w:r w:rsidRPr="00B510A6">
        <w:t>that using Overseer’s modelled outputs to assess change or compare scenarios on the same property (that is, using</w:t>
      </w:r>
      <w:r w:rsidR="006E3E5F" w:rsidRPr="00B510A6">
        <w:t> </w:t>
      </w:r>
      <w:r w:rsidRPr="00B510A6">
        <w:t>it in a relative sense) means absolute accuracy is not required. It advised, however, that Overseer is unlikely to be a reliable tool for predicting either relative or absolute loss estimates. The reasons given are found throughout its report and summarised in the executive summary of the Review Report (page 7).</w:t>
      </w:r>
    </w:p>
    <w:p w14:paraId="4AB48728" w14:textId="77777777" w:rsidR="004C1C61" w:rsidRPr="00B510A6" w:rsidRDefault="004C1C61" w:rsidP="00797AC1">
      <w:pPr>
        <w:pStyle w:val="Heading3"/>
      </w:pPr>
      <w:r w:rsidRPr="00B510A6">
        <w:t>Mātauranga Māori and Te Tiriti o Waitangi</w:t>
      </w:r>
    </w:p>
    <w:p w14:paraId="0AB1E818" w14:textId="7AB53A12" w:rsidR="004C1C61" w:rsidRPr="00B510A6" w:rsidRDefault="004C1C61" w:rsidP="004C1C61">
      <w:pPr>
        <w:pStyle w:val="BodyText"/>
      </w:pPr>
      <w:r w:rsidRPr="00B510A6">
        <w:t>The Panel considered mātauranga Māori and Te Tiriti o Waitangi</w:t>
      </w:r>
      <w:r w:rsidR="005878B5">
        <w:t xml:space="preserve"> (the Treaty of Waitangi)</w:t>
      </w:r>
      <w:r w:rsidR="000A5AE8">
        <w:t>,</w:t>
      </w:r>
      <w:r w:rsidRPr="00B510A6">
        <w:t xml:space="preserve"> and made two </w:t>
      </w:r>
      <w:r w:rsidR="007732AA">
        <w:t>important</w:t>
      </w:r>
      <w:r w:rsidRPr="00B510A6">
        <w:t xml:space="preserve"> points.</w:t>
      </w:r>
    </w:p>
    <w:p w14:paraId="66219D09" w14:textId="77777777" w:rsidR="004C1C61" w:rsidRPr="00B510A6" w:rsidRDefault="004C1C61" w:rsidP="004C1C61">
      <w:pPr>
        <w:pStyle w:val="BodyText"/>
      </w:pPr>
      <w:r w:rsidRPr="00B510A6">
        <w:t xml:space="preserve">First, Māori have a definitive relationship with the natural world, determined through whakapapa. This remains </w:t>
      </w:r>
      <w:r w:rsidR="000A5AE8">
        <w:t>crucial</w:t>
      </w:r>
      <w:r w:rsidR="000A5AE8" w:rsidRPr="00B510A6">
        <w:t xml:space="preserve"> </w:t>
      </w:r>
      <w:r w:rsidRPr="00B510A6">
        <w:t>to environmental management, including of soil and water resources, especially in production systems. This relationship forms the foundation of mātauranga, which, in turn, informs cultural decision systems. Mātauranga is primarily applied</w:t>
      </w:r>
      <w:r w:rsidR="006E3E5F" w:rsidRPr="00B510A6">
        <w:t> </w:t>
      </w:r>
      <w:r w:rsidRPr="00B510A6">
        <w:t>through kaitiaki responsibilities so that resource sustainability is both understood and</w:t>
      </w:r>
      <w:r w:rsidR="006E3E5F" w:rsidRPr="00B510A6">
        <w:t> </w:t>
      </w:r>
      <w:r w:rsidRPr="00B510A6">
        <w:t>achieved.</w:t>
      </w:r>
    </w:p>
    <w:p w14:paraId="32924494" w14:textId="77777777" w:rsidR="004C1C61" w:rsidRPr="00B510A6" w:rsidRDefault="004C1C61" w:rsidP="004C1C61">
      <w:pPr>
        <w:pStyle w:val="BodyText"/>
      </w:pPr>
      <w:r w:rsidRPr="00B510A6">
        <w:t>Second, Te Tiriti o Waitangi and its related principles have a role in land and water decision-support tools. Both mātauranga Māori and the principles of Te Tiriti o Waitangi must be given effect in regulatory and decision-support tools for them to be fit for purpose for Māori.</w:t>
      </w:r>
      <w:r w:rsidR="00797AC1" w:rsidRPr="00B510A6">
        <w:t xml:space="preserve"> </w:t>
      </w:r>
    </w:p>
    <w:p w14:paraId="305DA13B" w14:textId="475C2B14" w:rsidR="00B43204" w:rsidRPr="00B510A6" w:rsidRDefault="004C1C61" w:rsidP="004C1C61">
      <w:pPr>
        <w:pStyle w:val="BodyText"/>
      </w:pPr>
      <w:r w:rsidRPr="00B510A6">
        <w:t xml:space="preserve">The Panel then considered the Overseer tool itself </w:t>
      </w:r>
      <w:proofErr w:type="gramStart"/>
      <w:r w:rsidRPr="00B510A6">
        <w:t>in light of</w:t>
      </w:r>
      <w:proofErr w:type="gramEnd"/>
      <w:r w:rsidRPr="00B510A6">
        <w:t xml:space="preserve"> its above conclusions. It found that</w:t>
      </w:r>
      <w:r w:rsidR="00CA4CC4">
        <w:t>,</w:t>
      </w:r>
      <w:r w:rsidRPr="00B510A6">
        <w:t xml:space="preserve"> throughout the development of the Overseer model,</w:t>
      </w:r>
      <w:r w:rsidR="005878B5">
        <w:t xml:space="preserve"> there had been</w:t>
      </w:r>
      <w:r w:rsidRPr="00B510A6">
        <w:t xml:space="preserve"> no engagement with Māori. Neither the relationship Māori have with the natural world nor the role of Te Tiriti </w:t>
      </w:r>
      <w:r w:rsidRPr="00B510A6">
        <w:lastRenderedPageBreak/>
        <w:t>o Waitangi and its related principles have been included within Overseer or contributed to its development. The Panel noted that Overseer Ltd has begun engaging with Māori more recently, but for a model to be used in regulation in Aotearoa New Zealand, developers must engage with and learn from Māori from the beginning</w:t>
      </w:r>
      <w:r w:rsidR="00561DFB">
        <w:t>,</w:t>
      </w:r>
      <w:r w:rsidRPr="00B510A6">
        <w:t xml:space="preserve"> to ensure the model reflects </w:t>
      </w:r>
      <w:proofErr w:type="spellStart"/>
      <w:r w:rsidR="000A7C80">
        <w:t>t</w:t>
      </w:r>
      <w:r w:rsidRPr="00B510A6">
        <w:t>e</w:t>
      </w:r>
      <w:proofErr w:type="spellEnd"/>
      <w:r w:rsidRPr="00B510A6">
        <w:t xml:space="preserve"> </w:t>
      </w:r>
      <w:proofErr w:type="spellStart"/>
      <w:r w:rsidR="000A7C80">
        <w:t>a</w:t>
      </w:r>
      <w:r w:rsidRPr="00B510A6">
        <w:t>o</w:t>
      </w:r>
      <w:proofErr w:type="spellEnd"/>
      <w:r w:rsidR="000A7C80">
        <w:t xml:space="preserve"> </w:t>
      </w:r>
      <w:r w:rsidRPr="00B510A6">
        <w:t>Māori (the Māori worldview), incorporates mātauranga and is useful to Māori land users.</w:t>
      </w:r>
    </w:p>
    <w:p w14:paraId="12FF2882" w14:textId="77777777" w:rsidR="003A78F4" w:rsidRPr="00B510A6" w:rsidRDefault="003A78F4" w:rsidP="00172E06">
      <w:pPr>
        <w:pStyle w:val="Heading2"/>
        <w:numPr>
          <w:ilvl w:val="1"/>
          <w:numId w:val="19"/>
        </w:numPr>
        <w:spacing w:before="240"/>
      </w:pPr>
      <w:bookmarkStart w:id="39" w:name="_Toc77326654"/>
      <w:bookmarkStart w:id="40" w:name="_Toc79488702"/>
      <w:r w:rsidRPr="00B510A6">
        <w:t>Panel’s conclusions</w:t>
      </w:r>
      <w:bookmarkEnd w:id="39"/>
      <w:bookmarkEnd w:id="40"/>
      <w:r w:rsidRPr="00B510A6">
        <w:t xml:space="preserve"> </w:t>
      </w:r>
    </w:p>
    <w:p w14:paraId="61C1AF0F" w14:textId="77777777" w:rsidR="003A78F4" w:rsidRPr="00B510A6" w:rsidRDefault="003A78F4" w:rsidP="003A78F4">
      <w:pPr>
        <w:pStyle w:val="BodyText"/>
      </w:pPr>
      <w:r w:rsidRPr="00B510A6">
        <w:t>The Panel summarised its core concerns with Overseer are that it:</w:t>
      </w:r>
    </w:p>
    <w:p w14:paraId="5E65B641" w14:textId="77777777" w:rsidR="003A78F4" w:rsidRPr="00B510A6" w:rsidRDefault="003A78F4" w:rsidP="003A78F4">
      <w:pPr>
        <w:pStyle w:val="Bullet"/>
      </w:pPr>
      <w:r w:rsidRPr="00B510A6">
        <w:t xml:space="preserve">is a steady state model attempting to simulate a dynamic, continually varying </w:t>
      </w:r>
      <w:proofErr w:type="gramStart"/>
      <w:r w:rsidRPr="00B510A6">
        <w:t>system</w:t>
      </w:r>
      <w:proofErr w:type="gramEnd"/>
    </w:p>
    <w:p w14:paraId="7F0DB35A" w14:textId="77777777" w:rsidR="003A78F4" w:rsidRPr="00B510A6" w:rsidRDefault="003A78F4" w:rsidP="003A78F4">
      <w:pPr>
        <w:pStyle w:val="Bullet"/>
      </w:pPr>
      <w:r w:rsidRPr="00B510A6">
        <w:t>uses monthly time-steps</w:t>
      </w:r>
    </w:p>
    <w:p w14:paraId="4BA6786F" w14:textId="77777777" w:rsidR="003A78F4" w:rsidRPr="00B510A6" w:rsidRDefault="003A78F4" w:rsidP="003A78F4">
      <w:pPr>
        <w:pStyle w:val="Bullet"/>
      </w:pPr>
      <w:r w:rsidRPr="00B510A6">
        <w:t>uses average climate data and, therefore, cannot model episodic events or capture response to climate variation</w:t>
      </w:r>
    </w:p>
    <w:p w14:paraId="4C67142A" w14:textId="77777777" w:rsidR="003A78F4" w:rsidRPr="00B510A6" w:rsidRDefault="003A78F4" w:rsidP="003A78F4">
      <w:pPr>
        <w:pStyle w:val="Bullet"/>
      </w:pPr>
      <w:r w:rsidRPr="00B510A6">
        <w:t>does not balance mass</w:t>
      </w:r>
    </w:p>
    <w:p w14:paraId="297D60EE" w14:textId="77777777" w:rsidR="003A78F4" w:rsidRPr="00B510A6" w:rsidRDefault="003A78F4" w:rsidP="003A78F4">
      <w:pPr>
        <w:pStyle w:val="Bullet"/>
      </w:pPr>
      <w:r w:rsidRPr="00B510A6">
        <w:t>does not account for variation in water and nutrient distribution in the soil profile</w:t>
      </w:r>
    </w:p>
    <w:p w14:paraId="49FC63DA" w14:textId="77777777" w:rsidR="003A78F4" w:rsidRPr="00B510A6" w:rsidRDefault="003A78F4" w:rsidP="003A78F4">
      <w:pPr>
        <w:pStyle w:val="Bullet"/>
      </w:pPr>
      <w:r w:rsidRPr="00B510A6">
        <w:t>does not adequately accommodate deep-rooting plants</w:t>
      </w:r>
    </w:p>
    <w:p w14:paraId="728F706B" w14:textId="77777777" w:rsidR="003A78F4" w:rsidRPr="00B510A6" w:rsidRDefault="003A78F4" w:rsidP="003A78F4">
      <w:pPr>
        <w:pStyle w:val="Bullet"/>
      </w:pPr>
      <w:r w:rsidRPr="00B510A6">
        <w:t>focuses on nitrate and omits ammoniacal nitrogen and organic matter dynamics</w:t>
      </w:r>
    </w:p>
    <w:p w14:paraId="03D8AAFE" w14:textId="77777777" w:rsidR="003A78F4" w:rsidRPr="00B510A6" w:rsidRDefault="003A78F4" w:rsidP="003A78F4">
      <w:pPr>
        <w:pStyle w:val="Bullet"/>
      </w:pPr>
      <w:r w:rsidRPr="00B510A6">
        <w:t>lacks consideration of surface water and nutrient transport, as well as critical landscape</w:t>
      </w:r>
      <w:r w:rsidR="00183F7A">
        <w:t> </w:t>
      </w:r>
      <w:r w:rsidRPr="00B510A6">
        <w:t>factors.</w:t>
      </w:r>
    </w:p>
    <w:p w14:paraId="2A2477F7" w14:textId="10FC51AA" w:rsidR="003A78F4" w:rsidRPr="00B510A6" w:rsidRDefault="00183F7A" w:rsidP="003A78F4">
      <w:pPr>
        <w:pStyle w:val="BodyText"/>
      </w:pPr>
      <w:r>
        <w:t xml:space="preserve">Because </w:t>
      </w:r>
      <w:r w:rsidR="003A78F4" w:rsidRPr="00B510A6">
        <w:t xml:space="preserve">of these concerns, the Panel did not have confidence that Overseer’s modelled outputs </w:t>
      </w:r>
      <w:r w:rsidR="00D6188E">
        <w:t xml:space="preserve">can </w:t>
      </w:r>
      <w:r w:rsidR="003A78F4" w:rsidRPr="00B510A6">
        <w:t>inform whether changes in farm management reduce or increase the losses of nutrients from the wide variety of property types and land uses across the country, or what the magnitude or error of these losses might be. The Panel considered that:</w:t>
      </w:r>
    </w:p>
    <w:p w14:paraId="541B0038" w14:textId="77777777" w:rsidR="003A78F4" w:rsidRPr="00B510A6" w:rsidRDefault="003A78F4" w:rsidP="000B2146">
      <w:pPr>
        <w:pStyle w:val="Quote"/>
      </w:pPr>
      <w:r w:rsidRPr="00B510A6">
        <w:t>Overseer’s structure is not adequate to provide more than a coarse understanding of a</w:t>
      </w:r>
      <w:r w:rsidR="000B2146" w:rsidRPr="00B510A6">
        <w:t> </w:t>
      </w:r>
      <w:r w:rsidRPr="00B510A6">
        <w:t xml:space="preserve">farm’s nutrient losses (except for surface flows since these are not included in the model). It also cannot reliably estimate how changes in farm management would affect those losses. </w:t>
      </w:r>
    </w:p>
    <w:p w14:paraId="2AE434BE" w14:textId="5CB48843" w:rsidR="004C1C61" w:rsidRPr="00B510A6" w:rsidRDefault="003A78F4" w:rsidP="003A78F4">
      <w:pPr>
        <w:pStyle w:val="BodyText"/>
      </w:pPr>
      <w:r w:rsidRPr="00B510A6">
        <w:t xml:space="preserve">As set out in </w:t>
      </w:r>
      <w:hyperlink w:anchor="_Appendix_B:_Existing" w:history="1">
        <w:r w:rsidR="004C42CC" w:rsidRPr="004C42CC">
          <w:rPr>
            <w:rStyle w:val="Hyperlink"/>
          </w:rPr>
          <w:t>a</w:t>
        </w:r>
        <w:r w:rsidRPr="004C42CC">
          <w:rPr>
            <w:rStyle w:val="Hyperlink"/>
          </w:rPr>
          <w:t>ppendix B</w:t>
        </w:r>
      </w:hyperlink>
      <w:r w:rsidRPr="00B510A6">
        <w:t xml:space="preserve">, </w:t>
      </w:r>
      <w:r w:rsidR="005878B5">
        <w:t xml:space="preserve">there is widespread use of </w:t>
      </w:r>
      <w:r w:rsidRPr="00B510A6">
        <w:t>Overseer in Aotearoa New Zealand.</w:t>
      </w:r>
      <w:r w:rsidR="00797AC1" w:rsidRPr="00B510A6">
        <w:t xml:space="preserve"> </w:t>
      </w:r>
      <w:r w:rsidRPr="00B510A6">
        <w:t xml:space="preserve">Investment in the use and development of the Overseer model by </w:t>
      </w:r>
      <w:r w:rsidR="00957AE7">
        <w:t>different</w:t>
      </w:r>
      <w:r w:rsidRPr="00B510A6">
        <w:t xml:space="preserve"> parties over recent years has been substantial. Many stakeholders will consider that the various roles Overseer plays are important to </w:t>
      </w:r>
      <w:r w:rsidR="00273809" w:rsidRPr="00B510A6">
        <w:t>Aotearoa New Zealand</w:t>
      </w:r>
      <w:r w:rsidR="00273809">
        <w:t>’s</w:t>
      </w:r>
      <w:r w:rsidRPr="00B510A6">
        <w:t xml:space="preserve"> social, cultural, </w:t>
      </w:r>
      <w:proofErr w:type="gramStart"/>
      <w:r w:rsidRPr="00B510A6">
        <w:t>economic</w:t>
      </w:r>
      <w:proofErr w:type="gramEnd"/>
      <w:r w:rsidRPr="00B510A6">
        <w:t xml:space="preserve"> and environmental wellbeing. Additionally, regional councils, research entities and others managing freshwater </w:t>
      </w:r>
      <w:r w:rsidR="00273809">
        <w:t>have</w:t>
      </w:r>
      <w:r w:rsidR="00273809" w:rsidRPr="00B510A6">
        <w:t xml:space="preserve"> a clear</w:t>
      </w:r>
      <w:r w:rsidR="00B233BB">
        <w:t> </w:t>
      </w:r>
      <w:r w:rsidR="00273809" w:rsidRPr="00B510A6">
        <w:t xml:space="preserve">need for </w:t>
      </w:r>
      <w:r w:rsidRPr="00B510A6">
        <w:t>tools to help them understand the scale and movement of nutrients across agricultural landscapes if</w:t>
      </w:r>
      <w:r w:rsidR="00EB2AA1">
        <w:t xml:space="preserve"> the Government</w:t>
      </w:r>
      <w:r w:rsidRPr="00B510A6">
        <w:t xml:space="preserve"> </w:t>
      </w:r>
      <w:r w:rsidR="009D00E2">
        <w:t>is</w:t>
      </w:r>
      <w:r w:rsidRPr="00B510A6">
        <w:t xml:space="preserve"> to achieve </w:t>
      </w:r>
      <w:r w:rsidR="009D00E2">
        <w:t>its</w:t>
      </w:r>
      <w:r w:rsidR="009D00E2" w:rsidRPr="00B510A6">
        <w:t xml:space="preserve"> </w:t>
      </w:r>
      <w:r w:rsidRPr="00B510A6">
        <w:t>aspirations for fresh</w:t>
      </w:r>
      <w:r w:rsidR="009D00E2">
        <w:t xml:space="preserve"> </w:t>
      </w:r>
      <w:r w:rsidRPr="00B510A6">
        <w:t xml:space="preserve">water. For those reasons, the Panel’s findings raise serious concerns. </w:t>
      </w:r>
    </w:p>
    <w:p w14:paraId="0FC8330B" w14:textId="77777777" w:rsidR="000B2146" w:rsidRPr="00B510A6" w:rsidRDefault="000B2146">
      <w:pPr>
        <w:spacing w:before="0" w:after="200" w:line="276" w:lineRule="auto"/>
        <w:jc w:val="left"/>
      </w:pPr>
      <w:r w:rsidRPr="00B510A6">
        <w:br w:type="page"/>
      </w:r>
    </w:p>
    <w:p w14:paraId="0E5AF48E" w14:textId="77777777" w:rsidR="00801006" w:rsidRPr="00B510A6" w:rsidRDefault="00801006" w:rsidP="00172E06">
      <w:pPr>
        <w:pStyle w:val="Heading1"/>
        <w:numPr>
          <w:ilvl w:val="0"/>
          <w:numId w:val="17"/>
        </w:numPr>
      </w:pPr>
      <w:bookmarkStart w:id="41" w:name="_Toc77326655"/>
      <w:bookmarkStart w:id="42" w:name="_Toc79488703"/>
      <w:r w:rsidRPr="00B510A6">
        <w:lastRenderedPageBreak/>
        <w:t>The Government’s response</w:t>
      </w:r>
      <w:bookmarkEnd w:id="41"/>
      <w:bookmarkEnd w:id="42"/>
    </w:p>
    <w:p w14:paraId="5264B0F8" w14:textId="77777777" w:rsidR="00801006" w:rsidRPr="00B510A6" w:rsidRDefault="00801006" w:rsidP="00801006">
      <w:pPr>
        <w:pStyle w:val="BodyText"/>
      </w:pPr>
      <w:r w:rsidRPr="00B510A6">
        <w:t>The Review Report has potential implications for:</w:t>
      </w:r>
    </w:p>
    <w:p w14:paraId="7BE5FB92" w14:textId="77777777" w:rsidR="00801006" w:rsidRPr="00B510A6" w:rsidRDefault="00AB5B89" w:rsidP="00801006">
      <w:pPr>
        <w:pStyle w:val="BodyText"/>
        <w:spacing w:before="0"/>
        <w:ind w:left="397" w:hanging="397"/>
      </w:pPr>
      <w:r>
        <w:t>(</w:t>
      </w:r>
      <w:r w:rsidR="00801006" w:rsidRPr="00B510A6">
        <w:t>a</w:t>
      </w:r>
      <w:r w:rsidR="00E36942">
        <w:t>)</w:t>
      </w:r>
      <w:r w:rsidR="00801006" w:rsidRPr="00B510A6">
        <w:tab/>
        <w:t xml:space="preserve">the immediate ongoing implementation of regional councils’ planning and regulatory functions under the Resource Management Act </w:t>
      </w:r>
      <w:r w:rsidR="00F20421">
        <w:t xml:space="preserve">1991 </w:t>
      </w:r>
    </w:p>
    <w:p w14:paraId="40F11C4E" w14:textId="77777777" w:rsidR="00801006" w:rsidRPr="00B510A6" w:rsidRDefault="00AB5B89" w:rsidP="00801006">
      <w:pPr>
        <w:pStyle w:val="BodyText"/>
        <w:spacing w:before="0"/>
        <w:ind w:left="397" w:hanging="397"/>
      </w:pPr>
      <w:r>
        <w:t>(</w:t>
      </w:r>
      <w:r w:rsidR="00801006" w:rsidRPr="00B510A6">
        <w:t>b</w:t>
      </w:r>
      <w:r w:rsidR="00E36942">
        <w:t>)</w:t>
      </w:r>
      <w:r w:rsidR="00801006" w:rsidRPr="00B510A6">
        <w:tab/>
        <w:t>the design and development of new regional planning provisions</w:t>
      </w:r>
      <w:r w:rsidR="00F20421">
        <w:t>,</w:t>
      </w:r>
      <w:r w:rsidR="00801006" w:rsidRPr="00B510A6">
        <w:t xml:space="preserve"> to give effect to the NPS</w:t>
      </w:r>
      <w:r w:rsidR="00673FB9" w:rsidRPr="00B510A6">
        <w:noBreakHyphen/>
      </w:r>
      <w:r w:rsidR="00801006" w:rsidRPr="00B510A6">
        <w:t xml:space="preserve">FM 2020 and to be notified by 2024 </w:t>
      </w:r>
    </w:p>
    <w:p w14:paraId="7CD7B75F" w14:textId="03CEC349" w:rsidR="00801006" w:rsidRPr="00B510A6" w:rsidRDefault="00AB5B89" w:rsidP="00801006">
      <w:pPr>
        <w:pStyle w:val="BodyText"/>
        <w:spacing w:before="0"/>
        <w:ind w:left="397" w:hanging="397"/>
      </w:pPr>
      <w:r>
        <w:t>(</w:t>
      </w:r>
      <w:r w:rsidR="00801006" w:rsidRPr="00B510A6">
        <w:t>c</w:t>
      </w:r>
      <w:r w:rsidR="00E36942">
        <w:t>)</w:t>
      </w:r>
      <w:r w:rsidR="00801006" w:rsidRPr="00B510A6">
        <w:tab/>
        <w:t xml:space="preserve">the </w:t>
      </w:r>
      <w:r w:rsidR="00FF5C65" w:rsidRPr="00B510A6">
        <w:t>longer</w:t>
      </w:r>
      <w:r w:rsidR="00FF5C65">
        <w:t>-term</w:t>
      </w:r>
      <w:r w:rsidR="00801006" w:rsidRPr="00B510A6">
        <w:t xml:space="preserve"> needs of all Overseer users </w:t>
      </w:r>
    </w:p>
    <w:p w14:paraId="4DAB6D9B" w14:textId="32D70876" w:rsidR="00801006" w:rsidRPr="00B510A6" w:rsidRDefault="00801006" w:rsidP="00801006">
      <w:pPr>
        <w:pStyle w:val="BodyText"/>
      </w:pPr>
      <w:r w:rsidRPr="00B510A6">
        <w:t xml:space="preserve">The following section sets out the Government’s response to </w:t>
      </w:r>
      <w:r w:rsidR="007A702F">
        <w:t>(</w:t>
      </w:r>
      <w:r w:rsidRPr="00B510A6">
        <w:t>a</w:t>
      </w:r>
      <w:r w:rsidR="00537CD7">
        <w:t>)</w:t>
      </w:r>
      <w:r w:rsidRPr="00B510A6">
        <w:t xml:space="preserve"> </w:t>
      </w:r>
      <w:r w:rsidR="00537CD7">
        <w:t>to</w:t>
      </w:r>
      <w:r w:rsidR="00537CD7" w:rsidRPr="00B510A6">
        <w:t xml:space="preserve"> </w:t>
      </w:r>
      <w:r w:rsidR="007A702F">
        <w:t>(</w:t>
      </w:r>
      <w:r w:rsidRPr="00B510A6">
        <w:t>c</w:t>
      </w:r>
      <w:r w:rsidR="00537CD7">
        <w:t>)</w:t>
      </w:r>
      <w:r w:rsidRPr="00B510A6">
        <w:t xml:space="preserve"> above. </w:t>
      </w:r>
    </w:p>
    <w:p w14:paraId="4498B58A" w14:textId="77777777" w:rsidR="00801006" w:rsidRPr="00B510A6" w:rsidRDefault="00801006" w:rsidP="00172E06">
      <w:pPr>
        <w:pStyle w:val="Heading2"/>
        <w:numPr>
          <w:ilvl w:val="0"/>
          <w:numId w:val="21"/>
        </w:numPr>
      </w:pPr>
      <w:bookmarkStart w:id="43" w:name="_Toc77326656"/>
      <w:bookmarkStart w:id="44" w:name="_Toc79488704"/>
      <w:r w:rsidRPr="00B510A6">
        <w:t>Ongoing implementation of planning and regulatory functions</w:t>
      </w:r>
      <w:bookmarkEnd w:id="43"/>
      <w:bookmarkEnd w:id="44"/>
    </w:p>
    <w:p w14:paraId="5767DC1B" w14:textId="1757264B" w:rsidR="00FF5C65" w:rsidRDefault="00FF5C65" w:rsidP="00FF5C65">
      <w:pPr>
        <w:pStyle w:val="BodyText"/>
      </w:pPr>
      <w:r w:rsidRPr="00CC73F2">
        <w:t xml:space="preserve">When considering the immediate issues, it is important to note that the Government has committed to support Overseer </w:t>
      </w:r>
      <w:r w:rsidR="00C94A0F" w:rsidRPr="00CC73F2">
        <w:t xml:space="preserve">(subject to regular reviews of progress) </w:t>
      </w:r>
      <w:r w:rsidRPr="00CC73F2">
        <w:t>to ensure that the model remains available for use as required by existing plans and consents (and to preserve options for model redevelopment as discussed further below).</w:t>
      </w:r>
    </w:p>
    <w:p w14:paraId="16D048B9" w14:textId="0371C377" w:rsidR="00FF5C65" w:rsidRDefault="00FF5C65" w:rsidP="00FF5C65">
      <w:pPr>
        <w:pStyle w:val="BodyText"/>
      </w:pPr>
      <w:r>
        <w:t>There is an important distinction between the use of Overseer to model nitrate leaching and the use of Overseer to model loss of all species of nitrogen. Although the Review Report expresses a lack of confidence of Overseer’s nitrogen modelling generally, many of its concerns are based on the model’s focus on nitrate-nitrogen and inadequate representation of overland flows and drainage. This suggests that where the dominant form of nitrogen loss is not nitrate leaching, councils will need to use all available information and be careful not to rely solely on Overseer modelling for their understanding of total nitrogen losses.</w:t>
      </w:r>
    </w:p>
    <w:p w14:paraId="31794DFE" w14:textId="2E268530" w:rsidR="00801006" w:rsidRPr="00B510A6" w:rsidRDefault="00801006" w:rsidP="00797AC1">
      <w:pPr>
        <w:pStyle w:val="Heading3"/>
        <w:spacing w:before="240"/>
      </w:pPr>
      <w:r w:rsidRPr="00B510A6">
        <w:t>Existing resource consents and applications yet to be made</w:t>
      </w:r>
    </w:p>
    <w:p w14:paraId="15B1E178" w14:textId="58E17617" w:rsidR="00801006" w:rsidRPr="00B510A6" w:rsidRDefault="00801006" w:rsidP="00801006">
      <w:pPr>
        <w:pStyle w:val="BodyText"/>
      </w:pPr>
      <w:r w:rsidRPr="00B510A6">
        <w:t>Overseer is embedded in the daily work of many regional councils and resource users (particularly resource consent holders in catchments subject to nitrogen-leaching limits). In</w:t>
      </w:r>
      <w:r w:rsidR="00F7706B">
        <w:t> </w:t>
      </w:r>
      <w:r w:rsidRPr="00B510A6">
        <w:t>some cases, operative regional plan rules already require resource consents with Overseer ‘N</w:t>
      </w:r>
      <w:r w:rsidR="00E043E6" w:rsidRPr="00B510A6">
        <w:noBreakHyphen/>
      </w:r>
      <w:r w:rsidRPr="00B510A6">
        <w:t xml:space="preserve">loss’ </w:t>
      </w:r>
      <w:r w:rsidR="00FF5C65">
        <w:t>numeric limits</w:t>
      </w:r>
      <w:r w:rsidRPr="00B510A6">
        <w:t xml:space="preserve"> for various rural land uses and associated diffuse nutrient discharges. Many</w:t>
      </w:r>
      <w:r w:rsidR="00F7706B">
        <w:t> </w:t>
      </w:r>
      <w:r w:rsidRPr="00B510A6">
        <w:t>consents have already been granted. Others are being applied for (or soon will be) by</w:t>
      </w:r>
      <w:r w:rsidR="00F7706B">
        <w:t> </w:t>
      </w:r>
      <w:r w:rsidRPr="00B510A6">
        <w:t xml:space="preserve">applicants. Those existing resource consents must be </w:t>
      </w:r>
      <w:proofErr w:type="gramStart"/>
      <w:r w:rsidRPr="00B510A6">
        <w:t>administered</w:t>
      </w:r>
      <w:proofErr w:type="gramEnd"/>
      <w:r w:rsidRPr="00B510A6">
        <w:t xml:space="preserve"> and new applications processed by councils as the consent authority. The </w:t>
      </w:r>
      <w:r w:rsidR="00FF5C65">
        <w:t>Review R</w:t>
      </w:r>
      <w:r w:rsidRPr="00B510A6">
        <w:t>eport does not change that.</w:t>
      </w:r>
    </w:p>
    <w:p w14:paraId="6423640D" w14:textId="4AA1E5B4" w:rsidR="00801006" w:rsidRPr="00B510A6" w:rsidRDefault="00801006" w:rsidP="00801006">
      <w:pPr>
        <w:pStyle w:val="BodyText"/>
      </w:pPr>
      <w:r w:rsidRPr="00B510A6">
        <w:t xml:space="preserve">It is important that regional councils continue to implement their plans, administer existing </w:t>
      </w:r>
      <w:proofErr w:type="gramStart"/>
      <w:r w:rsidRPr="00B510A6">
        <w:t>consents</w:t>
      </w:r>
      <w:proofErr w:type="gramEnd"/>
      <w:r w:rsidRPr="00B510A6">
        <w:t xml:space="preserve"> and process new consents in a manner that promotes the objectives and policies of those plans despite the issues raised by the Panel’s report. The Government is aware that </w:t>
      </w:r>
      <w:r w:rsidR="00FF5C65">
        <w:t xml:space="preserve">there are </w:t>
      </w:r>
      <w:r w:rsidRPr="00B510A6">
        <w:t xml:space="preserve">challenges in doing so and will work with the most affected regional councils to develop guidance material. Some </w:t>
      </w:r>
      <w:r w:rsidR="00636CB4">
        <w:t>material</w:t>
      </w:r>
      <w:r w:rsidRPr="00B510A6">
        <w:t xml:space="preserve"> will be generically applicable to all regional councils that use Overseer in a regulatory </w:t>
      </w:r>
      <w:proofErr w:type="gramStart"/>
      <w:r w:rsidRPr="00B510A6">
        <w:t>context</w:t>
      </w:r>
      <w:proofErr w:type="gramEnd"/>
      <w:r w:rsidRPr="00B510A6">
        <w:t xml:space="preserve"> but some will be bespoke to specific councils, recognising the particular characteristics and requirements of individual regional plans.</w:t>
      </w:r>
    </w:p>
    <w:p w14:paraId="3CC22E0D" w14:textId="77777777" w:rsidR="000B2146" w:rsidRPr="00B510A6" w:rsidRDefault="00801006" w:rsidP="00801006">
      <w:pPr>
        <w:pStyle w:val="BodyText"/>
      </w:pPr>
      <w:r w:rsidRPr="00B510A6">
        <w:t>While the detail of that guidance is to be determined in collaboration with regional councils, it will focus on the following general principles</w:t>
      </w:r>
      <w:r w:rsidR="004B4FA9">
        <w:t>.</w:t>
      </w:r>
    </w:p>
    <w:p w14:paraId="006D6EB6" w14:textId="3165237B" w:rsidR="00AF2079" w:rsidRDefault="00AF2079" w:rsidP="00AF2079">
      <w:pPr>
        <w:pStyle w:val="Bullet"/>
      </w:pPr>
      <w:r w:rsidRPr="00B510A6">
        <w:lastRenderedPageBreak/>
        <w:t xml:space="preserve">Where opportunities exist to use </w:t>
      </w:r>
      <w:r w:rsidR="00FF5C65">
        <w:t xml:space="preserve">additional data, </w:t>
      </w:r>
      <w:r w:rsidRPr="00B510A6">
        <w:t xml:space="preserve">alternative modelling or for control to be exercised using means not dependent on Overseer, those opportunities should be </w:t>
      </w:r>
      <w:r w:rsidR="00FF5C65">
        <w:t xml:space="preserve">considered in addition to, or as an alternative to, </w:t>
      </w:r>
      <w:r w:rsidRPr="00B510A6">
        <w:t>Overseer modelling.</w:t>
      </w:r>
      <w:r w:rsidR="00FF5C65">
        <w:t xml:space="preserve"> This will be particularly important where landscape factors and other evidence suggests that nitrate-nitrogen is not the dominant species of nitrogen loss at the farm and/or catchment scale.</w:t>
      </w:r>
    </w:p>
    <w:p w14:paraId="100F0239" w14:textId="5E65221E" w:rsidR="003269F5" w:rsidRDefault="003269F5" w:rsidP="00AF2079">
      <w:pPr>
        <w:pStyle w:val="Bullet"/>
      </w:pPr>
      <w:r>
        <w:t xml:space="preserve">As discussed in section 5, it is likely that Overseer </w:t>
      </w:r>
      <w:r w:rsidR="00E82A06">
        <w:t xml:space="preserve">could </w:t>
      </w:r>
      <w:r>
        <w:t>be redeveloped to improve the confidence we can have in its nitrate loss modelling; accordingly, consents issued should provide for the future potential use of a redeveloped model to the extent possible given the scope of existing plan provisions.</w:t>
      </w:r>
    </w:p>
    <w:p w14:paraId="2D3EE9A3" w14:textId="18073E70" w:rsidR="003269F5" w:rsidRPr="00B510A6" w:rsidRDefault="003269F5" w:rsidP="003269F5">
      <w:pPr>
        <w:pStyle w:val="Bullet"/>
      </w:pPr>
      <w:r>
        <w:t xml:space="preserve">In the period before any redevelopment of Overseer, councils are </w:t>
      </w:r>
      <w:r w:rsidRPr="003269F5">
        <w:t>legally obliged to implement the provisions of their regional plans and resource consents. These statutory documents may not allow alternative approaches to be adopted. However, to the extent that existing plans and consents allow:</w:t>
      </w:r>
    </w:p>
    <w:p w14:paraId="013CE243" w14:textId="18073E70" w:rsidR="00AF2079" w:rsidRPr="003269F5" w:rsidRDefault="00AF2079" w:rsidP="003269F5">
      <w:pPr>
        <w:pStyle w:val="Sub-list"/>
        <w:numPr>
          <w:ilvl w:val="1"/>
          <w:numId w:val="14"/>
        </w:numPr>
        <w:ind w:left="794" w:hanging="397"/>
      </w:pPr>
      <w:r w:rsidRPr="003269F5">
        <w:t>Councils should</w:t>
      </w:r>
      <w:r w:rsidR="003269F5" w:rsidRPr="003269F5">
        <w:t xml:space="preserve"> use all available tools/data and</w:t>
      </w:r>
      <w:r w:rsidRPr="003269F5">
        <w:t xml:space="preserve"> be cautious in placing too much emphasis on Overseer modelling as a means of exercising control through the imposition of consent conditions or in any compliance and enforcement context.</w:t>
      </w:r>
      <w:r w:rsidR="003269F5" w:rsidRPr="003269F5">
        <w:t xml:space="preserve"> Conditions placed on any new consents should allow for compliance to be demonstrated using ‘multiple lines of evidence’</w:t>
      </w:r>
    </w:p>
    <w:p w14:paraId="17C0C2EA" w14:textId="3D8CEAC2" w:rsidR="00E043E6" w:rsidRPr="003269F5" w:rsidRDefault="003269F5" w:rsidP="003269F5">
      <w:pPr>
        <w:pStyle w:val="Sub-list"/>
        <w:numPr>
          <w:ilvl w:val="1"/>
          <w:numId w:val="14"/>
        </w:numPr>
        <w:ind w:left="794" w:hanging="397"/>
      </w:pPr>
      <w:r w:rsidRPr="003269F5">
        <w:t>compliance to be demonstrated with existing plans and consent conditions using a ‘best information available’ approach should be considered in addition to Overseer modelling where plans and consents allow for such an approach. In that regard, the body of science on which Overseer is, in part, based will be relevant to consider and apply as appropriate to the context</w:t>
      </w:r>
      <w:r w:rsidR="00453146" w:rsidRPr="003269F5">
        <w:rPr>
          <w:vertAlign w:val="superscript"/>
        </w:rPr>
        <w:footnoteReference w:id="11"/>
      </w:r>
      <w:r w:rsidR="00797AC1" w:rsidRPr="003269F5">
        <w:t xml:space="preserve"> </w:t>
      </w:r>
    </w:p>
    <w:p w14:paraId="59024E2D" w14:textId="77777777" w:rsidR="0053595E" w:rsidRPr="00B510A6" w:rsidRDefault="0053595E" w:rsidP="0053595E">
      <w:pPr>
        <w:pStyle w:val="BodyText"/>
      </w:pPr>
      <w:r w:rsidRPr="00B510A6">
        <w:t xml:space="preserve">These principles </w:t>
      </w:r>
      <w:proofErr w:type="gramStart"/>
      <w:r w:rsidRPr="00B510A6">
        <w:t>are considered to be</w:t>
      </w:r>
      <w:proofErr w:type="gramEnd"/>
      <w:r w:rsidRPr="00B510A6">
        <w:t xml:space="preserve"> consistent with treating Overseer modelled estimates as providing a coarse representation of nitrogen leaching only.</w:t>
      </w:r>
    </w:p>
    <w:p w14:paraId="487E0A9F" w14:textId="77777777" w:rsidR="0053595E" w:rsidRPr="00B510A6" w:rsidRDefault="0053595E" w:rsidP="00797AC1">
      <w:pPr>
        <w:pStyle w:val="Heading3"/>
      </w:pPr>
      <w:r w:rsidRPr="00B510A6">
        <w:t>Administering existing resource consents after a new tool becomes</w:t>
      </w:r>
      <w:r w:rsidR="00797AC1" w:rsidRPr="00B510A6">
        <w:t> </w:t>
      </w:r>
      <w:r w:rsidRPr="00B510A6">
        <w:t>available</w:t>
      </w:r>
    </w:p>
    <w:p w14:paraId="266A5812" w14:textId="77777777" w:rsidR="0053595E" w:rsidRPr="00B510A6" w:rsidRDefault="0053595E" w:rsidP="0053595E">
      <w:pPr>
        <w:pStyle w:val="BodyText"/>
      </w:pPr>
      <w:r w:rsidRPr="00B510A6">
        <w:t xml:space="preserve">When a new tool </w:t>
      </w:r>
      <w:r w:rsidR="000C7BA1">
        <w:t>(</w:t>
      </w:r>
      <w:r w:rsidRPr="00B510A6">
        <w:t>or tools</w:t>
      </w:r>
      <w:r w:rsidR="000C7BA1">
        <w:t>)</w:t>
      </w:r>
      <w:r w:rsidRPr="00B510A6">
        <w:t xml:space="preserve"> become</w:t>
      </w:r>
      <w:r w:rsidR="000C7BA1">
        <w:t>s</w:t>
      </w:r>
      <w:r w:rsidRPr="00B510A6">
        <w:t xml:space="preserve"> available (see </w:t>
      </w:r>
      <w:hyperlink w:anchor="_The_way_forward" w:history="1">
        <w:r w:rsidR="00DE0E33" w:rsidRPr="00423CF8">
          <w:rPr>
            <w:rStyle w:val="Hyperlink"/>
          </w:rPr>
          <w:t>s</w:t>
        </w:r>
        <w:r w:rsidRPr="00423CF8">
          <w:rPr>
            <w:rStyle w:val="Hyperlink"/>
          </w:rPr>
          <w:t>ection 5</w:t>
        </w:r>
      </w:hyperlink>
      <w:r w:rsidRPr="00B510A6">
        <w:t xml:space="preserve">), consents may need to be updated to ensure those tools can be applied and consents can be complied with, monitored and enforced. While reviews of consent conditions under section 128 of the </w:t>
      </w:r>
      <w:r w:rsidR="003A208A" w:rsidRPr="00B510A6">
        <w:t xml:space="preserve">Resource Management Act </w:t>
      </w:r>
      <w:r w:rsidR="003A208A">
        <w:t>1991</w:t>
      </w:r>
      <w:r w:rsidRPr="00B510A6">
        <w:t xml:space="preserve"> are an option, a more efficient and effective mechanism may be required. This will be a matter that is considered as part of the resource management legislative reform programme.</w:t>
      </w:r>
    </w:p>
    <w:p w14:paraId="58C16A01" w14:textId="77777777" w:rsidR="0053595E" w:rsidRPr="00B510A6" w:rsidRDefault="0053595E" w:rsidP="00797AC1">
      <w:pPr>
        <w:pStyle w:val="Heading3"/>
      </w:pPr>
      <w:r w:rsidRPr="00B510A6">
        <w:t>Implementing the National Environmental Standards for</w:t>
      </w:r>
      <w:r w:rsidR="00673FB9" w:rsidRPr="00B510A6">
        <w:t> </w:t>
      </w:r>
      <w:r w:rsidRPr="00B510A6">
        <w:t>Freshwater</w:t>
      </w:r>
    </w:p>
    <w:p w14:paraId="0F0C7C70" w14:textId="327587D8" w:rsidR="0053595E" w:rsidRPr="00B510A6" w:rsidRDefault="0053595E" w:rsidP="0053595E">
      <w:pPr>
        <w:pStyle w:val="BodyText"/>
      </w:pPr>
      <w:r w:rsidRPr="00B510A6">
        <w:t xml:space="preserve">The NES-F regulate, among other things, specific forms of agricultural intensification and the application of synthetic nitrogen fertiliser. </w:t>
      </w:r>
    </w:p>
    <w:p w14:paraId="6D0E8085" w14:textId="61E935F8" w:rsidR="00AF2079" w:rsidRPr="00B510A6" w:rsidRDefault="0053595E" w:rsidP="0053595E">
      <w:pPr>
        <w:pStyle w:val="BodyText"/>
      </w:pPr>
      <w:r w:rsidRPr="00B510A6">
        <w:lastRenderedPageBreak/>
        <w:t xml:space="preserve">The NES-F state that where a consent is required for agricultural intensification, consent will only be granted if the applicant can </w:t>
      </w:r>
      <w:r w:rsidR="00B27277">
        <w:t>show</w:t>
      </w:r>
      <w:r w:rsidR="00B27277" w:rsidRPr="00B510A6">
        <w:t xml:space="preserve"> </w:t>
      </w:r>
      <w:r w:rsidRPr="00B510A6">
        <w:t>that the activity will not result in an increase in:</w:t>
      </w:r>
    </w:p>
    <w:p w14:paraId="6065521F" w14:textId="77777777" w:rsidR="00712488" w:rsidRPr="00B510A6" w:rsidRDefault="00712488" w:rsidP="00712488">
      <w:pPr>
        <w:pStyle w:val="Bullet"/>
      </w:pPr>
      <w:r w:rsidRPr="00B510A6">
        <w:t>contaminant</w:t>
      </w:r>
      <w:r w:rsidR="00860862" w:rsidRPr="00B510A6">
        <w:rPr>
          <w:rStyle w:val="FootnoteReference"/>
        </w:rPr>
        <w:footnoteReference w:id="12"/>
      </w:r>
      <w:r w:rsidRPr="00B510A6">
        <w:t xml:space="preserve"> loads in the catchment, compared with the loads as at the close of 2</w:t>
      </w:r>
      <w:r w:rsidR="000D7A89">
        <w:t> </w:t>
      </w:r>
      <w:r w:rsidRPr="00B510A6">
        <w:t>September 2020</w:t>
      </w:r>
    </w:p>
    <w:p w14:paraId="2A0C4701" w14:textId="77777777" w:rsidR="0053595E" w:rsidRPr="00B510A6" w:rsidRDefault="00712488" w:rsidP="00712488">
      <w:pPr>
        <w:pStyle w:val="Bullet"/>
      </w:pPr>
      <w:r w:rsidRPr="00B510A6">
        <w:t>concentrations of contaminants in fresh</w:t>
      </w:r>
      <w:r w:rsidR="00C10711">
        <w:t xml:space="preserve"> </w:t>
      </w:r>
      <w:r w:rsidRPr="00B510A6">
        <w:t>water or other receiving environments (including the coastal marine area and geothermal water), compared with the concentrations as at the close of 2 September 2020.</w:t>
      </w:r>
    </w:p>
    <w:p w14:paraId="340CBFBD" w14:textId="77777777" w:rsidR="005D05BD" w:rsidRPr="00B510A6" w:rsidRDefault="005D05BD" w:rsidP="005D05BD">
      <w:pPr>
        <w:pStyle w:val="BodyText"/>
      </w:pPr>
      <w:r w:rsidRPr="00B510A6">
        <w:t>Similarly, where an applicant seeks consent to apply more than 190 kilograms of nitrogen per hectare per year (kg N/ha/</w:t>
      </w:r>
      <w:proofErr w:type="spellStart"/>
      <w:r w:rsidRPr="00B510A6">
        <w:t>yr</w:t>
      </w:r>
      <w:proofErr w:type="spellEnd"/>
      <w:r w:rsidRPr="00B510A6">
        <w:t xml:space="preserve">) they need to </w:t>
      </w:r>
      <w:r w:rsidR="004B5A33">
        <w:t>show</w:t>
      </w:r>
      <w:r w:rsidR="004B5A33" w:rsidRPr="00B510A6">
        <w:t xml:space="preserve"> </w:t>
      </w:r>
      <w:r w:rsidRPr="00B510A6">
        <w:t>that the amount of nitrogen leaching to water would be no greater than would occur if the 190</w:t>
      </w:r>
      <w:r w:rsidR="003F4EB3">
        <w:t> </w:t>
      </w:r>
      <w:r w:rsidRPr="00B510A6">
        <w:t>kg N/ha/</w:t>
      </w:r>
      <w:proofErr w:type="spellStart"/>
      <w:r w:rsidRPr="00B510A6">
        <w:t>yr</w:t>
      </w:r>
      <w:proofErr w:type="spellEnd"/>
      <w:r w:rsidRPr="00B510A6">
        <w:t xml:space="preserve"> limit was met.</w:t>
      </w:r>
    </w:p>
    <w:p w14:paraId="68248F59" w14:textId="30BCDFDD" w:rsidR="005D05BD" w:rsidRPr="00B510A6" w:rsidRDefault="005D05BD" w:rsidP="005D05BD">
      <w:pPr>
        <w:pStyle w:val="BodyText"/>
      </w:pPr>
      <w:r w:rsidRPr="00B510A6">
        <w:t>Although not specifically required by the NES-F, an Overseer report and nutrient budget</w:t>
      </w:r>
      <w:r w:rsidR="003269F5">
        <w:t>s</w:t>
      </w:r>
      <w:r w:rsidRPr="00B510A6">
        <w:t xml:space="preserve"> comparing the ‘before and after’ scenarios would generally have been </w:t>
      </w:r>
      <w:r w:rsidR="003269F5">
        <w:t xml:space="preserve">expected </w:t>
      </w:r>
      <w:r w:rsidRPr="00B510A6">
        <w:t>to support applications for land-use intensification or for those exceeding the 190</w:t>
      </w:r>
      <w:r w:rsidR="00360F3E">
        <w:t> </w:t>
      </w:r>
      <w:r w:rsidRPr="00B510A6">
        <w:t>kg N/ha/</w:t>
      </w:r>
      <w:proofErr w:type="spellStart"/>
      <w:r w:rsidRPr="00B510A6">
        <w:t>yr</w:t>
      </w:r>
      <w:proofErr w:type="spellEnd"/>
      <w:r w:rsidRPr="00B510A6">
        <w:t xml:space="preserve"> fertiliser limit.</w:t>
      </w:r>
    </w:p>
    <w:p w14:paraId="5D9C336E" w14:textId="69360DCF" w:rsidR="005D05BD" w:rsidRPr="00B510A6" w:rsidRDefault="005D05BD" w:rsidP="005D05BD">
      <w:pPr>
        <w:pStyle w:val="BodyText"/>
      </w:pPr>
      <w:r w:rsidRPr="00B510A6">
        <w:t>Given the Review Report findings, the use of the Overseer model alone for this purpose will not provide sufficient certainty that the relevant requirements of the NES-F are satisfied. As discussed in the context of resource consents under regional plans, additional evidence based on accepted science will be needed to corroborate any Overseer modelling where used in association with applications made under the NES-F.</w:t>
      </w:r>
      <w:r w:rsidR="00921B98">
        <w:t xml:space="preserve"> </w:t>
      </w:r>
      <w:r w:rsidR="00921B98" w:rsidRPr="0058473F">
        <w:t>Once</w:t>
      </w:r>
      <w:r w:rsidR="00797AC1" w:rsidRPr="0058473F">
        <w:t xml:space="preserve"> </w:t>
      </w:r>
      <w:r w:rsidR="000E43C2" w:rsidRPr="0058473F">
        <w:t>Overseer has been redeveloped or an</w:t>
      </w:r>
      <w:r w:rsidR="0058473F" w:rsidRPr="0058473F">
        <w:t xml:space="preserve"> improved</w:t>
      </w:r>
      <w:r w:rsidR="000E43C2" w:rsidRPr="0058473F">
        <w:t xml:space="preserve"> alternative</w:t>
      </w:r>
      <w:r w:rsidR="00921B98" w:rsidRPr="0058473F">
        <w:t xml:space="preserve"> </w:t>
      </w:r>
      <w:r w:rsidR="000E43C2" w:rsidRPr="0058473F">
        <w:t>tool is available, these should be used in preference to the current Overseer model.</w:t>
      </w:r>
      <w:r w:rsidR="000E43C2" w:rsidRPr="001B1840">
        <w:t xml:space="preserve"> Further detail on how applicants might approach the provision of such evidence will be set out in specific advisory notes for regional councils provided by MfE</w:t>
      </w:r>
      <w:r w:rsidRPr="00B510A6">
        <w:t>.</w:t>
      </w:r>
    </w:p>
    <w:p w14:paraId="4C6DE498" w14:textId="77777777" w:rsidR="005D05BD" w:rsidRPr="00B510A6" w:rsidRDefault="005D05BD" w:rsidP="00172E06">
      <w:pPr>
        <w:pStyle w:val="Heading2"/>
        <w:numPr>
          <w:ilvl w:val="0"/>
          <w:numId w:val="21"/>
        </w:numPr>
      </w:pPr>
      <w:bookmarkStart w:id="45" w:name="_Toc77326657"/>
      <w:bookmarkStart w:id="46" w:name="_Toc79488705"/>
      <w:r w:rsidRPr="00B510A6">
        <w:t>Developing regional plans to meet the</w:t>
      </w:r>
      <w:r w:rsidR="003E01F5" w:rsidRPr="00B510A6">
        <w:br/>
      </w:r>
      <w:r w:rsidRPr="00B510A6">
        <w:t>NPS-FM deadlines</w:t>
      </w:r>
      <w:bookmarkEnd w:id="45"/>
      <w:bookmarkEnd w:id="46"/>
    </w:p>
    <w:p w14:paraId="2EE768B2" w14:textId="77777777" w:rsidR="005D05BD" w:rsidRPr="00B510A6" w:rsidRDefault="005D05BD" w:rsidP="00797AC1">
      <w:pPr>
        <w:pStyle w:val="Heading3"/>
        <w:spacing w:before="240"/>
      </w:pPr>
      <w:r w:rsidRPr="00B510A6">
        <w:t>Catchment modelling for 2024 regional plans</w:t>
      </w:r>
      <w:r w:rsidR="00431BB1">
        <w:t xml:space="preserve"> and </w:t>
      </w:r>
      <w:r w:rsidRPr="00B510A6">
        <w:t>plan changes</w:t>
      </w:r>
    </w:p>
    <w:p w14:paraId="7EA84775" w14:textId="3DD8A727" w:rsidR="00712488" w:rsidRPr="00B510A6" w:rsidRDefault="005D05BD" w:rsidP="005D05BD">
      <w:pPr>
        <w:pStyle w:val="BodyText"/>
      </w:pPr>
      <w:r w:rsidRPr="00B510A6">
        <w:t>To meet the 2024 deadline for developing new plans or modifying existing plans to give effect to the NPS-FM, most regional councils have started or completed catchment-modelling processes or will do so within the next 12 months. Some councils will have used or w</w:t>
      </w:r>
      <w:r w:rsidR="00921B98">
        <w:t>ould be</w:t>
      </w:r>
      <w:r w:rsidRPr="00B510A6">
        <w:t xml:space="preserve"> planning to use Overseer modelling as part of these processes. This may be to understand the sectoral source of contaminant loads and the cumulative effects in catchment loads of different farm-scale mitigation options.</w:t>
      </w:r>
      <w:r w:rsidR="00797AC1" w:rsidRPr="00B510A6">
        <w:t xml:space="preserve"> </w:t>
      </w:r>
    </w:p>
    <w:p w14:paraId="18CA48B2" w14:textId="77777777" w:rsidR="00E1743C" w:rsidRPr="00B510A6" w:rsidRDefault="00E1743C" w:rsidP="00E1743C">
      <w:pPr>
        <w:pStyle w:val="BodyText"/>
      </w:pPr>
      <w:r w:rsidRPr="00B510A6">
        <w:t>The availability of alternatives to Overseer in catchment modelling (for example, APSIM)</w:t>
      </w:r>
      <w:r w:rsidRPr="00B510A6">
        <w:rPr>
          <w:rStyle w:val="FootnoteReference"/>
        </w:rPr>
        <w:footnoteReference w:id="13"/>
      </w:r>
      <w:r w:rsidRPr="00B510A6">
        <w:t xml:space="preserve"> is understood to be severely limited because of capacity and capability constraints</w:t>
      </w:r>
      <w:r w:rsidR="00AF1C74">
        <w:t>,</w:t>
      </w:r>
      <w:r w:rsidRPr="00B510A6">
        <w:t xml:space="preserve"> </w:t>
      </w:r>
      <w:r w:rsidR="00F06FCD">
        <w:t>because</w:t>
      </w:r>
      <w:r w:rsidRPr="00B510A6">
        <w:t xml:space="preserve"> the use of these models requires specialist expertise.</w:t>
      </w:r>
      <w:r w:rsidR="00797AC1" w:rsidRPr="00B510A6">
        <w:t xml:space="preserve"> </w:t>
      </w:r>
    </w:p>
    <w:p w14:paraId="23538B70" w14:textId="77777777" w:rsidR="00252018" w:rsidRPr="00B510A6" w:rsidRDefault="00252018" w:rsidP="00252018">
      <w:pPr>
        <w:pStyle w:val="BodyText"/>
      </w:pPr>
      <w:r w:rsidRPr="00B510A6">
        <w:lastRenderedPageBreak/>
        <w:t>Continued use of Overseer to inform catchment modelling and to develop plans in the pre</w:t>
      </w:r>
      <w:r w:rsidR="004200EC">
        <w:noBreakHyphen/>
      </w:r>
      <w:r w:rsidRPr="00B510A6">
        <w:t>2024 period will be necessary. This use is considered an appropriate interim approach because catchment modelling:</w:t>
      </w:r>
    </w:p>
    <w:p w14:paraId="5719190F" w14:textId="77777777" w:rsidR="00252018" w:rsidRPr="00B510A6" w:rsidRDefault="00252018" w:rsidP="00252018">
      <w:pPr>
        <w:pStyle w:val="Bullet"/>
      </w:pPr>
      <w:r w:rsidRPr="00B510A6">
        <w:t>involves a high level of uncertainty</w:t>
      </w:r>
    </w:p>
    <w:p w14:paraId="78E33853" w14:textId="77777777" w:rsidR="00252018" w:rsidRPr="00B510A6" w:rsidRDefault="00252018" w:rsidP="00252018">
      <w:pPr>
        <w:pStyle w:val="Bullet"/>
      </w:pPr>
      <w:r w:rsidRPr="00B510A6">
        <w:t>does not require the same level of granularity in relation to nutrient-loss estimates as is required for property-scale limit-setting or consenting purposes</w:t>
      </w:r>
    </w:p>
    <w:p w14:paraId="3FF4CD3A" w14:textId="6BB6BBC8" w:rsidR="00252018" w:rsidRPr="00B510A6" w:rsidRDefault="00252018" w:rsidP="00252018">
      <w:pPr>
        <w:pStyle w:val="Bullet"/>
      </w:pPr>
      <w:r w:rsidRPr="00B510A6">
        <w:t xml:space="preserve">will not </w:t>
      </w:r>
      <w:r w:rsidR="00E23B35">
        <w:t xml:space="preserve">(necessarily) </w:t>
      </w:r>
      <w:r w:rsidRPr="00B510A6">
        <w:t>directly translate to regulated nitrogen-loss limits at the property</w:t>
      </w:r>
      <w:r w:rsidR="004200EC">
        <w:t xml:space="preserve"> </w:t>
      </w:r>
      <w:r w:rsidRPr="00B510A6">
        <w:t>scale.</w:t>
      </w:r>
    </w:p>
    <w:p w14:paraId="2D71F453" w14:textId="6B3FD5C8" w:rsidR="005D05BD" w:rsidRPr="00B510A6" w:rsidRDefault="00252018" w:rsidP="00252018">
      <w:pPr>
        <w:pStyle w:val="BodyText"/>
      </w:pPr>
      <w:r w:rsidRPr="00B510A6">
        <w:t>Even so,</w:t>
      </w:r>
      <w:r w:rsidR="00E23B35">
        <w:t xml:space="preserve"> when deciding whether or how</w:t>
      </w:r>
      <w:r w:rsidRPr="00B510A6">
        <w:t xml:space="preserve"> </w:t>
      </w:r>
      <w:r w:rsidR="00E23B35">
        <w:t xml:space="preserve">to </w:t>
      </w:r>
      <w:r w:rsidRPr="00B510A6">
        <w:t xml:space="preserve">use Overseer to inform catchment modelling </w:t>
      </w:r>
      <w:r w:rsidR="00E23B35">
        <w:t xml:space="preserve">and </w:t>
      </w:r>
      <w:r w:rsidRPr="00B510A6">
        <w:t xml:space="preserve">to develop </w:t>
      </w:r>
      <w:r w:rsidR="0036172A">
        <w:t xml:space="preserve">or amend </w:t>
      </w:r>
      <w:r w:rsidRPr="00B510A6">
        <w:t>plans before 2024</w:t>
      </w:r>
      <w:r w:rsidR="00E23B35">
        <w:t>, councils may need to consider the following:</w:t>
      </w:r>
    </w:p>
    <w:p w14:paraId="775BF00D" w14:textId="476D506F" w:rsidR="00E23B35" w:rsidRDefault="007A702F" w:rsidP="00E23B35">
      <w:pPr>
        <w:pStyle w:val="BodyText"/>
        <w:spacing w:before="0"/>
        <w:ind w:left="397" w:hanging="397"/>
      </w:pPr>
      <w:r>
        <w:t>(</w:t>
      </w:r>
      <w:r w:rsidR="00004C78" w:rsidRPr="00B510A6">
        <w:t>a</w:t>
      </w:r>
      <w:r w:rsidR="001C65B5">
        <w:t>)</w:t>
      </w:r>
      <w:bookmarkStart w:id="47" w:name="_Toc77078053"/>
      <w:bookmarkStart w:id="48" w:name="_Toc77171890"/>
      <w:r w:rsidR="00E23B35" w:rsidRPr="00E23B35">
        <w:t xml:space="preserve"> </w:t>
      </w:r>
      <w:r w:rsidR="0036172A">
        <w:tab/>
      </w:r>
      <w:r w:rsidR="00E23B35">
        <w:t>Whether there are other models or data platforms that can generate the required farm-level nitrogen loss information, as an alternative to or to strengthen Overseer simulations, in the timeframes in which it is required.</w:t>
      </w:r>
    </w:p>
    <w:p w14:paraId="1D15088D" w14:textId="20ACA468" w:rsidR="00E23B35" w:rsidRDefault="00E23B35" w:rsidP="00E23B35">
      <w:pPr>
        <w:pStyle w:val="BodyText"/>
        <w:spacing w:before="0"/>
        <w:ind w:left="397" w:hanging="397"/>
      </w:pPr>
      <w:r>
        <w:t>b)</w:t>
      </w:r>
      <w:r w:rsidR="00532605">
        <w:tab/>
      </w:r>
      <w:r>
        <w:t xml:space="preserve">Whether Overseer estimates can be subjected to expert review and sense-testing using multiple lines of evidence (for example, augmented by other models and/or expert judgment) to build confidence in modelling outputs before they are used in catchment modelling. </w:t>
      </w:r>
    </w:p>
    <w:p w14:paraId="4AF5DD5E" w14:textId="459F5732" w:rsidR="00E23B35" w:rsidRDefault="00E23B35" w:rsidP="00E23B35">
      <w:pPr>
        <w:pStyle w:val="BodyText"/>
        <w:spacing w:before="0"/>
        <w:ind w:left="397" w:hanging="397"/>
      </w:pPr>
      <w:r>
        <w:t>c)</w:t>
      </w:r>
      <w:r w:rsidR="00532605">
        <w:tab/>
      </w:r>
      <w:r>
        <w:t>Whether the level of uncertainty associated with Overseer model estimates is acceptably low given:</w:t>
      </w:r>
    </w:p>
    <w:p w14:paraId="553A3850" w14:textId="36CD6FCB" w:rsidR="00E23B35" w:rsidRDefault="00E23B35" w:rsidP="00E23B35">
      <w:pPr>
        <w:pStyle w:val="BodyText"/>
        <w:spacing w:before="0"/>
        <w:ind w:left="794" w:hanging="397"/>
      </w:pPr>
      <w:r>
        <w:t>(i)</w:t>
      </w:r>
      <w:r>
        <w:tab/>
        <w:t>the drainage characteristics of the land and the dominant form of nitrogen in the catchment</w:t>
      </w:r>
    </w:p>
    <w:p w14:paraId="41C141E3" w14:textId="77777777" w:rsidR="00E23B35" w:rsidRDefault="00E23B35" w:rsidP="00E23B35">
      <w:pPr>
        <w:pStyle w:val="BodyText"/>
        <w:spacing w:before="0"/>
        <w:ind w:left="794" w:hanging="397"/>
      </w:pPr>
      <w:r>
        <w:t>(ii)</w:t>
      </w:r>
      <w:r>
        <w:tab/>
        <w:t>the end use of the catchment modelling results.</w:t>
      </w:r>
    </w:p>
    <w:p w14:paraId="3AACE973" w14:textId="77777777" w:rsidR="00E23B35" w:rsidRDefault="00E23B35" w:rsidP="00E23B35">
      <w:pPr>
        <w:pStyle w:val="BodyText"/>
        <w:spacing w:before="0"/>
        <w:ind w:left="397" w:hanging="397"/>
      </w:pPr>
    </w:p>
    <w:p w14:paraId="2910532C" w14:textId="2E096D25" w:rsidR="003E01F5" w:rsidRPr="00B510A6" w:rsidRDefault="003E01F5" w:rsidP="00E23B35">
      <w:pPr>
        <w:pStyle w:val="Heading3"/>
        <w:spacing w:before="240"/>
      </w:pPr>
      <w:r w:rsidRPr="00B510A6">
        <w:t>Availability of fit-for-purpose tool(s)</w:t>
      </w:r>
      <w:bookmarkEnd w:id="47"/>
      <w:bookmarkEnd w:id="48"/>
    </w:p>
    <w:p w14:paraId="725399DF" w14:textId="77777777" w:rsidR="003E01F5" w:rsidRDefault="003E01F5" w:rsidP="003E01F5">
      <w:pPr>
        <w:pStyle w:val="BodyText"/>
      </w:pPr>
      <w:r w:rsidRPr="00B510A6">
        <w:t>The Government is committed to having a reliable and practical tool or tools to ensure regional councils and resource users can effectively manage nutrient discharges as part of their new regional plans.</w:t>
      </w:r>
    </w:p>
    <w:p w14:paraId="0C42F205" w14:textId="7FBBECE5" w:rsidR="00894975" w:rsidRPr="001B1840" w:rsidRDefault="00894975" w:rsidP="00894975">
      <w:pPr>
        <w:rPr>
          <w:szCs w:val="16"/>
        </w:rPr>
      </w:pPr>
      <w:r w:rsidRPr="001B1840">
        <w:rPr>
          <w:szCs w:val="16"/>
        </w:rPr>
        <w:t xml:space="preserve">The </w:t>
      </w:r>
      <w:r w:rsidR="0036172A">
        <w:rPr>
          <w:szCs w:val="16"/>
        </w:rPr>
        <w:t>Review R</w:t>
      </w:r>
      <w:r w:rsidRPr="001B1840">
        <w:rPr>
          <w:szCs w:val="16"/>
        </w:rPr>
        <w:t xml:space="preserve">eport is not a reason to delay progressing regional plan development </w:t>
      </w:r>
      <w:proofErr w:type="gramStart"/>
      <w:r w:rsidRPr="001B1840">
        <w:rPr>
          <w:szCs w:val="16"/>
        </w:rPr>
        <w:t>so as to</w:t>
      </w:r>
      <w:proofErr w:type="gramEnd"/>
      <w:r w:rsidRPr="001B1840">
        <w:rPr>
          <w:szCs w:val="16"/>
        </w:rPr>
        <w:t xml:space="preserve"> be ready for notification by the end of 2024. As noted elsewhere in this report, </w:t>
      </w:r>
      <w:r>
        <w:rPr>
          <w:szCs w:val="16"/>
        </w:rPr>
        <w:t xml:space="preserve">we aim to have </w:t>
      </w:r>
      <w:r w:rsidRPr="001B1840">
        <w:rPr>
          <w:szCs w:val="16"/>
        </w:rPr>
        <w:t>fit-for-purpose tools for use within regional plan rules be available within 12 months.</w:t>
      </w:r>
    </w:p>
    <w:p w14:paraId="7F4B5832" w14:textId="77777777" w:rsidR="003E01F5" w:rsidRPr="00197217" w:rsidRDefault="003E01F5" w:rsidP="00172E06">
      <w:pPr>
        <w:pStyle w:val="Heading2"/>
        <w:numPr>
          <w:ilvl w:val="0"/>
          <w:numId w:val="21"/>
        </w:numPr>
        <w:rPr>
          <w:sz w:val="35"/>
          <w:szCs w:val="35"/>
        </w:rPr>
      </w:pPr>
      <w:bookmarkStart w:id="49" w:name="_Toc77078054"/>
      <w:bookmarkStart w:id="50" w:name="_Toc77171891"/>
      <w:bookmarkStart w:id="51" w:name="_Toc77326658"/>
      <w:bookmarkStart w:id="52" w:name="_Toc79488706"/>
      <w:r w:rsidRPr="00197217">
        <w:rPr>
          <w:sz w:val="35"/>
          <w:szCs w:val="35"/>
        </w:rPr>
        <w:t>Managing the risks of increasing nitrogen discharges</w:t>
      </w:r>
      <w:bookmarkEnd w:id="49"/>
      <w:bookmarkEnd w:id="50"/>
      <w:bookmarkEnd w:id="51"/>
      <w:bookmarkEnd w:id="52"/>
    </w:p>
    <w:p w14:paraId="088360B7" w14:textId="086E4D77" w:rsidR="003E01F5" w:rsidRPr="00B510A6" w:rsidRDefault="003E01F5" w:rsidP="003E01F5">
      <w:pPr>
        <w:pStyle w:val="BodyText"/>
      </w:pPr>
      <w:r w:rsidRPr="00B510A6">
        <w:t xml:space="preserve">As councils reduce their emphasis on Overseer modelling for compliance and enforcement of plan provisions and resource consent conditions, the risk </w:t>
      </w:r>
      <w:r w:rsidR="00CE59D1">
        <w:t xml:space="preserve">is </w:t>
      </w:r>
      <w:r w:rsidRPr="00B510A6">
        <w:t xml:space="preserve">some resource users may </w:t>
      </w:r>
      <w:r w:rsidR="0036172A">
        <w:t xml:space="preserve">perceive an opportunity </w:t>
      </w:r>
      <w:r w:rsidRPr="00B510A6">
        <w:t xml:space="preserve">to increase farming intensity before a new tool is available to use (see </w:t>
      </w:r>
      <w:hyperlink w:anchor="_The_way_forward" w:history="1">
        <w:r w:rsidR="00C240C2" w:rsidRPr="00C240C2">
          <w:rPr>
            <w:rStyle w:val="Hyperlink"/>
          </w:rPr>
          <w:t>s</w:t>
        </w:r>
        <w:r w:rsidRPr="00C240C2">
          <w:rPr>
            <w:rStyle w:val="Hyperlink"/>
          </w:rPr>
          <w:t>ection 5</w:t>
        </w:r>
      </w:hyperlink>
      <w:r w:rsidRPr="00B510A6">
        <w:t>).</w:t>
      </w:r>
    </w:p>
    <w:p w14:paraId="33220B59" w14:textId="1EF86590" w:rsidR="003E01F5" w:rsidRPr="00B510A6" w:rsidRDefault="003E01F5" w:rsidP="003E01F5">
      <w:pPr>
        <w:pStyle w:val="BodyText"/>
      </w:pPr>
      <w:r w:rsidRPr="00B510A6">
        <w:t>The advisory notes to be prepared by MfE and regional councils will out</w:t>
      </w:r>
      <w:r w:rsidR="00A075DE">
        <w:t>line</w:t>
      </w:r>
      <w:r w:rsidRPr="00B510A6">
        <w:t xml:space="preserve"> how this risk should be managed. </w:t>
      </w:r>
      <w:r w:rsidR="009C1215">
        <w:t>These notes</w:t>
      </w:r>
      <w:r w:rsidR="009C1215" w:rsidRPr="00B510A6">
        <w:t xml:space="preserve"> </w:t>
      </w:r>
      <w:r w:rsidRPr="00B510A6">
        <w:t>will focus on enforcing other non-Overseer controls (such as</w:t>
      </w:r>
      <w:r w:rsidR="00A075DE">
        <w:t> </w:t>
      </w:r>
      <w:r w:rsidRPr="00B510A6">
        <w:t xml:space="preserve">conditions that limit inputs or address specific farm practices) either directly or through </w:t>
      </w:r>
      <w:r w:rsidR="00DF2C32">
        <w:t>f</w:t>
      </w:r>
      <w:r w:rsidRPr="00B510A6">
        <w:t xml:space="preserve">arm </w:t>
      </w:r>
      <w:r w:rsidR="00DF2C32">
        <w:t>e</w:t>
      </w:r>
      <w:r w:rsidRPr="00B510A6">
        <w:t xml:space="preserve">nvironment </w:t>
      </w:r>
      <w:r w:rsidR="00DF2C32">
        <w:t>p</w:t>
      </w:r>
      <w:r w:rsidRPr="00B510A6">
        <w:t>lans, as far as possible within existing plan provisions</w:t>
      </w:r>
      <w:r w:rsidR="0036172A">
        <w:t xml:space="preserve"> and consent conditions</w:t>
      </w:r>
      <w:r w:rsidRPr="00B510A6">
        <w:t>, and by clearly communicating that no resource user will benefit in the longer term from short-term increases</w:t>
      </w:r>
      <w:r w:rsidR="00A075DE">
        <w:t> </w:t>
      </w:r>
      <w:r w:rsidRPr="00B510A6">
        <w:t>in intensity.</w:t>
      </w:r>
    </w:p>
    <w:p w14:paraId="3C1A1805" w14:textId="77777777" w:rsidR="003E01F5" w:rsidRPr="00B510A6" w:rsidRDefault="003E01F5" w:rsidP="003E01F5">
      <w:pPr>
        <w:pStyle w:val="BodyText"/>
      </w:pPr>
      <w:r w:rsidRPr="00B510A6">
        <w:lastRenderedPageBreak/>
        <w:t xml:space="preserve">The need to ‘measure’ and enforce any such increases in intensity will be a consideration in the design of the tool(s) (see </w:t>
      </w:r>
      <w:hyperlink w:anchor="_The_way_forward" w:history="1">
        <w:r w:rsidR="00E54B8D" w:rsidRPr="00E54B8D">
          <w:rPr>
            <w:rStyle w:val="Hyperlink"/>
          </w:rPr>
          <w:t>s</w:t>
        </w:r>
        <w:r w:rsidRPr="00E54B8D">
          <w:rPr>
            <w:rStyle w:val="Hyperlink"/>
          </w:rPr>
          <w:t>ection 5</w:t>
        </w:r>
      </w:hyperlink>
      <w:r w:rsidRPr="00B510A6">
        <w:t>).</w:t>
      </w:r>
    </w:p>
    <w:p w14:paraId="5018449E" w14:textId="7FD4180C" w:rsidR="003E01F5" w:rsidRPr="00B510A6" w:rsidRDefault="003E01F5" w:rsidP="003E01F5">
      <w:pPr>
        <w:pStyle w:val="BodyText"/>
      </w:pPr>
      <w:r w:rsidRPr="00B510A6">
        <w:t>The Government will monitor this risk closely. If necessary, an amendment to the existing NES</w:t>
      </w:r>
      <w:r w:rsidR="00BB5126">
        <w:noBreakHyphen/>
      </w:r>
      <w:r w:rsidRPr="00B510A6">
        <w:t>F could be made along with amendments already planned. Such an amendment would target potential intensification of existing farming systems in catchments subject to Overseer-reliant rules and would ensure regional councils have broad scope to impose appropriate consent conditions, despite any limitations imposed by their existing plans. Any such change to</w:t>
      </w:r>
      <w:r w:rsidR="00AA2EBD">
        <w:t> </w:t>
      </w:r>
      <w:r w:rsidRPr="00B510A6">
        <w:t>the NES-F would benchmark affected farms to a date no later than the date on which this report is released.</w:t>
      </w:r>
    </w:p>
    <w:p w14:paraId="4E0D4235" w14:textId="77777777" w:rsidR="00505696" w:rsidRPr="00B510A6" w:rsidRDefault="00505696">
      <w:pPr>
        <w:spacing w:before="0" w:after="200" w:line="276" w:lineRule="auto"/>
        <w:jc w:val="left"/>
      </w:pPr>
      <w:r w:rsidRPr="00B510A6">
        <w:br w:type="page"/>
      </w:r>
    </w:p>
    <w:p w14:paraId="6DB1B8CD" w14:textId="77777777" w:rsidR="00654BFE" w:rsidRPr="00B028AA" w:rsidRDefault="00654BFE" w:rsidP="00172E06">
      <w:pPr>
        <w:pStyle w:val="Heading1"/>
        <w:numPr>
          <w:ilvl w:val="0"/>
          <w:numId w:val="17"/>
        </w:numPr>
        <w:rPr>
          <w:szCs w:val="48"/>
        </w:rPr>
      </w:pPr>
      <w:bookmarkStart w:id="53" w:name="_The_way_forward"/>
      <w:bookmarkStart w:id="54" w:name="_Toc77078055"/>
      <w:bookmarkStart w:id="55" w:name="_Toc77171892"/>
      <w:bookmarkStart w:id="56" w:name="_Toc77326659"/>
      <w:bookmarkStart w:id="57" w:name="_Toc79488707"/>
      <w:bookmarkEnd w:id="53"/>
      <w:r w:rsidRPr="00B028AA">
        <w:rPr>
          <w:szCs w:val="48"/>
        </w:rPr>
        <w:lastRenderedPageBreak/>
        <w:t>The way forward</w:t>
      </w:r>
      <w:r w:rsidR="00B028AA" w:rsidRPr="00B028AA">
        <w:rPr>
          <w:szCs w:val="48"/>
        </w:rPr>
        <w:t>:</w:t>
      </w:r>
      <w:r w:rsidRPr="00B028AA">
        <w:rPr>
          <w:szCs w:val="48"/>
        </w:rPr>
        <w:t xml:space="preserve"> the next 12 months</w:t>
      </w:r>
      <w:bookmarkEnd w:id="54"/>
      <w:bookmarkEnd w:id="55"/>
      <w:bookmarkEnd w:id="56"/>
      <w:bookmarkEnd w:id="57"/>
    </w:p>
    <w:p w14:paraId="14B72ECD" w14:textId="26687C9C" w:rsidR="00654BFE" w:rsidRPr="00B510A6" w:rsidRDefault="00654BFE" w:rsidP="00654BFE">
      <w:pPr>
        <w:pStyle w:val="BodyText"/>
      </w:pPr>
      <w:r w:rsidRPr="00B510A6">
        <w:t xml:space="preserve">In the immediate term, the Review Report has implications for the degree of reliance that can be placed on modelled estimates from Overseer in its current form, in the context of existing regulatory uses of the model. The </w:t>
      </w:r>
      <w:r w:rsidR="006B4DC0">
        <w:t>Review</w:t>
      </w:r>
      <w:r w:rsidRPr="00B510A6">
        <w:t xml:space="preserve"> Report means </w:t>
      </w:r>
      <w:r w:rsidR="00D6188E">
        <w:t>the Government</w:t>
      </w:r>
      <w:r w:rsidRPr="00B510A6">
        <w:t xml:space="preserve"> need</w:t>
      </w:r>
      <w:r w:rsidR="00D6188E">
        <w:t>s</w:t>
      </w:r>
      <w:r w:rsidRPr="00B510A6">
        <w:t xml:space="preserve"> to </w:t>
      </w:r>
      <w:r w:rsidR="00F00A83">
        <w:t>assess</w:t>
      </w:r>
      <w:r w:rsidRPr="00B510A6">
        <w:t xml:space="preserve"> </w:t>
      </w:r>
      <w:r w:rsidR="00D6188E">
        <w:t>the</w:t>
      </w:r>
      <w:r w:rsidR="00D6188E" w:rsidRPr="00B510A6">
        <w:t xml:space="preserve"> </w:t>
      </w:r>
      <w:r w:rsidRPr="00B510A6">
        <w:t xml:space="preserve">current approach to managing nutrients, reassess what tools (or range of tools) </w:t>
      </w:r>
      <w:r w:rsidR="00B62C13">
        <w:t>are</w:t>
      </w:r>
      <w:r w:rsidR="00B62C13" w:rsidRPr="00B510A6">
        <w:t xml:space="preserve"> </w:t>
      </w:r>
      <w:r w:rsidRPr="00B510A6">
        <w:t>really need</w:t>
      </w:r>
      <w:r w:rsidR="00B62C13">
        <w:t>ed</w:t>
      </w:r>
      <w:r w:rsidRPr="00B510A6">
        <w:t>, and investigate the options for meetings those needs.</w:t>
      </w:r>
    </w:p>
    <w:p w14:paraId="528B338E" w14:textId="77777777" w:rsidR="00654BFE" w:rsidRPr="00B510A6" w:rsidRDefault="00654BFE" w:rsidP="00654BFE">
      <w:pPr>
        <w:pStyle w:val="BodyText"/>
      </w:pPr>
      <w:r w:rsidRPr="00B510A6">
        <w:t>Since regional councils began focusing on addressing diffuse discharges of nutrients (during the</w:t>
      </w:r>
      <w:r w:rsidR="00C05D26" w:rsidRPr="00B510A6">
        <w:t> </w:t>
      </w:r>
      <w:r w:rsidRPr="00B510A6">
        <w:t xml:space="preserve">past 10–15 years), Overseer has been the only tool readily available to them to manage nitrogen-leaching risk in a quantified way. It has been used as a </w:t>
      </w:r>
      <w:proofErr w:type="gramStart"/>
      <w:r w:rsidRPr="00B510A6">
        <w:t>policy-making</w:t>
      </w:r>
      <w:proofErr w:type="gramEnd"/>
      <w:r w:rsidRPr="00B510A6">
        <w:t xml:space="preserve"> and policy-implementing tool and for property-scale and catchment-scale nutrient management.</w:t>
      </w:r>
      <w:r w:rsidRPr="00B510A6" w:rsidDel="001F074C">
        <w:t xml:space="preserve"> </w:t>
      </w:r>
      <w:r w:rsidRPr="00B510A6">
        <w:t>It has</w:t>
      </w:r>
      <w:r w:rsidR="007279D7">
        <w:t> </w:t>
      </w:r>
      <w:r w:rsidRPr="00B510A6">
        <w:t>been used in catchments with severe nitrogen enrichment issues and in catchments where</w:t>
      </w:r>
      <w:r w:rsidR="007279D7">
        <w:t> </w:t>
      </w:r>
      <w:r w:rsidRPr="00B510A6">
        <w:t xml:space="preserve">nitrogen issues are of lesser concern. It has been used, in some fashion, by </w:t>
      </w:r>
      <w:r w:rsidR="000820F6">
        <w:t xml:space="preserve">most </w:t>
      </w:r>
      <w:r w:rsidRPr="00B510A6">
        <w:t>regional councils.</w:t>
      </w:r>
    </w:p>
    <w:p w14:paraId="4145BA8F" w14:textId="77777777" w:rsidR="00654BFE" w:rsidRPr="00B510A6" w:rsidRDefault="00654BFE" w:rsidP="00654BFE">
      <w:pPr>
        <w:pStyle w:val="BodyText"/>
      </w:pPr>
      <w:r w:rsidRPr="00B510A6">
        <w:t>Yet the current and future needs of regional councils and other potential users vary greatly. This depends on, among other things, the extent that nitrogen discharges and, specifically, which forms of nitrogen pose most risk to freshwater outcomes, the existing concentrations and forms of nitrogen in receiving water bodies, and the nature of land uses in</w:t>
      </w:r>
      <w:r w:rsidR="00C05D26" w:rsidRPr="00B510A6">
        <w:t> </w:t>
      </w:r>
      <w:r w:rsidRPr="00B510A6">
        <w:t>a catchment. It</w:t>
      </w:r>
      <w:r w:rsidR="00AA2EBD">
        <w:t> </w:t>
      </w:r>
      <w:r w:rsidRPr="00B510A6">
        <w:t xml:space="preserve">is </w:t>
      </w:r>
      <w:r w:rsidR="00CD0002">
        <w:t>clear</w:t>
      </w:r>
      <w:r w:rsidR="00CD0002" w:rsidRPr="00B510A6">
        <w:t xml:space="preserve"> </w:t>
      </w:r>
      <w:r w:rsidRPr="00B510A6">
        <w:t xml:space="preserve">a broader suite of management tools is desirable. </w:t>
      </w:r>
    </w:p>
    <w:p w14:paraId="0B682D20" w14:textId="59BCBE07" w:rsidR="00811C8B" w:rsidRPr="00811C8B" w:rsidRDefault="00811C8B" w:rsidP="00811C8B">
      <w:pPr>
        <w:spacing w:before="240"/>
        <w:jc w:val="left"/>
        <w:rPr>
          <w:szCs w:val="16"/>
        </w:rPr>
      </w:pPr>
      <w:r w:rsidRPr="007F5C92">
        <w:rPr>
          <w:szCs w:val="16"/>
        </w:rPr>
        <w:t>At the same time, the Government recognises that a tool</w:t>
      </w:r>
      <w:r>
        <w:rPr>
          <w:szCs w:val="16"/>
        </w:rPr>
        <w:t>(s)</w:t>
      </w:r>
      <w:r w:rsidRPr="007F5C92">
        <w:rPr>
          <w:szCs w:val="16"/>
        </w:rPr>
        <w:t xml:space="preserve"> to allow for the regulation of quantified property-specific reductions in nutrient discharges remains important in catchments with major nutrient-related freshwater quality challenges. Similarly, models that can estimate nutrient-loss at the farm-scale </w:t>
      </w:r>
      <w:r>
        <w:rPr>
          <w:szCs w:val="16"/>
        </w:rPr>
        <w:t>will</w:t>
      </w:r>
      <w:r w:rsidRPr="007F5C92">
        <w:rPr>
          <w:szCs w:val="16"/>
        </w:rPr>
        <w:t xml:space="preserve"> be important if we are to ‘calibrate’ new nutrient loss risk management tools (such a</w:t>
      </w:r>
      <w:r>
        <w:rPr>
          <w:szCs w:val="16"/>
        </w:rPr>
        <w:t>s</w:t>
      </w:r>
      <w:r w:rsidRPr="007F5C92">
        <w:rPr>
          <w:szCs w:val="16"/>
        </w:rPr>
        <w:t xml:space="preserve"> risk indices</w:t>
      </w:r>
      <w:r>
        <w:rPr>
          <w:szCs w:val="16"/>
        </w:rPr>
        <w:t>;</w:t>
      </w:r>
      <w:r w:rsidRPr="007F5C92">
        <w:rPr>
          <w:szCs w:val="16"/>
        </w:rPr>
        <w:t xml:space="preserve"> </w:t>
      </w:r>
      <w:r w:rsidRPr="001703CC">
        <w:rPr>
          <w:szCs w:val="16"/>
        </w:rPr>
        <w:t xml:space="preserve">see </w:t>
      </w:r>
      <w:hyperlink w:anchor="_Appendix_D:_Examples" w:history="1">
        <w:r w:rsidR="008B3B9C">
          <w:rPr>
            <w:rStyle w:val="Hyperlink"/>
            <w:szCs w:val="16"/>
          </w:rPr>
          <w:t>a</w:t>
        </w:r>
        <w:r w:rsidRPr="001703CC">
          <w:rPr>
            <w:rStyle w:val="Hyperlink"/>
            <w:szCs w:val="16"/>
          </w:rPr>
          <w:t xml:space="preserve">ppendix </w:t>
        </w:r>
        <w:r w:rsidR="007E195F">
          <w:rPr>
            <w:rStyle w:val="Hyperlink"/>
            <w:szCs w:val="16"/>
          </w:rPr>
          <w:t>C</w:t>
        </w:r>
      </w:hyperlink>
      <w:r w:rsidRPr="007F5C92">
        <w:rPr>
          <w:szCs w:val="16"/>
        </w:rPr>
        <w:t>) and/or estimate the effect on catchment nutrient loads of other, more direct, forms of regulation (for example, input controls).</w:t>
      </w:r>
    </w:p>
    <w:p w14:paraId="2B12CFF9" w14:textId="58440154" w:rsidR="00654BFE" w:rsidRPr="00B510A6" w:rsidRDefault="00654BFE" w:rsidP="00654BFE">
      <w:pPr>
        <w:pStyle w:val="BodyText"/>
        <w:rPr>
          <w:bCs/>
        </w:rPr>
      </w:pPr>
      <w:r w:rsidRPr="00B510A6">
        <w:t>Accordingly, within the next 12 months</w:t>
      </w:r>
      <w:r w:rsidR="00CD0002">
        <w:t>,</w:t>
      </w:r>
      <w:r w:rsidRPr="00B510A6">
        <w:t xml:space="preserve"> the Government will </w:t>
      </w:r>
      <w:r w:rsidRPr="00B510A6">
        <w:rPr>
          <w:bCs/>
        </w:rPr>
        <w:t>investigate, and put in place, one or more of the following options</w:t>
      </w:r>
      <w:r w:rsidR="00811C8B">
        <w:rPr>
          <w:rStyle w:val="FootnoteReference"/>
          <w:bCs w:val="0"/>
        </w:rPr>
        <w:footnoteReference w:id="14"/>
      </w:r>
    </w:p>
    <w:p w14:paraId="0BC15D00" w14:textId="77777777" w:rsidR="00AB19D8" w:rsidRPr="00B510A6" w:rsidRDefault="00AB19D8" w:rsidP="00AB19D8">
      <w:pPr>
        <w:pStyle w:val="BodyText"/>
        <w:spacing w:before="0"/>
        <w:ind w:left="397" w:hanging="397"/>
      </w:pPr>
      <w:r w:rsidRPr="00B510A6">
        <w:t>(a)</w:t>
      </w:r>
      <w:r w:rsidRPr="00B510A6">
        <w:tab/>
      </w:r>
      <w:r w:rsidR="004E3B7A">
        <w:t>t</w:t>
      </w:r>
      <w:r w:rsidRPr="00B510A6">
        <w:t xml:space="preserve">he creation of a </w:t>
      </w:r>
      <w:r w:rsidRPr="00B510A6">
        <w:rPr>
          <w:i/>
          <w:iCs/>
        </w:rPr>
        <w:t>new risk index</w:t>
      </w:r>
      <w:r w:rsidRPr="00B510A6">
        <w:t xml:space="preserve"> tool, potentially using elements of Overseer (including the user interface); and</w:t>
      </w:r>
    </w:p>
    <w:p w14:paraId="14197ECD" w14:textId="0E11054C" w:rsidR="00AB19D8" w:rsidRPr="00B510A6" w:rsidRDefault="00AB19D8" w:rsidP="00AB19D8">
      <w:pPr>
        <w:pStyle w:val="BodyText"/>
        <w:spacing w:before="0"/>
        <w:ind w:left="397" w:hanging="397"/>
      </w:pPr>
      <w:r w:rsidRPr="00B510A6">
        <w:t>(b)</w:t>
      </w:r>
      <w:r w:rsidRPr="00B510A6">
        <w:tab/>
      </w:r>
      <w:r w:rsidR="00123AAE">
        <w:t>development of</w:t>
      </w:r>
      <w:r w:rsidR="00BE77DB">
        <w:t xml:space="preserve"> a next generation</w:t>
      </w:r>
      <w:r w:rsidR="00123AAE">
        <w:t xml:space="preserve"> </w:t>
      </w:r>
      <w:r w:rsidRPr="00B510A6">
        <w:rPr>
          <w:i/>
          <w:iCs/>
        </w:rPr>
        <w:t>Overseer</w:t>
      </w:r>
      <w:r w:rsidRPr="00B510A6">
        <w:t xml:space="preserve"> to address the issues raised by the Review Panel</w:t>
      </w:r>
      <w:r w:rsidR="00123AAE">
        <w:t xml:space="preserve"> and to ensure that it </w:t>
      </w:r>
      <w:r w:rsidRPr="00B510A6">
        <w:t>is fit for purpose as a tool to use in appropriate regulatory settings; and/or</w:t>
      </w:r>
    </w:p>
    <w:p w14:paraId="312241FC" w14:textId="71E04E61" w:rsidR="00AB19D8" w:rsidRPr="00B510A6" w:rsidRDefault="00AB19D8" w:rsidP="00AB19D8">
      <w:pPr>
        <w:pStyle w:val="BodyText"/>
        <w:spacing w:before="0"/>
        <w:ind w:left="397" w:hanging="397"/>
      </w:pPr>
      <w:r w:rsidRPr="00B510A6">
        <w:t>(c)</w:t>
      </w:r>
      <w:r w:rsidRPr="00B510A6">
        <w:tab/>
      </w:r>
      <w:r w:rsidR="004E3B7A">
        <w:t>g</w:t>
      </w:r>
      <w:r w:rsidRPr="00B510A6">
        <w:t xml:space="preserve">reater use of </w:t>
      </w:r>
      <w:r w:rsidRPr="00B510A6">
        <w:rPr>
          <w:i/>
          <w:iCs/>
        </w:rPr>
        <w:t>controls on practices and inputs</w:t>
      </w:r>
      <w:r w:rsidRPr="00B510A6">
        <w:t xml:space="preserve"> to manage nitrogen leaching (including through amendment to the NES-F); and/or </w:t>
      </w:r>
    </w:p>
    <w:p w14:paraId="0A4A2D47" w14:textId="77777777" w:rsidR="00AB19D8" w:rsidRPr="00B510A6" w:rsidRDefault="00AB19D8" w:rsidP="00AB19D8">
      <w:pPr>
        <w:pStyle w:val="BodyText"/>
        <w:spacing w:before="0"/>
        <w:ind w:left="397" w:hanging="397"/>
      </w:pPr>
      <w:r w:rsidRPr="00B510A6">
        <w:t>(d)</w:t>
      </w:r>
      <w:r w:rsidRPr="00B510A6">
        <w:tab/>
      </w:r>
      <w:r w:rsidR="00FE41D8">
        <w:t>a</w:t>
      </w:r>
      <w:r w:rsidRPr="00B510A6">
        <w:t xml:space="preserve"> completely new approach to understanding and managing diffuse nutrient loss risk.</w:t>
      </w:r>
      <w:r w:rsidR="00797AC1" w:rsidRPr="00B510A6">
        <w:t xml:space="preserve"> </w:t>
      </w:r>
      <w:r w:rsidRPr="00B510A6">
        <w:t>This might include, for example</w:t>
      </w:r>
      <w:r w:rsidR="003A4A71">
        <w:t>:</w:t>
      </w:r>
    </w:p>
    <w:p w14:paraId="5AB7B044" w14:textId="53E56230" w:rsidR="00AB19D8" w:rsidRPr="00B510A6" w:rsidRDefault="00FE41D8" w:rsidP="00123AAE">
      <w:pPr>
        <w:pStyle w:val="BodyText"/>
        <w:numPr>
          <w:ilvl w:val="0"/>
          <w:numId w:val="38"/>
        </w:numPr>
        <w:spacing w:before="0"/>
      </w:pPr>
      <w:r>
        <w:t>n</w:t>
      </w:r>
      <w:r w:rsidR="00AB19D8" w:rsidRPr="00B510A6">
        <w:t xml:space="preserve">ear </w:t>
      </w:r>
      <w:r w:rsidR="00AB19D8" w:rsidRPr="00123AAE">
        <w:rPr>
          <w:i/>
          <w:iCs/>
        </w:rPr>
        <w:t>real</w:t>
      </w:r>
      <w:r w:rsidR="003A4A71" w:rsidRPr="00123AAE">
        <w:rPr>
          <w:i/>
          <w:iCs/>
        </w:rPr>
        <w:t>-</w:t>
      </w:r>
      <w:r w:rsidR="00AB19D8" w:rsidRPr="00123AAE">
        <w:rPr>
          <w:i/>
          <w:iCs/>
        </w:rPr>
        <w:t>time monitoring</w:t>
      </w:r>
      <w:r w:rsidR="00AB19D8" w:rsidRPr="00B510A6">
        <w:t xml:space="preserve"> of water quality at local scales</w:t>
      </w:r>
    </w:p>
    <w:p w14:paraId="387F2149" w14:textId="612A28B5" w:rsidR="00123AAE" w:rsidRPr="00944DFE" w:rsidRDefault="00FE41D8" w:rsidP="00AB19D8">
      <w:pPr>
        <w:pStyle w:val="BodyText"/>
        <w:numPr>
          <w:ilvl w:val="0"/>
          <w:numId w:val="38"/>
        </w:numPr>
        <w:spacing w:before="0"/>
      </w:pPr>
      <w:r>
        <w:t>a</w:t>
      </w:r>
      <w:r w:rsidR="00AB19D8" w:rsidRPr="00B510A6">
        <w:t xml:space="preserve"> tool that provides detailed understanding of nutrient loss risk based on the </w:t>
      </w:r>
      <w:r w:rsidR="00AB19D8" w:rsidRPr="00123AAE">
        <w:rPr>
          <w:i/>
          <w:iCs/>
        </w:rPr>
        <w:t>characteristics of land</w:t>
      </w:r>
      <w:r w:rsidR="00944DFE">
        <w:rPr>
          <w:i/>
          <w:iCs/>
        </w:rPr>
        <w:t xml:space="preserve"> </w:t>
      </w:r>
    </w:p>
    <w:p w14:paraId="09ABE40E" w14:textId="608DBC56" w:rsidR="00AB19D8" w:rsidRPr="00B510A6" w:rsidRDefault="00FE41D8" w:rsidP="00AB19D8">
      <w:pPr>
        <w:pStyle w:val="BodyText"/>
        <w:numPr>
          <w:ilvl w:val="0"/>
          <w:numId w:val="38"/>
        </w:numPr>
        <w:spacing w:before="0"/>
      </w:pPr>
      <w:r>
        <w:lastRenderedPageBreak/>
        <w:t>a</w:t>
      </w:r>
      <w:r w:rsidR="00AB19D8" w:rsidRPr="00B510A6">
        <w:t xml:space="preserve"> new nutrient loss model.</w:t>
      </w:r>
    </w:p>
    <w:p w14:paraId="225894F3" w14:textId="544C08B2" w:rsidR="00A21552" w:rsidRPr="00B510A6" w:rsidRDefault="00AB19D8" w:rsidP="00AB19D8">
      <w:pPr>
        <w:pStyle w:val="BodyText"/>
        <w:spacing w:before="0"/>
        <w:ind w:left="397" w:hanging="397"/>
      </w:pPr>
      <w:r w:rsidRPr="00B510A6">
        <w:t xml:space="preserve">For those reasons, the work streams set out in </w:t>
      </w:r>
      <w:r w:rsidR="003A4A71">
        <w:t>s</w:t>
      </w:r>
      <w:r w:rsidRPr="00B510A6">
        <w:t>ections 5.2 to 5.4 are proposed.</w:t>
      </w:r>
    </w:p>
    <w:p w14:paraId="3B56FA08" w14:textId="77777777" w:rsidR="00690925" w:rsidRPr="00B510A6" w:rsidRDefault="00690925" w:rsidP="00C50F88">
      <w:pPr>
        <w:pStyle w:val="Heading2"/>
        <w:numPr>
          <w:ilvl w:val="0"/>
          <w:numId w:val="25"/>
        </w:numPr>
      </w:pPr>
      <w:bookmarkStart w:id="58" w:name="_Toc77078056"/>
      <w:bookmarkStart w:id="59" w:name="_Toc77171893"/>
      <w:bookmarkStart w:id="60" w:name="_Toc77326660"/>
      <w:bookmarkStart w:id="61" w:name="_Toc79488708"/>
      <w:r w:rsidRPr="00B510A6">
        <w:t>Ongoing support for regional councils</w:t>
      </w:r>
      <w:bookmarkEnd w:id="58"/>
      <w:bookmarkEnd w:id="59"/>
      <w:bookmarkEnd w:id="60"/>
      <w:bookmarkEnd w:id="61"/>
      <w:r w:rsidRPr="00B510A6">
        <w:t xml:space="preserve"> </w:t>
      </w:r>
    </w:p>
    <w:p w14:paraId="12C2D0E3" w14:textId="26A338CA" w:rsidR="00690925" w:rsidRPr="00B510A6" w:rsidRDefault="00690925" w:rsidP="00797AC1">
      <w:pPr>
        <w:pStyle w:val="BodyText"/>
        <w:keepLines/>
      </w:pPr>
      <w:r w:rsidRPr="00B510A6">
        <w:t>As noted, the outcomes of the Review Report pose significant challenges for regional councils.</w:t>
      </w:r>
      <w:r w:rsidR="003432CA">
        <w:t> </w:t>
      </w:r>
      <w:r w:rsidRPr="00B510A6">
        <w:t xml:space="preserve">The Government has prepared </w:t>
      </w:r>
      <w:r w:rsidR="00123AAE">
        <w:t xml:space="preserve">guidance </w:t>
      </w:r>
      <w:r w:rsidRPr="00B510A6">
        <w:t xml:space="preserve">for regional councils on using Overseer in its current form </w:t>
      </w:r>
      <w:r w:rsidR="00BD52AB">
        <w:t xml:space="preserve">and </w:t>
      </w:r>
      <w:r w:rsidRPr="00B510A6">
        <w:t>covering the matters likely to be</w:t>
      </w:r>
      <w:r w:rsidR="00797AC1" w:rsidRPr="00B510A6">
        <w:t> </w:t>
      </w:r>
      <w:r w:rsidRPr="00B510A6">
        <w:t>affected. These include consenting</w:t>
      </w:r>
      <w:r w:rsidR="003432CA">
        <w:t>,</w:t>
      </w:r>
      <w:r w:rsidRPr="00B510A6">
        <w:t xml:space="preserve"> regional plan-making</w:t>
      </w:r>
      <w:r w:rsidR="003432CA">
        <w:t>,</w:t>
      </w:r>
      <w:r w:rsidRPr="00B510A6">
        <w:t xml:space="preserve"> and compliance, monitoring and</w:t>
      </w:r>
      <w:r w:rsidR="00797AC1" w:rsidRPr="00B510A6">
        <w:t> </w:t>
      </w:r>
      <w:r w:rsidRPr="00B510A6">
        <w:t xml:space="preserve">enforcement. </w:t>
      </w:r>
    </w:p>
    <w:p w14:paraId="56D44EFC" w14:textId="77777777" w:rsidR="00690925" w:rsidRPr="00B510A6" w:rsidRDefault="00690925" w:rsidP="00C50F88">
      <w:pPr>
        <w:pStyle w:val="BodyText"/>
      </w:pPr>
      <w:r w:rsidRPr="00B510A6">
        <w:t>The Government will also continue to support the councils most directly affected. Further guidance material will be developed as needed.</w:t>
      </w:r>
    </w:p>
    <w:p w14:paraId="29E6EE11" w14:textId="77777777" w:rsidR="00690925" w:rsidRPr="00B510A6" w:rsidRDefault="00690925" w:rsidP="00C50F88">
      <w:pPr>
        <w:pStyle w:val="Heading2"/>
        <w:numPr>
          <w:ilvl w:val="0"/>
          <w:numId w:val="25"/>
        </w:numPr>
      </w:pPr>
      <w:bookmarkStart w:id="62" w:name="_Understanding_our_current"/>
      <w:bookmarkStart w:id="63" w:name="_Ref76645791"/>
      <w:bookmarkStart w:id="64" w:name="_Toc77078057"/>
      <w:bookmarkStart w:id="65" w:name="_Toc77171894"/>
      <w:bookmarkStart w:id="66" w:name="_Toc77326661"/>
      <w:bookmarkStart w:id="67" w:name="_Toc79488709"/>
      <w:bookmarkEnd w:id="62"/>
      <w:r w:rsidRPr="00B510A6">
        <w:t>Understanding our current and future needs</w:t>
      </w:r>
      <w:bookmarkEnd w:id="63"/>
      <w:bookmarkEnd w:id="64"/>
      <w:bookmarkEnd w:id="65"/>
      <w:bookmarkEnd w:id="66"/>
      <w:bookmarkEnd w:id="67"/>
    </w:p>
    <w:p w14:paraId="1B47D7D2" w14:textId="5B14B84E" w:rsidR="00690925" w:rsidRPr="00B510A6" w:rsidRDefault="00690925" w:rsidP="00C50F88">
      <w:pPr>
        <w:pStyle w:val="BodyText"/>
      </w:pPr>
      <w:r w:rsidRPr="00B510A6">
        <w:t xml:space="preserve">The Government proposes to use the next 12 months to further investigate </w:t>
      </w:r>
      <w:r w:rsidR="00107C87">
        <w:t xml:space="preserve">the </w:t>
      </w:r>
      <w:r w:rsidRPr="00B510A6">
        <w:t>options identified above and develop the preferred option(s</w:t>
      </w:r>
      <w:proofErr w:type="gramStart"/>
      <w:r w:rsidRPr="00B510A6">
        <w:t>)</w:t>
      </w:r>
      <w:proofErr w:type="gramEnd"/>
      <w:r w:rsidRPr="00B510A6">
        <w:t xml:space="preserve"> so </w:t>
      </w:r>
      <w:r w:rsidR="00565BF3">
        <w:t>they are</w:t>
      </w:r>
      <w:r w:rsidRPr="00B510A6">
        <w:t xml:space="preserve"> available by mid-2022.</w:t>
      </w:r>
      <w:r w:rsidR="00797AC1" w:rsidRPr="00B510A6">
        <w:t xml:space="preserve"> </w:t>
      </w:r>
    </w:p>
    <w:p w14:paraId="2E2F5E5E" w14:textId="403E516D" w:rsidR="00690925" w:rsidRPr="00B510A6" w:rsidRDefault="00690925" w:rsidP="00C50F88">
      <w:pPr>
        <w:pStyle w:val="BodyText"/>
      </w:pPr>
      <w:r w:rsidRPr="00B510A6">
        <w:t>This will begin with a needs analysis to ensure</w:t>
      </w:r>
      <w:r w:rsidR="00D36FAB">
        <w:t xml:space="preserve"> the Government</w:t>
      </w:r>
      <w:r w:rsidRPr="00B510A6">
        <w:t xml:space="preserve"> ha</w:t>
      </w:r>
      <w:r w:rsidR="00D36FAB">
        <w:t>s</w:t>
      </w:r>
      <w:r w:rsidRPr="00B510A6">
        <w:t xml:space="preserve"> a clear and common understanding of the needs of all user groups. This work has already started.</w:t>
      </w:r>
    </w:p>
    <w:p w14:paraId="6A441623" w14:textId="77777777" w:rsidR="00690925" w:rsidRPr="00B510A6" w:rsidRDefault="00690925" w:rsidP="00C50F88">
      <w:pPr>
        <w:pStyle w:val="BodyText"/>
      </w:pPr>
      <w:r w:rsidRPr="00B510A6">
        <w:t>Following this analysis, it is anticipated that</w:t>
      </w:r>
      <w:r w:rsidR="00565BF3">
        <w:t>,</w:t>
      </w:r>
      <w:r w:rsidRPr="00B510A6">
        <w:t xml:space="preserve"> within a 12-month timeframe</w:t>
      </w:r>
      <w:r w:rsidR="00565BF3">
        <w:t>,</w:t>
      </w:r>
      <w:r w:rsidRPr="00B510A6">
        <w:t xml:space="preserve"> there will be:</w:t>
      </w:r>
      <w:r w:rsidR="00797AC1" w:rsidRPr="00B510A6">
        <w:t xml:space="preserve"> </w:t>
      </w:r>
    </w:p>
    <w:p w14:paraId="51121C53" w14:textId="77777777" w:rsidR="006935D4" w:rsidRPr="00B510A6" w:rsidRDefault="006935D4" w:rsidP="006935D4">
      <w:pPr>
        <w:pStyle w:val="Bullet"/>
      </w:pPr>
      <w:r w:rsidRPr="00B510A6">
        <w:t xml:space="preserve">a clear vision of Aotearoa New Zealand’s nutrient-management tool needs at national, </w:t>
      </w:r>
      <w:proofErr w:type="gramStart"/>
      <w:r w:rsidRPr="00B510A6">
        <w:t>regional</w:t>
      </w:r>
      <w:proofErr w:type="gramEnd"/>
      <w:r w:rsidRPr="00B510A6">
        <w:t xml:space="preserve"> and local-user scales</w:t>
      </w:r>
    </w:p>
    <w:p w14:paraId="3ED56D4D" w14:textId="7BB3067A" w:rsidR="006935D4" w:rsidRPr="00B510A6" w:rsidRDefault="006935D4" w:rsidP="006935D4">
      <w:pPr>
        <w:pStyle w:val="Bullet"/>
      </w:pPr>
      <w:r w:rsidRPr="00B510A6">
        <w:t>a tool(s) available for immediate use to replace and/or complement sole reliance on Overseer (being the risk index tool and, potentially, a redeveloped Overseer)</w:t>
      </w:r>
    </w:p>
    <w:p w14:paraId="1CCEF1F3" w14:textId="77777777" w:rsidR="003968AF" w:rsidRPr="00B510A6" w:rsidRDefault="006935D4" w:rsidP="006935D4">
      <w:pPr>
        <w:pStyle w:val="Bullet"/>
      </w:pPr>
      <w:r w:rsidRPr="00B510A6">
        <w:t>a commitment to the development of additional tools over the longer term should those be necessary to meet our future needs.</w:t>
      </w:r>
    </w:p>
    <w:p w14:paraId="4A24BBFC" w14:textId="7CEDFB07" w:rsidR="002E599D" w:rsidRPr="00B510A6" w:rsidRDefault="002E599D" w:rsidP="002E599D">
      <w:pPr>
        <w:pStyle w:val="BodyText"/>
      </w:pPr>
      <w:r w:rsidRPr="00B510A6">
        <w:t>Advice received during the review process regarding the Māori concepts and principles to be applied to this work will inform the work programme. This will include working with iwi</w:t>
      </w:r>
      <w:r w:rsidR="006679E7">
        <w:t xml:space="preserve"> and </w:t>
      </w:r>
      <w:r w:rsidRPr="00B510A6">
        <w:t>Māori on developing and implementing the programme.</w:t>
      </w:r>
    </w:p>
    <w:p w14:paraId="7E4CA209" w14:textId="014AF57C" w:rsidR="002E599D" w:rsidRPr="00B510A6" w:rsidRDefault="002E599D" w:rsidP="002E599D">
      <w:pPr>
        <w:pStyle w:val="BodyText"/>
      </w:pPr>
      <w:r w:rsidRPr="00B510A6">
        <w:t xml:space="preserve">The proposed work programme for the next 12 months will consist of three core workstreams, as described below and set out in </w:t>
      </w:r>
      <w:r w:rsidR="006679E7">
        <w:t>f</w:t>
      </w:r>
      <w:r w:rsidRPr="00B510A6">
        <w:t>igure 1.</w:t>
      </w:r>
    </w:p>
    <w:p w14:paraId="5CF13E43" w14:textId="77777777" w:rsidR="002E599D" w:rsidRPr="00B510A6" w:rsidRDefault="002E599D" w:rsidP="002E599D">
      <w:pPr>
        <w:pStyle w:val="BodyText"/>
        <w:rPr>
          <w:szCs w:val="16"/>
        </w:rPr>
      </w:pPr>
      <w:r w:rsidRPr="00B510A6">
        <w:rPr>
          <w:szCs w:val="16"/>
        </w:rPr>
        <w:t>All tools developed under this programme will be subject to sensitivity and uncertainty testing to the extent that is feasible and likely to yield reliable results.</w:t>
      </w:r>
    </w:p>
    <w:p w14:paraId="2DEE6815" w14:textId="77777777" w:rsidR="002E599D" w:rsidRPr="00B510A6" w:rsidRDefault="002E599D" w:rsidP="002E599D">
      <w:pPr>
        <w:pStyle w:val="BodyText"/>
      </w:pPr>
      <w:r w:rsidRPr="00B510A6">
        <w:t xml:space="preserve">At a broader level, an important parallel project is under way to better understand the expectations for, and uses of, models in environmental regulatory settings generally in Aotearoa New Zealand. MfE has commissioned guidance on this matter. That guidance is expected to be completed in late 2021. </w:t>
      </w:r>
    </w:p>
    <w:p w14:paraId="2E1BBC01" w14:textId="33B8500B" w:rsidR="002E599D" w:rsidRPr="00B510A6" w:rsidRDefault="002E599D" w:rsidP="002E599D">
      <w:pPr>
        <w:pStyle w:val="Heading2"/>
        <w:numPr>
          <w:ilvl w:val="0"/>
          <w:numId w:val="25"/>
        </w:numPr>
      </w:pPr>
      <w:bookmarkStart w:id="68" w:name="_Ref76642322"/>
      <w:bookmarkStart w:id="69" w:name="_Toc77078058"/>
      <w:bookmarkStart w:id="70" w:name="_Toc77171895"/>
      <w:bookmarkStart w:id="71" w:name="_Toc77326662"/>
      <w:bookmarkStart w:id="72" w:name="_Toc79488710"/>
      <w:r w:rsidRPr="00B510A6">
        <w:t>Option (a)</w:t>
      </w:r>
      <w:r w:rsidR="000A226C">
        <w:t>:</w:t>
      </w:r>
      <w:r w:rsidRPr="00B510A6">
        <w:t xml:space="preserve"> </w:t>
      </w:r>
      <w:r w:rsidR="007A702F">
        <w:t>N</w:t>
      </w:r>
      <w:r w:rsidRPr="00B510A6">
        <w:t>utrient risk assessment approach</w:t>
      </w:r>
      <w:bookmarkEnd w:id="68"/>
      <w:bookmarkEnd w:id="69"/>
      <w:bookmarkEnd w:id="70"/>
      <w:bookmarkEnd w:id="71"/>
      <w:bookmarkEnd w:id="72"/>
    </w:p>
    <w:p w14:paraId="79084C0D" w14:textId="6F4B4DCE" w:rsidR="002E599D" w:rsidRPr="00B510A6" w:rsidRDefault="002E599D" w:rsidP="002E599D">
      <w:pPr>
        <w:pStyle w:val="BodyText"/>
      </w:pPr>
      <w:r w:rsidRPr="00B510A6">
        <w:t>MfE is leading the development of a risk assessment framework as an alternative and/or complementary tool to farm-scale nitrogen-l</w:t>
      </w:r>
      <w:r w:rsidR="00123AAE">
        <w:t>oss</w:t>
      </w:r>
      <w:r w:rsidRPr="00B510A6">
        <w:t xml:space="preserve"> modelling.</w:t>
      </w:r>
      <w:r w:rsidR="00797AC1" w:rsidRPr="00B510A6">
        <w:t xml:space="preserve"> </w:t>
      </w:r>
      <w:r w:rsidRPr="00B510A6">
        <w:t xml:space="preserve">Although described here as </w:t>
      </w:r>
      <w:r w:rsidRPr="00B510A6">
        <w:lastRenderedPageBreak/>
        <w:t>an</w:t>
      </w:r>
      <w:r w:rsidR="00AA2EBD">
        <w:t> </w:t>
      </w:r>
      <w:r w:rsidRPr="00B510A6">
        <w:t xml:space="preserve">option, a commitment </w:t>
      </w:r>
      <w:r w:rsidR="00BB19F7">
        <w:t xml:space="preserve">is in place </w:t>
      </w:r>
      <w:r w:rsidRPr="00B510A6">
        <w:t>to proceed with this tool development now, ahead of the</w:t>
      </w:r>
      <w:r w:rsidR="00AA2EBD">
        <w:t> </w:t>
      </w:r>
      <w:r w:rsidRPr="00B510A6">
        <w:t xml:space="preserve">needs analysis, to ensure </w:t>
      </w:r>
      <w:r w:rsidR="00123AAE">
        <w:t>its</w:t>
      </w:r>
      <w:r w:rsidRPr="00B510A6">
        <w:t xml:space="preserve"> early availabilit</w:t>
      </w:r>
      <w:r w:rsidR="00123AAE">
        <w:t>y.</w:t>
      </w:r>
    </w:p>
    <w:p w14:paraId="4E5A78D2" w14:textId="31C6897B" w:rsidR="002E599D" w:rsidRPr="00B510A6" w:rsidRDefault="002E599D" w:rsidP="002E599D">
      <w:pPr>
        <w:pStyle w:val="BodyText"/>
      </w:pPr>
      <w:r w:rsidRPr="00B510A6">
        <w:t>The role this new tool will play in managing diffuse nutrient discharges is yet to be determined but it will be capable of fulfilling at least some of the roles currently performed by Overseer.</w:t>
      </w:r>
      <w:r w:rsidR="00797AC1" w:rsidRPr="00B510A6">
        <w:t xml:space="preserve"> </w:t>
      </w:r>
      <w:r w:rsidR="00D36FAB">
        <w:t>MfE</w:t>
      </w:r>
      <w:r w:rsidRPr="00B510A6">
        <w:t xml:space="preserve"> aim to have it available for use within 12 months.</w:t>
      </w:r>
      <w:r w:rsidR="00797AC1" w:rsidRPr="00B510A6">
        <w:t xml:space="preserve"> </w:t>
      </w:r>
    </w:p>
    <w:p w14:paraId="7FD9F1EB" w14:textId="3E04DA99" w:rsidR="002E599D" w:rsidRPr="00B510A6" w:rsidRDefault="002E599D" w:rsidP="002E599D">
      <w:pPr>
        <w:pStyle w:val="BodyText"/>
      </w:pPr>
      <w:bookmarkStart w:id="73" w:name="_Toc77171896"/>
      <w:bookmarkEnd w:id="73"/>
      <w:r w:rsidRPr="00B510A6">
        <w:t>Risk assessment and management approaches have been used as a means of managing a</w:t>
      </w:r>
      <w:r w:rsidR="00093D85" w:rsidRPr="00B510A6">
        <w:t> </w:t>
      </w:r>
      <w:r w:rsidRPr="00B510A6">
        <w:t xml:space="preserve">range of contaminants in both Aotearoa New Zealand and overseas. They have been developed based on accepted nutrient management science and have successfully reduced contaminant losses from farms in </w:t>
      </w:r>
      <w:r w:rsidR="00DF645E">
        <w:t>several</w:t>
      </w:r>
      <w:r w:rsidRPr="00B510A6">
        <w:t xml:space="preserve"> jurisdictions. </w:t>
      </w:r>
      <w:r w:rsidR="00DF645E">
        <w:t>E</w:t>
      </w:r>
      <w:r w:rsidRPr="00B510A6">
        <w:t>xamples are discussed in</w:t>
      </w:r>
      <w:r w:rsidR="00093D85" w:rsidRPr="00B510A6">
        <w:t> </w:t>
      </w:r>
      <w:hyperlink w:anchor="_Appendix_D:_Examples" w:history="1">
        <w:r w:rsidR="00E31FEC" w:rsidRPr="00E31FEC">
          <w:rPr>
            <w:rStyle w:val="Hyperlink"/>
          </w:rPr>
          <w:t>a</w:t>
        </w:r>
        <w:r w:rsidRPr="00E31FEC">
          <w:rPr>
            <w:rStyle w:val="Hyperlink"/>
          </w:rPr>
          <w:t xml:space="preserve">ppendix </w:t>
        </w:r>
        <w:r w:rsidR="007E195F">
          <w:rPr>
            <w:rStyle w:val="Hyperlink"/>
          </w:rPr>
          <w:t>C</w:t>
        </w:r>
      </w:hyperlink>
      <w:r w:rsidRPr="00B510A6">
        <w:t>.</w:t>
      </w:r>
    </w:p>
    <w:p w14:paraId="6722B835" w14:textId="3835DAD7" w:rsidR="002E599D" w:rsidRPr="00B510A6" w:rsidRDefault="002E599D" w:rsidP="002E599D">
      <w:pPr>
        <w:pStyle w:val="BodyText"/>
      </w:pPr>
      <w:r w:rsidRPr="00B510A6">
        <w:t xml:space="preserve">Although the most common risk indices </w:t>
      </w:r>
      <w:r w:rsidR="00F821FC">
        <w:t>used</w:t>
      </w:r>
      <w:r w:rsidR="00F821FC" w:rsidRPr="00B510A6">
        <w:t xml:space="preserve"> </w:t>
      </w:r>
      <w:r w:rsidRPr="00B510A6">
        <w:t>relate to phosphorus (see below), nitrogen risk</w:t>
      </w:r>
      <w:r w:rsidR="00AA2EBD">
        <w:t> </w:t>
      </w:r>
      <w:r w:rsidRPr="00B510A6">
        <w:t>indices have been developed where diffuse nitrogen discharges contribute to water quality</w:t>
      </w:r>
      <w:r w:rsidR="00AA2EBD">
        <w:t> </w:t>
      </w:r>
      <w:r w:rsidRPr="00B510A6">
        <w:t xml:space="preserve">deterioration. Risk indices have been developed to ensure that land management practice improvements are undertaken to reduce contaminant losses but, critically, </w:t>
      </w:r>
      <w:r w:rsidR="00D06C2B">
        <w:t xml:space="preserve">these improvements </w:t>
      </w:r>
      <w:r w:rsidRPr="00B510A6">
        <w:t>would be effective at addressing the relevant issue in a specific receiving environment. In other words,</w:t>
      </w:r>
      <w:r w:rsidR="00D06C2B">
        <w:t xml:space="preserve"> to ensure that </w:t>
      </w:r>
      <w:r w:rsidRPr="00B510A6">
        <w:t xml:space="preserve">changes </w:t>
      </w:r>
      <w:r w:rsidR="00D06C2B">
        <w:t xml:space="preserve">are </w:t>
      </w:r>
      <w:r w:rsidRPr="00B510A6">
        <w:t>targeted at the ‘riskiest’ practices in the ‘riskiest’ areas, so that the changes implemented are the most effective based on those risk</w:t>
      </w:r>
      <w:r w:rsidR="001302D6">
        <w:t> </w:t>
      </w:r>
      <w:r w:rsidRPr="00B510A6">
        <w:t>profiles.</w:t>
      </w:r>
    </w:p>
    <w:p w14:paraId="3A01C290" w14:textId="21622198" w:rsidR="002E599D" w:rsidRPr="00B510A6" w:rsidRDefault="002E599D" w:rsidP="002E599D">
      <w:pPr>
        <w:pStyle w:val="BodyText"/>
      </w:pPr>
      <w:r w:rsidRPr="00B510A6">
        <w:t>Contaminant risk</w:t>
      </w:r>
      <w:r w:rsidR="00A60246">
        <w:t xml:space="preserve"> </w:t>
      </w:r>
      <w:r w:rsidRPr="00B510A6">
        <w:t>assessment frameworks can take several forms. These include:</w:t>
      </w:r>
    </w:p>
    <w:p w14:paraId="7091EB12" w14:textId="77777777" w:rsidR="00BB5D90" w:rsidRPr="00B510A6" w:rsidRDefault="008F42F3" w:rsidP="00BB5D90">
      <w:pPr>
        <w:pStyle w:val="BodyText"/>
        <w:spacing w:before="0"/>
        <w:ind w:left="397" w:hanging="397"/>
      </w:pPr>
      <w:r>
        <w:t>(</w:t>
      </w:r>
      <w:r w:rsidR="00BB5D90" w:rsidRPr="00B510A6">
        <w:t>a)</w:t>
      </w:r>
      <w:r w:rsidR="00BB5D90" w:rsidRPr="00B510A6">
        <w:tab/>
        <w:t>a simple risk index that considers and ‘scores’ risks associated with either the:</w:t>
      </w:r>
    </w:p>
    <w:p w14:paraId="28F40CCC" w14:textId="0F0EADCB" w:rsidR="00BB5D90" w:rsidRPr="00B510A6" w:rsidRDefault="00BB5D90" w:rsidP="00944DFE">
      <w:pPr>
        <w:pStyle w:val="BodyText"/>
        <w:numPr>
          <w:ilvl w:val="0"/>
          <w:numId w:val="40"/>
        </w:numPr>
        <w:spacing w:before="0"/>
      </w:pPr>
      <w:r w:rsidRPr="00B510A6">
        <w:t>choice of farm practices and inputs; and/or</w:t>
      </w:r>
    </w:p>
    <w:p w14:paraId="359BC04F" w14:textId="412E0E07" w:rsidR="00BB5D90" w:rsidRPr="00B510A6" w:rsidRDefault="00BB5D90" w:rsidP="00944DFE">
      <w:pPr>
        <w:pStyle w:val="BodyText"/>
        <w:numPr>
          <w:ilvl w:val="0"/>
          <w:numId w:val="40"/>
        </w:numPr>
        <w:spacing w:before="0"/>
      </w:pPr>
      <w:r w:rsidRPr="00B510A6">
        <w:t>basic biophysical conditions within which the farm operates (soil type and rainfall) along with farm system type; or</w:t>
      </w:r>
    </w:p>
    <w:p w14:paraId="332D5424" w14:textId="027E7A1E" w:rsidR="002E599D" w:rsidRPr="00B510A6" w:rsidRDefault="008F42F3" w:rsidP="00BB5D90">
      <w:pPr>
        <w:pStyle w:val="BodyText"/>
        <w:spacing w:before="0"/>
        <w:ind w:left="397" w:hanging="397"/>
      </w:pPr>
      <w:r>
        <w:t>(</w:t>
      </w:r>
      <w:r w:rsidR="00BB5D90" w:rsidRPr="00B510A6">
        <w:t>b)</w:t>
      </w:r>
      <w:r w:rsidR="00BB5D90" w:rsidRPr="00B510A6">
        <w:tab/>
        <w:t xml:space="preserve">a more sophisticated assessment that, in addition to both the matters above, </w:t>
      </w:r>
      <w:r>
        <w:t>considers</w:t>
      </w:r>
      <w:r w:rsidR="00BB5D90" w:rsidRPr="00B510A6">
        <w:t xml:space="preserve"> wider biophysical risk factors</w:t>
      </w:r>
      <w:r w:rsidR="00401348">
        <w:t>,</w:t>
      </w:r>
      <w:r w:rsidR="00BB5D90" w:rsidRPr="00B510A6">
        <w:t xml:space="preserve"> for example, slope, aquifer characteristics and the sensitivity of the receiving environment.</w:t>
      </w:r>
    </w:p>
    <w:p w14:paraId="6D01C0D1" w14:textId="1E8EE9E8" w:rsidR="00093D85" w:rsidRPr="00B510A6" w:rsidRDefault="00093D85" w:rsidP="00093D85">
      <w:pPr>
        <w:pStyle w:val="BodyText"/>
      </w:pPr>
      <w:r w:rsidRPr="00B510A6">
        <w:t>The risk assessment can take the form of a</w:t>
      </w:r>
      <w:r w:rsidR="00944DFE">
        <w:t xml:space="preserve"> tabulated </w:t>
      </w:r>
      <w:r w:rsidRPr="00B510A6">
        <w:t>scoring system or a more sophisticated approach using software that can integrate and weight an array of factors to</w:t>
      </w:r>
      <w:r w:rsidR="00797AC1" w:rsidRPr="00B510A6">
        <w:t> </w:t>
      </w:r>
      <w:r w:rsidR="00944DFE">
        <w:t>produce an indexed risk rating.</w:t>
      </w:r>
      <w:r w:rsidRPr="00B510A6">
        <w:t xml:space="preserve"> </w:t>
      </w:r>
    </w:p>
    <w:p w14:paraId="774F06A9" w14:textId="15BD63A8" w:rsidR="00093D85" w:rsidRPr="00B510A6" w:rsidRDefault="00093D85" w:rsidP="00093D85">
      <w:pPr>
        <w:pStyle w:val="BodyText"/>
      </w:pPr>
      <w:r w:rsidRPr="00B510A6">
        <w:t>A critical factor of the risk</w:t>
      </w:r>
      <w:r w:rsidR="000C46DD">
        <w:t xml:space="preserve"> </w:t>
      </w:r>
      <w:r w:rsidRPr="00B510A6">
        <w:t>assessment approach is that</w:t>
      </w:r>
      <w:r w:rsidR="00DD0ACC">
        <w:t>,</w:t>
      </w:r>
      <w:r w:rsidRPr="00B510A6">
        <w:t xml:space="preserve"> for the process to improve practices, it</w:t>
      </w:r>
      <w:r w:rsidR="00AA2EBD">
        <w:t> </w:t>
      </w:r>
      <w:r w:rsidRPr="00B510A6">
        <w:t>must be coupled with an implementation mechanism. The risk</w:t>
      </w:r>
      <w:r w:rsidR="008F42F3">
        <w:t xml:space="preserve"> </w:t>
      </w:r>
      <w:r w:rsidRPr="00B510A6">
        <w:t xml:space="preserve">assessment process itself can provide useful information about a farm’s levels of risk, but a means </w:t>
      </w:r>
      <w:r w:rsidR="002170D6">
        <w:t xml:space="preserve">is needed </w:t>
      </w:r>
      <w:r w:rsidRPr="00B510A6">
        <w:t>of ensuring that actions are taken to reduce that risk to ensure environmental outcomes are met.</w:t>
      </w:r>
    </w:p>
    <w:p w14:paraId="2DBF8199" w14:textId="576B0DB8" w:rsidR="00093D85" w:rsidRPr="00B510A6" w:rsidRDefault="00093D85" w:rsidP="00093D85">
      <w:pPr>
        <w:pStyle w:val="BodyText"/>
      </w:pPr>
      <w:r w:rsidRPr="00B510A6">
        <w:t>For example, risk score thresholds could be used as a trigger for activity status in regional</w:t>
      </w:r>
      <w:r w:rsidR="00797AC1" w:rsidRPr="00B510A6">
        <w:t> </w:t>
      </w:r>
      <w:r w:rsidRPr="00B510A6">
        <w:t xml:space="preserve">plans (as Overseer leaching rates have been), or the risk-index approach could be embedded within resource consent conditions or mandatory </w:t>
      </w:r>
      <w:r w:rsidR="00F14BD8">
        <w:t>f</w:t>
      </w:r>
      <w:r w:rsidR="00F14BD8" w:rsidRPr="00B510A6">
        <w:t xml:space="preserve">arm </w:t>
      </w:r>
      <w:r w:rsidR="00F14BD8">
        <w:t>e</w:t>
      </w:r>
      <w:r w:rsidR="00F14BD8" w:rsidRPr="00B510A6">
        <w:t xml:space="preserve">nvironment </w:t>
      </w:r>
      <w:r w:rsidR="00F14BD8">
        <w:t>p</w:t>
      </w:r>
      <w:r w:rsidR="00F14BD8" w:rsidRPr="00B510A6">
        <w:t>lans</w:t>
      </w:r>
      <w:r w:rsidRPr="00B510A6">
        <w:t xml:space="preserve"> to drive practice change or</w:t>
      </w:r>
      <w:r w:rsidR="00797AC1" w:rsidRPr="00B510A6">
        <w:t> </w:t>
      </w:r>
      <w:r w:rsidRPr="00B510A6">
        <w:t xml:space="preserve">audit gradings. </w:t>
      </w:r>
    </w:p>
    <w:p w14:paraId="26DB9C55" w14:textId="28950715" w:rsidR="00093D85" w:rsidRPr="00B510A6" w:rsidRDefault="00093D85" w:rsidP="00093D85">
      <w:pPr>
        <w:pStyle w:val="BodyText"/>
      </w:pPr>
      <w:r w:rsidRPr="00B510A6">
        <w:t>One potential benefit of a risk</w:t>
      </w:r>
      <w:r w:rsidR="00820122">
        <w:t xml:space="preserve"> </w:t>
      </w:r>
      <w:r w:rsidRPr="00B510A6">
        <w:t>assessment regulatory approach is it could be used to address</w:t>
      </w:r>
      <w:r w:rsidR="000271E2">
        <w:t> </w:t>
      </w:r>
      <w:r w:rsidRPr="00B510A6">
        <w:t>risks associated with loss of a wide range of diffuse contaminants beyond nitrogen</w:t>
      </w:r>
      <w:r w:rsidR="000271E2">
        <w:t> </w:t>
      </w:r>
      <w:r w:rsidRPr="00B510A6">
        <w:t xml:space="preserve">(phosphorus, </w:t>
      </w:r>
      <w:proofErr w:type="gramStart"/>
      <w:r w:rsidRPr="00B510A6">
        <w:t>sediment</w:t>
      </w:r>
      <w:proofErr w:type="gramEnd"/>
      <w:r w:rsidRPr="00B510A6">
        <w:t xml:space="preserve"> and </w:t>
      </w:r>
      <w:r w:rsidR="008F4E16" w:rsidRPr="008F4E16">
        <w:rPr>
          <w:i/>
          <w:iCs/>
        </w:rPr>
        <w:t>Escherichia</w:t>
      </w:r>
      <w:r w:rsidRPr="00B510A6">
        <w:rPr>
          <w:i/>
          <w:iCs/>
        </w:rPr>
        <w:t xml:space="preserve"> coli</w:t>
      </w:r>
      <w:r w:rsidRPr="00B510A6">
        <w:t>), although this would add</w:t>
      </w:r>
      <w:r w:rsidR="004271DD">
        <w:t> </w:t>
      </w:r>
      <w:r w:rsidRPr="00B510A6">
        <w:t xml:space="preserve">complexity. </w:t>
      </w:r>
      <w:bookmarkStart w:id="74" w:name="_Ref76642348"/>
    </w:p>
    <w:p w14:paraId="520922DF" w14:textId="77777777" w:rsidR="00093D85" w:rsidRPr="00B510A6" w:rsidRDefault="00093D85" w:rsidP="00093D85">
      <w:pPr>
        <w:pStyle w:val="Heading2"/>
        <w:numPr>
          <w:ilvl w:val="0"/>
          <w:numId w:val="25"/>
        </w:numPr>
      </w:pPr>
      <w:bookmarkStart w:id="75" w:name="_Toc77078059"/>
      <w:bookmarkStart w:id="76" w:name="_Toc77171897"/>
      <w:bookmarkStart w:id="77" w:name="_Toc77326663"/>
      <w:bookmarkStart w:id="78" w:name="_Toc79488711"/>
      <w:r w:rsidRPr="00B510A6">
        <w:lastRenderedPageBreak/>
        <w:t>Option (b): Amending Overseer to address Panel concerns</w:t>
      </w:r>
      <w:bookmarkEnd w:id="75"/>
      <w:bookmarkEnd w:id="76"/>
      <w:bookmarkEnd w:id="77"/>
      <w:bookmarkEnd w:id="78"/>
    </w:p>
    <w:p w14:paraId="438BB57B" w14:textId="2E06FB90" w:rsidR="00093D85" w:rsidRPr="00B510A6" w:rsidRDefault="00093D85" w:rsidP="00093D85">
      <w:pPr>
        <w:pStyle w:val="BodyText"/>
      </w:pPr>
      <w:r w:rsidRPr="00B510A6">
        <w:t xml:space="preserve">As set out in </w:t>
      </w:r>
      <w:hyperlink w:anchor="_Understanding_our_current" w:history="1">
        <w:r w:rsidR="004271DD" w:rsidRPr="000D6927">
          <w:rPr>
            <w:rStyle w:val="Hyperlink"/>
          </w:rPr>
          <w:t>s</w:t>
        </w:r>
        <w:r w:rsidRPr="000D6927">
          <w:rPr>
            <w:rStyle w:val="Hyperlink"/>
          </w:rPr>
          <w:t xml:space="preserve">ection </w:t>
        </w:r>
        <w:r w:rsidRPr="000D6927">
          <w:rPr>
            <w:rStyle w:val="Hyperlink"/>
          </w:rPr>
          <w:fldChar w:fldCharType="begin"/>
        </w:r>
        <w:r w:rsidRPr="000D6927">
          <w:rPr>
            <w:rStyle w:val="Hyperlink"/>
          </w:rPr>
          <w:instrText xml:space="preserve"> REF _Ref76645791 \r \h  \* MERGEFORMAT </w:instrText>
        </w:r>
        <w:r w:rsidRPr="000D6927">
          <w:rPr>
            <w:rStyle w:val="Hyperlink"/>
          </w:rPr>
        </w:r>
        <w:r w:rsidRPr="000D6927">
          <w:rPr>
            <w:rStyle w:val="Hyperlink"/>
          </w:rPr>
          <w:fldChar w:fldCharType="separate"/>
        </w:r>
        <w:r w:rsidR="0074056E">
          <w:rPr>
            <w:rStyle w:val="Hyperlink"/>
          </w:rPr>
          <w:t>5.2</w:t>
        </w:r>
        <w:r w:rsidRPr="000D6927">
          <w:rPr>
            <w:rStyle w:val="Hyperlink"/>
          </w:rPr>
          <w:fldChar w:fldCharType="end"/>
        </w:r>
      </w:hyperlink>
      <w:r w:rsidRPr="00B510A6">
        <w:t xml:space="preserve">, the option of developing </w:t>
      </w:r>
      <w:r w:rsidR="00BE77DB">
        <w:t xml:space="preserve">a next generation </w:t>
      </w:r>
      <w:r w:rsidRPr="00B510A6">
        <w:t>Overseer remains</w:t>
      </w:r>
      <w:r w:rsidR="001A7D13">
        <w:t xml:space="preserve"> and a redevelopment project is being established. I</w:t>
      </w:r>
      <w:r w:rsidRPr="00B510A6">
        <w:t xml:space="preserve">t would appear that at least some of the issues of concern identified by the Panel may be able to be addressed. </w:t>
      </w:r>
      <w:r w:rsidR="001A7D13">
        <w:t xml:space="preserve">Some of these may be easier to address than others, such as </w:t>
      </w:r>
      <w:r w:rsidRPr="00B510A6">
        <w:t>modify</w:t>
      </w:r>
      <w:r w:rsidR="001A7D13">
        <w:t>ing</w:t>
      </w:r>
      <w:r w:rsidRPr="00B510A6">
        <w:t xml:space="preserve"> Overseer to use actual climate data</w:t>
      </w:r>
      <w:r w:rsidR="001A7D13">
        <w:t xml:space="preserve"> rather than 30-year averaged data</w:t>
      </w:r>
      <w:r w:rsidRPr="00B510A6">
        <w:t>. Similarly, the issues raised by Overseer focusing on nitrate-nitrogen and not accounting for overland flows could be addressed by restricting the recommended use of Overseer to particular situations (for example, where nitrate-nitrogen is the predominant nitrogen species and slope and drainage characteristics are not conducive to</w:t>
      </w:r>
      <w:r w:rsidR="009656D9">
        <w:t> </w:t>
      </w:r>
      <w:r w:rsidRPr="00B510A6">
        <w:t>overland flows).</w:t>
      </w:r>
      <w:r w:rsidR="00797AC1" w:rsidRPr="00B510A6">
        <w:t xml:space="preserve"> </w:t>
      </w:r>
    </w:p>
    <w:p w14:paraId="61BDFBCF" w14:textId="77777777" w:rsidR="00093D85" w:rsidRPr="00B510A6" w:rsidRDefault="00093D85" w:rsidP="00093D85">
      <w:pPr>
        <w:pStyle w:val="BodyText"/>
      </w:pPr>
      <w:r w:rsidRPr="00B510A6">
        <w:rPr>
          <w:bCs/>
        </w:rPr>
        <w:t>In most catchments with greatest nitrogen load, nitrate-nitrogen is the predominant nitrogen species. Nevertheless, non-nitrogen species can be important contributors to freshwater degradation in some catchments. Hence the use of even a redeveloped Overseer may need to</w:t>
      </w:r>
      <w:r w:rsidR="00AA2EBD">
        <w:rPr>
          <w:bCs/>
        </w:rPr>
        <w:t> </w:t>
      </w:r>
      <w:r w:rsidRPr="00B510A6">
        <w:rPr>
          <w:bCs/>
        </w:rPr>
        <w:t>be supplemented with additional tools.</w:t>
      </w:r>
      <w:r w:rsidR="00797AC1" w:rsidRPr="00B510A6">
        <w:rPr>
          <w:bCs/>
        </w:rPr>
        <w:t xml:space="preserve"> </w:t>
      </w:r>
    </w:p>
    <w:p w14:paraId="7A50FFEA" w14:textId="77777777" w:rsidR="00F21D6F" w:rsidRDefault="00093D85" w:rsidP="00093D85">
      <w:pPr>
        <w:pStyle w:val="BodyText"/>
        <w:rPr>
          <w:bCs/>
        </w:rPr>
      </w:pPr>
      <w:r w:rsidRPr="00B510A6">
        <w:rPr>
          <w:bCs/>
        </w:rPr>
        <w:t>Importantly, when Overseer has been evaluated against farm systems experiments</w:t>
      </w:r>
      <w:r w:rsidR="00F734C3">
        <w:rPr>
          <w:bCs/>
        </w:rPr>
        <w:t>,</w:t>
      </w:r>
      <w:r w:rsidRPr="00B510A6">
        <w:rPr>
          <w:bCs/>
        </w:rPr>
        <w:t xml:space="preserve"> and when</w:t>
      </w:r>
      <w:r w:rsidR="009656D9">
        <w:rPr>
          <w:bCs/>
        </w:rPr>
        <w:t> </w:t>
      </w:r>
      <w:r w:rsidRPr="00B510A6">
        <w:rPr>
          <w:bCs/>
        </w:rPr>
        <w:t xml:space="preserve">actual climate and drainage data are used to parameterise the model, relatively good agreement </w:t>
      </w:r>
      <w:r w:rsidR="00F734C3">
        <w:rPr>
          <w:bCs/>
        </w:rPr>
        <w:t xml:space="preserve">has been reached </w:t>
      </w:r>
      <w:r w:rsidRPr="00B510A6">
        <w:rPr>
          <w:bCs/>
        </w:rPr>
        <w:t xml:space="preserve">between Overseer’s output and measured nitrate leaching losses. This </w:t>
      </w:r>
      <w:r w:rsidR="00056746">
        <w:rPr>
          <w:bCs/>
        </w:rPr>
        <w:t>suggests</w:t>
      </w:r>
      <w:r w:rsidRPr="00B510A6">
        <w:rPr>
          <w:bCs/>
        </w:rPr>
        <w:t xml:space="preserve"> that if Overseer can be ‘redeveloped’ to use real climate data and to adequately model drainage, </w:t>
      </w:r>
      <w:r w:rsidR="00D36FAB">
        <w:rPr>
          <w:bCs/>
        </w:rPr>
        <w:t>users</w:t>
      </w:r>
      <w:r w:rsidRPr="00B510A6">
        <w:rPr>
          <w:bCs/>
        </w:rPr>
        <w:t xml:space="preserve"> could have greater confidence in its use for estimating </w:t>
      </w:r>
      <w:r w:rsidRPr="00B510A6">
        <w:rPr>
          <w:bCs/>
          <w:i/>
          <w:iCs/>
        </w:rPr>
        <w:t>nitrate</w:t>
      </w:r>
      <w:r w:rsidRPr="00B510A6">
        <w:rPr>
          <w:bCs/>
        </w:rPr>
        <w:t xml:space="preserve"> leaching. </w:t>
      </w:r>
    </w:p>
    <w:p w14:paraId="50722304" w14:textId="345C93D5" w:rsidR="00093D85" w:rsidRPr="00B510A6" w:rsidRDefault="00093D85" w:rsidP="00093D85">
      <w:pPr>
        <w:pStyle w:val="BodyText"/>
      </w:pPr>
      <w:r w:rsidRPr="00B510A6">
        <w:rPr>
          <w:bCs/>
        </w:rPr>
        <w:t xml:space="preserve">Modelling overland flow and the non-nitrate species of nitrogen is more difficult. </w:t>
      </w:r>
      <w:r w:rsidR="00F21D6F">
        <w:rPr>
          <w:bCs/>
        </w:rPr>
        <w:t>A</w:t>
      </w:r>
      <w:r w:rsidRPr="00B510A6">
        <w:rPr>
          <w:bCs/>
        </w:rPr>
        <w:t xml:space="preserve"> critical needs analysis will be undertaken with regional councils.</w:t>
      </w:r>
      <w:r w:rsidR="00797AC1" w:rsidRPr="00B510A6">
        <w:rPr>
          <w:bCs/>
        </w:rPr>
        <w:t xml:space="preserve"> </w:t>
      </w:r>
      <w:r w:rsidRPr="00B510A6">
        <w:rPr>
          <w:bCs/>
        </w:rPr>
        <w:t>This</w:t>
      </w:r>
      <w:r w:rsidR="00797AC1" w:rsidRPr="00B510A6">
        <w:rPr>
          <w:bCs/>
        </w:rPr>
        <w:t> </w:t>
      </w:r>
      <w:r w:rsidRPr="00B510A6">
        <w:rPr>
          <w:bCs/>
        </w:rPr>
        <w:t>will seek to understand in what catchments overland flow is a significant contributor to declining water quality and, where it is a concern, whether ammoniacal and organic nitrogen losses can be addressed in ways similar to how phosphorus and sediment are dealt with now.</w:t>
      </w:r>
    </w:p>
    <w:p w14:paraId="22F72E97" w14:textId="1D31AC68" w:rsidR="00F21D6F" w:rsidRDefault="00216507" w:rsidP="00093D85">
      <w:pPr>
        <w:pStyle w:val="BodyText"/>
      </w:pPr>
      <w:r>
        <w:t>Therefore</w:t>
      </w:r>
      <w:r w:rsidR="00093D85" w:rsidRPr="00B510A6">
        <w:t xml:space="preserve">, a </w:t>
      </w:r>
      <w:r w:rsidR="00F21D6F">
        <w:t xml:space="preserve">redeveloped </w:t>
      </w:r>
      <w:r w:rsidR="00093D85" w:rsidRPr="00B510A6">
        <w:t>Overseer could continue to have a role.</w:t>
      </w:r>
      <w:r w:rsidR="00797AC1" w:rsidRPr="00B510A6">
        <w:t xml:space="preserve"> </w:t>
      </w:r>
      <w:r w:rsidR="00F21D6F">
        <w:t xml:space="preserve">As confirmed by the Review Report, </w:t>
      </w:r>
      <w:r w:rsidR="00093D85" w:rsidRPr="00B510A6">
        <w:t xml:space="preserve">however, </w:t>
      </w:r>
      <w:r w:rsidR="00F21D6F" w:rsidRPr="00F21D6F">
        <w:t xml:space="preserve">a suite of tools will be required in addition to a redeveloped Overseer to </w:t>
      </w:r>
      <w:proofErr w:type="gramStart"/>
      <w:r w:rsidR="00F21D6F" w:rsidRPr="00F21D6F">
        <w:t>efficiently and effectively address</w:t>
      </w:r>
      <w:proofErr w:type="gramEnd"/>
      <w:r w:rsidR="00F21D6F" w:rsidRPr="00F21D6F">
        <w:t xml:space="preserve"> all of our nutrient management needs for the future.</w:t>
      </w:r>
    </w:p>
    <w:p w14:paraId="457E288D" w14:textId="75C1E4B7" w:rsidR="00F21D6F" w:rsidRPr="0033315F" w:rsidRDefault="00F21D6F" w:rsidP="00F21D6F">
      <w:pPr>
        <w:spacing w:before="240"/>
        <w:jc w:val="left"/>
        <w:rPr>
          <w:szCs w:val="16"/>
        </w:rPr>
      </w:pPr>
      <w:r w:rsidRPr="0033315F">
        <w:rPr>
          <w:szCs w:val="16"/>
        </w:rPr>
        <w:t xml:space="preserve">The Government </w:t>
      </w:r>
      <w:r w:rsidR="00EF074C">
        <w:rPr>
          <w:szCs w:val="16"/>
        </w:rPr>
        <w:t xml:space="preserve">will work to support </w:t>
      </w:r>
      <w:r w:rsidR="00D44D96">
        <w:rPr>
          <w:szCs w:val="16"/>
        </w:rPr>
        <w:t>the development of a next generation</w:t>
      </w:r>
      <w:r w:rsidRPr="0033315F">
        <w:rPr>
          <w:szCs w:val="16"/>
        </w:rPr>
        <w:t xml:space="preserve"> Overseer </w:t>
      </w:r>
      <w:r>
        <w:rPr>
          <w:szCs w:val="16"/>
        </w:rPr>
        <w:t xml:space="preserve">so that it </w:t>
      </w:r>
      <w:r w:rsidRPr="0033315F">
        <w:rPr>
          <w:szCs w:val="16"/>
        </w:rPr>
        <w:t xml:space="preserve">can fully investigate the opportunities </w:t>
      </w:r>
      <w:r w:rsidRPr="00D3677A">
        <w:rPr>
          <w:szCs w:val="16"/>
        </w:rPr>
        <w:t>and plan an appropriate path for redevelopment</w:t>
      </w:r>
      <w:r w:rsidRPr="0033315F">
        <w:rPr>
          <w:szCs w:val="16"/>
        </w:rPr>
        <w:t>.</w:t>
      </w:r>
    </w:p>
    <w:p w14:paraId="29150A92" w14:textId="38D28659" w:rsidR="00093D85" w:rsidRPr="00B510A6" w:rsidRDefault="00093D85" w:rsidP="00093D85">
      <w:pPr>
        <w:pStyle w:val="Heading2"/>
        <w:numPr>
          <w:ilvl w:val="0"/>
          <w:numId w:val="25"/>
        </w:numPr>
      </w:pPr>
      <w:bookmarkStart w:id="79" w:name="_Toc77078060"/>
      <w:bookmarkStart w:id="80" w:name="_Toc77171898"/>
      <w:bookmarkStart w:id="81" w:name="_Toc77326664"/>
      <w:bookmarkStart w:id="82" w:name="_Toc79488712"/>
      <w:r w:rsidRPr="00B510A6">
        <w:t>Option (c): Control of practices and inputs</w:t>
      </w:r>
      <w:bookmarkEnd w:id="79"/>
      <w:bookmarkEnd w:id="80"/>
      <w:bookmarkEnd w:id="81"/>
      <w:bookmarkEnd w:id="82"/>
    </w:p>
    <w:p w14:paraId="27435A2F" w14:textId="6873E3CD" w:rsidR="00093D85" w:rsidRPr="00B510A6" w:rsidRDefault="0082033A" w:rsidP="00093D85">
      <w:pPr>
        <w:pStyle w:val="BodyText"/>
      </w:pPr>
      <w:r>
        <w:t>C</w:t>
      </w:r>
      <w:r w:rsidR="00093D85" w:rsidRPr="00B510A6">
        <w:t xml:space="preserve">ontrols </w:t>
      </w:r>
      <w:r>
        <w:t xml:space="preserve">are in place </w:t>
      </w:r>
      <w:r w:rsidR="004B2C75">
        <w:t xml:space="preserve">already </w:t>
      </w:r>
      <w:r w:rsidR="00093D85" w:rsidRPr="00B510A6">
        <w:t>at both regional and national levels on certain practices and inputs that aim to manage the nutrient loss risk from farms.</w:t>
      </w:r>
      <w:r w:rsidR="00797AC1" w:rsidRPr="00B510A6">
        <w:t xml:space="preserve"> </w:t>
      </w:r>
      <w:r w:rsidR="00093D85" w:rsidRPr="00B510A6">
        <w:t xml:space="preserve">These include, for example, regional council rules controlling the discharge of collected effluent, cultivation, </w:t>
      </w:r>
      <w:proofErr w:type="gramStart"/>
      <w:r w:rsidR="00093D85" w:rsidRPr="00B510A6">
        <w:t>irrigation</w:t>
      </w:r>
      <w:proofErr w:type="gramEnd"/>
      <w:r w:rsidR="00093D85" w:rsidRPr="00B510A6">
        <w:t xml:space="preserve"> and</w:t>
      </w:r>
      <w:r w:rsidR="004B2C75">
        <w:t> </w:t>
      </w:r>
      <w:r w:rsidR="00093D85" w:rsidRPr="00B510A6">
        <w:t>earthworks.</w:t>
      </w:r>
      <w:r w:rsidR="00797AC1" w:rsidRPr="00B510A6">
        <w:t xml:space="preserve"> </w:t>
      </w:r>
      <w:r w:rsidR="00093D85" w:rsidRPr="00B510A6">
        <w:t>Similarly, the NES-F already controls the application of synthetic nitrogen fertiliser and intensive winter grazing</w:t>
      </w:r>
      <w:r w:rsidR="00532158">
        <w:t>,</w:t>
      </w:r>
      <w:r w:rsidR="00093D85" w:rsidRPr="00B510A6">
        <w:t xml:space="preserve"> and national regulations control stock access to water</w:t>
      </w:r>
      <w:r w:rsidR="00532158">
        <w:t> </w:t>
      </w:r>
      <w:r w:rsidR="00093D85" w:rsidRPr="00B510A6">
        <w:t>bodies.</w:t>
      </w:r>
    </w:p>
    <w:p w14:paraId="5DE77A10" w14:textId="2BA622C7" w:rsidR="00093D85" w:rsidRPr="00B510A6" w:rsidRDefault="00093D85" w:rsidP="00093D85">
      <w:pPr>
        <w:pStyle w:val="BodyText"/>
      </w:pPr>
      <w:r w:rsidRPr="00B510A6">
        <w:t xml:space="preserve">If maximum nitrogen leaching rates </w:t>
      </w:r>
      <w:r w:rsidR="004B2C75">
        <w:t>cannot</w:t>
      </w:r>
      <w:r w:rsidRPr="00B510A6">
        <w:t xml:space="preserve"> be set because of an inability to reliably monitor compliance, then another option is to extend the practice and input control approach.</w:t>
      </w:r>
      <w:r w:rsidR="00797AC1" w:rsidRPr="00B510A6">
        <w:t xml:space="preserve"> </w:t>
      </w:r>
    </w:p>
    <w:p w14:paraId="1442B279" w14:textId="77777777" w:rsidR="00093D85" w:rsidRPr="00B510A6" w:rsidRDefault="00093D85" w:rsidP="00093D85">
      <w:pPr>
        <w:pStyle w:val="BodyText"/>
      </w:pPr>
      <w:r w:rsidRPr="00B510A6">
        <w:t>This approach has well-known advantages and disadvantages that will need to be weighed against the risks faced and the efficacy of other available options.</w:t>
      </w:r>
    </w:p>
    <w:p w14:paraId="5DC58CB2" w14:textId="40F724E3" w:rsidR="00093D85" w:rsidRPr="00B510A6" w:rsidRDefault="00093D85" w:rsidP="00093D85">
      <w:pPr>
        <w:pStyle w:val="BodyText"/>
      </w:pPr>
      <w:r w:rsidRPr="00B510A6">
        <w:lastRenderedPageBreak/>
        <w:t>Practice and input controls can be at the farm scale (by way of freshwater farm plans and individual resource consents), the regional or catchment scale (through regional plan rules), or</w:t>
      </w:r>
      <w:r w:rsidR="00AA2EBD">
        <w:t> </w:t>
      </w:r>
      <w:r w:rsidRPr="00B510A6">
        <w:t>at the national scale (through the inclusion of additional standards in the existing NES-F).</w:t>
      </w:r>
    </w:p>
    <w:p w14:paraId="7EB3601A" w14:textId="7026C2BB" w:rsidR="00093D85" w:rsidRPr="00B510A6" w:rsidRDefault="00F21D6F" w:rsidP="00093D85">
      <w:pPr>
        <w:pStyle w:val="BodyText"/>
      </w:pPr>
      <w:r w:rsidRPr="00F21D6F">
        <w:t>As with the risk index tool, input and practice controls would best be calibrated using a model (such as APSIM) to help us understand the actual and potential effect of the controls on nutrient-loss at the property and catchment scales.</w:t>
      </w:r>
      <w:r w:rsidR="00093D85" w:rsidRPr="00B510A6">
        <w:t xml:space="preserve"> </w:t>
      </w:r>
    </w:p>
    <w:p w14:paraId="427AC4AC" w14:textId="77777777" w:rsidR="00093D85" w:rsidRPr="00B510A6" w:rsidRDefault="00093D85" w:rsidP="00093D85">
      <w:pPr>
        <w:pStyle w:val="Heading2"/>
        <w:numPr>
          <w:ilvl w:val="0"/>
          <w:numId w:val="25"/>
        </w:numPr>
      </w:pPr>
      <w:bookmarkStart w:id="83" w:name="_Toc77078061"/>
      <w:bookmarkStart w:id="84" w:name="_Toc77171899"/>
      <w:bookmarkStart w:id="85" w:name="_Toc77326665"/>
      <w:bookmarkStart w:id="86" w:name="_Toc79488713"/>
      <w:r w:rsidRPr="00B510A6">
        <w:t>Option (d): New management tools</w:t>
      </w:r>
      <w:bookmarkEnd w:id="74"/>
      <w:bookmarkEnd w:id="83"/>
      <w:bookmarkEnd w:id="84"/>
      <w:bookmarkEnd w:id="85"/>
      <w:bookmarkEnd w:id="86"/>
    </w:p>
    <w:p w14:paraId="7AD7E4CE" w14:textId="39E41EDC" w:rsidR="00093D85" w:rsidRPr="00B510A6" w:rsidRDefault="00093D85" w:rsidP="00093D85">
      <w:pPr>
        <w:pStyle w:val="BodyText"/>
      </w:pPr>
      <w:r w:rsidRPr="00B510A6">
        <w:t>The Government fully expects that further needs analysis may well identify the need for additional, or perhaps alternative, tools for the effective and efficient management of nutrient loss risk. At this stage</w:t>
      </w:r>
      <w:r w:rsidR="002A403B">
        <w:t>,</w:t>
      </w:r>
      <w:r w:rsidRPr="00B510A6">
        <w:t xml:space="preserve"> those alternative tools have not been fully scoped. </w:t>
      </w:r>
      <w:r w:rsidR="00D36FAB">
        <w:t xml:space="preserve">The Government </w:t>
      </w:r>
      <w:r w:rsidRPr="00B510A6">
        <w:t>will</w:t>
      </w:r>
      <w:r w:rsidR="00376026">
        <w:t>, however,</w:t>
      </w:r>
      <w:r w:rsidRPr="00B510A6">
        <w:t xml:space="preserve"> be further investigating the feasibility of the following options</w:t>
      </w:r>
      <w:r w:rsidR="005B2DBF">
        <w:t>,</w:t>
      </w:r>
      <w:r w:rsidRPr="00B510A6">
        <w:t xml:space="preserve"> as a minimum.</w:t>
      </w:r>
    </w:p>
    <w:p w14:paraId="4771A95F" w14:textId="1D321C26" w:rsidR="00FC5661" w:rsidRPr="00B510A6" w:rsidRDefault="00FC5661" w:rsidP="00FC5661">
      <w:pPr>
        <w:pStyle w:val="BodyText"/>
        <w:spacing w:before="0"/>
        <w:ind w:left="397" w:hanging="397"/>
      </w:pPr>
      <w:r w:rsidRPr="00B510A6">
        <w:t>(a)</w:t>
      </w:r>
      <w:r w:rsidRPr="00B510A6">
        <w:tab/>
        <w:t>Near real</w:t>
      </w:r>
      <w:r w:rsidR="005B2DBF">
        <w:t>-</w:t>
      </w:r>
      <w:r w:rsidRPr="00B510A6">
        <w:t>time monitoring of freshwater quality at high resolution (potentially farm) scale. This technology and investment could allow, for example, property</w:t>
      </w:r>
      <w:r w:rsidR="00673A76">
        <w:t>-</w:t>
      </w:r>
      <w:r w:rsidRPr="00B510A6">
        <w:t>scale nitrogen loss limits to be imposed with compliance dependent on surface water monitoring rather than, or in additional to, below the root zone modelling.</w:t>
      </w:r>
      <w:r w:rsidR="00797AC1" w:rsidRPr="00B510A6">
        <w:t xml:space="preserve"> </w:t>
      </w:r>
    </w:p>
    <w:p w14:paraId="6E7B8923" w14:textId="7F4EB4B5" w:rsidR="00FC5661" w:rsidRPr="00B510A6" w:rsidRDefault="00FC5661" w:rsidP="00FC5661">
      <w:pPr>
        <w:pStyle w:val="BodyText"/>
        <w:spacing w:before="0"/>
        <w:ind w:left="397" w:hanging="397"/>
      </w:pPr>
      <w:r w:rsidRPr="00B510A6">
        <w:t>(b)</w:t>
      </w:r>
      <w:r w:rsidRPr="00B510A6">
        <w:tab/>
        <w:t xml:space="preserve">Landscape risk assessment. Nutrient loss risk is dependent on land use, climate and underlying physical characteristics of land. Understanding the vulnerability of land to nutrient loss (and the main transport pathways of that loss) allows controls to be tailored to maximum effect and action and investment to be prioritised. </w:t>
      </w:r>
    </w:p>
    <w:p w14:paraId="1448E593" w14:textId="6BE8C8C1" w:rsidR="00BB5D90" w:rsidRPr="00B510A6" w:rsidRDefault="00FC5661" w:rsidP="00FC5661">
      <w:pPr>
        <w:pStyle w:val="BodyText"/>
        <w:spacing w:before="0"/>
        <w:ind w:left="397" w:hanging="397"/>
      </w:pPr>
      <w:r w:rsidRPr="00B510A6">
        <w:t>(c)</w:t>
      </w:r>
      <w:r w:rsidRPr="00B510A6">
        <w:tab/>
        <w:t xml:space="preserve">A new nutrient model. </w:t>
      </w:r>
      <w:r w:rsidRPr="00BE77DB">
        <w:t>To enable the effective and equitable regulation of nitrogen loss reductions, a nutrient loss modelling tool that can perform the function that</w:t>
      </w:r>
      <w:r w:rsidR="0058473F" w:rsidRPr="00BE77DB">
        <w:t xml:space="preserve"> some regulators have sought from</w:t>
      </w:r>
      <w:r w:rsidRPr="00BE77DB">
        <w:t xml:space="preserve"> Overseer over the past 15 year</w:t>
      </w:r>
      <w:r w:rsidR="00F93441">
        <w:t>s</w:t>
      </w:r>
      <w:r w:rsidRPr="00BE77DB">
        <w:t xml:space="preserve"> may be identified by the needs assessment as important.</w:t>
      </w:r>
      <w:r w:rsidR="00797AC1" w:rsidRPr="00B510A6">
        <w:t xml:space="preserve"> </w:t>
      </w:r>
      <w:r w:rsidRPr="00B510A6">
        <w:t>If Overseer cannot be restructured to perform that task, a new model may need to be developed.</w:t>
      </w:r>
      <w:r w:rsidR="00797AC1" w:rsidRPr="00B510A6">
        <w:t xml:space="preserve"> </w:t>
      </w:r>
      <w:r w:rsidRPr="00B510A6">
        <w:t>This is a long</w:t>
      </w:r>
      <w:r w:rsidR="00F21D6F">
        <w:t>-</w:t>
      </w:r>
      <w:r w:rsidRPr="00B510A6">
        <w:t xml:space="preserve">term and likely expensive option </w:t>
      </w:r>
      <w:r w:rsidR="004A17A0">
        <w:t xml:space="preserve">so </w:t>
      </w:r>
      <w:r w:rsidRPr="00B510A6">
        <w:t>will only be considered in detail if it is determined that other options cannot deliver the required level of risk management and control.</w:t>
      </w:r>
    </w:p>
    <w:p w14:paraId="4B9BF492" w14:textId="77777777" w:rsidR="00A744DA" w:rsidRPr="00B510A6" w:rsidRDefault="00A744DA" w:rsidP="00FC5661">
      <w:pPr>
        <w:pStyle w:val="BodyText"/>
      </w:pPr>
    </w:p>
    <w:p w14:paraId="39025969" w14:textId="77777777" w:rsidR="00797AC1" w:rsidRPr="00B510A6" w:rsidRDefault="00797AC1" w:rsidP="00FC5661">
      <w:pPr>
        <w:pStyle w:val="BodyText"/>
        <w:sectPr w:rsidR="00797AC1" w:rsidRPr="00B510A6" w:rsidSect="0070143B">
          <w:footerReference w:type="even" r:id="rId28"/>
          <w:footerReference w:type="default" r:id="rId29"/>
          <w:pgSz w:w="11907" w:h="16840" w:code="9"/>
          <w:pgMar w:top="1134" w:right="1701" w:bottom="1134" w:left="1701" w:header="567" w:footer="567" w:gutter="0"/>
          <w:cols w:space="720"/>
          <w:docGrid w:linePitch="299"/>
        </w:sectPr>
      </w:pPr>
    </w:p>
    <w:p w14:paraId="2A2CD8DA" w14:textId="77777777" w:rsidR="00FC5661" w:rsidRPr="00B510A6" w:rsidRDefault="00BE1917" w:rsidP="008E6047">
      <w:pPr>
        <w:pStyle w:val="Figureheading"/>
        <w:spacing w:before="0"/>
      </w:pPr>
      <w:bookmarkStart w:id="87" w:name="_Toc79488718"/>
      <w:r w:rsidRPr="00B510A6">
        <w:lastRenderedPageBreak/>
        <w:t xml:space="preserve">Figure 1: </w:t>
      </w:r>
      <w:r w:rsidRPr="00B510A6">
        <w:tab/>
        <w:t>Future work timeline</w:t>
      </w:r>
      <w:bookmarkEnd w:id="87"/>
    </w:p>
    <w:tbl>
      <w:tblPr>
        <w:tblStyle w:val="TableGrid"/>
        <w:tblW w:w="5029" w:type="pct"/>
        <w:shd w:val="clear" w:color="auto" w:fill="EEECE1" w:themeFill="background2"/>
        <w:tblLayout w:type="fixed"/>
        <w:tblLook w:val="04A0" w:firstRow="1" w:lastRow="0" w:firstColumn="1" w:lastColumn="0" w:noHBand="0" w:noVBand="1"/>
      </w:tblPr>
      <w:tblGrid>
        <w:gridCol w:w="1311"/>
        <w:gridCol w:w="1313"/>
        <w:gridCol w:w="1746"/>
        <w:gridCol w:w="1664"/>
        <w:gridCol w:w="1691"/>
        <w:gridCol w:w="240"/>
        <w:gridCol w:w="1333"/>
        <w:gridCol w:w="1635"/>
        <w:gridCol w:w="1632"/>
        <w:gridCol w:w="592"/>
        <w:gridCol w:w="1494"/>
      </w:tblGrid>
      <w:tr w:rsidR="00157800" w:rsidRPr="00B510A6" w14:paraId="5471157A" w14:textId="77777777" w:rsidTr="00663A25">
        <w:tc>
          <w:tcPr>
            <w:tcW w:w="895" w:type="pct"/>
            <w:gridSpan w:val="2"/>
            <w:tcBorders>
              <w:top w:val="nil"/>
              <w:left w:val="nil"/>
              <w:bottom w:val="nil"/>
              <w:right w:val="nil"/>
            </w:tcBorders>
            <w:shd w:val="clear" w:color="auto" w:fill="auto"/>
          </w:tcPr>
          <w:p w14:paraId="1587F685" w14:textId="77777777" w:rsidR="00157800" w:rsidRPr="00B510A6" w:rsidRDefault="00157800" w:rsidP="0038397E">
            <w:pPr>
              <w:pStyle w:val="TableTextbold"/>
              <w:spacing w:before="40" w:after="40"/>
              <w:jc w:val="center"/>
            </w:pPr>
            <w:bookmarkStart w:id="88" w:name="_Hlk75179858"/>
            <w:bookmarkStart w:id="89" w:name="_Hlk75512772"/>
          </w:p>
        </w:tc>
        <w:tc>
          <w:tcPr>
            <w:tcW w:w="596" w:type="pct"/>
            <w:tcBorders>
              <w:left w:val="single" w:sz="4" w:space="0" w:color="auto"/>
              <w:bottom w:val="single" w:sz="4" w:space="0" w:color="auto"/>
            </w:tcBorders>
            <w:shd w:val="clear" w:color="auto" w:fill="1C556C" w:themeFill="accent1"/>
          </w:tcPr>
          <w:p w14:paraId="1C08FF32" w14:textId="77777777" w:rsidR="00157800" w:rsidRPr="00663A25" w:rsidRDefault="00157800" w:rsidP="0038397E">
            <w:pPr>
              <w:pStyle w:val="TableTextbold"/>
              <w:spacing w:before="40" w:after="40"/>
              <w:jc w:val="center"/>
              <w:rPr>
                <w:color w:val="FFFFFF" w:themeColor="background1"/>
              </w:rPr>
            </w:pPr>
            <w:r w:rsidRPr="00663A25">
              <w:rPr>
                <w:color w:val="FFFFFF" w:themeColor="background1"/>
              </w:rPr>
              <w:t>2021</w:t>
            </w:r>
          </w:p>
        </w:tc>
        <w:tc>
          <w:tcPr>
            <w:tcW w:w="1145" w:type="pct"/>
            <w:gridSpan w:val="2"/>
            <w:tcBorders>
              <w:bottom w:val="single" w:sz="4" w:space="0" w:color="auto"/>
            </w:tcBorders>
            <w:shd w:val="clear" w:color="auto" w:fill="1C556C" w:themeFill="accent1"/>
          </w:tcPr>
          <w:p w14:paraId="2032E174" w14:textId="77777777" w:rsidR="00157800" w:rsidRPr="00663A25" w:rsidRDefault="00157800" w:rsidP="0038397E">
            <w:pPr>
              <w:pStyle w:val="TableTextbold"/>
              <w:spacing w:before="40" w:after="40"/>
              <w:jc w:val="center"/>
              <w:rPr>
                <w:color w:val="FFFFFF" w:themeColor="background1"/>
              </w:rPr>
            </w:pPr>
            <w:r w:rsidRPr="00663A25">
              <w:rPr>
                <w:color w:val="FFFFFF" w:themeColor="background1"/>
              </w:rPr>
              <w:t>2022</w:t>
            </w:r>
          </w:p>
        </w:tc>
        <w:tc>
          <w:tcPr>
            <w:tcW w:w="1095" w:type="pct"/>
            <w:gridSpan w:val="3"/>
            <w:tcBorders>
              <w:bottom w:val="single" w:sz="4" w:space="0" w:color="auto"/>
            </w:tcBorders>
            <w:shd w:val="clear" w:color="auto" w:fill="1C556C" w:themeFill="accent1"/>
          </w:tcPr>
          <w:p w14:paraId="5AFFF322" w14:textId="77777777" w:rsidR="00157800" w:rsidRPr="00663A25" w:rsidRDefault="00157800" w:rsidP="0038397E">
            <w:pPr>
              <w:pStyle w:val="TableTextbold"/>
              <w:spacing w:before="40" w:after="40"/>
              <w:jc w:val="center"/>
              <w:rPr>
                <w:color w:val="FFFFFF" w:themeColor="background1"/>
              </w:rPr>
            </w:pPr>
            <w:r w:rsidRPr="00663A25">
              <w:rPr>
                <w:color w:val="FFFFFF" w:themeColor="background1"/>
              </w:rPr>
              <w:t>2023</w:t>
            </w:r>
          </w:p>
        </w:tc>
        <w:tc>
          <w:tcPr>
            <w:tcW w:w="1269" w:type="pct"/>
            <w:gridSpan w:val="3"/>
            <w:tcBorders>
              <w:bottom w:val="single" w:sz="4" w:space="0" w:color="auto"/>
            </w:tcBorders>
            <w:shd w:val="clear" w:color="auto" w:fill="1C556C" w:themeFill="accent1"/>
          </w:tcPr>
          <w:p w14:paraId="281F50F2" w14:textId="77777777" w:rsidR="00157800" w:rsidRPr="00663A25" w:rsidRDefault="00157800" w:rsidP="0038397E">
            <w:pPr>
              <w:pStyle w:val="TableTextbold"/>
              <w:spacing w:before="40" w:after="40"/>
              <w:jc w:val="center"/>
              <w:rPr>
                <w:color w:val="FFFFFF" w:themeColor="background1"/>
              </w:rPr>
            </w:pPr>
            <w:r w:rsidRPr="00663A25">
              <w:rPr>
                <w:color w:val="FFFFFF" w:themeColor="background1"/>
              </w:rPr>
              <w:t>2024</w:t>
            </w:r>
          </w:p>
        </w:tc>
      </w:tr>
      <w:tr w:rsidR="00157800" w:rsidRPr="00B510A6" w14:paraId="02095141" w14:textId="77777777" w:rsidTr="00663A25">
        <w:tc>
          <w:tcPr>
            <w:tcW w:w="895" w:type="pct"/>
            <w:gridSpan w:val="2"/>
            <w:tcBorders>
              <w:top w:val="nil"/>
              <w:left w:val="nil"/>
              <w:bottom w:val="nil"/>
              <w:right w:val="nil"/>
            </w:tcBorders>
            <w:shd w:val="clear" w:color="auto" w:fill="auto"/>
          </w:tcPr>
          <w:p w14:paraId="1151C0B1" w14:textId="77777777" w:rsidR="00157800" w:rsidRPr="00B510A6" w:rsidRDefault="00157800" w:rsidP="0038397E">
            <w:pPr>
              <w:pStyle w:val="TableTextbold"/>
              <w:spacing w:before="40" w:after="40"/>
              <w:jc w:val="center"/>
            </w:pPr>
          </w:p>
        </w:tc>
        <w:tc>
          <w:tcPr>
            <w:tcW w:w="596" w:type="pct"/>
            <w:tcBorders>
              <w:left w:val="single" w:sz="4" w:space="0" w:color="auto"/>
              <w:bottom w:val="single" w:sz="4" w:space="0" w:color="auto"/>
            </w:tcBorders>
            <w:shd w:val="clear" w:color="auto" w:fill="1C556C" w:themeFill="accent1"/>
          </w:tcPr>
          <w:p w14:paraId="0859F1D6" w14:textId="625E4765" w:rsidR="00157800" w:rsidRPr="00663A25" w:rsidRDefault="00157800" w:rsidP="0038397E">
            <w:pPr>
              <w:pStyle w:val="TableTextbold"/>
              <w:spacing w:before="40" w:after="40"/>
              <w:jc w:val="center"/>
              <w:rPr>
                <w:color w:val="FFFFFF" w:themeColor="background1"/>
              </w:rPr>
            </w:pPr>
            <w:r w:rsidRPr="00663A25">
              <w:rPr>
                <w:color w:val="FFFFFF" w:themeColor="background1"/>
              </w:rPr>
              <w:t>July</w:t>
            </w:r>
            <w:r w:rsidR="00D132CC" w:rsidRPr="00663A25">
              <w:rPr>
                <w:color w:val="FFFFFF" w:themeColor="background1"/>
              </w:rPr>
              <w:t>–</w:t>
            </w:r>
            <w:r w:rsidRPr="00663A25">
              <w:rPr>
                <w:color w:val="FFFFFF" w:themeColor="background1"/>
              </w:rPr>
              <w:t>Dec</w:t>
            </w:r>
          </w:p>
        </w:tc>
        <w:tc>
          <w:tcPr>
            <w:tcW w:w="568" w:type="pct"/>
            <w:tcBorders>
              <w:bottom w:val="single" w:sz="4" w:space="0" w:color="auto"/>
            </w:tcBorders>
            <w:shd w:val="clear" w:color="auto" w:fill="1C556C" w:themeFill="accent1"/>
          </w:tcPr>
          <w:p w14:paraId="7D9F66AB" w14:textId="29ED23A8" w:rsidR="00157800" w:rsidRPr="00663A25" w:rsidRDefault="00157800" w:rsidP="0038397E">
            <w:pPr>
              <w:pStyle w:val="TableTextbold"/>
              <w:spacing w:before="40" w:after="40"/>
              <w:jc w:val="center"/>
              <w:rPr>
                <w:color w:val="FFFFFF" w:themeColor="background1"/>
              </w:rPr>
            </w:pPr>
            <w:r w:rsidRPr="00663A25">
              <w:rPr>
                <w:color w:val="FFFFFF" w:themeColor="background1"/>
              </w:rPr>
              <w:t>January</w:t>
            </w:r>
            <w:r w:rsidR="00D132CC" w:rsidRPr="00663A25">
              <w:rPr>
                <w:color w:val="FFFFFF" w:themeColor="background1"/>
              </w:rPr>
              <w:t>–</w:t>
            </w:r>
            <w:r w:rsidRPr="00663A25">
              <w:rPr>
                <w:color w:val="FFFFFF" w:themeColor="background1"/>
              </w:rPr>
              <w:t>June</w:t>
            </w:r>
          </w:p>
        </w:tc>
        <w:tc>
          <w:tcPr>
            <w:tcW w:w="577" w:type="pct"/>
            <w:tcBorders>
              <w:bottom w:val="single" w:sz="4" w:space="0" w:color="auto"/>
            </w:tcBorders>
            <w:shd w:val="clear" w:color="auto" w:fill="1C556C" w:themeFill="accent1"/>
          </w:tcPr>
          <w:p w14:paraId="6732BCB5" w14:textId="6BB157BD" w:rsidR="00157800" w:rsidRPr="00663A25" w:rsidRDefault="00157800" w:rsidP="0038397E">
            <w:pPr>
              <w:pStyle w:val="TableTextbold"/>
              <w:spacing w:before="40" w:after="40"/>
              <w:jc w:val="center"/>
              <w:rPr>
                <w:color w:val="FFFFFF" w:themeColor="background1"/>
              </w:rPr>
            </w:pPr>
            <w:r w:rsidRPr="00663A25">
              <w:rPr>
                <w:color w:val="FFFFFF" w:themeColor="background1"/>
              </w:rPr>
              <w:t>July</w:t>
            </w:r>
            <w:r w:rsidR="00D132CC" w:rsidRPr="00663A25">
              <w:rPr>
                <w:color w:val="FFFFFF" w:themeColor="background1"/>
              </w:rPr>
              <w:t>–</w:t>
            </w:r>
            <w:r w:rsidRPr="00663A25">
              <w:rPr>
                <w:color w:val="FFFFFF" w:themeColor="background1"/>
              </w:rPr>
              <w:t>Dec</w:t>
            </w:r>
          </w:p>
        </w:tc>
        <w:tc>
          <w:tcPr>
            <w:tcW w:w="537" w:type="pct"/>
            <w:gridSpan w:val="2"/>
            <w:tcBorders>
              <w:bottom w:val="single" w:sz="4" w:space="0" w:color="auto"/>
            </w:tcBorders>
            <w:shd w:val="clear" w:color="auto" w:fill="1C556C" w:themeFill="accent1"/>
          </w:tcPr>
          <w:p w14:paraId="207E5F12" w14:textId="0D7FE34D" w:rsidR="00157800" w:rsidRPr="00663A25" w:rsidRDefault="00157800" w:rsidP="0038397E">
            <w:pPr>
              <w:pStyle w:val="TableTextbold"/>
              <w:spacing w:before="40" w:after="40"/>
              <w:jc w:val="center"/>
              <w:rPr>
                <w:color w:val="FFFFFF" w:themeColor="background1"/>
              </w:rPr>
            </w:pPr>
            <w:r w:rsidRPr="00663A25">
              <w:rPr>
                <w:color w:val="FFFFFF" w:themeColor="background1"/>
              </w:rPr>
              <w:t>January</w:t>
            </w:r>
            <w:r w:rsidR="00D132CC" w:rsidRPr="00663A25">
              <w:rPr>
                <w:color w:val="FFFFFF" w:themeColor="background1"/>
              </w:rPr>
              <w:t>–</w:t>
            </w:r>
            <w:r w:rsidRPr="00663A25">
              <w:rPr>
                <w:color w:val="FFFFFF" w:themeColor="background1"/>
              </w:rPr>
              <w:t>June</w:t>
            </w:r>
          </w:p>
        </w:tc>
        <w:tc>
          <w:tcPr>
            <w:tcW w:w="558" w:type="pct"/>
            <w:tcBorders>
              <w:bottom w:val="single" w:sz="4" w:space="0" w:color="auto"/>
            </w:tcBorders>
            <w:shd w:val="clear" w:color="auto" w:fill="1C556C" w:themeFill="accent1"/>
          </w:tcPr>
          <w:p w14:paraId="2B11FDEC" w14:textId="7E3FBB57" w:rsidR="00157800" w:rsidRPr="00663A25" w:rsidRDefault="00157800" w:rsidP="0038397E">
            <w:pPr>
              <w:pStyle w:val="TableTextbold"/>
              <w:spacing w:before="40" w:after="40"/>
              <w:jc w:val="center"/>
              <w:rPr>
                <w:color w:val="FFFFFF" w:themeColor="background1"/>
              </w:rPr>
            </w:pPr>
            <w:r w:rsidRPr="00663A25">
              <w:rPr>
                <w:color w:val="FFFFFF" w:themeColor="background1"/>
              </w:rPr>
              <w:t>July</w:t>
            </w:r>
            <w:r w:rsidR="00D132CC" w:rsidRPr="00663A25">
              <w:rPr>
                <w:color w:val="FFFFFF" w:themeColor="background1"/>
              </w:rPr>
              <w:t>–</w:t>
            </w:r>
            <w:r w:rsidRPr="00663A25">
              <w:rPr>
                <w:color w:val="FFFFFF" w:themeColor="background1"/>
              </w:rPr>
              <w:t>Dec</w:t>
            </w:r>
          </w:p>
        </w:tc>
        <w:tc>
          <w:tcPr>
            <w:tcW w:w="557" w:type="pct"/>
            <w:tcBorders>
              <w:bottom w:val="single" w:sz="4" w:space="0" w:color="auto"/>
            </w:tcBorders>
            <w:shd w:val="clear" w:color="auto" w:fill="1C556C" w:themeFill="accent1"/>
          </w:tcPr>
          <w:p w14:paraId="6C470C0A" w14:textId="6E02E58C" w:rsidR="00157800" w:rsidRPr="00663A25" w:rsidRDefault="00157800" w:rsidP="0038397E">
            <w:pPr>
              <w:pStyle w:val="TableTextbold"/>
              <w:spacing w:before="40" w:after="40"/>
              <w:jc w:val="center"/>
              <w:rPr>
                <w:color w:val="FFFFFF" w:themeColor="background1"/>
              </w:rPr>
            </w:pPr>
            <w:r w:rsidRPr="00663A25">
              <w:rPr>
                <w:color w:val="FFFFFF" w:themeColor="background1"/>
              </w:rPr>
              <w:t>January</w:t>
            </w:r>
            <w:r w:rsidR="00D132CC" w:rsidRPr="00663A25">
              <w:rPr>
                <w:color w:val="FFFFFF" w:themeColor="background1"/>
              </w:rPr>
              <w:t>–</w:t>
            </w:r>
            <w:r w:rsidRPr="00663A25">
              <w:rPr>
                <w:color w:val="FFFFFF" w:themeColor="background1"/>
              </w:rPr>
              <w:t>June</w:t>
            </w:r>
          </w:p>
        </w:tc>
        <w:tc>
          <w:tcPr>
            <w:tcW w:w="712" w:type="pct"/>
            <w:gridSpan w:val="2"/>
            <w:tcBorders>
              <w:bottom w:val="single" w:sz="4" w:space="0" w:color="auto"/>
            </w:tcBorders>
            <w:shd w:val="clear" w:color="auto" w:fill="1C556C" w:themeFill="accent1"/>
          </w:tcPr>
          <w:p w14:paraId="7CA5DC82" w14:textId="002D3043" w:rsidR="00157800" w:rsidRPr="00663A25" w:rsidRDefault="00157800" w:rsidP="0038397E">
            <w:pPr>
              <w:pStyle w:val="TableTextbold"/>
              <w:spacing w:before="40" w:after="40"/>
              <w:jc w:val="center"/>
              <w:rPr>
                <w:color w:val="FFFFFF" w:themeColor="background1"/>
              </w:rPr>
            </w:pPr>
            <w:r w:rsidRPr="00663A25">
              <w:rPr>
                <w:color w:val="FFFFFF" w:themeColor="background1"/>
              </w:rPr>
              <w:t>July</w:t>
            </w:r>
            <w:r w:rsidR="00D132CC" w:rsidRPr="00663A25">
              <w:rPr>
                <w:color w:val="FFFFFF" w:themeColor="background1"/>
              </w:rPr>
              <w:t>–</w:t>
            </w:r>
            <w:r w:rsidRPr="00663A25">
              <w:rPr>
                <w:color w:val="FFFFFF" w:themeColor="background1"/>
              </w:rPr>
              <w:t>Dec</w:t>
            </w:r>
          </w:p>
        </w:tc>
      </w:tr>
      <w:bookmarkEnd w:id="88"/>
      <w:tr w:rsidR="00157800" w:rsidRPr="00B510A6" w14:paraId="3EDDF5A0" w14:textId="77777777" w:rsidTr="00663A25">
        <w:trPr>
          <w:trHeight w:val="680"/>
        </w:trPr>
        <w:tc>
          <w:tcPr>
            <w:tcW w:w="895" w:type="pct"/>
            <w:gridSpan w:val="2"/>
            <w:tcBorders>
              <w:top w:val="single" w:sz="4" w:space="0" w:color="auto"/>
              <w:bottom w:val="single" w:sz="4" w:space="0" w:color="auto"/>
            </w:tcBorders>
            <w:shd w:val="clear" w:color="auto" w:fill="D2DDE2" w:themeFill="accent3"/>
            <w:vAlign w:val="center"/>
          </w:tcPr>
          <w:p w14:paraId="3A7EDEFD" w14:textId="6EEDAEFD" w:rsidR="00157800" w:rsidRPr="00B510A6" w:rsidRDefault="00157800" w:rsidP="00157800">
            <w:pPr>
              <w:spacing w:before="0" w:after="0" w:line="240" w:lineRule="auto"/>
              <w:jc w:val="center"/>
              <w:rPr>
                <w:rFonts w:cs="Calibri"/>
                <w:sz w:val="18"/>
                <w:szCs w:val="18"/>
              </w:rPr>
            </w:pPr>
            <w:r w:rsidRPr="00B510A6">
              <w:rPr>
                <w:rFonts w:cs="Calibri"/>
                <w:sz w:val="18"/>
                <w:szCs w:val="18"/>
              </w:rPr>
              <w:t>Overseer</w:t>
            </w:r>
          </w:p>
        </w:tc>
        <w:tc>
          <w:tcPr>
            <w:tcW w:w="4105" w:type="pct"/>
            <w:gridSpan w:val="9"/>
            <w:tcBorders>
              <w:top w:val="single" w:sz="4" w:space="0" w:color="auto"/>
              <w:bottom w:val="single" w:sz="4" w:space="0" w:color="auto"/>
            </w:tcBorders>
            <w:shd w:val="clear" w:color="auto" w:fill="EEECE1" w:themeFill="background2"/>
          </w:tcPr>
          <w:p w14:paraId="303D687B" w14:textId="04777DAE" w:rsidR="00157800" w:rsidRPr="00B510A6" w:rsidRDefault="0021340F" w:rsidP="00157800">
            <w:pPr>
              <w:spacing w:before="0" w:after="0" w:line="240" w:lineRule="auto"/>
              <w:rPr>
                <w:rFonts w:cs="Calibri"/>
                <w:sz w:val="18"/>
                <w:szCs w:val="18"/>
              </w:rPr>
            </w:pPr>
            <w:r>
              <w:rPr>
                <w:rFonts w:cs="Calibri"/>
                <w:noProof/>
                <w:sz w:val="18"/>
                <w:szCs w:val="18"/>
              </w:rPr>
              <mc:AlternateContent>
                <mc:Choice Requires="wps">
                  <w:drawing>
                    <wp:anchor distT="45720" distB="45720" distL="114300" distR="114300" simplePos="0" relativeHeight="251671552" behindDoc="0" locked="0" layoutInCell="1" allowOverlap="1" wp14:anchorId="705631F1" wp14:editId="2046EEF1">
                      <wp:simplePos x="0" y="0"/>
                      <wp:positionH relativeFrom="column">
                        <wp:posOffset>796595</wp:posOffset>
                      </wp:positionH>
                      <wp:positionV relativeFrom="paragraph">
                        <wp:posOffset>207645</wp:posOffset>
                      </wp:positionV>
                      <wp:extent cx="4971415" cy="267335"/>
                      <wp:effectExtent l="0" t="0" r="19685" b="1841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1415" cy="267335"/>
                              </a:xfrm>
                              <a:prstGeom prst="roundRect">
                                <a:avLst/>
                              </a:prstGeom>
                              <a:solidFill>
                                <a:srgbClr val="FFFFFF"/>
                              </a:solidFill>
                              <a:ln w="9525">
                                <a:solidFill>
                                  <a:srgbClr val="000000"/>
                                </a:solidFill>
                                <a:miter lim="800000"/>
                                <a:headEnd/>
                                <a:tailEnd/>
                              </a:ln>
                            </wps:spPr>
                            <wps:txbx>
                              <w:txbxContent>
                                <w:p w14:paraId="1D75F6CA" w14:textId="55DD7376" w:rsidR="00190A63" w:rsidRPr="00DB40B1" w:rsidRDefault="00190A63" w:rsidP="00204162">
                                  <w:pPr>
                                    <w:pStyle w:val="TableText"/>
                                    <w:spacing w:before="0"/>
                                    <w:rPr>
                                      <w:sz w:val="22"/>
                                    </w:rPr>
                                  </w:pPr>
                                  <w:r w:rsidRPr="00DB40B1">
                                    <w:t xml:space="preserve">Future development pathway </w:t>
                                  </w:r>
                                  <w:r>
                                    <w:t>progressed</w:t>
                                  </w:r>
                                  <w:r w:rsidRPr="00DB40B1">
                                    <w:t>, based on future needs</w:t>
                                  </w:r>
                                  <w:r>
                                    <w:t>,</w:t>
                                  </w:r>
                                  <w:r w:rsidRPr="00DB40B1">
                                    <w:t xml:space="preserve"> </w:t>
                                  </w:r>
                                  <w:proofErr w:type="gramStart"/>
                                  <w:r w:rsidRPr="00DB40B1">
                                    <w:t>decisions</w:t>
                                  </w:r>
                                  <w:proofErr w:type="gramEnd"/>
                                  <w:r w:rsidRPr="00DB40B1">
                                    <w:t xml:space="preserve"> and ownership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05631F1" id="Text Box 1" o:spid="_x0000_s1026" style="position:absolute;left:0;text-align:left;margin-left:62.7pt;margin-top:16.35pt;width:391.45pt;height:21.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rhKAIAAEkEAAAOAAAAZHJzL2Uyb0RvYy54bWysVNtu2zAMfR+wfxD0vjhOk6Yx4hRdugwD&#10;ugvW7gMUSY6FSaImKbHbrx8lp1l2exnmB4EUqUPykPTyujeaHKQPCmxNy9GYEmk5CGV3Nf3ysHl1&#10;RUmIzAqmwcqaPspAr1cvXyw7V8kJtKCF9ARBbKg6V9M2RlcVReCtNCyMwEmLxga8YRFVvyuEZx2i&#10;G11MxuPLogMvnAcuQ8Db28FIVxm/aSSPH5smyEh0TTG3mE+fz206i9WSVTvPXKv4MQ32D1kYpiwG&#10;PUHdssjI3qvfoIziHgI0ccTBFNA0istcA1ZTjn+p5r5lTuZakJzgTjSF/wfLPxw+eaJETReUWGaw&#10;RQ+yj+Q19KRM7HQuVOh079At9niNXc6VBncH/GsgFtYtszt54z10rWQCs8svi7OnA05IINvuPQgM&#10;w/YRMlDfeJOoQzIIomOXHk+dSalwvJwu5uW0nFHC0Ta5nF9czFJyBaueXzsf4lsJhiShph72VnzG&#10;9ucQ7HAX4uD/7JciBtBKbJTWWfG77Vp7cmA4Kpv8HUP85KYt6ZCs2WQ2sPBXiHH+/gRhVMSZ18rU&#10;9OrkxKrE3Rsr8kRGpvQgY4naYqWJzMTfwGTst/2xOVsQj0irh2G2cRdRaME/UdLhXNc0fNszLynR&#10;7yy2ZlFOp2kRsjKdzSeo+HPL9tzCLEeomkZKBnEd8/IkwizcYAsblYlN6Q2ZHHPFec39Oe5WWohz&#10;PXv9+AOsvgMAAP//AwBQSwMEFAAGAAgAAAAhAMdF5VzgAAAACQEAAA8AAABkcnMvZG93bnJldi54&#10;bWxMj0FPg0AQhe8m/ofNmHizi9BSSlkaY2LiwYMFD/a2sCOQsrOE3QL217ue9PgyX977JjssumcT&#10;jrYzJOBxFQBDqo3qqBHwUb48JMCsk6RkbwgFfKOFQ357k8lUmZmOOBWuYb6EbCoFtM4NKee2blFL&#10;uzIDkr99mVFL5+PYcDXK2ZfrnodBEHMtO/ILrRzwucX6XFy0gOk1Lq6fJjrt4rl6C8rrqTTvGyHu&#10;75anPTCHi/uD4Vffq0PunSpzIWVZ73O4WXtUQBRugXlgFyQRsErAdp0AzzP+/4P8BwAA//8DAFBL&#10;AQItABQABgAIAAAAIQC2gziS/gAAAOEBAAATAAAAAAAAAAAAAAAAAAAAAABbQ29udGVudF9UeXBl&#10;c10ueG1sUEsBAi0AFAAGAAgAAAAhADj9If/WAAAAlAEAAAsAAAAAAAAAAAAAAAAALwEAAF9yZWxz&#10;Ly5yZWxzUEsBAi0AFAAGAAgAAAAhANGRuuEoAgAASQQAAA4AAAAAAAAAAAAAAAAALgIAAGRycy9l&#10;Mm9Eb2MueG1sUEsBAi0AFAAGAAgAAAAhAMdF5VzgAAAACQEAAA8AAAAAAAAAAAAAAAAAggQAAGRy&#10;cy9kb3ducmV2LnhtbFBLBQYAAAAABAAEAPMAAACPBQAAAAA=&#10;">
                      <v:stroke joinstyle="miter"/>
                      <v:textbox>
                        <w:txbxContent>
                          <w:p w14:paraId="1D75F6CA" w14:textId="55DD7376" w:rsidR="00190A63" w:rsidRPr="00DB40B1" w:rsidRDefault="00190A63" w:rsidP="00204162">
                            <w:pPr>
                              <w:pStyle w:val="TableText"/>
                              <w:spacing w:before="0"/>
                              <w:rPr>
                                <w:sz w:val="22"/>
                              </w:rPr>
                            </w:pPr>
                            <w:r w:rsidRPr="00DB40B1">
                              <w:t xml:space="preserve">Future development pathway </w:t>
                            </w:r>
                            <w:r>
                              <w:t>progressed</w:t>
                            </w:r>
                            <w:r w:rsidRPr="00DB40B1">
                              <w:t>, based on future needs</w:t>
                            </w:r>
                            <w:r>
                              <w:t>,</w:t>
                            </w:r>
                            <w:r w:rsidRPr="00DB40B1">
                              <w:t xml:space="preserve"> </w:t>
                            </w:r>
                            <w:proofErr w:type="gramStart"/>
                            <w:r w:rsidRPr="00DB40B1">
                              <w:t>decisions</w:t>
                            </w:r>
                            <w:proofErr w:type="gramEnd"/>
                            <w:r w:rsidRPr="00DB40B1">
                              <w:t xml:space="preserve"> and ownership agreement</w:t>
                            </w:r>
                          </w:p>
                        </w:txbxContent>
                      </v:textbox>
                    </v:roundrect>
                  </w:pict>
                </mc:Fallback>
              </mc:AlternateContent>
            </w:r>
            <w:r>
              <w:rPr>
                <w:rFonts w:cs="Calibri"/>
                <w:noProof/>
                <w:sz w:val="18"/>
                <w:szCs w:val="18"/>
              </w:rPr>
              <mc:AlternateContent>
                <mc:Choice Requires="wps">
                  <w:drawing>
                    <wp:anchor distT="45720" distB="45720" distL="114300" distR="114300" simplePos="0" relativeHeight="251670528" behindDoc="0" locked="0" layoutInCell="1" allowOverlap="1" wp14:anchorId="26CD720A" wp14:editId="771D3CF2">
                      <wp:simplePos x="0" y="0"/>
                      <wp:positionH relativeFrom="column">
                        <wp:posOffset>-8585</wp:posOffset>
                      </wp:positionH>
                      <wp:positionV relativeFrom="paragraph">
                        <wp:posOffset>10160</wp:posOffset>
                      </wp:positionV>
                      <wp:extent cx="1603375" cy="260350"/>
                      <wp:effectExtent l="0" t="0" r="15875" b="254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260350"/>
                              </a:xfrm>
                              <a:prstGeom prst="roundRect">
                                <a:avLst/>
                              </a:prstGeom>
                              <a:solidFill>
                                <a:srgbClr val="FFFFFF"/>
                              </a:solidFill>
                              <a:ln w="9525">
                                <a:solidFill>
                                  <a:srgbClr val="000000"/>
                                </a:solidFill>
                                <a:miter lim="800000"/>
                                <a:headEnd/>
                                <a:tailEnd/>
                              </a:ln>
                            </wps:spPr>
                            <wps:txbx>
                              <w:txbxContent>
                                <w:p w14:paraId="1E5FD5E1" w14:textId="77777777" w:rsidR="00190A63" w:rsidRPr="00C72C5E" w:rsidRDefault="00190A63" w:rsidP="00204162">
                                  <w:pPr>
                                    <w:pStyle w:val="TableText"/>
                                    <w:spacing w:before="0"/>
                                  </w:pPr>
                                  <w:r w:rsidRPr="00C72C5E">
                                    <w:t>Current version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CD720A" id="Text Box 14" o:spid="_x0000_s1027" style="position:absolute;left:0;text-align:left;margin-left:-.7pt;margin-top:.8pt;width:126.25pt;height:2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9A5KQIAAFIEAAAOAAAAZHJzL2Uyb0RvYy54bWysVNuO2yAQfa/Uf0C8N3ayyV6sOKtttqkq&#10;bS/qbj+AAI5RgaFAYme/vgNO0mjbvlT1A2JgODNzzoznt73RZCd9UGBrOh6VlEjLQSi7qem3p9Wb&#10;a0pCZFYwDVbWdC8DvV28fjXvXCUn0IIW0hMEsaHqXE3bGF1VFIG30rAwAictXjbgDYto+k0hPOsQ&#10;3ehiUpaXRQdeOA9choCn98MlXWT8ppE8fm6aICPRNcXcYl59XtdpLRZzVm08c63ihzTYP2RhmLIY&#10;9AR1zyIjW69+gzKKewjQxBEHU0DTKC5zDVjNuHxRzWPLnMy1IDnBnWgK/w+Wf9p98UQJ1G5KiWUG&#10;NXqSfSRvoSd4hPx0LlTo9ujQMfZ4jr651uAegH8PxMKyZXYj77yHrpVMYH7j9LI4ezrghASy7j6C&#10;wDhsGyED9Y03iTykgyA66rQ/aZNy4SnkZXlxcTWjhOPdBI1ZFq9g1fG18yG+l2BI2tTUw9aKr9gA&#10;OQTbPYSYUmLV0S9FDKCVWCmts+E366X2ZMewWVb5y1W8cNOWdDW9mU1mAwt/hSjz9ycIoyJ2vVam&#10;ptcnJ1Yl7t5ZkXsyMqWHPaas7YHMxN/AZOzX/aDbUaM1iD2y62FochxK3LTgnynpsMFrGn5smZeU&#10;6A8WFboZT6dpIrIxnV1N0PDnN+vzG2Y5QtU0UjJslzFPUeLNwh0q2ajMb5J8yOSQMjZupv0wZGky&#10;zu3s9etXsPgJAAD//wMAUEsDBBQABgAIAAAAIQDRlw2+3QAAAAcBAAAPAAAAZHJzL2Rvd25yZXYu&#10;eG1sTI7NToQwFIX3Jr5Dc03czRRwhihSJsbExIULBRfOrtArEOktoR3AeXqvK12en5zz5YfVDmLG&#10;yfeOFMTbCARS40xPrYL36mlzC8IHTUYPjlDBN3o4FJcXuc6MW+gN5zK0gkfIZ1pBF8KYSembDq32&#10;WzcicfbpJqsDy6mVZtILj9tBJlGUSqt74odOj/jYYfNVnqyC+Tktzx/u5niXLvVLVJ2PlXvdK3V9&#10;tT7cgwi4hr8y/OIzOhTMVLsTGS8GBZt4x032UxAcJ/s4BlEr2CUpyCKX//mLHwAAAP//AwBQSwEC&#10;LQAUAAYACAAAACEAtoM4kv4AAADhAQAAEwAAAAAAAAAAAAAAAAAAAAAAW0NvbnRlbnRfVHlwZXNd&#10;LnhtbFBLAQItABQABgAIAAAAIQA4/SH/1gAAAJQBAAALAAAAAAAAAAAAAAAAAC8BAABfcmVscy8u&#10;cmVsc1BLAQItABQABgAIAAAAIQCNu9A5KQIAAFIEAAAOAAAAAAAAAAAAAAAAAC4CAABkcnMvZTJv&#10;RG9jLnhtbFBLAQItABQABgAIAAAAIQDRlw2+3QAAAAcBAAAPAAAAAAAAAAAAAAAAAIMEAABkcnMv&#10;ZG93bnJldi54bWxQSwUGAAAAAAQABADzAAAAjQUAAAAA&#10;">
                      <v:stroke joinstyle="miter"/>
                      <v:textbox>
                        <w:txbxContent>
                          <w:p w14:paraId="1E5FD5E1" w14:textId="77777777" w:rsidR="00190A63" w:rsidRPr="00C72C5E" w:rsidRDefault="00190A63" w:rsidP="00204162">
                            <w:pPr>
                              <w:pStyle w:val="TableText"/>
                              <w:spacing w:before="0"/>
                            </w:pPr>
                            <w:r w:rsidRPr="00C72C5E">
                              <w:t>Current version available</w:t>
                            </w:r>
                          </w:p>
                        </w:txbxContent>
                      </v:textbox>
                      <w10:wrap type="square"/>
                    </v:roundrect>
                  </w:pict>
                </mc:Fallback>
              </mc:AlternateContent>
            </w:r>
          </w:p>
        </w:tc>
      </w:tr>
      <w:tr w:rsidR="00157800" w:rsidRPr="00B510A6" w14:paraId="719DF556" w14:textId="77777777" w:rsidTr="0038397E">
        <w:trPr>
          <w:trHeight w:val="124"/>
        </w:trPr>
        <w:tc>
          <w:tcPr>
            <w:tcW w:w="5000" w:type="pct"/>
            <w:gridSpan w:val="11"/>
            <w:tcBorders>
              <w:left w:val="nil"/>
              <w:right w:val="nil"/>
            </w:tcBorders>
            <w:shd w:val="clear" w:color="auto" w:fill="auto"/>
            <w:vAlign w:val="center"/>
          </w:tcPr>
          <w:p w14:paraId="6424C4C7" w14:textId="01FF8F88" w:rsidR="00157800" w:rsidRPr="00B510A6" w:rsidRDefault="00157800" w:rsidP="00157800">
            <w:pPr>
              <w:spacing w:before="0" w:after="0" w:line="240" w:lineRule="auto"/>
              <w:rPr>
                <w:rFonts w:cs="Calibri"/>
                <w:sz w:val="14"/>
                <w:szCs w:val="14"/>
              </w:rPr>
            </w:pPr>
          </w:p>
        </w:tc>
      </w:tr>
      <w:tr w:rsidR="00157800" w:rsidRPr="00B510A6" w14:paraId="29CE3A16" w14:textId="77777777" w:rsidTr="00663A25">
        <w:tc>
          <w:tcPr>
            <w:tcW w:w="447" w:type="pct"/>
            <w:vMerge w:val="restart"/>
            <w:shd w:val="clear" w:color="auto" w:fill="6FC7B7" w:themeFill="accent5"/>
            <w:vAlign w:val="center"/>
          </w:tcPr>
          <w:p w14:paraId="53D9C56C" w14:textId="77777777" w:rsidR="00157800" w:rsidRPr="00B510A6" w:rsidRDefault="00157800" w:rsidP="00204162">
            <w:pPr>
              <w:pStyle w:val="TableText"/>
              <w:jc w:val="center"/>
            </w:pPr>
            <w:r w:rsidRPr="00B510A6">
              <w:t>New tools</w:t>
            </w:r>
          </w:p>
        </w:tc>
        <w:tc>
          <w:tcPr>
            <w:tcW w:w="448" w:type="pct"/>
            <w:shd w:val="clear" w:color="auto" w:fill="6FC7B7" w:themeFill="accent5"/>
            <w:vAlign w:val="center"/>
          </w:tcPr>
          <w:p w14:paraId="6477B0B3" w14:textId="1C3CDB83" w:rsidR="00157800" w:rsidRPr="00B510A6" w:rsidRDefault="00157800" w:rsidP="00204162">
            <w:pPr>
              <w:pStyle w:val="TableText"/>
              <w:jc w:val="center"/>
            </w:pPr>
            <w:r w:rsidRPr="00B510A6">
              <w:t>Policy development</w:t>
            </w:r>
          </w:p>
        </w:tc>
        <w:tc>
          <w:tcPr>
            <w:tcW w:w="4105" w:type="pct"/>
            <w:gridSpan w:val="9"/>
            <w:tcBorders>
              <w:bottom w:val="single" w:sz="4" w:space="0" w:color="auto"/>
            </w:tcBorders>
            <w:shd w:val="clear" w:color="auto" w:fill="EEECE1" w:themeFill="background2"/>
          </w:tcPr>
          <w:p w14:paraId="5EC2B584" w14:textId="7BD5ED1C" w:rsidR="00157800" w:rsidRPr="00B510A6" w:rsidRDefault="00964469" w:rsidP="00157800">
            <w:pPr>
              <w:spacing w:before="0" w:after="0" w:line="240" w:lineRule="auto"/>
              <w:rPr>
                <w:rFonts w:cs="Calibri"/>
                <w:sz w:val="18"/>
                <w:szCs w:val="18"/>
              </w:rPr>
            </w:pPr>
            <w:r>
              <w:rPr>
                <w:rFonts w:cs="Calibri"/>
                <w:noProof/>
                <w:sz w:val="18"/>
                <w:szCs w:val="18"/>
              </w:rPr>
              <mc:AlternateContent>
                <mc:Choice Requires="wps">
                  <w:drawing>
                    <wp:anchor distT="45720" distB="45720" distL="114300" distR="114300" simplePos="0" relativeHeight="251658239" behindDoc="0" locked="0" layoutInCell="1" allowOverlap="1" wp14:anchorId="42267496" wp14:editId="4F6E2833">
                      <wp:simplePos x="0" y="0"/>
                      <wp:positionH relativeFrom="column">
                        <wp:posOffset>-20955</wp:posOffset>
                      </wp:positionH>
                      <wp:positionV relativeFrom="paragraph">
                        <wp:posOffset>57785</wp:posOffset>
                      </wp:positionV>
                      <wp:extent cx="1644650" cy="1323340"/>
                      <wp:effectExtent l="5080" t="12700" r="7620" b="6985"/>
                      <wp:wrapSquare wrapText="bothSides"/>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1323340"/>
                              </a:xfrm>
                              <a:prstGeom prst="roundRect">
                                <a:avLst>
                                  <a:gd name="adj" fmla="val 16667"/>
                                </a:avLst>
                              </a:prstGeom>
                              <a:solidFill>
                                <a:srgbClr val="FFFFFF"/>
                              </a:solidFill>
                              <a:ln w="9525">
                                <a:solidFill>
                                  <a:srgbClr val="000000"/>
                                </a:solidFill>
                                <a:miter lim="800000"/>
                                <a:headEnd/>
                                <a:tailEnd/>
                              </a:ln>
                            </wps:spPr>
                            <wps:txbx>
                              <w:txbxContent>
                                <w:p w14:paraId="64E2B9AD" w14:textId="77777777" w:rsidR="00190A63" w:rsidRPr="00DB40B1" w:rsidRDefault="00190A63" w:rsidP="004A4DDE">
                                  <w:pPr>
                                    <w:pStyle w:val="TableText"/>
                                    <w:spacing w:before="0" w:after="40"/>
                                  </w:pPr>
                                  <w:r>
                                    <w:t>F</w:t>
                                  </w:r>
                                  <w:r w:rsidRPr="00DB40B1">
                                    <w:t>uture tools needs analysis:</w:t>
                                  </w:r>
                                </w:p>
                                <w:p w14:paraId="68F9FDDC" w14:textId="793FEC2E" w:rsidR="00190A63" w:rsidRPr="00DB40B1" w:rsidRDefault="00190A63" w:rsidP="004A4DDE">
                                  <w:pPr>
                                    <w:pStyle w:val="TableBullet"/>
                                    <w:spacing w:after="40" w:line="240" w:lineRule="auto"/>
                                  </w:pPr>
                                  <w:r>
                                    <w:t>catch</w:t>
                                  </w:r>
                                  <w:r w:rsidRPr="00DB40B1">
                                    <w:t>ment modelling</w:t>
                                  </w:r>
                                </w:p>
                                <w:p w14:paraId="598CBCDC" w14:textId="2454A7F5" w:rsidR="00190A63" w:rsidRPr="00DB40B1" w:rsidRDefault="00190A63" w:rsidP="004A4DDE">
                                  <w:pPr>
                                    <w:pStyle w:val="TableBullet"/>
                                    <w:spacing w:after="40" w:line="240" w:lineRule="auto"/>
                                  </w:pPr>
                                  <w:r>
                                    <w:t>proper</w:t>
                                  </w:r>
                                  <w:r w:rsidRPr="00DB40B1">
                                    <w:t xml:space="preserve">ty scale </w:t>
                                  </w:r>
                                </w:p>
                                <w:p w14:paraId="073618E5" w14:textId="5EBC3699" w:rsidR="00190A63" w:rsidRPr="00DB40B1" w:rsidRDefault="00190A63" w:rsidP="004A4DDE">
                                  <w:pPr>
                                    <w:pStyle w:val="TableBullet"/>
                                    <w:spacing w:after="40" w:line="240" w:lineRule="auto"/>
                                  </w:pPr>
                                  <w:r>
                                    <w:t>o</w:t>
                                  </w:r>
                                  <w:r w:rsidRPr="00DB40B1">
                                    <w:t>n-farm decision tool</w:t>
                                  </w:r>
                                </w:p>
                                <w:p w14:paraId="4165BBEB" w14:textId="75876831" w:rsidR="00190A63" w:rsidRPr="00DB40B1" w:rsidRDefault="00190A63" w:rsidP="004A4DDE">
                                  <w:pPr>
                                    <w:pStyle w:val="TableBullet"/>
                                    <w:spacing w:after="40" w:line="240" w:lineRule="auto"/>
                                  </w:pPr>
                                  <w:r>
                                    <w:t>m</w:t>
                                  </w:r>
                                  <w:r w:rsidRPr="00DB40B1">
                                    <w:t>onitoring</w:t>
                                  </w:r>
                                </w:p>
                                <w:p w14:paraId="76E6FF15" w14:textId="66B50D1E" w:rsidR="00190A63" w:rsidRPr="00DB40B1" w:rsidRDefault="00190A63" w:rsidP="004A4DDE">
                                  <w:pPr>
                                    <w:pStyle w:val="TableBullet"/>
                                    <w:spacing w:after="40" w:line="240" w:lineRule="auto"/>
                                  </w:pPr>
                                  <w:r>
                                    <w:t>a</w:t>
                                  </w:r>
                                  <w:r w:rsidRPr="00DB40B1">
                                    <w:t>llocation</w:t>
                                  </w:r>
                                </w:p>
                                <w:p w14:paraId="16D4CB3B" w14:textId="4AC538B3" w:rsidR="00190A63" w:rsidRPr="00DB40B1" w:rsidRDefault="00190A63" w:rsidP="003A70C6">
                                  <w:pPr>
                                    <w:pStyle w:val="TableBullet"/>
                                    <w:spacing w:after="0"/>
                                  </w:pPr>
                                  <w:r>
                                    <w:t>c</w:t>
                                  </w:r>
                                  <w:r w:rsidRPr="00DB40B1">
                                    <w:t>ompliance</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267496" id="AutoShape 13" o:spid="_x0000_s1028" style="position:absolute;left:0;text-align:left;margin-left:-1.65pt;margin-top:4.55pt;width:129.5pt;height:104.2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x8QQIAAIEEAAAOAAAAZHJzL2Uyb0RvYy54bWysVNtu1DAQfUfiHyy/02z2EkrUbFW1FCEV&#10;qCh8wKztbAy+MfZutv16Js7usgWeEHmwZjwzZy7Hk4vLnTVsqzBq7xpenk04U054qd264V+/3L46&#10;5ywmcBKMd6rhjyryy+XLFxd9qNXUd95IhYxAXKz70PAupVAXRRSdshDPfFCOjK1HC4lUXBcSoSd0&#10;a4rpZFIVvUcZ0AsVI93ejEa+zPhtq0T61LZRJWYaTrWlfGI+V8NZLC+gXiOETot9GfAPVVjQjpIe&#10;oW4gAdug/gPKaoE++jadCW8L37ZaqNwDdVNOfuvmoYOgci80nBiOY4r/D1Z83N4j07LhFWcOLFF0&#10;tUk+Z2blbJhPH2JNbg/hHocOY7jz4ntkzl934NbqCtH3nQJJVZWDf/EsYFAihbJV/8FLggeCz6Pa&#10;tWgHQBoC22VGHo+MqF1igi7Laj6vFkScIFs5m85m88xZAfUhPGBM75S3bBAajn7j5GfiPeeA7V1M&#10;mRe57w7kN85aa4jlLRhWVlX1OlcN9d6ZsA+YuV9vtLzVxmQF16trg4xCG36bv31wPHUzjvUNf7OY&#10;LnIVz2zxFGKSv79BWJ1oMYy2DT8/OkE9DPqtk/nZJtBmlKlk4/aTH4Y9kpZ2q12mdjokGIhYeflI&#10;VKAf94D2loTO4xNnPe1Aw+OPDaDizLx3ROdiTplpabJSTqgOzvDUsjq1gBME1fDE2Shep3HRNgH1&#10;uqNMZZ6G88MLa3U6vJWxqn359M5JerZIp3r2+vXnWP4EAAD//wMAUEsDBBQABgAIAAAAIQAJqhDJ&#10;3AAAAAgBAAAPAAAAZHJzL2Rvd25yZXYueG1sTI/BTsMwEETvSPyDtUjcWieNQmmIUyEkpIoTFMR5&#10;E7uJIV5HsZOGv2c50dusZjTzttwvrhezGYP1pCBdJyAMNV5bahV8vD+v7kGEiKSx92QU/JgA++r6&#10;qsRC+zO9mfkYW8ElFApU0MU4FFKGpjMOw9oPhtg7+dFh5HNspR7xzOWul5skuZMOLfFCh4N56kzz&#10;fZycgtp+eawJ53ly0mb95+HlNRyUur1ZHh9ARLPE/zD84TM6VMxU+4l0EL2CVZZxUsEuBcH2Js+3&#10;IGoW6TYHWZXy8oHqFwAA//8DAFBLAQItABQABgAIAAAAIQC2gziS/gAAAOEBAAATAAAAAAAAAAAA&#10;AAAAAAAAAABbQ29udGVudF9UeXBlc10ueG1sUEsBAi0AFAAGAAgAAAAhADj9If/WAAAAlAEAAAsA&#10;AAAAAAAAAAAAAAAALwEAAF9yZWxzLy5yZWxzUEsBAi0AFAAGAAgAAAAhANF1PHxBAgAAgQQAAA4A&#10;AAAAAAAAAAAAAAAALgIAAGRycy9lMm9Eb2MueG1sUEsBAi0AFAAGAAgAAAAhAAmqEMncAAAACAEA&#10;AA8AAAAAAAAAAAAAAAAAmwQAAGRycy9kb3ducmV2LnhtbFBLBQYAAAAABAAEAPMAAACkBQAAAAA=&#10;">
                      <v:stroke joinstyle="miter"/>
                      <v:textbox inset="1.5mm,.3mm,1.5mm,.3mm">
                        <w:txbxContent>
                          <w:p w14:paraId="64E2B9AD" w14:textId="77777777" w:rsidR="00190A63" w:rsidRPr="00DB40B1" w:rsidRDefault="00190A63" w:rsidP="004A4DDE">
                            <w:pPr>
                              <w:pStyle w:val="TableText"/>
                              <w:spacing w:before="0" w:after="40"/>
                            </w:pPr>
                            <w:r>
                              <w:t>F</w:t>
                            </w:r>
                            <w:r w:rsidRPr="00DB40B1">
                              <w:t>uture tools needs analysis:</w:t>
                            </w:r>
                          </w:p>
                          <w:p w14:paraId="68F9FDDC" w14:textId="793FEC2E" w:rsidR="00190A63" w:rsidRPr="00DB40B1" w:rsidRDefault="00190A63" w:rsidP="004A4DDE">
                            <w:pPr>
                              <w:pStyle w:val="TableBullet"/>
                              <w:spacing w:after="40" w:line="240" w:lineRule="auto"/>
                            </w:pPr>
                            <w:r>
                              <w:t>catch</w:t>
                            </w:r>
                            <w:r w:rsidRPr="00DB40B1">
                              <w:t>ment modelling</w:t>
                            </w:r>
                          </w:p>
                          <w:p w14:paraId="598CBCDC" w14:textId="2454A7F5" w:rsidR="00190A63" w:rsidRPr="00DB40B1" w:rsidRDefault="00190A63" w:rsidP="004A4DDE">
                            <w:pPr>
                              <w:pStyle w:val="TableBullet"/>
                              <w:spacing w:after="40" w:line="240" w:lineRule="auto"/>
                            </w:pPr>
                            <w:r>
                              <w:t>proper</w:t>
                            </w:r>
                            <w:r w:rsidRPr="00DB40B1">
                              <w:t xml:space="preserve">ty scale </w:t>
                            </w:r>
                          </w:p>
                          <w:p w14:paraId="073618E5" w14:textId="5EBC3699" w:rsidR="00190A63" w:rsidRPr="00DB40B1" w:rsidRDefault="00190A63" w:rsidP="004A4DDE">
                            <w:pPr>
                              <w:pStyle w:val="TableBullet"/>
                              <w:spacing w:after="40" w:line="240" w:lineRule="auto"/>
                            </w:pPr>
                            <w:r>
                              <w:t>o</w:t>
                            </w:r>
                            <w:r w:rsidRPr="00DB40B1">
                              <w:t>n-farm decision tool</w:t>
                            </w:r>
                          </w:p>
                          <w:p w14:paraId="4165BBEB" w14:textId="75876831" w:rsidR="00190A63" w:rsidRPr="00DB40B1" w:rsidRDefault="00190A63" w:rsidP="004A4DDE">
                            <w:pPr>
                              <w:pStyle w:val="TableBullet"/>
                              <w:spacing w:after="40" w:line="240" w:lineRule="auto"/>
                            </w:pPr>
                            <w:r>
                              <w:t>m</w:t>
                            </w:r>
                            <w:r w:rsidRPr="00DB40B1">
                              <w:t>onitoring</w:t>
                            </w:r>
                          </w:p>
                          <w:p w14:paraId="76E6FF15" w14:textId="66B50D1E" w:rsidR="00190A63" w:rsidRPr="00DB40B1" w:rsidRDefault="00190A63" w:rsidP="004A4DDE">
                            <w:pPr>
                              <w:pStyle w:val="TableBullet"/>
                              <w:spacing w:after="40" w:line="240" w:lineRule="auto"/>
                            </w:pPr>
                            <w:r>
                              <w:t>a</w:t>
                            </w:r>
                            <w:r w:rsidRPr="00DB40B1">
                              <w:t>llocation</w:t>
                            </w:r>
                          </w:p>
                          <w:p w14:paraId="16D4CB3B" w14:textId="4AC538B3" w:rsidR="00190A63" w:rsidRPr="00DB40B1" w:rsidRDefault="00190A63" w:rsidP="003A70C6">
                            <w:pPr>
                              <w:pStyle w:val="TableBullet"/>
                              <w:spacing w:after="0"/>
                            </w:pPr>
                            <w:r>
                              <w:t>c</w:t>
                            </w:r>
                            <w:r w:rsidRPr="00DB40B1">
                              <w:t>ompliance</w:t>
                            </w:r>
                          </w:p>
                        </w:txbxContent>
                      </v:textbox>
                      <w10:wrap type="square"/>
                    </v:roundrect>
                  </w:pict>
                </mc:Fallback>
              </mc:AlternateContent>
            </w:r>
          </w:p>
          <w:p w14:paraId="6EBA77C5" w14:textId="3E4D4B37" w:rsidR="00157800" w:rsidRPr="00B510A6" w:rsidRDefault="00157800" w:rsidP="00157800">
            <w:pPr>
              <w:spacing w:before="0" w:after="0" w:line="240" w:lineRule="auto"/>
              <w:rPr>
                <w:rFonts w:cs="Calibri"/>
                <w:sz w:val="18"/>
                <w:szCs w:val="18"/>
              </w:rPr>
            </w:pPr>
          </w:p>
          <w:p w14:paraId="0291B336" w14:textId="58F64D52" w:rsidR="00157800" w:rsidRPr="00B510A6" w:rsidRDefault="00FE748A" w:rsidP="00157800">
            <w:pPr>
              <w:spacing w:before="0" w:after="0" w:line="240" w:lineRule="auto"/>
              <w:rPr>
                <w:rFonts w:cs="Calibri"/>
                <w:sz w:val="18"/>
                <w:szCs w:val="18"/>
              </w:rPr>
            </w:pPr>
            <w:r>
              <w:rPr>
                <w:rFonts w:cs="Calibri"/>
                <w:noProof/>
                <w:sz w:val="18"/>
                <w:szCs w:val="18"/>
              </w:rPr>
              <mc:AlternateContent>
                <mc:Choice Requires="wps">
                  <w:drawing>
                    <wp:anchor distT="45720" distB="45720" distL="114300" distR="114300" simplePos="0" relativeHeight="251663360" behindDoc="0" locked="0" layoutInCell="1" allowOverlap="1" wp14:anchorId="16BA755A" wp14:editId="2ED7229E">
                      <wp:simplePos x="0" y="0"/>
                      <wp:positionH relativeFrom="column">
                        <wp:posOffset>1643380</wp:posOffset>
                      </wp:positionH>
                      <wp:positionV relativeFrom="paragraph">
                        <wp:posOffset>30480</wp:posOffset>
                      </wp:positionV>
                      <wp:extent cx="1226185" cy="73152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731520"/>
                              </a:xfrm>
                              <a:prstGeom prst="roundRect">
                                <a:avLst/>
                              </a:prstGeom>
                              <a:solidFill>
                                <a:srgbClr val="FFFFFF"/>
                              </a:solidFill>
                              <a:ln w="9525">
                                <a:solidFill>
                                  <a:srgbClr val="000000"/>
                                </a:solidFill>
                                <a:miter lim="800000"/>
                                <a:headEnd/>
                                <a:tailEnd/>
                              </a:ln>
                            </wps:spPr>
                            <wps:txbx>
                              <w:txbxContent>
                                <w:p w14:paraId="23E6997C" w14:textId="5705B6BE" w:rsidR="00190A63" w:rsidRPr="00DB40B1" w:rsidRDefault="00190A63" w:rsidP="00164009">
                                  <w:pPr>
                                    <w:pStyle w:val="TableText"/>
                                    <w:spacing w:before="0"/>
                                  </w:pPr>
                                  <w:r w:rsidRPr="00DB40B1">
                                    <w:t xml:space="preserve">Options assessment </w:t>
                                  </w:r>
                                  <w:r>
                                    <w:t>and</w:t>
                                  </w:r>
                                  <w:r w:rsidRPr="00DB40B1">
                                    <w:t xml:space="preserve"> decisions for regulatory tools (incl</w:t>
                                  </w:r>
                                  <w:r>
                                    <w:t>uding</w:t>
                                  </w:r>
                                  <w:r w:rsidRPr="00DB40B1">
                                    <w:t xml:space="preserve"> Overseer)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6BA755A" id="Text Box 2" o:spid="_x0000_s1029" style="position:absolute;left:0;text-align:left;margin-left:129.4pt;margin-top:2.4pt;width:96.55pt;height:57.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CjLAIAAFIEAAAOAAAAZHJzL2Uyb0RvYy54bWysVNtu2zAMfR+wfxD0vjhxkzYx4hRdugwD&#10;ugvW7gNkSY6FSaInKbHTrx8lJ1nQbS/D/CBIInVInkN6edsbTfbSeQW2pJPRmBJpOQhltyX99rR5&#10;M6fEB2YF02BlSQ/S09vV61fLri1kDg1oIR1BEOuLri1pE0JbZJnnjTTMj6CVFo01OMMCHt02E451&#10;iG50lo/H11kHTrQOuPQeb+8HI10l/LqWPHyuay8D0SXF3EJaXVqruGarJSu2jrWN4sc02D9kYZiy&#10;GPQMdc8CIzunfoMyijvwUIcRB5NBXSsuUw1YzWT8oprHhrUy1YLk+PZMk/9/sPzT/osjSqB2C5TK&#10;MoMiPck+kLfQkzzy07W+QLfHFh1Dj9fom2r17QPw755YWDfMbuWdc9A1kgnMbxJfZhdPBxwfQaru&#10;IwgMw3YBElBfOxPJQzoIoqNOh7M2MRUeQ+b59WQ+o4Sj7eZqMsuTeBkrTq9b58N7CYbETUkd7Kz4&#10;ig2QQrD9gw8xJVac/GJED1qJjdI6Hdy2WmtH9gybZZO+VMULN21JV9LFLJ8NLPwVYpy+P0EYFbDr&#10;tTIlnZ+dWBG5e2dF6snAlB72mLK2RzIjfwOToa/6pNvVSaMKxAHZdTA0OQ4lbhpwz5R02OAl9T92&#10;zElK9AeLCi0m02mciHSYzm6QT+IuLdWlhVmOUCUNlAzbdUhTFHmzcIdK1irxGyUfMjmmjI2baD8O&#10;WZyMy3Py+vUrWP0EAAD//wMAUEsDBBQABgAIAAAAIQDee+9e3wAAAAkBAAAPAAAAZHJzL2Rvd25y&#10;ZXYueG1sTI9BT4NAEIXvJv6HzZh4s0trIS2yNMbExIMHBQ/2trAjENlZwm4B++sdT/U0mbyX976X&#10;HRbbiwlH3zlSsF5FIJBqZzpqFHyUz3c7ED5oMrp3hAp+0MMhv77KdGrcTO84FaERHEI+1QraEIZU&#10;Sl+3aLVfuQGJtS83Wh34HRtpRj1zuO3lJooSaXVH3NDqAZ9arL+Lk1UwvSTF+dPdH/fJXL1G5flY&#10;urdYqdub5fEBRMAlXMzwh8/okDNT5U5kvOgVbOIdowcFWz6sb+P1HkTFRu4FmWfy/4L8FwAA//8D&#10;AFBLAQItABQABgAIAAAAIQC2gziS/gAAAOEBAAATAAAAAAAAAAAAAAAAAAAAAABbQ29udGVudF9U&#10;eXBlc10ueG1sUEsBAi0AFAAGAAgAAAAhADj9If/WAAAAlAEAAAsAAAAAAAAAAAAAAAAALwEAAF9y&#10;ZWxzLy5yZWxzUEsBAi0AFAAGAAgAAAAhACGt0KMsAgAAUgQAAA4AAAAAAAAAAAAAAAAALgIAAGRy&#10;cy9lMm9Eb2MueG1sUEsBAi0AFAAGAAgAAAAhAN57717fAAAACQEAAA8AAAAAAAAAAAAAAAAAhgQA&#10;AGRycy9kb3ducmV2LnhtbFBLBQYAAAAABAAEAPMAAACSBQAAAAA=&#10;">
                      <v:stroke joinstyle="miter"/>
                      <v:textbox>
                        <w:txbxContent>
                          <w:p w14:paraId="23E6997C" w14:textId="5705B6BE" w:rsidR="00190A63" w:rsidRPr="00DB40B1" w:rsidRDefault="00190A63" w:rsidP="00164009">
                            <w:pPr>
                              <w:pStyle w:val="TableText"/>
                              <w:spacing w:before="0"/>
                            </w:pPr>
                            <w:r w:rsidRPr="00DB40B1">
                              <w:t xml:space="preserve">Options assessment </w:t>
                            </w:r>
                            <w:r>
                              <w:t>and</w:t>
                            </w:r>
                            <w:r w:rsidRPr="00DB40B1">
                              <w:t xml:space="preserve"> decisions for regulatory tools (incl</w:t>
                            </w:r>
                            <w:r>
                              <w:t>uding</w:t>
                            </w:r>
                            <w:r w:rsidRPr="00DB40B1">
                              <w:t xml:space="preserve"> Overseer)</w:t>
                            </w:r>
                          </w:p>
                        </w:txbxContent>
                      </v:textbox>
                    </v:roundrect>
                  </w:pict>
                </mc:Fallback>
              </mc:AlternateContent>
            </w:r>
          </w:p>
          <w:p w14:paraId="2A94CECC" w14:textId="5602038B" w:rsidR="00157800" w:rsidRPr="00B510A6" w:rsidRDefault="00157800" w:rsidP="00157800">
            <w:pPr>
              <w:spacing w:before="0" w:after="0" w:line="240" w:lineRule="auto"/>
              <w:ind w:right="-533"/>
              <w:rPr>
                <w:rFonts w:cs="Calibri"/>
                <w:sz w:val="18"/>
                <w:szCs w:val="18"/>
              </w:rPr>
            </w:pPr>
          </w:p>
        </w:tc>
      </w:tr>
      <w:tr w:rsidR="00157800" w:rsidRPr="00B510A6" w14:paraId="14EE34FC" w14:textId="77777777" w:rsidTr="00663A25">
        <w:trPr>
          <w:trHeight w:val="820"/>
        </w:trPr>
        <w:tc>
          <w:tcPr>
            <w:tcW w:w="447" w:type="pct"/>
            <w:vMerge/>
            <w:shd w:val="clear" w:color="auto" w:fill="6FC7B7" w:themeFill="accent5"/>
          </w:tcPr>
          <w:p w14:paraId="67971D87" w14:textId="77777777" w:rsidR="00157800" w:rsidRPr="00B510A6" w:rsidRDefault="00157800" w:rsidP="00157800">
            <w:pPr>
              <w:spacing w:before="0" w:after="0" w:line="240" w:lineRule="auto"/>
              <w:rPr>
                <w:rFonts w:cs="Calibri"/>
                <w:sz w:val="18"/>
                <w:szCs w:val="18"/>
              </w:rPr>
            </w:pPr>
          </w:p>
        </w:tc>
        <w:tc>
          <w:tcPr>
            <w:tcW w:w="448" w:type="pct"/>
            <w:shd w:val="clear" w:color="auto" w:fill="6FC7B7" w:themeFill="accent5"/>
            <w:vAlign w:val="center"/>
          </w:tcPr>
          <w:p w14:paraId="2B54C572" w14:textId="4897A59A" w:rsidR="00157800" w:rsidRPr="00B510A6" w:rsidRDefault="00157800" w:rsidP="00157800">
            <w:pPr>
              <w:spacing w:before="0" w:after="0" w:line="240" w:lineRule="auto"/>
              <w:jc w:val="center"/>
              <w:rPr>
                <w:rFonts w:cs="Calibri"/>
                <w:sz w:val="18"/>
                <w:szCs w:val="18"/>
              </w:rPr>
            </w:pPr>
            <w:r w:rsidRPr="00B510A6">
              <w:rPr>
                <w:rFonts w:cs="Calibri"/>
                <w:sz w:val="18"/>
                <w:szCs w:val="18"/>
              </w:rPr>
              <w:t>Risk</w:t>
            </w:r>
            <w:r w:rsidR="000C46DD">
              <w:rPr>
                <w:rFonts w:cs="Calibri"/>
                <w:sz w:val="18"/>
                <w:szCs w:val="18"/>
              </w:rPr>
              <w:t xml:space="preserve"> </w:t>
            </w:r>
            <w:r w:rsidRPr="00B510A6">
              <w:rPr>
                <w:rFonts w:cs="Calibri"/>
                <w:sz w:val="18"/>
                <w:szCs w:val="18"/>
              </w:rPr>
              <w:t>assessment approach</w:t>
            </w:r>
          </w:p>
        </w:tc>
        <w:tc>
          <w:tcPr>
            <w:tcW w:w="4105" w:type="pct"/>
            <w:gridSpan w:val="9"/>
            <w:tcBorders>
              <w:bottom w:val="single" w:sz="4" w:space="0" w:color="auto"/>
            </w:tcBorders>
            <w:shd w:val="clear" w:color="auto" w:fill="EEECE1" w:themeFill="background2"/>
          </w:tcPr>
          <w:p w14:paraId="6E27747D" w14:textId="62DDD1FD" w:rsidR="00157800" w:rsidRPr="00B510A6" w:rsidRDefault="00D91FB8" w:rsidP="00157800">
            <w:pPr>
              <w:spacing w:before="0" w:after="0" w:line="240" w:lineRule="auto"/>
              <w:rPr>
                <w:rFonts w:cs="Calibri"/>
                <w:sz w:val="18"/>
                <w:szCs w:val="18"/>
              </w:rPr>
            </w:pPr>
            <w:r>
              <w:rPr>
                <w:rFonts w:cs="Calibri"/>
                <w:noProof/>
                <w:sz w:val="18"/>
                <w:szCs w:val="18"/>
              </w:rPr>
              <mc:AlternateContent>
                <mc:Choice Requires="wps">
                  <w:drawing>
                    <wp:anchor distT="45720" distB="45720" distL="114300" distR="114300" simplePos="0" relativeHeight="251666432" behindDoc="0" locked="0" layoutInCell="1" allowOverlap="1" wp14:anchorId="2685A83B" wp14:editId="1F709731">
                      <wp:simplePos x="0" y="0"/>
                      <wp:positionH relativeFrom="column">
                        <wp:posOffset>2086610</wp:posOffset>
                      </wp:positionH>
                      <wp:positionV relativeFrom="paragraph">
                        <wp:posOffset>46355</wp:posOffset>
                      </wp:positionV>
                      <wp:extent cx="5373370" cy="413385"/>
                      <wp:effectExtent l="10795" t="7620" r="6985" b="7620"/>
                      <wp:wrapNone/>
                      <wp:docPr id="5"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3370" cy="413385"/>
                              </a:xfrm>
                              <a:prstGeom prst="roundRect">
                                <a:avLst>
                                  <a:gd name="adj" fmla="val 16667"/>
                                </a:avLst>
                              </a:prstGeom>
                              <a:solidFill>
                                <a:srgbClr val="FFFFFF"/>
                              </a:solidFill>
                              <a:ln w="9525">
                                <a:solidFill>
                                  <a:srgbClr val="000000"/>
                                </a:solidFill>
                                <a:miter lim="800000"/>
                                <a:headEnd/>
                                <a:tailEnd/>
                              </a:ln>
                            </wps:spPr>
                            <wps:txbx>
                              <w:txbxContent>
                                <w:p w14:paraId="3566F358" w14:textId="066BB910" w:rsidR="00190A63" w:rsidRPr="00DB40B1" w:rsidRDefault="00190A63" w:rsidP="00204162">
                                  <w:pPr>
                                    <w:pStyle w:val="TableText"/>
                                    <w:spacing w:before="0" w:after="0"/>
                                  </w:pPr>
                                  <w:r w:rsidRPr="00DB40B1">
                                    <w:t>Risk</w:t>
                                  </w:r>
                                  <w:r>
                                    <w:t xml:space="preserve"> </w:t>
                                  </w:r>
                                  <w:r w:rsidRPr="00DB40B1">
                                    <w:t>assessment tool available. Property</w:t>
                                  </w:r>
                                  <w:r>
                                    <w:t>-</w:t>
                                  </w:r>
                                  <w:r w:rsidRPr="00DB40B1">
                                    <w:t>scale risk index to be used for property</w:t>
                                  </w:r>
                                  <w:r>
                                    <w:t>-</w:t>
                                  </w:r>
                                  <w:r w:rsidRPr="00DB40B1">
                                    <w:t>scale regulatory decisions and compliance</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85A83B" id="Text Box 200" o:spid="_x0000_s1030" style="position:absolute;left:0;text-align:left;margin-left:164.3pt;margin-top:3.65pt;width:423.1pt;height:32.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iQwIAAIAEAAAOAAAAZHJzL2Uyb0RvYy54bWysVF9v0zAQf0fiO1h+Z2nWtRvR0mlsDCEN&#10;mNj4AK7tNAbbZ85uk/HpuThZ6YAnRB6sO9/d7/78fDm/6J1lO43RgK95eTTjTHsJyvhNzb883Lw6&#10;4ywm4ZWw4HXNH3XkF6uXL867UOljaMEqjYxAfKy6UPM2pVAVRZStdiIeQdCejA2gE4lU3BQKRUfo&#10;zhbHs9my6ABVQJA6Rrq9Ho18lfGbRsv0qWmiTszWnGpL+cR8roezWJ2LaoMitEZOZYh/qMIJ4ynp&#10;HupaJMG2aP6AckYiRGjSkQRXQNMYqXMP1E05+62b+1YEnXuh4cSwH1P8f7Dy4+4OmVE1X3DmhSOK&#10;HnSf2BvoGc13mE8XYkVu9+EOhw5juAX5LTIPV63wG32JCF2rhaKqysG/eBYwKJFC2br7AIrgxTZB&#10;HlXfoBsAaQisz4w87hkZSpB0uZifzuenRJwk20k5n58tcgpRPUUHjOmdBscGoeYIW68+E+05hdjd&#10;xpRpUVNzQn3lrHGWSN4Jy8rlcnk6IU7OhaieMHO7YI26MdZmBTfrK4uMQmt+k78pOB66Wc+6mr9e&#10;HC9yFc9s8RBilr+/QTiTaC+scTU/2zuJapjzW6/yq03C2FGmkq2fBj/MeuQs9es+M3syJBh4WIN6&#10;JCYQxjWgtSWhBfzBWUcrUPP4fStQc2bfe2JzcUKZaWeyUs6oDs7w0LI+tAgvCarmibNRvErjnm0D&#10;mk1Lmco8DQ+X9AIak56eyljVVD49c5Ke7dGhnr1+/ThWPwEAAP//AwBQSwMEFAAGAAgAAAAhADIw&#10;9V3cAAAACQEAAA8AAABkcnMvZG93bnJldi54bWxMj8FOwzAQRO9I/IO1SNyo06RqqxCnQkhIFSco&#10;iPMmNonBXkexk4a/Z3uC486MZt9Uh8U7MZsx2kAK1qsMhKE2aEudgve3p7s9iJiQNLpARsGPiXCo&#10;r68qLHU406uZT6kTXEKxRAV9SkMpZWx74zGuwmCIvc8wekx8jp3UI5653DuZZ9lWerTEH3oczGNv&#10;2u/T5BU09itgQzjPk5e2cB/H55d4VOr2Znm4B5HMkv7CcMFndKiZqQkT6SicgiLfbzmqYFeAuPjr&#10;3Ya3NCzkG5B1Jf8vqH8BAAD//wMAUEsBAi0AFAAGAAgAAAAhALaDOJL+AAAA4QEAABMAAAAAAAAA&#10;AAAAAAAAAAAAAFtDb250ZW50X1R5cGVzXS54bWxQSwECLQAUAAYACAAAACEAOP0h/9YAAACUAQAA&#10;CwAAAAAAAAAAAAAAAAAvAQAAX3JlbHMvLnJlbHNQSwECLQAUAAYACAAAACEAwPwNokMCAACABAAA&#10;DgAAAAAAAAAAAAAAAAAuAgAAZHJzL2Uyb0RvYy54bWxQSwECLQAUAAYACAAAACEAMjD1XdwAAAAJ&#10;AQAADwAAAAAAAAAAAAAAAACdBAAAZHJzL2Rvd25yZXYueG1sUEsFBgAAAAAEAAQA8wAAAKYFAAAA&#10;AA==&#10;">
                      <v:stroke joinstyle="miter"/>
                      <v:textbox inset="1.5mm,.3mm,1.5mm,.3mm">
                        <w:txbxContent>
                          <w:p w14:paraId="3566F358" w14:textId="066BB910" w:rsidR="00190A63" w:rsidRPr="00DB40B1" w:rsidRDefault="00190A63" w:rsidP="00204162">
                            <w:pPr>
                              <w:pStyle w:val="TableText"/>
                              <w:spacing w:before="0" w:after="0"/>
                            </w:pPr>
                            <w:r w:rsidRPr="00DB40B1">
                              <w:t>Risk</w:t>
                            </w:r>
                            <w:r>
                              <w:t xml:space="preserve"> </w:t>
                            </w:r>
                            <w:r w:rsidRPr="00DB40B1">
                              <w:t>assessment tool available. Property</w:t>
                            </w:r>
                            <w:r>
                              <w:t>-</w:t>
                            </w:r>
                            <w:r w:rsidRPr="00DB40B1">
                              <w:t>scale risk index to be used for property</w:t>
                            </w:r>
                            <w:r>
                              <w:t>-</w:t>
                            </w:r>
                            <w:r w:rsidRPr="00DB40B1">
                              <w:t>scale regulatory decisions and compliance</w:t>
                            </w:r>
                          </w:p>
                        </w:txbxContent>
                      </v:textbox>
                    </v:roundrect>
                  </w:pict>
                </mc:Fallback>
              </mc:AlternateContent>
            </w:r>
            <w:r>
              <w:rPr>
                <w:rFonts w:cs="Calibri"/>
                <w:noProof/>
                <w:sz w:val="18"/>
                <w:szCs w:val="18"/>
              </w:rPr>
              <mc:AlternateContent>
                <mc:Choice Requires="wps">
                  <w:drawing>
                    <wp:anchor distT="45720" distB="45720" distL="114300" distR="114300" simplePos="0" relativeHeight="251665408" behindDoc="0" locked="0" layoutInCell="1" allowOverlap="1" wp14:anchorId="6AE78A40" wp14:editId="4FAFAD2A">
                      <wp:simplePos x="0" y="0"/>
                      <wp:positionH relativeFrom="column">
                        <wp:posOffset>26035</wp:posOffset>
                      </wp:positionH>
                      <wp:positionV relativeFrom="paragraph">
                        <wp:posOffset>28575</wp:posOffset>
                      </wp:positionV>
                      <wp:extent cx="1845945" cy="431165"/>
                      <wp:effectExtent l="0" t="0" r="1905" b="698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945" cy="431165"/>
                              </a:xfrm>
                              <a:prstGeom prst="roundRect">
                                <a:avLst/>
                              </a:prstGeom>
                              <a:solidFill>
                                <a:srgbClr val="FFFFFF"/>
                              </a:solidFill>
                              <a:ln w="9525">
                                <a:solidFill>
                                  <a:srgbClr val="000000"/>
                                </a:solidFill>
                                <a:miter lim="800000"/>
                                <a:headEnd/>
                                <a:tailEnd/>
                              </a:ln>
                            </wps:spPr>
                            <wps:txbx>
                              <w:txbxContent>
                                <w:p w14:paraId="0E079D4E" w14:textId="77777777" w:rsidR="00190A63" w:rsidRPr="00DB40B1" w:rsidRDefault="00190A63" w:rsidP="00204162">
                                  <w:pPr>
                                    <w:pStyle w:val="TableText"/>
                                    <w:spacing w:before="0"/>
                                  </w:pPr>
                                  <w:r>
                                    <w:t>T</w:t>
                                  </w:r>
                                  <w:r w:rsidRPr="00DB40B1">
                                    <w:t xml:space="preserve">ool </w:t>
                                  </w:r>
                                  <w:r>
                                    <w:t xml:space="preserve">and implementation mechanism(s) </w:t>
                                  </w:r>
                                  <w:r w:rsidRPr="00DB40B1">
                                    <w:t>development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AE78A40" id="Text Box 199" o:spid="_x0000_s1031" style="position:absolute;left:0;text-align:left;margin-left:2.05pt;margin-top:2.25pt;width:145.35pt;height:33.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ZBLAIAAFYEAAAOAAAAZHJzL2Uyb0RvYy54bWysVNuO2yAQfa/Uf0C8N05Se5tYcVbbbFNV&#10;2l7U3X4AxjhGBYYCiZ1+fQeczaa3l6p+QAwznDlzZvDqetCKHITzEkxFZ5MpJcJwaKTZVfTLw/bF&#10;ghIfmGmYAiMqehSeXq+fP1v1thRz6EA1whEEMb7sbUW7EGyZZZ53QjM/ASsMOltwmgU03S5rHOsR&#10;XatsPp1eZT24xjrgwns8vR2ddJ3w21bw8LFtvQhEVRS5hbS6tNZxzdYrVu4cs53kJxrsH1hoJg0m&#10;PUPdssDI3snfoLTkDjy0YcJBZ9C2kotUA1Yzm/5SzX3HrEi1oDjenmXy/w+Wfzh8ckQ22LvlkhLD&#10;NDbpQQyBvIaBxDNUqLe+xMB7i6FhQAdGp2q9vQP+1RMDm46ZnbhxDvpOsAYZzuLN7OLqiOMjSN2/&#10;hwYTsX2ABDS0Tkf5UBCC6Nip47k7kQyPKRd5scwLSjj68pez2VWRUrDy8bZ1PrwVoEncVNTB3jSf&#10;cQRSCna48yFSYuVjXMzoQclmK5VKhtvVG+XIgeG4bNN3SvFTmDKkr+iymBejCn+FmKbvTxBaBpx7&#10;JXVFF+cgVkbt3pgmTWVgUo17pKzMScyo36hkGOohdS7JEIWuoTmiug7GMcdniZsO3HdKehzxivpv&#10;e+YEJeqdwQ4tZ3ke30Qy8uLVHA136akvPcxwhKooD46S0diE9JKicgZusJetTAo/cTmRxuFNwp8e&#10;Wnwdl3aKevodrH8AAAD//wMAUEsDBBQABgAIAAAAIQA7ipmt3gAAAAYBAAAPAAAAZHJzL2Rvd25y&#10;ZXYueG1sTI/BTsMwEETvSPyDtUjcqJMoDSXEqRAIJCR6aOHSmxtv46jxOordJvw9ywlOo9WMZt5W&#10;69n14oJj6DwpSBcJCKTGm45aBV+fr3crECFqMrr3hAq+McC6vr6qdGn8RFu87GIruIRCqRXYGIdS&#10;ytBYdDos/IDE3tGPTkc+x1aaUU9c7nqZJUkhne6IF6we8Nlic9qdnYLVe5F8bNq349TZ9PSSL7f7&#10;fTErdXszPz2CiDjHvzD84jM61Mx08GcyQfQK8pSDLEsQ7GYPOT9yUHCf5SDrSv7Hr38AAAD//wMA&#10;UEsBAi0AFAAGAAgAAAAhALaDOJL+AAAA4QEAABMAAAAAAAAAAAAAAAAAAAAAAFtDb250ZW50X1R5&#10;cGVzXS54bWxQSwECLQAUAAYACAAAACEAOP0h/9YAAACUAQAACwAAAAAAAAAAAAAAAAAvAQAAX3Jl&#10;bHMvLnJlbHNQSwECLQAUAAYACAAAACEA+2bGQSwCAABWBAAADgAAAAAAAAAAAAAAAAAuAgAAZHJz&#10;L2Uyb0RvYy54bWxQSwECLQAUAAYACAAAACEAO4qZrd4AAAAGAQAADwAAAAAAAAAAAAAAAACGBAAA&#10;ZHJzL2Rvd25yZXYueG1sUEsFBgAAAAAEAAQA8wAAAJEFAAAAAA==&#10;">
                      <v:stroke joinstyle="miter"/>
                      <v:textbox>
                        <w:txbxContent>
                          <w:p w14:paraId="0E079D4E" w14:textId="77777777" w:rsidR="00190A63" w:rsidRPr="00DB40B1" w:rsidRDefault="00190A63" w:rsidP="00204162">
                            <w:pPr>
                              <w:pStyle w:val="TableText"/>
                              <w:spacing w:before="0"/>
                            </w:pPr>
                            <w:r>
                              <w:t>T</w:t>
                            </w:r>
                            <w:r w:rsidRPr="00DB40B1">
                              <w:t xml:space="preserve">ool </w:t>
                            </w:r>
                            <w:r>
                              <w:t xml:space="preserve">and implementation mechanism(s) </w:t>
                            </w:r>
                            <w:r w:rsidRPr="00DB40B1">
                              <w:t>development</w:t>
                            </w:r>
                          </w:p>
                        </w:txbxContent>
                      </v:textbox>
                    </v:roundrect>
                  </w:pict>
                </mc:Fallback>
              </mc:AlternateContent>
            </w:r>
          </w:p>
          <w:p w14:paraId="7AACC396" w14:textId="41CB49DB" w:rsidR="00157800" w:rsidRPr="00B510A6" w:rsidRDefault="00157800" w:rsidP="00157800">
            <w:pPr>
              <w:spacing w:before="0" w:after="0" w:line="240" w:lineRule="auto"/>
              <w:rPr>
                <w:rFonts w:cs="Calibri"/>
                <w:sz w:val="18"/>
                <w:szCs w:val="18"/>
              </w:rPr>
            </w:pPr>
          </w:p>
          <w:p w14:paraId="50D84C26" w14:textId="108FB1FE" w:rsidR="00157800" w:rsidRPr="00B510A6" w:rsidRDefault="00157800" w:rsidP="00157800">
            <w:pPr>
              <w:spacing w:before="0" w:after="0" w:line="240" w:lineRule="auto"/>
              <w:rPr>
                <w:rFonts w:cs="Calibri"/>
                <w:sz w:val="18"/>
                <w:szCs w:val="18"/>
              </w:rPr>
            </w:pPr>
          </w:p>
        </w:tc>
      </w:tr>
      <w:tr w:rsidR="00157800" w:rsidRPr="00B510A6" w14:paraId="51345A1B" w14:textId="77777777" w:rsidTr="00663A25">
        <w:trPr>
          <w:trHeight w:val="567"/>
        </w:trPr>
        <w:tc>
          <w:tcPr>
            <w:tcW w:w="447" w:type="pct"/>
            <w:vMerge/>
            <w:tcBorders>
              <w:bottom w:val="single" w:sz="4" w:space="0" w:color="auto"/>
            </w:tcBorders>
            <w:shd w:val="clear" w:color="auto" w:fill="6FC7B7" w:themeFill="accent5"/>
          </w:tcPr>
          <w:p w14:paraId="11735F99" w14:textId="77777777" w:rsidR="00157800" w:rsidRPr="00B510A6" w:rsidRDefault="00157800" w:rsidP="00157800">
            <w:pPr>
              <w:spacing w:before="0" w:after="0" w:line="240" w:lineRule="auto"/>
              <w:rPr>
                <w:rFonts w:cs="Calibri"/>
                <w:sz w:val="18"/>
                <w:szCs w:val="18"/>
              </w:rPr>
            </w:pPr>
          </w:p>
        </w:tc>
        <w:tc>
          <w:tcPr>
            <w:tcW w:w="448" w:type="pct"/>
            <w:tcBorders>
              <w:bottom w:val="single" w:sz="4" w:space="0" w:color="auto"/>
            </w:tcBorders>
            <w:shd w:val="clear" w:color="auto" w:fill="6FC7B7" w:themeFill="accent5"/>
            <w:vAlign w:val="center"/>
          </w:tcPr>
          <w:p w14:paraId="12271EF7" w14:textId="77777777" w:rsidR="00157800" w:rsidRPr="00B510A6" w:rsidRDefault="00157800" w:rsidP="00157800">
            <w:pPr>
              <w:spacing w:before="0" w:after="0" w:line="240" w:lineRule="auto"/>
              <w:jc w:val="center"/>
              <w:rPr>
                <w:rFonts w:cs="Calibri"/>
                <w:sz w:val="18"/>
                <w:szCs w:val="18"/>
              </w:rPr>
            </w:pPr>
            <w:r w:rsidRPr="00B510A6">
              <w:rPr>
                <w:rFonts w:cs="Calibri"/>
                <w:sz w:val="18"/>
                <w:szCs w:val="18"/>
              </w:rPr>
              <w:t>Other new tools</w:t>
            </w:r>
          </w:p>
        </w:tc>
        <w:tc>
          <w:tcPr>
            <w:tcW w:w="1823" w:type="pct"/>
            <w:gridSpan w:val="4"/>
            <w:tcBorders>
              <w:bottom w:val="single" w:sz="4" w:space="0" w:color="auto"/>
              <w:right w:val="nil"/>
            </w:tcBorders>
            <w:shd w:val="clear" w:color="auto" w:fill="EEECE1" w:themeFill="background2"/>
          </w:tcPr>
          <w:p w14:paraId="01DBADEB" w14:textId="77777777" w:rsidR="00157800" w:rsidRPr="00B510A6" w:rsidRDefault="00D91FB8" w:rsidP="00157800">
            <w:pPr>
              <w:spacing w:before="0" w:after="0" w:line="240" w:lineRule="auto"/>
              <w:rPr>
                <w:rFonts w:cs="Calibri"/>
                <w:sz w:val="18"/>
                <w:szCs w:val="18"/>
              </w:rPr>
            </w:pPr>
            <w:r>
              <w:rPr>
                <w:rFonts w:cs="Calibri"/>
                <w:noProof/>
                <w:sz w:val="18"/>
                <w:szCs w:val="18"/>
              </w:rPr>
              <mc:AlternateContent>
                <mc:Choice Requires="wps">
                  <w:drawing>
                    <wp:anchor distT="45720" distB="45720" distL="114300" distR="114300" simplePos="0" relativeHeight="251659264" behindDoc="0" locked="0" layoutInCell="1" allowOverlap="1" wp14:anchorId="2192FE19" wp14:editId="1F2AD6C2">
                      <wp:simplePos x="0" y="0"/>
                      <wp:positionH relativeFrom="column">
                        <wp:posOffset>2086610</wp:posOffset>
                      </wp:positionH>
                      <wp:positionV relativeFrom="paragraph">
                        <wp:posOffset>47625</wp:posOffset>
                      </wp:positionV>
                      <wp:extent cx="5373370" cy="25019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3370" cy="250190"/>
                              </a:xfrm>
                              <a:prstGeom prst="roundRect">
                                <a:avLst/>
                              </a:prstGeom>
                              <a:solidFill>
                                <a:srgbClr val="FFFFFF"/>
                              </a:solidFill>
                              <a:ln w="9525">
                                <a:solidFill>
                                  <a:srgbClr val="000000"/>
                                </a:solidFill>
                                <a:miter lim="800000"/>
                                <a:headEnd/>
                                <a:tailEnd/>
                              </a:ln>
                            </wps:spPr>
                            <wps:txbx>
                              <w:txbxContent>
                                <w:p w14:paraId="57D6B6A6" w14:textId="74B21A69" w:rsidR="00190A63" w:rsidRPr="00DB40B1" w:rsidRDefault="00190A63" w:rsidP="00204162">
                                  <w:pPr>
                                    <w:pStyle w:val="TableText"/>
                                    <w:spacing w:before="0"/>
                                    <w:rPr>
                                      <w:sz w:val="22"/>
                                    </w:rPr>
                                  </w:pPr>
                                  <w:r w:rsidRPr="00DB40B1">
                                    <w:t>Future tools develop</w:t>
                                  </w:r>
                                  <w:r>
                                    <w:t>ed</w:t>
                                  </w:r>
                                  <w:r w:rsidRPr="00DB40B1">
                                    <w:t xml:space="preserve"> a</w:t>
                                  </w:r>
                                  <w:r>
                                    <w:t>nd</w:t>
                                  </w:r>
                                  <w:r w:rsidRPr="00DB40B1">
                                    <w:t xml:space="preserve"> decided </w:t>
                                  </w:r>
                                  <w:r>
                                    <w:t>and</w:t>
                                  </w:r>
                                  <w:r w:rsidRPr="00DB40B1">
                                    <w:t xml:space="preserve"> progressed as appropriate, based on future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92FE19" id="Text Box 8" o:spid="_x0000_s1032" style="position:absolute;left:0;text-align:left;margin-left:164.3pt;margin-top:3.75pt;width:423.1pt;height:19.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xz6KgIAAFAEAAAOAAAAZHJzL2Uyb0RvYy54bWysVNtu2zAMfR+wfxD0vti5NY0Rp+jSZRjQ&#10;XbB2HyBLcixMEj1Jid1+/Sg5yYJuexnmB0EUqSPyHNKrm95ocpDOK7AlHY9ySqTlIJTdlfTb4/bN&#10;NSU+MCuYBitL+iQ9vVm/frXq2kJOoAEtpCMIYn3RtSVtQmiLLPO8kYb5EbTSorMGZ1hA0+0y4ViH&#10;6EZnkzy/yjpwonXApfd4ejc46Trh17Xk4XNdexmILinmFtLq0lrFNVuvWLFzrG0UP6bB/iELw5TF&#10;R89QdywwsnfqNyijuAMPdRhxMBnUteIy1YDVjPMX1Tw0rJWpFiTHt2ea/P+D5Z8OXxxRoqQolGUG&#10;JXqUfSBvoSfXkZ2u9QUGPbQYFno8RpVTpb69B/7dEwubhtmdvHUOukYygdmN483s4uqA4yNI1X0E&#10;gc+wfYAE1NfOROqQDILoqNLTWZmYCsfD+XQxnS7QxdE3mefjZZIuY8Xpdut8eC/BkLgpqYO9FV9R&#10;/vQEO9z7EFNixSkuvuhBK7FVWifD7aqNduTAsFW26UtVvAjTlnQlXc4n84GFv0Lk6fsThFEBe14r&#10;g6Sfg1gRuXtnRerIwJQe9piytkcyI38Dk6Gv+qTa1UmjCsQTsutgaHEcSdw04J4p6bC9S+p/7JmT&#10;lOgPFhVajmezOA/JmM0XEzTcpae69DDLEaqkgZJhuwlphiJvFm5RyVolfqPkQybHlLFtE+3HEYtz&#10;cWmnqF8/gvVPAAAA//8DAFBLAwQUAAYACAAAACEA1nYMS+EAAAAJAQAADwAAAGRycy9kb3ducmV2&#10;LnhtbEyPP0/DMBTEdyS+g/WQ2KjTf26b5qVCSEgMDDRhoJsTP5KosR3FbhL66XEnGE93uvtdcph0&#10;ywbqXWMNwnwWASNTWtWYCuEzf33aAnNeGiVbawjhhxwc0vu7RMbKjuZIQ+YrFkqMiyVC7X0Xc+7K&#10;mrR0M9uRCd637bX0QfYVV70cQ7lu+SKKBNeyMWGhlh291FSes4tGGN5Edv2yy9NOjMV7lF9Puf1Y&#10;Iz4+TM97YJ4m/xeGG35AhzQwFfZilGMtwnKxFSGKsFkDu/nzzSp8KRBWYgc8Tfj/B+kvAAAA//8D&#10;AFBLAQItABQABgAIAAAAIQC2gziS/gAAAOEBAAATAAAAAAAAAAAAAAAAAAAAAABbQ29udGVudF9U&#10;eXBlc10ueG1sUEsBAi0AFAAGAAgAAAAhADj9If/WAAAAlAEAAAsAAAAAAAAAAAAAAAAALwEAAF9y&#10;ZWxzLy5yZWxzUEsBAi0AFAAGAAgAAAAhAOuXHPoqAgAAUAQAAA4AAAAAAAAAAAAAAAAALgIAAGRy&#10;cy9lMm9Eb2MueG1sUEsBAi0AFAAGAAgAAAAhANZ2DEvhAAAACQEAAA8AAAAAAAAAAAAAAAAAhAQA&#10;AGRycy9kb3ducmV2LnhtbFBLBQYAAAAABAAEAPMAAACSBQAAAAA=&#10;">
                      <v:stroke joinstyle="miter"/>
                      <v:textbox>
                        <w:txbxContent>
                          <w:p w14:paraId="57D6B6A6" w14:textId="74B21A69" w:rsidR="00190A63" w:rsidRPr="00DB40B1" w:rsidRDefault="00190A63" w:rsidP="00204162">
                            <w:pPr>
                              <w:pStyle w:val="TableText"/>
                              <w:spacing w:before="0"/>
                              <w:rPr>
                                <w:sz w:val="22"/>
                              </w:rPr>
                            </w:pPr>
                            <w:r w:rsidRPr="00DB40B1">
                              <w:t>Future tools develop</w:t>
                            </w:r>
                            <w:r>
                              <w:t>ed</w:t>
                            </w:r>
                            <w:r w:rsidRPr="00DB40B1">
                              <w:t xml:space="preserve"> a</w:t>
                            </w:r>
                            <w:r>
                              <w:t>nd</w:t>
                            </w:r>
                            <w:r w:rsidRPr="00DB40B1">
                              <w:t xml:space="preserve"> decided </w:t>
                            </w:r>
                            <w:r>
                              <w:t>and</w:t>
                            </w:r>
                            <w:r w:rsidRPr="00DB40B1">
                              <w:t xml:space="preserve"> progressed as appropriate, based on future needs</w:t>
                            </w:r>
                          </w:p>
                        </w:txbxContent>
                      </v:textbox>
                    </v:roundrect>
                  </w:pict>
                </mc:Fallback>
              </mc:AlternateContent>
            </w:r>
          </w:p>
        </w:tc>
        <w:tc>
          <w:tcPr>
            <w:tcW w:w="2282" w:type="pct"/>
            <w:gridSpan w:val="5"/>
            <w:tcBorders>
              <w:left w:val="nil"/>
              <w:bottom w:val="single" w:sz="4" w:space="0" w:color="auto"/>
            </w:tcBorders>
            <w:shd w:val="clear" w:color="auto" w:fill="EEECE1" w:themeFill="background2"/>
          </w:tcPr>
          <w:p w14:paraId="63ABCF16" w14:textId="77777777" w:rsidR="00157800" w:rsidRPr="00B510A6" w:rsidRDefault="00157800" w:rsidP="00157800">
            <w:pPr>
              <w:spacing w:before="0" w:after="0" w:line="240" w:lineRule="auto"/>
              <w:rPr>
                <w:rFonts w:cs="Calibri"/>
                <w:sz w:val="18"/>
                <w:szCs w:val="18"/>
              </w:rPr>
            </w:pPr>
          </w:p>
        </w:tc>
      </w:tr>
      <w:tr w:rsidR="00157800" w:rsidRPr="00B510A6" w14:paraId="038E0D8E" w14:textId="77777777" w:rsidTr="0038397E">
        <w:trPr>
          <w:trHeight w:val="134"/>
        </w:trPr>
        <w:tc>
          <w:tcPr>
            <w:tcW w:w="5000" w:type="pct"/>
            <w:gridSpan w:val="11"/>
            <w:tcBorders>
              <w:left w:val="nil"/>
              <w:right w:val="nil"/>
            </w:tcBorders>
            <w:shd w:val="clear" w:color="auto" w:fill="auto"/>
            <w:vAlign w:val="center"/>
          </w:tcPr>
          <w:p w14:paraId="6071A9DB" w14:textId="77777777" w:rsidR="00157800" w:rsidRPr="00B510A6" w:rsidRDefault="00157800" w:rsidP="00157800">
            <w:pPr>
              <w:spacing w:before="0" w:after="0" w:line="240" w:lineRule="auto"/>
              <w:jc w:val="center"/>
              <w:rPr>
                <w:rFonts w:cs="Calibri"/>
                <w:sz w:val="14"/>
                <w:szCs w:val="14"/>
              </w:rPr>
            </w:pPr>
          </w:p>
        </w:tc>
      </w:tr>
      <w:tr w:rsidR="00157800" w:rsidRPr="00B510A6" w14:paraId="365886E2" w14:textId="77777777" w:rsidTr="000B1A4E">
        <w:trPr>
          <w:trHeight w:val="984"/>
        </w:trPr>
        <w:tc>
          <w:tcPr>
            <w:tcW w:w="447" w:type="pct"/>
            <w:vMerge w:val="restart"/>
            <w:shd w:val="clear" w:color="auto" w:fill="EEECE1"/>
            <w:vAlign w:val="center"/>
          </w:tcPr>
          <w:p w14:paraId="7BAAAFA3" w14:textId="77777777" w:rsidR="00157800" w:rsidRPr="00B510A6" w:rsidRDefault="00157800" w:rsidP="00157800">
            <w:pPr>
              <w:spacing w:before="0" w:after="0" w:line="240" w:lineRule="auto"/>
              <w:jc w:val="center"/>
              <w:rPr>
                <w:rFonts w:cs="Calibri"/>
                <w:sz w:val="18"/>
                <w:szCs w:val="18"/>
              </w:rPr>
            </w:pPr>
            <w:r w:rsidRPr="00B510A6">
              <w:rPr>
                <w:rFonts w:cs="Calibri"/>
                <w:sz w:val="18"/>
                <w:szCs w:val="18"/>
              </w:rPr>
              <w:t>Regulations/ planning framework</w:t>
            </w:r>
          </w:p>
        </w:tc>
        <w:tc>
          <w:tcPr>
            <w:tcW w:w="448" w:type="pct"/>
            <w:tcBorders>
              <w:bottom w:val="single" w:sz="4" w:space="0" w:color="auto"/>
            </w:tcBorders>
            <w:shd w:val="clear" w:color="auto" w:fill="EEECE1"/>
            <w:vAlign w:val="center"/>
          </w:tcPr>
          <w:p w14:paraId="5E21031D" w14:textId="77777777" w:rsidR="00157800" w:rsidRPr="00B510A6" w:rsidRDefault="00157800" w:rsidP="002B3CE6">
            <w:pPr>
              <w:pStyle w:val="TableText"/>
              <w:jc w:val="center"/>
            </w:pPr>
            <w:r w:rsidRPr="00B510A6">
              <w:t>Existing plans, consents</w:t>
            </w:r>
          </w:p>
        </w:tc>
        <w:tc>
          <w:tcPr>
            <w:tcW w:w="1823" w:type="pct"/>
            <w:gridSpan w:val="4"/>
            <w:tcBorders>
              <w:bottom w:val="single" w:sz="4" w:space="0" w:color="auto"/>
              <w:right w:val="nil"/>
            </w:tcBorders>
            <w:shd w:val="clear" w:color="auto" w:fill="EEECE1" w:themeFill="background2"/>
          </w:tcPr>
          <w:p w14:paraId="338155F7" w14:textId="77777777" w:rsidR="00157800" w:rsidRPr="00B510A6" w:rsidRDefault="00D91FB8" w:rsidP="00157800">
            <w:pPr>
              <w:spacing w:before="0" w:after="0" w:line="240" w:lineRule="auto"/>
              <w:rPr>
                <w:rFonts w:cs="Calibri"/>
                <w:sz w:val="18"/>
                <w:szCs w:val="18"/>
              </w:rPr>
            </w:pPr>
            <w:r>
              <w:rPr>
                <w:rFonts w:cs="Calibri"/>
                <w:noProof/>
                <w:sz w:val="18"/>
                <w:szCs w:val="18"/>
              </w:rPr>
              <mc:AlternateContent>
                <mc:Choice Requires="wps">
                  <w:drawing>
                    <wp:anchor distT="45720" distB="45720" distL="114300" distR="114300" simplePos="0" relativeHeight="251661312" behindDoc="0" locked="0" layoutInCell="1" allowOverlap="1" wp14:anchorId="497D8381" wp14:editId="6F2ABA16">
                      <wp:simplePos x="0" y="0"/>
                      <wp:positionH relativeFrom="column">
                        <wp:posOffset>2039620</wp:posOffset>
                      </wp:positionH>
                      <wp:positionV relativeFrom="paragraph">
                        <wp:posOffset>105410</wp:posOffset>
                      </wp:positionV>
                      <wp:extent cx="5372735" cy="440055"/>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440055"/>
                              </a:xfrm>
                              <a:prstGeom prst="roundRect">
                                <a:avLst/>
                              </a:prstGeom>
                              <a:solidFill>
                                <a:srgbClr val="FFFFFF"/>
                              </a:solidFill>
                              <a:ln w="9525">
                                <a:solidFill>
                                  <a:srgbClr val="000000"/>
                                </a:solidFill>
                                <a:miter lim="800000"/>
                                <a:headEnd/>
                                <a:tailEnd/>
                              </a:ln>
                            </wps:spPr>
                            <wps:txbx>
                              <w:txbxContent>
                                <w:p w14:paraId="566A1FB8" w14:textId="3A304CE1" w:rsidR="00190A63" w:rsidRPr="00DB40B1" w:rsidRDefault="00190A63" w:rsidP="00204162">
                                  <w:pPr>
                                    <w:pStyle w:val="TableText"/>
                                    <w:spacing w:before="0"/>
                                    <w:rPr>
                                      <w:sz w:val="22"/>
                                    </w:rPr>
                                  </w:pPr>
                                  <w:r w:rsidRPr="00DB40B1">
                                    <w:t>Risk</w:t>
                                  </w:r>
                                  <w:r>
                                    <w:t xml:space="preserve"> </w:t>
                                  </w:r>
                                  <w:r w:rsidRPr="00DB40B1">
                                    <w:t>assessment tool available to use in existing resource consent conditions (to replace Overseer numbers</w:t>
                                  </w:r>
                                  <w:r>
                                    <w:t xml:space="preserve"> and </w:t>
                                  </w:r>
                                  <w:r w:rsidRPr="00DB40B1">
                                    <w:t>rates)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97D8381" id="_x0000_s1033" style="position:absolute;left:0;text-align:left;margin-left:160.6pt;margin-top:8.3pt;width:423.05pt;height:3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u9LAIAAFIEAAAOAAAAZHJzL2Uyb0RvYy54bWysVNtu2zAMfR+wfxD0vthx4qU14hRdugwD&#10;ugvW7gMUSY6FSaInKbHbrx8lp2l2exnmB4EUqUPykPTyajCaHKTzCmxNp5OcEmk5CGV3Nf16v3l1&#10;QYkPzAqmwcqaPkhPr1YvXyz7rpIFtKCFdARBrK/6rqZtCF2VZZ630jA/gU5aNDbgDAuoul0mHOsR&#10;3eisyPPXWQ9OdA649B5vb0YjXSX8ppE8fGoaLwPRNcXcQjpdOrfxzFZLVu0c61rFj2mwf8jCMGUx&#10;6AnqhgVG9k79BmUUd+ChCRMOJoOmUVymGrCaaf5LNXct62SqBcnx3Ykm//9g+cfDZ0eUqGmRzyix&#10;zGCT7uUQyBsYSBH56Ttfodtdh45hwGvsc6rVd7fAv3liYd0yu5PXzkHfSiYwv2l8mZ09HXF8BNn2&#10;H0BgGLYPkICGxplIHtJBEB379HDqTUyF42U5WxSLWUkJR9t8nudlmUKw6ul153x4J8GQKNTUwd6K&#10;LzgAKQQ73PoQU2LVk1+M6EErsVFaJ8XttmvtyIHhsGzSdwzxk5u2pK/pZVmUIwt/hcjT9ycIowJO&#10;vVamphcnJ1ZF7t5akWYyMKVHGVPW9khm5G9kMgzbIfVtEQNEorcgHpBdB+OQ41Ki0IJ7pKTHAa+p&#10;/75nTlKi31vs0OUUWcSNSMq8XBSouHPL9tzCLEeomgZKRnEd0hZF3ixcYycblfh9zuSYMg5uov24&#10;ZHEzzvXk9fwrWP0AAAD//wMAUEsDBBQABgAIAAAAIQDkC4h34AAAAAoBAAAPAAAAZHJzL2Rvd25y&#10;ZXYueG1sTI/LTsMwEEX3SPyDNUjsqPNQTRviVAgJiQULSFjQnRMPSUQ8jmI3Cf163BUsR/fo3jP5&#10;YTUDm3FyvSUJ8SYChtRY3VMr4aN6vtsBc16RVoMllPCDDg7F9VWuMm0Xese59C0LJeQyJaHzfsw4&#10;d02HRrmNHZFC9mUno3w4p5brSS2h3Aw8iSLBjeopLHRqxKcOm+/yZCTML6I8f9r0uBdL/RpV52Nl&#10;37ZS3t6sjw/APK7+D4aLflCHIjjV9kTasUFCmsRJQEMgBLALEIv7FFgtYbfdAy9y/v+F4hcAAP//&#10;AwBQSwECLQAUAAYACAAAACEAtoM4kv4AAADhAQAAEwAAAAAAAAAAAAAAAAAAAAAAW0NvbnRlbnRf&#10;VHlwZXNdLnhtbFBLAQItABQABgAIAAAAIQA4/SH/1gAAAJQBAAALAAAAAAAAAAAAAAAAAC8BAABf&#10;cmVscy8ucmVsc1BLAQItABQABgAIAAAAIQD6wbu9LAIAAFIEAAAOAAAAAAAAAAAAAAAAAC4CAABk&#10;cnMvZTJvRG9jLnhtbFBLAQItABQABgAIAAAAIQDkC4h34AAAAAoBAAAPAAAAAAAAAAAAAAAAAIYE&#10;AABkcnMvZG93bnJldi54bWxQSwUGAAAAAAQABADzAAAAkwUAAAAA&#10;">
                      <v:stroke joinstyle="miter"/>
                      <v:textbox>
                        <w:txbxContent>
                          <w:p w14:paraId="566A1FB8" w14:textId="3A304CE1" w:rsidR="00190A63" w:rsidRPr="00DB40B1" w:rsidRDefault="00190A63" w:rsidP="00204162">
                            <w:pPr>
                              <w:pStyle w:val="TableText"/>
                              <w:spacing w:before="0"/>
                              <w:rPr>
                                <w:sz w:val="22"/>
                              </w:rPr>
                            </w:pPr>
                            <w:r w:rsidRPr="00DB40B1">
                              <w:t>Risk</w:t>
                            </w:r>
                            <w:r>
                              <w:t xml:space="preserve"> </w:t>
                            </w:r>
                            <w:r w:rsidRPr="00DB40B1">
                              <w:t>assessment tool available to use in existing resource consent conditions (to replace Overseer numbers</w:t>
                            </w:r>
                            <w:r>
                              <w:t xml:space="preserve"> and </w:t>
                            </w:r>
                            <w:r w:rsidRPr="00DB40B1">
                              <w:t>rates)</w:t>
                            </w:r>
                          </w:p>
                        </w:txbxContent>
                      </v:textbox>
                    </v:roundrect>
                  </w:pict>
                </mc:Fallback>
              </mc:AlternateContent>
            </w:r>
            <w:r>
              <w:rPr>
                <w:rFonts w:cs="Calibri"/>
                <w:noProof/>
                <w:sz w:val="18"/>
                <w:szCs w:val="18"/>
              </w:rPr>
              <mc:AlternateContent>
                <mc:Choice Requires="wps">
                  <w:drawing>
                    <wp:anchor distT="45720" distB="45720" distL="114300" distR="114300" simplePos="0" relativeHeight="251660288" behindDoc="0" locked="0" layoutInCell="1" allowOverlap="1" wp14:anchorId="5531D01B" wp14:editId="73098E39">
                      <wp:simplePos x="0" y="0"/>
                      <wp:positionH relativeFrom="column">
                        <wp:posOffset>17145</wp:posOffset>
                      </wp:positionH>
                      <wp:positionV relativeFrom="paragraph">
                        <wp:posOffset>36195</wp:posOffset>
                      </wp:positionV>
                      <wp:extent cx="1880235" cy="549910"/>
                      <wp:effectExtent l="8255" t="5715" r="6985" b="63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235" cy="549910"/>
                              </a:xfrm>
                              <a:prstGeom prst="roundRect">
                                <a:avLst>
                                  <a:gd name="adj" fmla="val 16667"/>
                                </a:avLst>
                              </a:prstGeom>
                              <a:solidFill>
                                <a:srgbClr val="FFFFFF"/>
                              </a:solidFill>
                              <a:ln w="9525">
                                <a:solidFill>
                                  <a:srgbClr val="000000"/>
                                </a:solidFill>
                                <a:miter lim="800000"/>
                                <a:headEnd/>
                                <a:tailEnd/>
                              </a:ln>
                            </wps:spPr>
                            <wps:txbx>
                              <w:txbxContent>
                                <w:p w14:paraId="4AE8ABB2" w14:textId="77777777" w:rsidR="00190A63" w:rsidRPr="00DB40B1" w:rsidRDefault="00190A63" w:rsidP="00204162">
                                  <w:pPr>
                                    <w:pStyle w:val="TableText"/>
                                    <w:spacing w:before="0"/>
                                    <w:rPr>
                                      <w:sz w:val="22"/>
                                    </w:rPr>
                                  </w:pPr>
                                  <w:r w:rsidRPr="00DB40B1">
                                    <w:t>Consents and plans valid – continue with implementation, compliance</w:t>
                                  </w:r>
                                  <w:r>
                                    <w:t xml:space="preserve"> and</w:t>
                                  </w:r>
                                  <w:r w:rsidRPr="00DB40B1">
                                    <w:t xml:space="preserve"> monitoring</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31D01B" id="_x0000_s1034" style="position:absolute;left:0;text-align:left;margin-left:1.35pt;margin-top:2.85pt;width:148.05pt;height:43.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dvQwIAAH4EAAAOAAAAZHJzL2Uyb0RvYy54bWysVNty0zAQfWeGf9DondoOTUg9dTqlpQwz&#10;XDq0fIAiybFA0oqVErt8PWs5DSnwxOAHzUq7e3R2j9bnF4OzbKcxGvANr05KzrSXoIzfNPzL/c2L&#10;JWcxCa+EBa8b/qAjv1g9f3beh1rPoAOrNDIC8bHuQ8O7lEJdFFF22ol4AkF7craATiTa4qZQKHpC&#10;d7aYleWi6AFVQJA6Rjq9npx8lfHbVsv0qW2jTsw2nLilvGJe1+NarM5FvUEROiP3NMQ/sHDCeLr0&#10;AHUtkmBbNH9AOSMRIrTpRIIroG2N1LkGqqYqf6vmrhNB51qoOTEc2hT/H6z8uLtFZlTDTznzwpFE&#10;93pI7DUMbDZ2pw+xpqC7cItjfTG8B/ktMg9XnfAbfYkIfaeFIk7VGF88SRg3kVLZuv8AisDFNkFu&#10;1NCiGwGpBWzIejwc9BgJSDqslsty9nLOmSTf/PTsrMqCFaJ+zA4Y01sNjo1GwxG2Xn0m0fMVYvc+&#10;piyK2pcm1FfOWmdJ4p2wrFosFq8yaVHvgwn7ETOXC9aoG2Nt3uBmfWWRUWrDb/K3T47HYdazvuFn&#10;89k8s3jii8cQZf7+BuFMoqmwxjV8eQgS9djnN17lN5uEsZNNlK3fN37s9aRZGtZD1nU5XjDqsAb1&#10;QEogTENAQ0tGB/iDs54GoOHx+1ag5sy+86Tm/JRuponJm6okHpzhsWd97BFeElTDE2eTeZWmKdsG&#10;NJuObqpyNzxc0gtoTXp8KhOrPX165GQ9maLjfY769dtY/QQAAP//AwBQSwMEFAAGAAgAAAAhAF8m&#10;Tn3aAAAABgEAAA8AAABkcnMvZG93bnJldi54bWxMj0FLxDAQhe+C/yGM4M1N7aLu1k4XEYTFk67i&#10;edrENtpMSpN26793PLmnx/Ae731T7hbfq9mO0QVGuF5loCw3wThuEd7fnq42oGIiNtQHtgg/NsKu&#10;Oj8rqTDhyK92PqRWSQnHghC6lIZC69h01lNchcGyeJ9h9JTkHFttRjpKue91nmW32pNjWehosI+d&#10;bb4Pk0eo3VegmmmeJ6/duv/YP7/EPeLlxfJwDyrZJf2H4Q9f0KESpjpMbKLqEfI7CSLciIibbzfy&#10;SI2wzdegq1Kf4le/AAAA//8DAFBLAQItABQABgAIAAAAIQC2gziS/gAAAOEBAAATAAAAAAAAAAAA&#10;AAAAAAAAAABbQ29udGVudF9UeXBlc10ueG1sUEsBAi0AFAAGAAgAAAAhADj9If/WAAAAlAEAAAsA&#10;AAAAAAAAAAAAAAAALwEAAF9yZWxzLy5yZWxzUEsBAi0AFAAGAAgAAAAhAAXtl29DAgAAfgQAAA4A&#10;AAAAAAAAAAAAAAAALgIAAGRycy9lMm9Eb2MueG1sUEsBAi0AFAAGAAgAAAAhAF8mTn3aAAAABgEA&#10;AA8AAAAAAAAAAAAAAAAAnQQAAGRycy9kb3ducmV2LnhtbFBLBQYAAAAABAAEAPMAAACkBQAAAAA=&#10;">
                      <v:stroke joinstyle="miter"/>
                      <v:textbox inset="1.5mm,.3mm,1.5mm,.3mm">
                        <w:txbxContent>
                          <w:p w14:paraId="4AE8ABB2" w14:textId="77777777" w:rsidR="00190A63" w:rsidRPr="00DB40B1" w:rsidRDefault="00190A63" w:rsidP="00204162">
                            <w:pPr>
                              <w:pStyle w:val="TableText"/>
                              <w:spacing w:before="0"/>
                              <w:rPr>
                                <w:sz w:val="22"/>
                              </w:rPr>
                            </w:pPr>
                            <w:r w:rsidRPr="00DB40B1">
                              <w:t>Consents and plans valid – continue with implementation, compliance</w:t>
                            </w:r>
                            <w:r>
                              <w:t xml:space="preserve"> and</w:t>
                            </w:r>
                            <w:r w:rsidRPr="00DB40B1">
                              <w:t xml:space="preserve"> monitoring</w:t>
                            </w:r>
                          </w:p>
                        </w:txbxContent>
                      </v:textbox>
                    </v:roundrect>
                  </w:pict>
                </mc:Fallback>
              </mc:AlternateContent>
            </w:r>
          </w:p>
        </w:tc>
        <w:tc>
          <w:tcPr>
            <w:tcW w:w="2282" w:type="pct"/>
            <w:gridSpan w:val="5"/>
            <w:tcBorders>
              <w:left w:val="nil"/>
              <w:bottom w:val="single" w:sz="4" w:space="0" w:color="auto"/>
            </w:tcBorders>
            <w:shd w:val="clear" w:color="auto" w:fill="EEECE1" w:themeFill="background2"/>
          </w:tcPr>
          <w:p w14:paraId="03CBA3D3" w14:textId="5A89136A" w:rsidR="00157800" w:rsidRPr="00B510A6" w:rsidRDefault="0021340F" w:rsidP="00157800">
            <w:pPr>
              <w:spacing w:before="0" w:after="0" w:line="240" w:lineRule="auto"/>
              <w:rPr>
                <w:rFonts w:cs="Calibri"/>
                <w:sz w:val="18"/>
                <w:szCs w:val="18"/>
              </w:rPr>
            </w:pPr>
            <w:r>
              <w:rPr>
                <w:rFonts w:cs="Calibri"/>
                <w:noProof/>
                <w:sz w:val="18"/>
                <w:szCs w:val="18"/>
              </w:rPr>
              <mc:AlternateContent>
                <mc:Choice Requires="wps">
                  <w:drawing>
                    <wp:anchor distT="45720" distB="45720" distL="114300" distR="114300" simplePos="0" relativeHeight="251669504" behindDoc="0" locked="0" layoutInCell="1" allowOverlap="1" wp14:anchorId="50A2088F" wp14:editId="5DF0AB6E">
                      <wp:simplePos x="0" y="0"/>
                      <wp:positionH relativeFrom="column">
                        <wp:posOffset>3265170</wp:posOffset>
                      </wp:positionH>
                      <wp:positionV relativeFrom="paragraph">
                        <wp:posOffset>579628</wp:posOffset>
                      </wp:positionV>
                      <wp:extent cx="830580" cy="966470"/>
                      <wp:effectExtent l="22860" t="26035" r="32385" b="4572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966470"/>
                              </a:xfrm>
                              <a:prstGeom prst="roundRect">
                                <a:avLst>
                                  <a:gd name="adj" fmla="val 16667"/>
                                </a:avLst>
                              </a:prstGeom>
                              <a:solidFill>
                                <a:schemeClr val="accent6">
                                  <a:lumMod val="100000"/>
                                  <a:lumOff val="0"/>
                                </a:schemeClr>
                              </a:solidFill>
                              <a:ln w="38100">
                                <a:solidFill>
                                  <a:schemeClr val="lt1">
                                    <a:lumMod val="95000"/>
                                    <a:lumOff val="0"/>
                                  </a:schemeClr>
                                </a:solidFill>
                                <a:round/>
                                <a:headEnd/>
                                <a:tailEnd/>
                              </a:ln>
                              <a:effectLst>
                                <a:outerShdw dist="28398" dir="3806097" algn="ctr" rotWithShape="0">
                                  <a:schemeClr val="accent6">
                                    <a:lumMod val="50000"/>
                                    <a:lumOff val="0"/>
                                    <a:alpha val="50000"/>
                                  </a:schemeClr>
                                </a:outerShdw>
                              </a:effectLst>
                            </wps:spPr>
                            <wps:txbx>
                              <w:txbxContent>
                                <w:p w14:paraId="0338CCEF" w14:textId="77777777" w:rsidR="00190A63" w:rsidRPr="00DB40B1" w:rsidRDefault="00190A63" w:rsidP="005E3714">
                                  <w:pPr>
                                    <w:pStyle w:val="TableText"/>
                                  </w:pPr>
                                  <w:r w:rsidRPr="00DB40B1">
                                    <w:t>NPS-FM plans to be notified 31/12/24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A2088F" id="AutoShape 6" o:spid="_x0000_s1035" style="position:absolute;left:0;text-align:left;margin-left:257.1pt;margin-top:45.65pt;width:65.4pt;height:76.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N+gqAIAALsFAAAOAAAAZHJzL2Uyb0RvYy54bWysVE1v2zAMvQ/YfxB0X20nqZMYdYqiXYcB&#10;+yjWDTsrkhxrkyVNUuJ0v34U7WTpih1WzAdD1Mcj+R7Ji8t9p8lO+qCsqWlxllMiDbdCmU1Nv3y+&#10;fbWgJERmBNPWyJo+yEAvVy9fXPSukhPbWi2kJwBiQtW7mrYxuirLAm9lx8KZddLAYWN9xyKYfpMJ&#10;z3pA73Q2yfMy660XzlsuQ4Ddm+GQrhC/aSSPH5smyEh0TSG2iH+P/3X6Z6sLVm08c63iYxjsGVF0&#10;TBlweoS6YZGRrVdPoDrFvQ22iWfcdpltGsUl5gDZFPkf2dy3zEnMBcgJ7khT+H+w/MPuzhMlajql&#10;xLAOJLraRoueSZno6V2o4Na9u/MpweDeWf49EGOvW2Y28sp727eSCQiqSPezRw+SEeApWffvrQB0&#10;BujI1L7xXQIEDsgeBXk4CiL3kXDYXEzz8wXIxuFoWZazOQqWserw2PkQ30jbkbSoqbdbIz6B6OiB&#10;7d6FiKKIMTUmvlHSdBok3jFNirIs5xgzq8bLgH3AxGytVuJWaY1GKkp5rT2Bx5AJ59LEEl3pbQfp&#10;DftFnr6hsmAf6m/YP8SOtZ1ggCvg89SDNqQHJRYAgbCPDo/vBjgdiyeul+fP9YzMYTMkLV8bgevI&#10;lB7WEKk2iQSJTTUSa7dR+vtW9ESoxP9kMV1CwwsFHTZd5GW+nFPC9AZGA4+eEm/jVxVbrK4k9j+w&#10;mjL7G6mgnnYtG3g5XkzkHhRDqo/RonWSCJZsqtKh2uN+vceWWB7qf23FA9QwhI+FCvMOFq31Pynp&#10;YXbUNPzYMi8p0W8N9MGymM3SsEFjdj6fgOFPT9anJ8xwgBoZGozrOIyorfNq04KvQWpjU282Kh7a&#10;bIhr7DmYEJjYOM3SCDq18dbvmbv6BQAA//8DAFBLAwQUAAYACAAAACEABfqdIuIAAAAKAQAADwAA&#10;AGRycy9kb3ducmV2LnhtbEyPy27CMBBF95X6D9ZU6gYVJyFBkMZBqK8NQlWhH+DEk4eIx5FtIPx9&#10;3VW7HM3RvecWm0kP7ILW9YYExPMIGFJtVE+tgO/j+9MKmPOSlBwMoYAbOtiU93eFzJW50hdeDr5l&#10;IYRcLgV03o85567uUEs3NyNS+DXGaunDaVuurLyGcD3wJIqWXMueQkMnR3zpsD4dzlpAs6/s9vPj&#10;NWtmp93bcLPrNpnthXh8mLbPwDxO/g+GX/2gDmVwqsyZlGODgCxOk4AKWMcLYAFYplkYVwlI0kUG&#10;vCz4/wnlDwAAAP//AwBQSwECLQAUAAYACAAAACEAtoM4kv4AAADhAQAAEwAAAAAAAAAAAAAAAAAA&#10;AAAAW0NvbnRlbnRfVHlwZXNdLnhtbFBLAQItABQABgAIAAAAIQA4/SH/1gAAAJQBAAALAAAAAAAA&#10;AAAAAAAAAC8BAABfcmVscy8ucmVsc1BLAQItABQABgAIAAAAIQAy9N+gqAIAALsFAAAOAAAAAAAA&#10;AAAAAAAAAC4CAABkcnMvZTJvRG9jLnhtbFBLAQItABQABgAIAAAAIQAF+p0i4gAAAAoBAAAPAAAA&#10;AAAAAAAAAAAAAAIFAABkcnMvZG93bnJldi54bWxQSwUGAAAAAAQABADzAAAAEQYAAAAA&#10;" fillcolor="#da6c28 [3209]" strokecolor="#f2f2f2 [3041]" strokeweight="3pt">
                      <v:shadow on="t" color="#6d3513 [1609]" opacity=".5" offset="1pt"/>
                      <v:textbox>
                        <w:txbxContent>
                          <w:p w14:paraId="0338CCEF" w14:textId="77777777" w:rsidR="00190A63" w:rsidRPr="00DB40B1" w:rsidRDefault="00190A63" w:rsidP="005E3714">
                            <w:pPr>
                              <w:pStyle w:val="TableText"/>
                            </w:pPr>
                            <w:r w:rsidRPr="00DB40B1">
                              <w:t>NPS-FM plans to be notified 31/12/24</w:t>
                            </w:r>
                          </w:p>
                        </w:txbxContent>
                      </v:textbox>
                    </v:roundrect>
                  </w:pict>
                </mc:Fallback>
              </mc:AlternateContent>
            </w:r>
          </w:p>
        </w:tc>
      </w:tr>
      <w:tr w:rsidR="00157800" w:rsidRPr="00B510A6" w14:paraId="35CF2FCA" w14:textId="77777777" w:rsidTr="000B1A4E">
        <w:trPr>
          <w:trHeight w:val="841"/>
        </w:trPr>
        <w:tc>
          <w:tcPr>
            <w:tcW w:w="447" w:type="pct"/>
            <w:vMerge/>
            <w:shd w:val="clear" w:color="auto" w:fill="EEECE1"/>
          </w:tcPr>
          <w:p w14:paraId="7D3B4C89" w14:textId="77777777" w:rsidR="00157800" w:rsidRPr="00B510A6" w:rsidRDefault="00157800" w:rsidP="00157800">
            <w:pPr>
              <w:spacing w:before="0" w:after="0" w:line="240" w:lineRule="auto"/>
              <w:rPr>
                <w:rFonts w:cs="Calibri"/>
                <w:sz w:val="18"/>
                <w:szCs w:val="18"/>
              </w:rPr>
            </w:pPr>
          </w:p>
        </w:tc>
        <w:tc>
          <w:tcPr>
            <w:tcW w:w="448" w:type="pct"/>
            <w:shd w:val="clear" w:color="auto" w:fill="EEECE1"/>
            <w:vAlign w:val="center"/>
          </w:tcPr>
          <w:p w14:paraId="66F42C10" w14:textId="77777777" w:rsidR="00157800" w:rsidRPr="00B510A6" w:rsidRDefault="00157800" w:rsidP="00157800">
            <w:pPr>
              <w:spacing w:before="0" w:after="0" w:line="240" w:lineRule="auto"/>
              <w:jc w:val="center"/>
              <w:rPr>
                <w:rFonts w:cs="Calibri"/>
                <w:sz w:val="18"/>
                <w:szCs w:val="18"/>
              </w:rPr>
            </w:pPr>
            <w:r w:rsidRPr="00B510A6">
              <w:rPr>
                <w:rFonts w:cs="Calibri"/>
                <w:sz w:val="18"/>
                <w:szCs w:val="18"/>
              </w:rPr>
              <w:t>NPS-FM</w:t>
            </w:r>
          </w:p>
          <w:p w14:paraId="404B4B3D" w14:textId="77777777" w:rsidR="00157800" w:rsidRPr="00B510A6" w:rsidRDefault="00157800" w:rsidP="00157800">
            <w:pPr>
              <w:spacing w:before="0" w:after="0" w:line="240" w:lineRule="auto"/>
              <w:jc w:val="center"/>
              <w:rPr>
                <w:rFonts w:cs="Calibri"/>
                <w:sz w:val="18"/>
                <w:szCs w:val="18"/>
              </w:rPr>
            </w:pPr>
            <w:r w:rsidRPr="00B510A6">
              <w:rPr>
                <w:rFonts w:cs="Calibri"/>
                <w:sz w:val="18"/>
                <w:szCs w:val="18"/>
              </w:rPr>
              <w:t>plan dev. – catchment modelling</w:t>
            </w:r>
          </w:p>
        </w:tc>
        <w:tc>
          <w:tcPr>
            <w:tcW w:w="1823" w:type="pct"/>
            <w:gridSpan w:val="4"/>
            <w:tcBorders>
              <w:bottom w:val="single" w:sz="4" w:space="0" w:color="auto"/>
              <w:right w:val="nil"/>
            </w:tcBorders>
            <w:shd w:val="clear" w:color="auto" w:fill="EEECE1" w:themeFill="background2"/>
          </w:tcPr>
          <w:p w14:paraId="23922C71" w14:textId="77777777" w:rsidR="00157800" w:rsidRPr="00B510A6" w:rsidRDefault="00D91FB8" w:rsidP="00157800">
            <w:pPr>
              <w:spacing w:before="0" w:after="0" w:line="240" w:lineRule="auto"/>
              <w:rPr>
                <w:rFonts w:cs="Calibri"/>
                <w:sz w:val="18"/>
                <w:szCs w:val="18"/>
              </w:rPr>
            </w:pPr>
            <w:r>
              <w:rPr>
                <w:rFonts w:cs="Calibri"/>
                <w:noProof/>
                <w:sz w:val="18"/>
                <w:szCs w:val="18"/>
              </w:rPr>
              <mc:AlternateContent>
                <mc:Choice Requires="wps">
                  <w:drawing>
                    <wp:anchor distT="45720" distB="45720" distL="114300" distR="114300" simplePos="0" relativeHeight="251668480" behindDoc="0" locked="0" layoutInCell="1" allowOverlap="1" wp14:anchorId="72E4BA17" wp14:editId="4BC3EA2F">
                      <wp:simplePos x="0" y="0"/>
                      <wp:positionH relativeFrom="column">
                        <wp:posOffset>2039620</wp:posOffset>
                      </wp:positionH>
                      <wp:positionV relativeFrom="paragraph">
                        <wp:posOffset>113030</wp:posOffset>
                      </wp:positionV>
                      <wp:extent cx="5372735" cy="30480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304800"/>
                              </a:xfrm>
                              <a:prstGeom prst="roundRect">
                                <a:avLst/>
                              </a:prstGeom>
                              <a:solidFill>
                                <a:srgbClr val="FFFFFF"/>
                              </a:solidFill>
                              <a:ln w="9525">
                                <a:solidFill>
                                  <a:srgbClr val="000000"/>
                                </a:solidFill>
                                <a:miter lim="800000"/>
                                <a:headEnd/>
                                <a:tailEnd/>
                              </a:ln>
                            </wps:spPr>
                            <wps:txbx>
                              <w:txbxContent>
                                <w:p w14:paraId="5A8CEFBF" w14:textId="6A021466" w:rsidR="00190A63" w:rsidRPr="00DB40B1" w:rsidRDefault="00190A63" w:rsidP="0038397E">
                                  <w:pPr>
                                    <w:pStyle w:val="TableText"/>
                                    <w:spacing w:before="0"/>
                                  </w:pPr>
                                  <w:r w:rsidRPr="00DB40B1">
                                    <w:t>Risk</w:t>
                                  </w:r>
                                  <w:r>
                                    <w:t xml:space="preserve"> </w:t>
                                  </w:r>
                                  <w:r w:rsidRPr="00DB40B1">
                                    <w:t>assessment tool available for use in catchment modelling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2E4BA17" id="_x0000_s1036" style="position:absolute;left:0;text-align:left;margin-left:160.6pt;margin-top:8.9pt;width:423.05pt;height: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YbLwIAAFUEAAAOAAAAZHJzL2Uyb0RvYy54bWysVNtu2zAMfR+wfxD0vthxkqU14hRdugwD&#10;ugvW7gNkWY6FSaImKbHbrx8lp2nQbS/D/CCIInV0eEh6dTVoRQ7CeQmmotNJTokwHBppdhX9fr99&#10;c0GJD8w0TIERFX0Qnl6tX79a9bYUBXSgGuEIghhf9raiXQi2zDLPO6GZn4AVBp0tOM0Cmm6XNY71&#10;iK5VVuT526wH11gHXHiPpzejk64TftsKHr60rReBqIoit5BWl9Y6rtl6xcqdY7aT/EiD/QMLzaTB&#10;R09QNywwsnfyNygtuQMPbZhw0Bm0reQi5YDZTPMX2dx1zIqUC4rj7Ukm//9g+efDV0dkU9EiX1Bi&#10;mMYi3YshkHcwkCLq01tfYtidxcAw4DHWOeXq7S3wH54Y2HTM7MS1c9B3gjXIbxpvZmdXRxwfQer+&#10;EzT4DNsHSEBD63QUD+UgiI51ejjVJlLheLiYLYvlDCly9M3y+UWeipex8um2dT58EKBJ3FTUwd40&#10;37AB0hPscOtDpMTKp7j4ogclm61UKhluV2+UIweGzbJNX8riRZgypK/o5aJYjCr8FSJP358gtAzY&#10;9UrqimIe+MUgVkbt3psm7QOTatwjZWWOYkb9RiXDUA+pbtN0OSpdQ/OA8joYuxynEjcduEdKeuzw&#10;ivqfe+YEJeqjwRJdTufzOBLJmC+WBRru3FOfe5jhCFVRHhwlo7EJaZAicwPXWMxWJomfuRxZY+8m&#10;5Y9zFofj3E5Rz3+D9S8AAAD//wMAUEsDBBQABgAIAAAAIQDLMG/04QAAAAoBAAAPAAAAZHJzL2Rv&#10;d25yZXYueG1sTI/BTsMwEETvSP0Haytxo05S6kYhToVAICHBoYVLb27sxlHjdRS7Tfh7tid6XM3T&#10;7JtyM7mOXcwQWo8S0kUCzGDtdYuNhJ/vt4ccWIgKteo8Ggm/JsCmmt2VqtB+xK257GLDqARDoSTY&#10;GPuC81Bb41RY+N4gZUc/OBXpHBquBzVSuet4liSCO9UifbCqNy/W1Kfd2UnIP0Ty+dW8H8fWpqfX&#10;x9V2vxeTlPfz6fkJWDRT/Ifhqk/qUJHTwZ9RB9ZJWGZpRigFa5pwBVKxXgI7SBCrHHhV8tsJ1R8A&#10;AAD//wMAUEsBAi0AFAAGAAgAAAAhALaDOJL+AAAA4QEAABMAAAAAAAAAAAAAAAAAAAAAAFtDb250&#10;ZW50X1R5cGVzXS54bWxQSwECLQAUAAYACAAAACEAOP0h/9YAAACUAQAACwAAAAAAAAAAAAAAAAAv&#10;AQAAX3JlbHMvLnJlbHNQSwECLQAUAAYACAAAACEABhL2Gy8CAABVBAAADgAAAAAAAAAAAAAAAAAu&#10;AgAAZHJzL2Uyb0RvYy54bWxQSwECLQAUAAYACAAAACEAyzBv9OEAAAAKAQAADwAAAAAAAAAAAAAA&#10;AACJBAAAZHJzL2Rvd25yZXYueG1sUEsFBgAAAAAEAAQA8wAAAJcFAAAAAA==&#10;">
                      <v:stroke joinstyle="miter"/>
                      <v:textbox>
                        <w:txbxContent>
                          <w:p w14:paraId="5A8CEFBF" w14:textId="6A021466" w:rsidR="00190A63" w:rsidRPr="00DB40B1" w:rsidRDefault="00190A63" w:rsidP="0038397E">
                            <w:pPr>
                              <w:pStyle w:val="TableText"/>
                              <w:spacing w:before="0"/>
                            </w:pPr>
                            <w:r w:rsidRPr="00DB40B1">
                              <w:t>Risk</w:t>
                            </w:r>
                            <w:r>
                              <w:t xml:space="preserve"> </w:t>
                            </w:r>
                            <w:r w:rsidRPr="00DB40B1">
                              <w:t>assessment tool available for use in catchment modelling</w:t>
                            </w:r>
                          </w:p>
                        </w:txbxContent>
                      </v:textbox>
                    </v:roundrect>
                  </w:pict>
                </mc:Fallback>
              </mc:AlternateContent>
            </w:r>
            <w:r>
              <w:rPr>
                <w:rFonts w:cs="Calibri"/>
                <w:noProof/>
                <w:sz w:val="18"/>
                <w:szCs w:val="18"/>
              </w:rPr>
              <mc:AlternateContent>
                <mc:Choice Requires="wps">
                  <w:drawing>
                    <wp:anchor distT="45720" distB="45720" distL="114300" distR="114300" simplePos="0" relativeHeight="251662336" behindDoc="0" locked="0" layoutInCell="1" allowOverlap="1" wp14:anchorId="35FBE138" wp14:editId="1AFBFA83">
                      <wp:simplePos x="0" y="0"/>
                      <wp:positionH relativeFrom="column">
                        <wp:posOffset>26035</wp:posOffset>
                      </wp:positionH>
                      <wp:positionV relativeFrom="paragraph">
                        <wp:posOffset>50165</wp:posOffset>
                      </wp:positionV>
                      <wp:extent cx="1880870" cy="440055"/>
                      <wp:effectExtent l="7620" t="12700" r="6985" b="1397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440055"/>
                              </a:xfrm>
                              <a:prstGeom prst="roundRect">
                                <a:avLst>
                                  <a:gd name="adj" fmla="val 16667"/>
                                </a:avLst>
                              </a:prstGeom>
                              <a:solidFill>
                                <a:srgbClr val="FFFFFF"/>
                              </a:solidFill>
                              <a:ln w="9525">
                                <a:solidFill>
                                  <a:srgbClr val="000000"/>
                                </a:solidFill>
                                <a:miter lim="800000"/>
                                <a:headEnd/>
                                <a:tailEnd/>
                              </a:ln>
                            </wps:spPr>
                            <wps:txbx>
                              <w:txbxContent>
                                <w:p w14:paraId="1B44D00F" w14:textId="6CD583E3" w:rsidR="00190A63" w:rsidRPr="00DB40B1" w:rsidRDefault="00190A63" w:rsidP="0038397E">
                                  <w:pPr>
                                    <w:pStyle w:val="TableText"/>
                                    <w:spacing w:before="0"/>
                                  </w:pPr>
                                  <w:r w:rsidRPr="00DB40B1">
                                    <w:t>Overseer may be used for c</w:t>
                                  </w:r>
                                  <w:r>
                                    <w:t>atch</w:t>
                                  </w:r>
                                  <w:r w:rsidRPr="00DB40B1">
                                    <w:t>ment modelling (with provisos)</w:t>
                                  </w:r>
                                </w:p>
                              </w:txbxContent>
                            </wps:txbx>
                            <wps:bodyPr rot="0" vert="horz" wrap="square" lIns="54000" tIns="10800" rIns="54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5FBE138" id="AutoShape 5" o:spid="_x0000_s1037" style="position:absolute;left:0;text-align:left;margin-left:2.05pt;margin-top:3.95pt;width:148.1pt;height:34.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iuNPwIAAIIEAAAOAAAAZHJzL2Uyb0RvYy54bWysVFFv0zAQfkfiP1h+p0mmtSvR0mnaGEIa&#10;MDH4Aa7tNAbbZ85u0/LruThtaYEnRB4sn+/u83f3+XJ9s3WWbTRGA77h1aTkTHsJyvhVw798fng1&#10;5ywm4ZWw4HXDdzrym8XLF9d9qPUFdGCVRkYgPtZ9aHiXUqiLIspOOxEnELQnZwvoRCITV4VC0RO6&#10;s8VFWc6KHlAFBKljpNP70ckXGb9ttUwf2zbqxGzDiVvKK+Z1OazF4lrUKxShM3JPQ/wDCyeMp0uP&#10;UPciCbZG8weUMxIhQpsmElwBbWukzjVQNVX5WzXPnQg610LNieHYpvj/YOWHzRMyo0g7zrxwJNHt&#10;OkG+mU2H9vQh1hT1HJ5wKDCGR5DfIvNw1wm/0reI0HdaKCJVDfHFWcJgREply/49KEIXhJ47tW3R&#10;DYDUA7bNguyOguhtYpIOq/m8nF+RbpJ8l5dlOc2UClEfsgPG9FaDY8Om4Qhrrz6R6vkKsXmMKaui&#10;9rUJ9ZWz1lnSeCMsq2az2VUmLep9MGEfMHO5YI16MNZmA1fLO4uMUhv+kL99cjwNs571DX89vZhm&#10;Fme+eApR5u9vEM4kGgtrXMPnxyBRD31+41V+tEkYO+6JsvX7xg+9HjVL2+V2FDbLMgixBLUjKRDG&#10;MaCxpU0H+IOznkag4fH7WqDmzL7zJOeUGj7MTDaqkohwhqee5alHeElQDZcJORuNuzRO2jqgWXV0&#10;V5Ub4mF4Yq1Jh9cy8tpXQA+ddmeTdGrnqF+/jsVPAAAA//8DAFBLAwQUAAYACAAAACEAhdeljtoA&#10;AAAGAQAADwAAAGRycy9kb3ducmV2LnhtbEyOwU7DMBBE70j8g7VI3KjdlpIS4lSAAMGRgtrrNjZJ&#10;RLyObCdN/57lBMfRjN68YjO5Tow2xNaThvlMgbBUedNSreHz4/lqDSImJIOdJ6vhZCNsyvOzAnPj&#10;j/Rux22qBUMo5qihSanPpYxVYx3Gme8tcfflg8PEMdTSBDwy3HVyodSNdNgSPzTY28fGVt/bwWlY&#10;v0q32r+Et9X4ELNTs8M4PKHWlxfT/R2IZKf0N4ZffVaHkp0OfiATRafhes5DDdktCG6XSi1BHDhn&#10;C5BlIf/rlz8AAAD//wMAUEsBAi0AFAAGAAgAAAAhALaDOJL+AAAA4QEAABMAAAAAAAAAAAAAAAAA&#10;AAAAAFtDb250ZW50X1R5cGVzXS54bWxQSwECLQAUAAYACAAAACEAOP0h/9YAAACUAQAACwAAAAAA&#10;AAAAAAAAAAAvAQAAX3JlbHMvLnJlbHNQSwECLQAUAAYACAAAACEAIdYrjT8CAACCBAAADgAAAAAA&#10;AAAAAAAAAAAuAgAAZHJzL2Uyb0RvYy54bWxQSwECLQAUAAYACAAAACEAhdeljtoAAAAGAQAADwAA&#10;AAAAAAAAAAAAAACZBAAAZHJzL2Rvd25yZXYueG1sUEsFBgAAAAAEAAQA8wAAAKAFAAAAAA==&#10;">
                      <v:stroke joinstyle="miter"/>
                      <v:textbox inset="1.5mm,.3mm,1.5mm,.3mm">
                        <w:txbxContent>
                          <w:p w14:paraId="1B44D00F" w14:textId="6CD583E3" w:rsidR="00190A63" w:rsidRPr="00DB40B1" w:rsidRDefault="00190A63" w:rsidP="0038397E">
                            <w:pPr>
                              <w:pStyle w:val="TableText"/>
                              <w:spacing w:before="0"/>
                            </w:pPr>
                            <w:r w:rsidRPr="00DB40B1">
                              <w:t>Overseer may be used for c</w:t>
                            </w:r>
                            <w:r>
                              <w:t>atch</w:t>
                            </w:r>
                            <w:r w:rsidRPr="00DB40B1">
                              <w:t>ment modelling (with provisos)</w:t>
                            </w:r>
                          </w:p>
                        </w:txbxContent>
                      </v:textbox>
                    </v:roundrect>
                  </w:pict>
                </mc:Fallback>
              </mc:AlternateContent>
            </w:r>
          </w:p>
        </w:tc>
        <w:tc>
          <w:tcPr>
            <w:tcW w:w="1772" w:type="pct"/>
            <w:gridSpan w:val="4"/>
            <w:tcBorders>
              <w:left w:val="nil"/>
              <w:bottom w:val="single" w:sz="4" w:space="0" w:color="auto"/>
              <w:right w:val="nil"/>
            </w:tcBorders>
            <w:shd w:val="clear" w:color="auto" w:fill="EEECE1" w:themeFill="background2"/>
          </w:tcPr>
          <w:p w14:paraId="39BFB741" w14:textId="77777777" w:rsidR="00157800" w:rsidRPr="00B510A6" w:rsidRDefault="00157800" w:rsidP="00157800">
            <w:pPr>
              <w:spacing w:before="0" w:after="0" w:line="240" w:lineRule="auto"/>
              <w:rPr>
                <w:rFonts w:cs="Calibri"/>
                <w:sz w:val="18"/>
                <w:szCs w:val="18"/>
              </w:rPr>
            </w:pPr>
          </w:p>
        </w:tc>
        <w:tc>
          <w:tcPr>
            <w:tcW w:w="510" w:type="pct"/>
            <w:tcBorders>
              <w:left w:val="nil"/>
              <w:bottom w:val="single" w:sz="4" w:space="0" w:color="auto"/>
            </w:tcBorders>
            <w:shd w:val="clear" w:color="auto" w:fill="EEECE1" w:themeFill="background2"/>
          </w:tcPr>
          <w:p w14:paraId="0AE6080A" w14:textId="77777777" w:rsidR="00157800" w:rsidRPr="00B510A6" w:rsidRDefault="00157800" w:rsidP="00157800">
            <w:pPr>
              <w:spacing w:before="0" w:after="0" w:line="240" w:lineRule="auto"/>
              <w:rPr>
                <w:rFonts w:cs="Calibri"/>
                <w:sz w:val="18"/>
                <w:szCs w:val="18"/>
              </w:rPr>
            </w:pPr>
          </w:p>
        </w:tc>
      </w:tr>
      <w:tr w:rsidR="00157800" w:rsidRPr="00B510A6" w14:paraId="5D48C01A" w14:textId="77777777" w:rsidTr="000B1A4E">
        <w:trPr>
          <w:trHeight w:val="567"/>
        </w:trPr>
        <w:tc>
          <w:tcPr>
            <w:tcW w:w="447" w:type="pct"/>
            <w:vMerge/>
            <w:tcBorders>
              <w:bottom w:val="single" w:sz="4" w:space="0" w:color="auto"/>
            </w:tcBorders>
            <w:shd w:val="clear" w:color="auto" w:fill="EEECE1"/>
          </w:tcPr>
          <w:p w14:paraId="68692F26" w14:textId="77777777" w:rsidR="00157800" w:rsidRPr="00B510A6" w:rsidRDefault="00157800" w:rsidP="00157800">
            <w:pPr>
              <w:spacing w:before="0" w:after="0" w:line="240" w:lineRule="auto"/>
              <w:rPr>
                <w:rFonts w:cs="Calibri"/>
                <w:sz w:val="18"/>
                <w:szCs w:val="18"/>
              </w:rPr>
            </w:pPr>
          </w:p>
        </w:tc>
        <w:tc>
          <w:tcPr>
            <w:tcW w:w="448" w:type="pct"/>
            <w:tcBorders>
              <w:bottom w:val="single" w:sz="4" w:space="0" w:color="auto"/>
            </w:tcBorders>
            <w:shd w:val="clear" w:color="auto" w:fill="EEECE1"/>
            <w:vAlign w:val="center"/>
          </w:tcPr>
          <w:p w14:paraId="2642ABAF" w14:textId="6DA73CAD" w:rsidR="00157800" w:rsidRPr="00B510A6" w:rsidRDefault="00157800" w:rsidP="00B35CB8">
            <w:pPr>
              <w:pStyle w:val="TableText"/>
              <w:jc w:val="center"/>
              <w:rPr>
                <w:rFonts w:cs="Calibri"/>
                <w:szCs w:val="18"/>
              </w:rPr>
            </w:pPr>
            <w:r w:rsidRPr="00B510A6">
              <w:t>NPS-FM</w:t>
            </w:r>
            <w:r w:rsidR="00B35CB8" w:rsidRPr="00B510A6">
              <w:t xml:space="preserve"> </w:t>
            </w:r>
            <w:r w:rsidR="00B35CB8" w:rsidRPr="00B510A6">
              <w:br/>
            </w:r>
            <w:r w:rsidRPr="00B510A6">
              <w:rPr>
                <w:rFonts w:cs="Calibri"/>
                <w:szCs w:val="18"/>
              </w:rPr>
              <w:t>plan dev. – limits</w:t>
            </w:r>
            <w:r w:rsidR="00F7780A">
              <w:rPr>
                <w:rFonts w:cs="Calibri"/>
                <w:szCs w:val="18"/>
              </w:rPr>
              <w:t xml:space="preserve"> </w:t>
            </w:r>
            <w:r w:rsidRPr="00B510A6">
              <w:rPr>
                <w:rFonts w:cs="Calibri"/>
                <w:szCs w:val="18"/>
              </w:rPr>
              <w:t>setting</w:t>
            </w:r>
          </w:p>
        </w:tc>
        <w:tc>
          <w:tcPr>
            <w:tcW w:w="3595" w:type="pct"/>
            <w:gridSpan w:val="8"/>
            <w:tcBorders>
              <w:top w:val="single" w:sz="4" w:space="0" w:color="auto"/>
              <w:right w:val="nil"/>
            </w:tcBorders>
            <w:shd w:val="clear" w:color="auto" w:fill="EEECE1"/>
          </w:tcPr>
          <w:p w14:paraId="66C11B1C" w14:textId="77777777" w:rsidR="00157800" w:rsidRPr="00B510A6" w:rsidRDefault="00D91FB8" w:rsidP="00157800">
            <w:pPr>
              <w:spacing w:before="0" w:after="0" w:line="240" w:lineRule="auto"/>
              <w:rPr>
                <w:rFonts w:cs="Calibri"/>
                <w:sz w:val="18"/>
                <w:szCs w:val="18"/>
              </w:rPr>
            </w:pPr>
            <w:r>
              <w:rPr>
                <w:rFonts w:cs="Calibri"/>
                <w:noProof/>
                <w:sz w:val="18"/>
                <w:szCs w:val="18"/>
              </w:rPr>
              <mc:AlternateContent>
                <mc:Choice Requires="wps">
                  <w:drawing>
                    <wp:anchor distT="45720" distB="45720" distL="114300" distR="114300" simplePos="0" relativeHeight="251667456" behindDoc="0" locked="0" layoutInCell="1" allowOverlap="1" wp14:anchorId="4FC62CE9" wp14:editId="00B5BEC4">
                      <wp:simplePos x="0" y="0"/>
                      <wp:positionH relativeFrom="column">
                        <wp:posOffset>2039620</wp:posOffset>
                      </wp:positionH>
                      <wp:positionV relativeFrom="paragraph">
                        <wp:posOffset>72390</wp:posOffset>
                      </wp:positionV>
                      <wp:extent cx="5372735" cy="284480"/>
                      <wp:effectExtent l="0" t="0" r="0" b="127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735" cy="284480"/>
                              </a:xfrm>
                              <a:prstGeom prst="roundRect">
                                <a:avLst/>
                              </a:prstGeom>
                              <a:solidFill>
                                <a:srgbClr val="FFFFFF"/>
                              </a:solidFill>
                              <a:ln w="9525">
                                <a:solidFill>
                                  <a:srgbClr val="000000"/>
                                </a:solidFill>
                                <a:miter lim="800000"/>
                                <a:headEnd/>
                                <a:tailEnd/>
                              </a:ln>
                            </wps:spPr>
                            <wps:txbx>
                              <w:txbxContent>
                                <w:p w14:paraId="0F5801CE" w14:textId="48A67B70" w:rsidR="00190A63" w:rsidRPr="00DB40B1" w:rsidRDefault="00190A63" w:rsidP="0038397E">
                                  <w:pPr>
                                    <w:pStyle w:val="TableText"/>
                                    <w:spacing w:before="0"/>
                                  </w:pPr>
                                  <w:r w:rsidRPr="00DB40B1">
                                    <w:t>Risk</w:t>
                                  </w:r>
                                  <w:r>
                                    <w:t xml:space="preserve"> </w:t>
                                  </w:r>
                                  <w:r w:rsidRPr="00DB40B1">
                                    <w:t>assessment tool to be used for property</w:t>
                                  </w:r>
                                  <w:r>
                                    <w:t>-</w:t>
                                  </w:r>
                                  <w:r w:rsidRPr="00DB40B1">
                                    <w:t>scale regulatory decisions and compliance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FC62CE9" id="_x0000_s1038" style="position:absolute;left:0;text-align:left;margin-left:160.6pt;margin-top:5.7pt;width:423.05pt;height:2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CDLwIAAFUEAAAOAAAAZHJzL2Uyb0RvYy54bWysVNtu2zAMfR+wfxD0vthxkyY14hRdugwD&#10;ugvW7gNkSY6FSaInKbHbrx8lp1nQbS/D/CCIInVEnkN6dT0YTQ7SeQW2otNJTom0HISyu4p+e9i+&#10;WVLiA7OCabCyoo/S0+v161ervitlAS1oIR1BEOvLvqtoG0JXZpnnrTTMT6CTFp0NOMMCmm6XCcd6&#10;RDc6K/L8MuvBic4Bl97j6e3opOuE3zSSh89N42UguqKYW0irS2sd12y9YuXOsa5V/JgG+4csDFMW&#10;Hz1B3bLAyN6p36CM4g48NGHCwWTQNIrLVANWM81fVHPfsk6mWpAc351o8v8Pln86fHFEiYoW+SUl&#10;lhkU6UEOgbyFgRSRn77zJYbddxgYBjxGnVOtvrsD/t0TC5uW2Z28cQ76VjKB+U3jzezs6ojjI0jd&#10;fwSBz7B9gAQ0NM5E8pAOguio0+NJm5gKx8P5xaJYXMwp4egrlrPZMomXsfL5dud8eC/BkLipqIO9&#10;FV+xAdIT7HDnQ0yJlc9x8UUPWomt0joZbldvtCMHhs2yTV+q4kWYtqSv6NW8mI8s/BUiT9+fIIwK&#10;2PVamYouT0GsjNy9syL1ZGBKj3tMWdsjmZG/kckw1EPSbXoSqQbxiPQ6GLscpxI3LbgnSnrs8Ir6&#10;H3vmJCX6g0WJrqazWRyJZMzmiwINd+6pzz3McoSqKA+OktHYhDRIkToLNyhmoxLFUfUxl2PW2LuJ&#10;+eOcxeE4t1PUr7/B+icAAAD//wMAUEsDBBQABgAIAAAAIQCZH+h04AAAAAoBAAAPAAAAZHJzL2Rv&#10;d25yZXYueG1sTI/BTsMwEETvSPyDtUjcqOO0NVWIUyEQSEhwaOHSmxtv46jxOordJvw97okeV/M0&#10;87ZcT65jZxxC60mBmGXAkGpvWmoU/Hy/PayAhajJ6M4TKvjFAOvq9qbUhfEjbfC8jQ1LJRQKrcDG&#10;2Bech9qi02Hme6SUHfzgdEzn0HAz6DGVu47nWSa50y2lBat7fLFYH7cnp2D1IbPPr+b9MLZWHF8X&#10;y81uJyel7u+m5ydgEaf4D8NFP6lDlZz2/kQmsE7BPBd5QlMgFsAugJCPc2B7BUuZA69Kfv1C9QcA&#10;AP//AwBQSwECLQAUAAYACAAAACEAtoM4kv4AAADhAQAAEwAAAAAAAAAAAAAAAAAAAAAAW0NvbnRl&#10;bnRfVHlwZXNdLnhtbFBLAQItABQABgAIAAAAIQA4/SH/1gAAAJQBAAALAAAAAAAAAAAAAAAAAC8B&#10;AABfcmVscy8ucmVsc1BLAQItABQABgAIAAAAIQDVorCDLwIAAFUEAAAOAAAAAAAAAAAAAAAAAC4C&#10;AABkcnMvZTJvRG9jLnhtbFBLAQItABQABgAIAAAAIQCZH+h04AAAAAoBAAAPAAAAAAAAAAAAAAAA&#10;AIkEAABkcnMvZG93bnJldi54bWxQSwUGAAAAAAQABADzAAAAlgUAAAAA&#10;">
                      <v:stroke joinstyle="miter"/>
                      <v:textbox>
                        <w:txbxContent>
                          <w:p w14:paraId="0F5801CE" w14:textId="48A67B70" w:rsidR="00190A63" w:rsidRPr="00DB40B1" w:rsidRDefault="00190A63" w:rsidP="0038397E">
                            <w:pPr>
                              <w:pStyle w:val="TableText"/>
                              <w:spacing w:before="0"/>
                            </w:pPr>
                            <w:r w:rsidRPr="00DB40B1">
                              <w:t>Risk</w:t>
                            </w:r>
                            <w:r>
                              <w:t xml:space="preserve"> </w:t>
                            </w:r>
                            <w:r w:rsidRPr="00DB40B1">
                              <w:t>assessment tool to be used for property</w:t>
                            </w:r>
                            <w:r>
                              <w:t>-</w:t>
                            </w:r>
                            <w:r w:rsidRPr="00DB40B1">
                              <w:t>scale regulatory decisions and compliance</w:t>
                            </w:r>
                          </w:p>
                        </w:txbxContent>
                      </v:textbox>
                    </v:roundrect>
                  </w:pict>
                </mc:Fallback>
              </mc:AlternateContent>
            </w:r>
          </w:p>
        </w:tc>
        <w:tc>
          <w:tcPr>
            <w:tcW w:w="510" w:type="pct"/>
            <w:tcBorders>
              <w:left w:val="nil"/>
              <w:bottom w:val="single" w:sz="4" w:space="0" w:color="auto"/>
            </w:tcBorders>
            <w:shd w:val="clear" w:color="auto" w:fill="EEECE1" w:themeFill="background2"/>
          </w:tcPr>
          <w:p w14:paraId="1939E667" w14:textId="77777777" w:rsidR="00157800" w:rsidRPr="00B510A6" w:rsidRDefault="00157800" w:rsidP="00157800">
            <w:pPr>
              <w:spacing w:before="0" w:after="0" w:line="240" w:lineRule="auto"/>
              <w:rPr>
                <w:rFonts w:cs="Calibri"/>
                <w:sz w:val="18"/>
                <w:szCs w:val="18"/>
              </w:rPr>
            </w:pPr>
          </w:p>
        </w:tc>
      </w:tr>
      <w:bookmarkEnd w:id="89"/>
    </w:tbl>
    <w:p w14:paraId="4AFE989C" w14:textId="77777777" w:rsidR="00A744DA" w:rsidRPr="00B510A6" w:rsidRDefault="00A744DA" w:rsidP="00FC5661">
      <w:pPr>
        <w:pStyle w:val="BodyText"/>
        <w:sectPr w:rsidR="00A744DA" w:rsidRPr="00B510A6" w:rsidSect="00C519E5">
          <w:pgSz w:w="16840" w:h="11907" w:orient="landscape" w:code="9"/>
          <w:pgMar w:top="1701" w:right="1134" w:bottom="1701" w:left="1134" w:header="567" w:footer="567" w:gutter="0"/>
          <w:cols w:space="720"/>
          <w:docGrid w:linePitch="299"/>
        </w:sectPr>
      </w:pPr>
    </w:p>
    <w:p w14:paraId="2431797B" w14:textId="77777777" w:rsidR="00546618" w:rsidRPr="00B510A6" w:rsidRDefault="00546618" w:rsidP="00546618">
      <w:pPr>
        <w:pStyle w:val="Heading1"/>
      </w:pPr>
      <w:bookmarkStart w:id="90" w:name="_Toc71027242"/>
      <w:bookmarkStart w:id="91" w:name="_Toc77078062"/>
      <w:bookmarkStart w:id="92" w:name="_Toc77171900"/>
      <w:bookmarkStart w:id="93" w:name="_Toc77326666"/>
      <w:bookmarkStart w:id="94" w:name="_Toc79488714"/>
      <w:r w:rsidRPr="00B510A6">
        <w:lastRenderedPageBreak/>
        <w:t>Appendices</w:t>
      </w:r>
      <w:bookmarkEnd w:id="90"/>
      <w:bookmarkEnd w:id="91"/>
      <w:bookmarkEnd w:id="92"/>
      <w:bookmarkEnd w:id="93"/>
      <w:bookmarkEnd w:id="94"/>
    </w:p>
    <w:p w14:paraId="190E313D" w14:textId="77777777" w:rsidR="00546618" w:rsidRPr="00B510A6" w:rsidRDefault="00546618" w:rsidP="00797AC1">
      <w:pPr>
        <w:pStyle w:val="Heading2"/>
        <w:spacing w:before="120"/>
        <w:ind w:left="567" w:hanging="567"/>
      </w:pPr>
      <w:bookmarkStart w:id="95" w:name="_Appendix_A:_Science"/>
      <w:bookmarkStart w:id="96" w:name="_Toc77078063"/>
      <w:bookmarkStart w:id="97" w:name="_Toc77171901"/>
      <w:bookmarkStart w:id="98" w:name="_Toc77326667"/>
      <w:bookmarkStart w:id="99" w:name="_Toc79488715"/>
      <w:bookmarkEnd w:id="95"/>
      <w:r w:rsidRPr="00B510A6">
        <w:t>Appendix A: Science Advisory Panel</w:t>
      </w:r>
      <w:bookmarkEnd w:id="96"/>
      <w:bookmarkEnd w:id="97"/>
      <w:bookmarkEnd w:id="98"/>
      <w:bookmarkEnd w:id="99"/>
    </w:p>
    <w:p w14:paraId="5083A48F" w14:textId="77777777" w:rsidR="00546618" w:rsidRPr="00B510A6" w:rsidRDefault="00546618" w:rsidP="007A51B1">
      <w:pPr>
        <w:pStyle w:val="BodyText"/>
        <w:spacing w:before="240" w:after="0"/>
        <w:rPr>
          <w:b/>
          <w:bCs/>
        </w:rPr>
      </w:pPr>
      <w:r w:rsidRPr="00B510A6">
        <w:rPr>
          <w:b/>
          <w:bCs/>
        </w:rPr>
        <w:t xml:space="preserve">Dr Ian Johnson </w:t>
      </w:r>
    </w:p>
    <w:p w14:paraId="654CF304" w14:textId="2E6CFA10" w:rsidR="00546618" w:rsidRPr="00B510A6" w:rsidRDefault="00546618" w:rsidP="007A51B1">
      <w:pPr>
        <w:pStyle w:val="BodyText"/>
        <w:spacing w:before="0"/>
      </w:pPr>
      <w:r w:rsidRPr="00B510A6">
        <w:t xml:space="preserve">Dr Johnson is a mathematician with experience in developing and writing biophysical computer simulation models incorporating environmental physics, plant, crop and pasture growth, soil hydrology, soil organic matter and nutrient dynamics, and animal growth and metabolism. Early in his career he was with the Biomathematics Department at the Grassland Research Institute in the United Kingdom and then the Department of Agronomy and Soil Science at the University of New England in Armidale, New South Wales. More recently, as </w:t>
      </w:r>
      <w:r w:rsidR="000B0ED8">
        <w:t>D</w:t>
      </w:r>
      <w:r w:rsidRPr="00B510A6">
        <w:t xml:space="preserve">irector of IMJ Consultants, he has developed models in collaboration with universities and industry bodies in Australia and Aotearoa New Zealand. He is widely published in the scientific literature, including as co-author of the textbook </w:t>
      </w:r>
      <w:r w:rsidRPr="00B510A6">
        <w:rPr>
          <w:i/>
        </w:rPr>
        <w:t>Plant and Crop Modelling</w:t>
      </w:r>
      <w:r w:rsidRPr="00B510A6">
        <w:t xml:space="preserve"> (Thornley and Johnson, 1990, 2000). </w:t>
      </w:r>
    </w:p>
    <w:p w14:paraId="5413BDF6" w14:textId="77777777" w:rsidR="00546618" w:rsidRPr="00B510A6" w:rsidRDefault="00546618" w:rsidP="00546618">
      <w:pPr>
        <w:pStyle w:val="BodyText"/>
        <w:spacing w:after="0"/>
        <w:rPr>
          <w:b/>
          <w:bCs/>
        </w:rPr>
      </w:pPr>
      <w:r w:rsidRPr="00B510A6">
        <w:rPr>
          <w:b/>
          <w:bCs/>
        </w:rPr>
        <w:t xml:space="preserve">Mr Dave Clark </w:t>
      </w:r>
    </w:p>
    <w:p w14:paraId="146B7A95" w14:textId="77777777" w:rsidR="00546618" w:rsidRPr="00B510A6" w:rsidRDefault="00546618" w:rsidP="00546618">
      <w:pPr>
        <w:pStyle w:val="BodyText"/>
        <w:spacing w:before="0"/>
      </w:pPr>
      <w:r w:rsidRPr="00B510A6">
        <w:t>Mr Clark is a dairy industry and research consultant. Between 1991 and 2013, he was Principal Scientist at the Dairying Research Corporation/</w:t>
      </w:r>
      <w:proofErr w:type="spellStart"/>
      <w:r w:rsidRPr="00B510A6">
        <w:t>Dexcel</w:t>
      </w:r>
      <w:proofErr w:type="spellEnd"/>
      <w:r w:rsidRPr="00B510A6">
        <w:t>/</w:t>
      </w:r>
      <w:proofErr w:type="spellStart"/>
      <w:r w:rsidRPr="00B510A6">
        <w:t>DairyNZ</w:t>
      </w:r>
      <w:proofErr w:type="spellEnd"/>
      <w:r w:rsidRPr="00B510A6">
        <w:t xml:space="preserve">. His research during that time looked at the intersection of farm economics and environmental impact and was supported by a philosophy that environmental protection and profitable dairy farming are not mutually exclusive. In 2009 he was awarded the New Zealand Grassland Trust – Ray Brougham Trophy for services to Aotearoa New Zealand farming systems. He carried out mainly hill country research when he worked at Grassland Division, Department of Scientific and Industrial Research in the early stage of his career. </w:t>
      </w:r>
    </w:p>
    <w:p w14:paraId="7A4A7566" w14:textId="77777777" w:rsidR="00546618" w:rsidRPr="00B510A6" w:rsidRDefault="00546618" w:rsidP="00546618">
      <w:pPr>
        <w:pStyle w:val="BodyText"/>
        <w:spacing w:after="0"/>
        <w:rPr>
          <w:b/>
          <w:bCs/>
        </w:rPr>
      </w:pPr>
      <w:r w:rsidRPr="00B510A6">
        <w:rPr>
          <w:b/>
          <w:bCs/>
        </w:rPr>
        <w:t xml:space="preserve">Dr Brent Clothier </w:t>
      </w:r>
    </w:p>
    <w:p w14:paraId="1586D101" w14:textId="77777777" w:rsidR="00546618" w:rsidRPr="00B510A6" w:rsidRDefault="00546618" w:rsidP="007A51B1">
      <w:pPr>
        <w:pStyle w:val="BodyText"/>
        <w:spacing w:before="0"/>
        <w:rPr>
          <w:color w:val="000000"/>
        </w:rPr>
      </w:pPr>
      <w:r w:rsidRPr="00B510A6">
        <w:rPr>
          <w:color w:val="000000"/>
        </w:rPr>
        <w:t xml:space="preserve">Principal Scientist with Plant &amp; Food Research, Dr Clothier has extensive experience in soil science, especially with the measurement and modelling of water and solute movement in soil. He has published more than 300 peer-reviewed publications. He was elected a Fellow of the Royal Society Te Apārangi in 1994 and was the President of the New Zealand Society of Soil Science from 2008 to 2010. He is an Academician (Foreign) of the Chinese Academy of Engineering (Agriculture Division). </w:t>
      </w:r>
    </w:p>
    <w:p w14:paraId="700CCC15" w14:textId="77777777" w:rsidR="00546618" w:rsidRPr="00B510A6" w:rsidRDefault="00546618" w:rsidP="00546618">
      <w:pPr>
        <w:pStyle w:val="BodyText"/>
        <w:spacing w:after="0"/>
        <w:rPr>
          <w:b/>
          <w:bCs/>
        </w:rPr>
      </w:pPr>
      <w:r w:rsidRPr="00B510A6">
        <w:rPr>
          <w:b/>
          <w:bCs/>
        </w:rPr>
        <w:t xml:space="preserve">Dr Donna Giltrap </w:t>
      </w:r>
    </w:p>
    <w:p w14:paraId="35FE2EBA" w14:textId="327CCE7F" w:rsidR="00546618" w:rsidRPr="00B510A6" w:rsidRDefault="00546618" w:rsidP="007A51B1">
      <w:pPr>
        <w:pStyle w:val="BodyText"/>
        <w:spacing w:before="0"/>
        <w:rPr>
          <w:color w:val="000000"/>
        </w:rPr>
      </w:pPr>
      <w:r w:rsidRPr="00B510A6">
        <w:rPr>
          <w:color w:val="000000"/>
        </w:rPr>
        <w:t xml:space="preserve">Research Priority Area Leader for Agricultural Greenhouse Gases Emissions and Mitigation at Manaaki Whenua – Landcare Research, Dr Giltrap is a modeller with a background in physics and mathematics. Her </w:t>
      </w:r>
      <w:r w:rsidR="000B0ED8">
        <w:rPr>
          <w:color w:val="000000"/>
        </w:rPr>
        <w:t>doct</w:t>
      </w:r>
      <w:r w:rsidR="00552EAF">
        <w:rPr>
          <w:color w:val="000000"/>
        </w:rPr>
        <w:t>orate</w:t>
      </w:r>
      <w:r w:rsidR="000B0ED8" w:rsidRPr="00B510A6">
        <w:rPr>
          <w:color w:val="000000"/>
        </w:rPr>
        <w:t xml:space="preserve"> </w:t>
      </w:r>
      <w:r w:rsidRPr="00B510A6">
        <w:rPr>
          <w:color w:val="000000"/>
        </w:rPr>
        <w:t xml:space="preserve">is in </w:t>
      </w:r>
      <w:proofErr w:type="gramStart"/>
      <w:r w:rsidRPr="00B510A6">
        <w:rPr>
          <w:color w:val="000000"/>
        </w:rPr>
        <w:t>physics</w:t>
      </w:r>
      <w:proofErr w:type="gramEnd"/>
      <w:r w:rsidRPr="00B510A6">
        <w:rPr>
          <w:color w:val="000000"/>
        </w:rPr>
        <w:t xml:space="preserve"> and she also holds a </w:t>
      </w:r>
      <w:r w:rsidR="00552EAF">
        <w:rPr>
          <w:color w:val="000000"/>
        </w:rPr>
        <w:t>g</w:t>
      </w:r>
      <w:r w:rsidRPr="00B510A6">
        <w:rPr>
          <w:color w:val="000000"/>
        </w:rPr>
        <w:t xml:space="preserve">raduate </w:t>
      </w:r>
      <w:r w:rsidR="00552EAF">
        <w:rPr>
          <w:color w:val="000000"/>
        </w:rPr>
        <w:t>d</w:t>
      </w:r>
      <w:r w:rsidRPr="00B510A6">
        <w:rPr>
          <w:color w:val="000000"/>
        </w:rPr>
        <w:t xml:space="preserve">iploma in </w:t>
      </w:r>
      <w:r w:rsidR="00552EAF">
        <w:rPr>
          <w:color w:val="000000"/>
        </w:rPr>
        <w:t>a</w:t>
      </w:r>
      <w:r w:rsidRPr="00B510A6">
        <w:rPr>
          <w:color w:val="000000"/>
        </w:rPr>
        <w:t xml:space="preserve">pplied </w:t>
      </w:r>
      <w:r w:rsidR="00552EAF">
        <w:rPr>
          <w:color w:val="000000"/>
        </w:rPr>
        <w:t>s</w:t>
      </w:r>
      <w:r w:rsidRPr="00B510A6">
        <w:rPr>
          <w:color w:val="000000"/>
        </w:rPr>
        <w:t>tatistics. She was part of the team that reviewed the nitrous oxide component of Overseer in</w:t>
      </w:r>
      <w:r w:rsidR="00797AC1" w:rsidRPr="00B510A6">
        <w:rPr>
          <w:color w:val="000000"/>
        </w:rPr>
        <w:t> </w:t>
      </w:r>
      <w:r w:rsidRPr="00B510A6">
        <w:rPr>
          <w:color w:val="000000"/>
        </w:rPr>
        <w:t xml:space="preserve">2018. She is a member of the New Zealand Soil Science Society. </w:t>
      </w:r>
    </w:p>
    <w:p w14:paraId="73535B07" w14:textId="77777777" w:rsidR="00546618" w:rsidRPr="00B510A6" w:rsidRDefault="00546618" w:rsidP="00546618">
      <w:pPr>
        <w:pStyle w:val="BodyText"/>
        <w:spacing w:after="0"/>
        <w:rPr>
          <w:b/>
          <w:bCs/>
        </w:rPr>
      </w:pPr>
      <w:r w:rsidRPr="00B510A6">
        <w:rPr>
          <w:b/>
          <w:bCs/>
        </w:rPr>
        <w:t xml:space="preserve">Dr Clint Rissmann </w:t>
      </w:r>
    </w:p>
    <w:p w14:paraId="5FD803FE" w14:textId="25C1F149" w:rsidR="00546618" w:rsidRPr="00B510A6" w:rsidRDefault="00546618" w:rsidP="007A51B1">
      <w:pPr>
        <w:pStyle w:val="BodyText"/>
        <w:spacing w:before="0"/>
        <w:rPr>
          <w:color w:val="000000"/>
        </w:rPr>
      </w:pPr>
      <w:r w:rsidRPr="00B510A6">
        <w:rPr>
          <w:color w:val="000000"/>
        </w:rPr>
        <w:t xml:space="preserve">Dr Rissmann is the Founder and Director of Land &amp; Water Science Ltd. He is also a Senior Adjunct Fellow in the Waterways Centre for Freshwater Management – a partnership between the University of Canterbury and Lincoln University. He has more than 10 years’ experience in earth systems science, specialising in water quality, biogeochemistry, greenhouse gases and systems thinking. He has co-authored </w:t>
      </w:r>
      <w:r w:rsidR="00707E59">
        <w:rPr>
          <w:color w:val="000000"/>
        </w:rPr>
        <w:t>several</w:t>
      </w:r>
      <w:r w:rsidRPr="00B510A6">
        <w:rPr>
          <w:color w:val="000000"/>
        </w:rPr>
        <w:t xml:space="preserve"> peer-reviewed publications researching soil and water quality in Aotearoa New Zealand. He is a leading proponent of the physiographic approach, which involves understanding water quality outcomes based on an integrated understanding of landscape properties. </w:t>
      </w:r>
    </w:p>
    <w:p w14:paraId="7D1E0934" w14:textId="77777777" w:rsidR="00546618" w:rsidRPr="00B510A6" w:rsidRDefault="00546618" w:rsidP="00546618">
      <w:pPr>
        <w:pStyle w:val="BodyText"/>
        <w:spacing w:after="0"/>
        <w:rPr>
          <w:b/>
          <w:bCs/>
        </w:rPr>
      </w:pPr>
      <w:r w:rsidRPr="00B510A6">
        <w:rPr>
          <w:b/>
          <w:bCs/>
        </w:rPr>
        <w:lastRenderedPageBreak/>
        <w:t xml:space="preserve">Dr Nick Roskruge </w:t>
      </w:r>
    </w:p>
    <w:p w14:paraId="0453F93E" w14:textId="117F705A" w:rsidR="00546618" w:rsidRPr="00B510A6" w:rsidRDefault="00546618" w:rsidP="007A51B1">
      <w:pPr>
        <w:pStyle w:val="BodyText"/>
        <w:spacing w:before="0"/>
        <w:rPr>
          <w:color w:val="000000"/>
        </w:rPr>
      </w:pPr>
      <w:r w:rsidRPr="00B510A6">
        <w:rPr>
          <w:color w:val="000000"/>
        </w:rPr>
        <w:t xml:space="preserve">Dr </w:t>
      </w:r>
      <w:proofErr w:type="spellStart"/>
      <w:r w:rsidRPr="00B510A6">
        <w:rPr>
          <w:color w:val="000000"/>
        </w:rPr>
        <w:t>Roskruge</w:t>
      </w:r>
      <w:proofErr w:type="spellEnd"/>
      <w:r w:rsidRPr="00B510A6">
        <w:rPr>
          <w:color w:val="000000"/>
        </w:rPr>
        <w:t xml:space="preserve"> is of </w:t>
      </w:r>
      <w:proofErr w:type="spellStart"/>
      <w:r w:rsidRPr="00B510A6">
        <w:rPr>
          <w:color w:val="000000"/>
        </w:rPr>
        <w:t>Atiawa</w:t>
      </w:r>
      <w:proofErr w:type="spellEnd"/>
      <w:r w:rsidRPr="00B510A6">
        <w:rPr>
          <w:color w:val="000000"/>
        </w:rPr>
        <w:t xml:space="preserve"> ki Taranaki and </w:t>
      </w:r>
      <w:proofErr w:type="spellStart"/>
      <w:r w:rsidRPr="00B510A6">
        <w:rPr>
          <w:color w:val="000000"/>
        </w:rPr>
        <w:t>Ngāti</w:t>
      </w:r>
      <w:proofErr w:type="spellEnd"/>
      <w:r w:rsidRPr="00B510A6">
        <w:rPr>
          <w:color w:val="000000"/>
        </w:rPr>
        <w:t xml:space="preserve"> </w:t>
      </w:r>
      <w:proofErr w:type="spellStart"/>
      <w:r w:rsidRPr="00B510A6">
        <w:rPr>
          <w:color w:val="000000"/>
        </w:rPr>
        <w:t>Tama</w:t>
      </w:r>
      <w:proofErr w:type="spellEnd"/>
      <w:r w:rsidRPr="00B510A6">
        <w:rPr>
          <w:color w:val="000000"/>
        </w:rPr>
        <w:t xml:space="preserve">-ariki descent. He is Professor in Ethnobotany at Massey University and, since 2003, has been Chairperson of </w:t>
      </w:r>
      <w:proofErr w:type="spellStart"/>
      <w:r w:rsidRPr="00B510A6">
        <w:rPr>
          <w:color w:val="000000"/>
        </w:rPr>
        <w:t>Tāhuri</w:t>
      </w:r>
      <w:proofErr w:type="spellEnd"/>
      <w:r w:rsidRPr="00B510A6">
        <w:rPr>
          <w:color w:val="000000"/>
        </w:rPr>
        <w:t xml:space="preserve"> Whenua, which represents Māori interests in the horticulture sector. He is a member of the Māori Advisory Board for Resilience to Nature’s Challenges – a National Science Challenge – and is</w:t>
      </w:r>
      <w:r w:rsidR="00AA2EBD">
        <w:rPr>
          <w:color w:val="000000"/>
        </w:rPr>
        <w:t> </w:t>
      </w:r>
      <w:r w:rsidRPr="00B510A6">
        <w:rPr>
          <w:color w:val="000000"/>
        </w:rPr>
        <w:t xml:space="preserve">also a member of the </w:t>
      </w:r>
      <w:r w:rsidR="00F77BAC" w:rsidRPr="00F77BAC">
        <w:rPr>
          <w:color w:val="000000"/>
        </w:rPr>
        <w:t>Hazardous Substances and New Organisms</w:t>
      </w:r>
      <w:r w:rsidRPr="00B510A6">
        <w:rPr>
          <w:color w:val="000000"/>
        </w:rPr>
        <w:t xml:space="preserve"> Committee of the Environmental Protection Authority (EPA). Previously he was Chair of </w:t>
      </w:r>
      <w:proofErr w:type="spellStart"/>
      <w:r w:rsidRPr="00B510A6">
        <w:rPr>
          <w:color w:val="000000"/>
        </w:rPr>
        <w:t>Ngā</w:t>
      </w:r>
      <w:proofErr w:type="spellEnd"/>
      <w:r w:rsidRPr="00B510A6">
        <w:rPr>
          <w:color w:val="000000"/>
        </w:rPr>
        <w:t xml:space="preserve"> </w:t>
      </w:r>
      <w:proofErr w:type="spellStart"/>
      <w:r w:rsidRPr="00B510A6">
        <w:rPr>
          <w:color w:val="000000"/>
        </w:rPr>
        <w:t>Kaihautū</w:t>
      </w:r>
      <w:proofErr w:type="spellEnd"/>
      <w:r w:rsidRPr="00B510A6">
        <w:rPr>
          <w:color w:val="000000"/>
        </w:rPr>
        <w:t xml:space="preserve"> Tikanga </w:t>
      </w:r>
      <w:proofErr w:type="spellStart"/>
      <w:r w:rsidRPr="00B510A6">
        <w:rPr>
          <w:color w:val="000000"/>
        </w:rPr>
        <w:t>Taiao</w:t>
      </w:r>
      <w:proofErr w:type="spellEnd"/>
      <w:r w:rsidRPr="00B510A6">
        <w:rPr>
          <w:color w:val="000000"/>
        </w:rPr>
        <w:t xml:space="preserve">, the EPA’s Māori advisory committee. He holds a </w:t>
      </w:r>
      <w:r w:rsidR="00774A81">
        <w:rPr>
          <w:color w:val="000000"/>
        </w:rPr>
        <w:t>doctorate</w:t>
      </w:r>
      <w:r w:rsidR="00774A81" w:rsidRPr="00B510A6">
        <w:rPr>
          <w:color w:val="000000"/>
        </w:rPr>
        <w:t xml:space="preserve"> </w:t>
      </w:r>
      <w:r w:rsidRPr="00B510A6">
        <w:rPr>
          <w:color w:val="000000"/>
        </w:rPr>
        <w:t>in soil science with his doctoral thesis looking at Māori land development through traditional knowledge, and the soil</w:t>
      </w:r>
      <w:r w:rsidR="00AA2EBD">
        <w:rPr>
          <w:color w:val="000000"/>
        </w:rPr>
        <w:t> </w:t>
      </w:r>
      <w:r w:rsidRPr="00B510A6">
        <w:rPr>
          <w:color w:val="000000"/>
        </w:rPr>
        <w:t>and horticultural sciences. He has spent time in Peru and Chile, where he worked on crop</w:t>
      </w:r>
      <w:r w:rsidR="00AA2EBD">
        <w:rPr>
          <w:color w:val="000000"/>
        </w:rPr>
        <w:t> </w:t>
      </w:r>
      <w:r w:rsidRPr="00B510A6">
        <w:rPr>
          <w:color w:val="000000"/>
        </w:rPr>
        <w:t xml:space="preserve">genetics and indigenous systems projects. He received a </w:t>
      </w:r>
      <w:proofErr w:type="spellStart"/>
      <w:r w:rsidRPr="00B510A6">
        <w:rPr>
          <w:color w:val="000000"/>
        </w:rPr>
        <w:t>Fullbright</w:t>
      </w:r>
      <w:proofErr w:type="spellEnd"/>
      <w:r w:rsidRPr="00B510A6">
        <w:rPr>
          <w:color w:val="000000"/>
        </w:rPr>
        <w:t xml:space="preserve"> Scholarship in 2013, undertaken at Cornell University (USA).</w:t>
      </w:r>
    </w:p>
    <w:p w14:paraId="248D81FD" w14:textId="77777777" w:rsidR="00546618" w:rsidRPr="00B510A6" w:rsidRDefault="00546618" w:rsidP="00546618">
      <w:pPr>
        <w:pStyle w:val="BodyText"/>
        <w:spacing w:after="0"/>
        <w:rPr>
          <w:b/>
          <w:bCs/>
        </w:rPr>
      </w:pPr>
      <w:r w:rsidRPr="00B510A6">
        <w:rPr>
          <w:b/>
          <w:bCs/>
        </w:rPr>
        <w:t xml:space="preserve">Dr Peter Thorburn </w:t>
      </w:r>
    </w:p>
    <w:p w14:paraId="63C07ECE" w14:textId="6105D801" w:rsidR="00546618" w:rsidRPr="00B510A6" w:rsidRDefault="00546618" w:rsidP="007A51B1">
      <w:pPr>
        <w:pStyle w:val="BodyText"/>
        <w:spacing w:before="0"/>
        <w:rPr>
          <w:color w:val="000000"/>
        </w:rPr>
      </w:pPr>
      <w:r w:rsidRPr="00B510A6">
        <w:rPr>
          <w:color w:val="000000"/>
        </w:rPr>
        <w:t>Dr Thorburn is a Chief Research Scientist and Research Group Leader in the Commonwealth Science and Industrial Research Organisation (CSIRO) in Queensland</w:t>
      </w:r>
      <w:r w:rsidR="00935BEF">
        <w:rPr>
          <w:color w:val="000000"/>
        </w:rPr>
        <w:t>, Australia</w:t>
      </w:r>
      <w:r w:rsidRPr="00B510A6">
        <w:rPr>
          <w:color w:val="000000"/>
        </w:rPr>
        <w:t xml:space="preserve">. He is responsible for agricultural systems research and is internationally recognised for his expertise in crop systems modelling. He represents CSIRO on the Agricultural Production Systems </w:t>
      </w:r>
      <w:proofErr w:type="spellStart"/>
      <w:r w:rsidR="00FB5921">
        <w:rPr>
          <w:color w:val="000000"/>
        </w:rPr>
        <w:t>sIM</w:t>
      </w:r>
      <w:r w:rsidRPr="00B510A6">
        <w:rPr>
          <w:color w:val="000000"/>
        </w:rPr>
        <w:t>ulator</w:t>
      </w:r>
      <w:proofErr w:type="spellEnd"/>
      <w:r w:rsidRPr="00B510A6">
        <w:rPr>
          <w:color w:val="000000"/>
        </w:rPr>
        <w:t xml:space="preserve"> (APSIM) initiative, which owns the APSIM advanced farming systems model, and is co-lead for crop modelling in the international </w:t>
      </w:r>
      <w:proofErr w:type="spellStart"/>
      <w:r w:rsidRPr="00B510A6">
        <w:rPr>
          <w:color w:val="000000"/>
        </w:rPr>
        <w:t>AgMIP</w:t>
      </w:r>
      <w:proofErr w:type="spellEnd"/>
      <w:r w:rsidRPr="00B510A6">
        <w:rPr>
          <w:color w:val="000000"/>
        </w:rPr>
        <w:t xml:space="preserve"> program. He has extensive experience in</w:t>
      </w:r>
      <w:r w:rsidR="00413478">
        <w:rPr>
          <w:color w:val="000000"/>
        </w:rPr>
        <w:t> </w:t>
      </w:r>
      <w:r w:rsidRPr="00B510A6">
        <w:rPr>
          <w:color w:val="000000"/>
        </w:rPr>
        <w:t xml:space="preserve">scientific advisory groups, including as a member of groups on managing water quality in Great Barrier Reef catchments and reviewing or advising on Overseer in 2012 and between 2014 and 2017. </w:t>
      </w:r>
    </w:p>
    <w:p w14:paraId="6ACD9201" w14:textId="77777777" w:rsidR="00546618" w:rsidRPr="00B510A6" w:rsidRDefault="00546618" w:rsidP="00546618">
      <w:pPr>
        <w:pStyle w:val="BodyText"/>
        <w:spacing w:after="0"/>
        <w:rPr>
          <w:b/>
          <w:bCs/>
        </w:rPr>
      </w:pPr>
      <w:r w:rsidRPr="00B510A6">
        <w:rPr>
          <w:b/>
          <w:bCs/>
        </w:rPr>
        <w:t xml:space="preserve">Dr Robin White </w:t>
      </w:r>
    </w:p>
    <w:p w14:paraId="6B672327" w14:textId="77777777" w:rsidR="00546618" w:rsidRPr="00B510A6" w:rsidRDefault="00546618" w:rsidP="007A51B1">
      <w:pPr>
        <w:pStyle w:val="BodyText"/>
        <w:spacing w:before="0"/>
        <w:rPr>
          <w:color w:val="000000"/>
        </w:rPr>
      </w:pPr>
      <w:r w:rsidRPr="00B510A6">
        <w:rPr>
          <w:color w:val="000000"/>
        </w:rPr>
        <w:t>Dr White is Associate Professor of Integrated Beef Systems Management at Virginia Tech in the</w:t>
      </w:r>
      <w:r w:rsidR="00AA2EBD">
        <w:rPr>
          <w:color w:val="000000"/>
        </w:rPr>
        <w:t> </w:t>
      </w:r>
      <w:r w:rsidRPr="00B510A6">
        <w:rPr>
          <w:color w:val="000000"/>
        </w:rPr>
        <w:t>United States</w:t>
      </w:r>
      <w:r w:rsidR="00A3148B">
        <w:rPr>
          <w:color w:val="000000"/>
        </w:rPr>
        <w:t xml:space="preserve"> of America</w:t>
      </w:r>
      <w:r w:rsidRPr="00B510A6">
        <w:rPr>
          <w:color w:val="000000"/>
        </w:rPr>
        <w:t xml:space="preserve">. She is a member of the American Dairy Science Association, an editor for the Farm Systems Analysis and Economics and Resources and Environment sections of the </w:t>
      </w:r>
      <w:r w:rsidRPr="00B510A6">
        <w:rPr>
          <w:i/>
          <w:color w:val="000000"/>
        </w:rPr>
        <w:t>Journal of Dairy Science</w:t>
      </w:r>
      <w:r w:rsidRPr="00B510A6">
        <w:rPr>
          <w:color w:val="000000"/>
        </w:rPr>
        <w:t xml:space="preserve">, and an Editorial Board member of the </w:t>
      </w:r>
      <w:r w:rsidRPr="00B510A6">
        <w:rPr>
          <w:i/>
          <w:color w:val="000000"/>
        </w:rPr>
        <w:t>Journal of Animal Science</w:t>
      </w:r>
      <w:r w:rsidRPr="00B510A6">
        <w:rPr>
          <w:color w:val="000000"/>
        </w:rPr>
        <w:t>. Her research focuses on leveraging data analysis and animal nutrition to enhance the sustainability of food production systems. She graduated from Washington State University as a Doctor of Philosophy in Animal Sciences.</w:t>
      </w:r>
    </w:p>
    <w:p w14:paraId="6EBC737F" w14:textId="77777777" w:rsidR="007A51B1" w:rsidRPr="00B510A6" w:rsidRDefault="007A51B1">
      <w:pPr>
        <w:spacing w:before="0" w:after="200" w:line="276" w:lineRule="auto"/>
        <w:jc w:val="left"/>
      </w:pPr>
      <w:r w:rsidRPr="00B510A6">
        <w:br w:type="page"/>
      </w:r>
    </w:p>
    <w:p w14:paraId="4EA7B15E" w14:textId="77777777" w:rsidR="00D73860" w:rsidRPr="00B510A6" w:rsidRDefault="00D73860" w:rsidP="00D73860">
      <w:pPr>
        <w:pStyle w:val="Heading2"/>
      </w:pPr>
      <w:bookmarkStart w:id="100" w:name="_Appendix_B:_Existing"/>
      <w:bookmarkStart w:id="101" w:name="_Toc77078064"/>
      <w:bookmarkStart w:id="102" w:name="_Toc77171902"/>
      <w:bookmarkStart w:id="103" w:name="_Toc77326668"/>
      <w:bookmarkStart w:id="104" w:name="_Toc79488716"/>
      <w:bookmarkEnd w:id="100"/>
      <w:r w:rsidRPr="00B510A6">
        <w:lastRenderedPageBreak/>
        <w:t>Appendix B: Existing use of Overseer</w:t>
      </w:r>
      <w:bookmarkEnd w:id="101"/>
      <w:bookmarkEnd w:id="102"/>
      <w:bookmarkEnd w:id="103"/>
      <w:bookmarkEnd w:id="104"/>
      <w:r w:rsidRPr="00B510A6">
        <w:t xml:space="preserve"> </w:t>
      </w:r>
    </w:p>
    <w:p w14:paraId="124C4216" w14:textId="77777777" w:rsidR="00D73860" w:rsidRPr="00B510A6" w:rsidRDefault="00D73860" w:rsidP="00797AC1">
      <w:pPr>
        <w:pStyle w:val="Heading3"/>
        <w:spacing w:before="240"/>
      </w:pPr>
      <w:bookmarkStart w:id="105" w:name="_Toc71027221"/>
      <w:r w:rsidRPr="00B510A6">
        <w:t>Use of Overseer by regional councils</w:t>
      </w:r>
      <w:bookmarkEnd w:id="105"/>
      <w:r w:rsidRPr="00B510A6">
        <w:t xml:space="preserve"> </w:t>
      </w:r>
    </w:p>
    <w:p w14:paraId="128FFECA" w14:textId="1F7FA85E" w:rsidR="00D73860" w:rsidRPr="00B510A6" w:rsidRDefault="00D73860" w:rsidP="00D73860">
      <w:pPr>
        <w:pStyle w:val="BodyText"/>
      </w:pPr>
      <w:r w:rsidRPr="00B510A6">
        <w:t>Overseer has been used to different degrees and in different contexts by regional councils around the country. Some councils have Overseer embedded (whether explicitly or indirectly) within their planning and consenting framework, while some use the tool as a non-regulatory method to encourage good farm</w:t>
      </w:r>
      <w:r w:rsidR="00035FAB">
        <w:t xml:space="preserve"> </w:t>
      </w:r>
      <w:r w:rsidRPr="00B510A6">
        <w:t>management practices modelled to reduce nitrogen-leaching rates. Other councils sit along a spectrum between those two points and these various uses are outlined below. Overseer is used in some form by more than half of regional councils in Aotearoa New Zealand.</w:t>
      </w:r>
    </w:p>
    <w:p w14:paraId="392E5916" w14:textId="383C77C1" w:rsidR="00D73860" w:rsidRPr="00B510A6" w:rsidRDefault="00D73860" w:rsidP="00D73860">
      <w:pPr>
        <w:pStyle w:val="Heading4"/>
        <w:ind w:left="851" w:hanging="851"/>
      </w:pPr>
      <w:r w:rsidRPr="00B510A6">
        <w:t xml:space="preserve">As a tool to </w:t>
      </w:r>
      <w:r w:rsidR="003435FF">
        <w:t>help</w:t>
      </w:r>
      <w:r w:rsidR="003435FF" w:rsidRPr="00B510A6">
        <w:t xml:space="preserve"> </w:t>
      </w:r>
      <w:r w:rsidRPr="00B510A6">
        <w:t>with catchment modelling</w:t>
      </w:r>
    </w:p>
    <w:p w14:paraId="421C6254" w14:textId="77777777" w:rsidR="00D73860" w:rsidRPr="00B510A6" w:rsidRDefault="00D73860" w:rsidP="00D73860">
      <w:pPr>
        <w:pStyle w:val="BodyText"/>
        <w:rPr>
          <w:i/>
          <w:iCs/>
        </w:rPr>
      </w:pPr>
      <w:r w:rsidRPr="00B510A6">
        <w:t>Overseer has been used to estimate nitrogen and phosphorus loads from various agricultural and horticultural land, including:</w:t>
      </w:r>
    </w:p>
    <w:p w14:paraId="55F51957" w14:textId="77777777" w:rsidR="00D73860" w:rsidRPr="00B510A6" w:rsidRDefault="00D73860" w:rsidP="00D73860">
      <w:pPr>
        <w:pStyle w:val="Bullet"/>
      </w:pPr>
      <w:r w:rsidRPr="00B510A6">
        <w:t>as inputs to catchment accounting models, including to identify of key nutrient-loss source</w:t>
      </w:r>
      <w:r w:rsidR="00166085">
        <w:t> </w:t>
      </w:r>
      <w:r w:rsidRPr="00B510A6">
        <w:t>areas</w:t>
      </w:r>
    </w:p>
    <w:p w14:paraId="36D9FCDE" w14:textId="77777777" w:rsidR="00D73860" w:rsidRPr="00B510A6" w:rsidRDefault="00D73860" w:rsidP="00D73860">
      <w:pPr>
        <w:pStyle w:val="Bullet"/>
      </w:pPr>
      <w:r w:rsidRPr="00B510A6">
        <w:t>as a method of corroborating catchment accounting model outputs</w:t>
      </w:r>
    </w:p>
    <w:p w14:paraId="63C69774" w14:textId="77777777" w:rsidR="00D73860" w:rsidRPr="00B510A6" w:rsidRDefault="00D73860" w:rsidP="00D73860">
      <w:pPr>
        <w:pStyle w:val="Bullet"/>
      </w:pPr>
      <w:r w:rsidRPr="00B510A6">
        <w:t xml:space="preserve">as a means of understanding the on-farm implications of modelled catchment loads, </w:t>
      </w:r>
      <w:proofErr w:type="gramStart"/>
      <w:r w:rsidRPr="00B510A6">
        <w:t>limits</w:t>
      </w:r>
      <w:proofErr w:type="gramEnd"/>
      <w:r w:rsidR="00166085">
        <w:t> </w:t>
      </w:r>
      <w:r w:rsidRPr="00B510A6">
        <w:t>and reduction targets</w:t>
      </w:r>
    </w:p>
    <w:p w14:paraId="54AD2FEE" w14:textId="02CAF558" w:rsidR="00D73860" w:rsidRPr="00B510A6" w:rsidRDefault="00D73860" w:rsidP="00D73860">
      <w:pPr>
        <w:pStyle w:val="Bullet"/>
      </w:pPr>
      <w:r w:rsidRPr="00B510A6">
        <w:t>in conceptual modelling</w:t>
      </w:r>
      <w:r w:rsidR="00B26A46">
        <w:t>,</w:t>
      </w:r>
      <w:r w:rsidRPr="00B510A6">
        <w:t xml:space="preserve"> to develop ‘what-if’ scenarios around land-use change (both</w:t>
      </w:r>
      <w:r w:rsidR="00166085">
        <w:t> </w:t>
      </w:r>
      <w:r w:rsidRPr="00B510A6">
        <w:t>intensification and de-intensification) and ‘bundles’ of options to mitigate environmental effects.</w:t>
      </w:r>
    </w:p>
    <w:p w14:paraId="1314A1CB" w14:textId="1C565367" w:rsidR="00D73860" w:rsidRPr="00B510A6" w:rsidRDefault="00D73860" w:rsidP="00D73860">
      <w:pPr>
        <w:pStyle w:val="Heading4"/>
      </w:pPr>
      <w:r w:rsidRPr="00B510A6">
        <w:rPr>
          <w:rFonts w:eastAsia="Calibri"/>
        </w:rPr>
        <w:t>In plan</w:t>
      </w:r>
      <w:r w:rsidR="00E155FD">
        <w:rPr>
          <w:rFonts w:eastAsia="Calibri"/>
        </w:rPr>
        <w:t xml:space="preserve"> </w:t>
      </w:r>
      <w:r w:rsidRPr="00B510A6">
        <w:rPr>
          <w:rFonts w:eastAsia="Calibri"/>
        </w:rPr>
        <w:t>making and regulation design</w:t>
      </w:r>
    </w:p>
    <w:p w14:paraId="198FA48B" w14:textId="77777777" w:rsidR="00D73860" w:rsidRPr="00B510A6" w:rsidRDefault="00D73860" w:rsidP="00D73860">
      <w:pPr>
        <w:pStyle w:val="BodyText"/>
        <w:rPr>
          <w:rFonts w:eastAsia="Calibri"/>
        </w:rPr>
      </w:pPr>
      <w:r w:rsidRPr="00B510A6">
        <w:rPr>
          <w:rFonts w:eastAsia="Calibri"/>
        </w:rPr>
        <w:t>Overseer-derived nitrogen-leaching rates have been used by councils when developing plans and associated regulations to manage land-use intensification, including:</w:t>
      </w:r>
    </w:p>
    <w:p w14:paraId="36A81A06" w14:textId="77777777" w:rsidR="00D73860" w:rsidRPr="00B510A6" w:rsidRDefault="00D73860" w:rsidP="00D73860">
      <w:pPr>
        <w:pStyle w:val="Bullet"/>
        <w:rPr>
          <w:rFonts w:eastAsia="Calibri"/>
        </w:rPr>
      </w:pPr>
      <w:r w:rsidRPr="00B510A6">
        <w:rPr>
          <w:rFonts w:eastAsia="Calibri"/>
        </w:rPr>
        <w:t>in plans as trigger points for defining resource consent activity status (for example, farms modelled to be leaching more than a specified rate of nitrogen are required to obtain a resource consent rather than being a permitted activity)</w:t>
      </w:r>
    </w:p>
    <w:p w14:paraId="69FB347D" w14:textId="77777777" w:rsidR="00D73860" w:rsidRPr="00B510A6" w:rsidRDefault="00D73860" w:rsidP="00D73860">
      <w:pPr>
        <w:pStyle w:val="Bullet"/>
        <w:rPr>
          <w:rFonts w:eastAsia="Calibri"/>
        </w:rPr>
      </w:pPr>
      <w:r w:rsidRPr="00B510A6">
        <w:rPr>
          <w:rFonts w:eastAsia="Calibri"/>
        </w:rPr>
        <w:t>in plans as trigger points for the application of specific policy approaches upon consenting.</w:t>
      </w:r>
    </w:p>
    <w:p w14:paraId="65199738" w14:textId="36CA67F1" w:rsidR="00D73860" w:rsidRPr="00B510A6" w:rsidRDefault="00D73860" w:rsidP="00D73860">
      <w:pPr>
        <w:pStyle w:val="Heading4"/>
      </w:pPr>
      <w:r w:rsidRPr="00B510A6">
        <w:rPr>
          <w:rFonts w:eastAsia="Calibri"/>
        </w:rPr>
        <w:t>Limit</w:t>
      </w:r>
      <w:r w:rsidR="00D90038">
        <w:rPr>
          <w:rFonts w:eastAsia="Calibri"/>
        </w:rPr>
        <w:t xml:space="preserve"> </w:t>
      </w:r>
      <w:r w:rsidRPr="00B510A6">
        <w:rPr>
          <w:rFonts w:eastAsia="Calibri"/>
        </w:rPr>
        <w:t>setting (either in plans or resource consents)</w:t>
      </w:r>
    </w:p>
    <w:p w14:paraId="21CB2A32" w14:textId="77777777" w:rsidR="00D73860" w:rsidRPr="00B510A6" w:rsidRDefault="00D73860" w:rsidP="00D73860">
      <w:pPr>
        <w:pStyle w:val="BodyText"/>
        <w:rPr>
          <w:rFonts w:eastAsia="Calibri"/>
        </w:rPr>
      </w:pPr>
      <w:r w:rsidRPr="00B510A6">
        <w:rPr>
          <w:rFonts w:eastAsia="Calibri"/>
        </w:rPr>
        <w:t xml:space="preserve">The National Policy Statement for Freshwater Management 2020 (NPS-FM) (and its predecessors) requires regional councils to set values, </w:t>
      </w:r>
      <w:proofErr w:type="gramStart"/>
      <w:r w:rsidRPr="00B510A6">
        <w:rPr>
          <w:rFonts w:eastAsia="Calibri"/>
        </w:rPr>
        <w:t>objectives</w:t>
      </w:r>
      <w:proofErr w:type="gramEnd"/>
      <w:r w:rsidRPr="00B510A6">
        <w:rPr>
          <w:rFonts w:eastAsia="Calibri"/>
        </w:rPr>
        <w:t xml:space="preserve"> and limits for freshwater bodies in their region. Some councils have used Overseer as the means of setting limits and managing freshwater discharges to achieve objectives. This has been through:</w:t>
      </w:r>
    </w:p>
    <w:p w14:paraId="0A1E7465" w14:textId="0E025402" w:rsidR="00D73860" w:rsidRPr="00B510A6" w:rsidRDefault="00D73860" w:rsidP="00D73860">
      <w:pPr>
        <w:pStyle w:val="Bullet"/>
        <w:rPr>
          <w:rFonts w:eastAsia="Calibri"/>
        </w:rPr>
      </w:pPr>
      <w:r w:rsidRPr="00B510A6">
        <w:rPr>
          <w:rFonts w:eastAsia="Calibri"/>
        </w:rPr>
        <w:t>the setting of property-scale nitrogen-leaching limits as absolute rates, for example, a requirement that farms must not discharge more than 30</w:t>
      </w:r>
      <w:r w:rsidR="00EB74F8">
        <w:rPr>
          <w:rFonts w:eastAsia="Calibri"/>
        </w:rPr>
        <w:t xml:space="preserve"> kilograms </w:t>
      </w:r>
      <w:r w:rsidR="00B06BE9">
        <w:rPr>
          <w:rFonts w:eastAsia="Calibri"/>
        </w:rPr>
        <w:t xml:space="preserve">of </w:t>
      </w:r>
      <w:r w:rsidR="00EB74F8">
        <w:rPr>
          <w:rFonts w:eastAsia="Calibri"/>
        </w:rPr>
        <w:t>nitrogen per hectare per year</w:t>
      </w:r>
      <w:r w:rsidR="00B06BE9">
        <w:rPr>
          <w:rFonts w:eastAsia="Calibri"/>
        </w:rPr>
        <w:t>,</w:t>
      </w:r>
      <w:r w:rsidR="00EB74F8">
        <w:rPr>
          <w:rFonts w:eastAsia="Calibri"/>
        </w:rPr>
        <w:t xml:space="preserve"> </w:t>
      </w:r>
      <w:r w:rsidRPr="00B510A6">
        <w:rPr>
          <w:rFonts w:eastAsia="Calibri"/>
        </w:rPr>
        <w:t>as modelled using Overseer</w:t>
      </w:r>
    </w:p>
    <w:p w14:paraId="4D63EAF5" w14:textId="77777777" w:rsidR="00D73860" w:rsidRPr="00B510A6" w:rsidRDefault="00D73860" w:rsidP="00D73860">
      <w:pPr>
        <w:pStyle w:val="Bullet"/>
        <w:rPr>
          <w:rFonts w:eastAsia="Calibri"/>
        </w:rPr>
      </w:pPr>
      <w:r w:rsidRPr="00B510A6">
        <w:rPr>
          <w:rFonts w:eastAsia="Calibri"/>
        </w:rPr>
        <w:t>the setting of property-scale leaching limits as rates relative to a baseline leaching rate, for</w:t>
      </w:r>
      <w:r w:rsidR="00797AC1" w:rsidRPr="00B510A6">
        <w:rPr>
          <w:rFonts w:eastAsia="Calibri"/>
        </w:rPr>
        <w:t> </w:t>
      </w:r>
      <w:r w:rsidRPr="00B510A6">
        <w:rPr>
          <w:rFonts w:eastAsia="Calibri"/>
        </w:rPr>
        <w:t>example, a farm must reduce its leaching rate over a period of five years by 10 per</w:t>
      </w:r>
      <w:r w:rsidR="003E7BFD">
        <w:rPr>
          <w:rFonts w:eastAsia="Calibri"/>
        </w:rPr>
        <w:t> </w:t>
      </w:r>
      <w:r w:rsidRPr="00B510A6">
        <w:rPr>
          <w:rFonts w:eastAsia="Calibri"/>
        </w:rPr>
        <w:t xml:space="preserve">cent from the average annual leaching rate during a specified period </w:t>
      </w:r>
    </w:p>
    <w:p w14:paraId="0D398F8D" w14:textId="77777777" w:rsidR="00D73860" w:rsidRPr="00B510A6" w:rsidRDefault="00D73860" w:rsidP="00D73860">
      <w:pPr>
        <w:pStyle w:val="Bullet"/>
        <w:rPr>
          <w:rFonts w:eastAsia="Calibri"/>
        </w:rPr>
      </w:pPr>
      <w:r w:rsidRPr="00B510A6">
        <w:rPr>
          <w:rFonts w:eastAsia="Calibri"/>
        </w:rPr>
        <w:t xml:space="preserve">as an extension on the above usage, the setting of property-scale leaching limits within a catchment-scale cap-and-trade system. In these instances, a total nitrogen load for a </w:t>
      </w:r>
      <w:r w:rsidRPr="00B510A6">
        <w:rPr>
          <w:rFonts w:eastAsia="Calibri"/>
        </w:rPr>
        <w:lastRenderedPageBreak/>
        <w:t xml:space="preserve">catchment is set, with maximum leaching rates capped for individual properties. The caps can only be exceeded if nitrogen is purchased from another land user whose leaching rate is below the cap. </w:t>
      </w:r>
    </w:p>
    <w:p w14:paraId="7444BFD4" w14:textId="77777777" w:rsidR="00D73860" w:rsidRPr="00B510A6" w:rsidRDefault="00D73860" w:rsidP="00D73860">
      <w:pPr>
        <w:pStyle w:val="Heading4"/>
        <w:ind w:left="851" w:hanging="851"/>
        <w:rPr>
          <w:rFonts w:eastAsia="Calibri"/>
        </w:rPr>
      </w:pPr>
      <w:r w:rsidRPr="00B510A6">
        <w:rPr>
          <w:rFonts w:eastAsia="Calibri"/>
        </w:rPr>
        <w:t xml:space="preserve">Consenting </w:t>
      </w:r>
    </w:p>
    <w:p w14:paraId="0C801D48" w14:textId="77777777" w:rsidR="00D73860" w:rsidRPr="00B510A6" w:rsidRDefault="00D73860" w:rsidP="00D73860">
      <w:pPr>
        <w:pStyle w:val="BodyText"/>
        <w:rPr>
          <w:rFonts w:eastAsia="Calibri"/>
        </w:rPr>
      </w:pPr>
      <w:r w:rsidRPr="00B510A6">
        <w:rPr>
          <w:rFonts w:eastAsia="Calibri"/>
        </w:rPr>
        <w:t>Overseer has been used as a part of the resource consent processes by some councils as well as within plans as:</w:t>
      </w:r>
    </w:p>
    <w:p w14:paraId="29F010F9" w14:textId="77777777" w:rsidR="00D73860" w:rsidRPr="00B510A6" w:rsidRDefault="00D73860" w:rsidP="00D73860">
      <w:pPr>
        <w:pStyle w:val="Bullet"/>
        <w:rPr>
          <w:rFonts w:eastAsia="Calibri"/>
          <w:i/>
          <w:iCs/>
        </w:rPr>
      </w:pPr>
      <w:r w:rsidRPr="00B510A6">
        <w:rPr>
          <w:rFonts w:eastAsia="Calibri"/>
        </w:rPr>
        <w:t>a method approved for determining nitrogen losses</w:t>
      </w:r>
    </w:p>
    <w:p w14:paraId="79C7F4AC" w14:textId="77777777" w:rsidR="00D73860" w:rsidRPr="00B510A6" w:rsidRDefault="00D73860" w:rsidP="00D73860">
      <w:pPr>
        <w:pStyle w:val="Bullet"/>
        <w:rPr>
          <w:rFonts w:eastAsia="Calibri"/>
          <w:i/>
          <w:iCs/>
        </w:rPr>
      </w:pPr>
      <w:r w:rsidRPr="00B510A6">
        <w:rPr>
          <w:rFonts w:eastAsia="Calibri"/>
        </w:rPr>
        <w:t xml:space="preserve">the means of allocating nutrient losses to farms operating under a collective nutrient discharge allowance resource consent </w:t>
      </w:r>
    </w:p>
    <w:p w14:paraId="070270FC" w14:textId="40243662" w:rsidR="00D73860" w:rsidRPr="00B510A6" w:rsidRDefault="00D73860" w:rsidP="00D73860">
      <w:pPr>
        <w:pStyle w:val="Bullet"/>
        <w:rPr>
          <w:rFonts w:eastAsia="Calibri"/>
          <w:i/>
          <w:iCs/>
        </w:rPr>
      </w:pPr>
      <w:r w:rsidRPr="00B510A6">
        <w:rPr>
          <w:rFonts w:eastAsia="Calibri"/>
        </w:rPr>
        <w:t>the means of demonstrating that an activity will not result in an increase in contaminant losses (specifically nitrogen) when seeking to intensify land use, which requires a resource consent under the Resource Management (National Environmental Standards for Freshwater) Regulations 2020.</w:t>
      </w:r>
    </w:p>
    <w:p w14:paraId="03B528D3" w14:textId="77777777" w:rsidR="00D73860" w:rsidRPr="00B510A6" w:rsidRDefault="00D73860" w:rsidP="00D73860">
      <w:pPr>
        <w:pStyle w:val="Heading4"/>
        <w:ind w:left="851" w:hanging="851"/>
        <w:rPr>
          <w:rFonts w:eastAsia="Calibri"/>
        </w:rPr>
      </w:pPr>
      <w:r w:rsidRPr="00B510A6">
        <w:rPr>
          <w:rFonts w:eastAsia="Calibri"/>
        </w:rPr>
        <w:t>Compliance</w:t>
      </w:r>
    </w:p>
    <w:p w14:paraId="57EBDFBF" w14:textId="77777777" w:rsidR="00D73860" w:rsidRPr="00B510A6" w:rsidRDefault="00D73860" w:rsidP="00503754">
      <w:pPr>
        <w:pStyle w:val="BodyText"/>
        <w:rPr>
          <w:rFonts w:eastAsia="Calibri"/>
        </w:rPr>
      </w:pPr>
      <w:r w:rsidRPr="00B510A6">
        <w:rPr>
          <w:rFonts w:eastAsia="Calibri"/>
        </w:rPr>
        <w:t>Overseer has been used in some regions to demonstrate compliance with resource consent conditions or permitted activity standards, such as the distribution of nitrogen loading across multiple users, demonstrating nitrogen reductions, or demonstrating that nitrogen discharges are not increasing beyond an approved baseline discharge limit.</w:t>
      </w:r>
    </w:p>
    <w:p w14:paraId="0EF38BF7" w14:textId="0D184D8D" w:rsidR="00D73860" w:rsidRPr="00B510A6" w:rsidRDefault="00D73860" w:rsidP="00D73860">
      <w:pPr>
        <w:pStyle w:val="Heading4"/>
        <w:ind w:left="851" w:hanging="851"/>
        <w:rPr>
          <w:rFonts w:eastAsia="Calibri"/>
        </w:rPr>
      </w:pPr>
      <w:r w:rsidRPr="00B510A6">
        <w:rPr>
          <w:rFonts w:eastAsia="Calibri"/>
        </w:rPr>
        <w:t xml:space="preserve">Within </w:t>
      </w:r>
      <w:r w:rsidR="00BD0E36">
        <w:rPr>
          <w:rFonts w:eastAsia="Calibri"/>
        </w:rPr>
        <w:t>f</w:t>
      </w:r>
      <w:r w:rsidRPr="00B510A6">
        <w:rPr>
          <w:rFonts w:eastAsia="Calibri"/>
        </w:rPr>
        <w:t xml:space="preserve">arm </w:t>
      </w:r>
      <w:r w:rsidR="00BD0E36">
        <w:rPr>
          <w:rFonts w:eastAsia="Calibri"/>
        </w:rPr>
        <w:t>e</w:t>
      </w:r>
      <w:r w:rsidRPr="00B510A6">
        <w:rPr>
          <w:rFonts w:eastAsia="Calibri"/>
        </w:rPr>
        <w:t xml:space="preserve">nvironment </w:t>
      </w:r>
      <w:r w:rsidR="00BD0E36">
        <w:rPr>
          <w:rFonts w:eastAsia="Calibri"/>
        </w:rPr>
        <w:t>p</w:t>
      </w:r>
      <w:r w:rsidRPr="00B510A6">
        <w:rPr>
          <w:rFonts w:eastAsia="Calibri"/>
        </w:rPr>
        <w:t>lans</w:t>
      </w:r>
    </w:p>
    <w:p w14:paraId="304D3396" w14:textId="26C32A1E" w:rsidR="00D73860" w:rsidRPr="00B510A6" w:rsidRDefault="00D73860" w:rsidP="00503754">
      <w:pPr>
        <w:pStyle w:val="BodyText"/>
        <w:rPr>
          <w:rFonts w:eastAsia="Calibri"/>
        </w:rPr>
      </w:pPr>
      <w:r w:rsidRPr="00B510A6">
        <w:rPr>
          <w:rFonts w:eastAsia="Calibri"/>
        </w:rPr>
        <w:t xml:space="preserve">Farm </w:t>
      </w:r>
      <w:r w:rsidR="00BD0E36">
        <w:rPr>
          <w:rFonts w:eastAsia="Calibri"/>
        </w:rPr>
        <w:t>e</w:t>
      </w:r>
      <w:r w:rsidRPr="00B510A6">
        <w:rPr>
          <w:rFonts w:eastAsia="Calibri"/>
        </w:rPr>
        <w:t xml:space="preserve">nvironment </w:t>
      </w:r>
      <w:r w:rsidR="00BD0E36">
        <w:rPr>
          <w:rFonts w:eastAsia="Calibri"/>
        </w:rPr>
        <w:t>p</w:t>
      </w:r>
      <w:r w:rsidRPr="00B510A6">
        <w:rPr>
          <w:rFonts w:eastAsia="Calibri"/>
        </w:rPr>
        <w:t xml:space="preserve">lans (FEPs) will usually incorporate a range of management areas, such as soil health, nutrient management, riparian management, irrigation, </w:t>
      </w:r>
      <w:proofErr w:type="gramStart"/>
      <w:r w:rsidRPr="00B510A6">
        <w:rPr>
          <w:rFonts w:eastAsia="Calibri"/>
        </w:rPr>
        <w:t>biodiversity</w:t>
      </w:r>
      <w:proofErr w:type="gramEnd"/>
      <w:r w:rsidRPr="00B510A6">
        <w:rPr>
          <w:rFonts w:eastAsia="Calibri"/>
        </w:rPr>
        <w:t xml:space="preserve"> and effluent management. The nutrient management component will generally require the completion of a nutrient budget</w:t>
      </w:r>
      <w:r w:rsidR="00FE2D15">
        <w:rPr>
          <w:rFonts w:eastAsia="Calibri"/>
        </w:rPr>
        <w:t>,</w:t>
      </w:r>
      <w:r w:rsidRPr="00B510A6">
        <w:rPr>
          <w:rFonts w:eastAsia="Calibri"/>
        </w:rPr>
        <w:t xml:space="preserve"> and Overseer is the most common method to derive these and is compulsory under some programmes.</w:t>
      </w:r>
    </w:p>
    <w:p w14:paraId="1CC0C574" w14:textId="77777777" w:rsidR="00D73860" w:rsidRPr="00B510A6" w:rsidRDefault="00D73860" w:rsidP="00503754">
      <w:pPr>
        <w:pStyle w:val="BodyText"/>
        <w:rPr>
          <w:rFonts w:eastAsia="Calibri"/>
        </w:rPr>
      </w:pPr>
      <w:r w:rsidRPr="00B510A6">
        <w:rPr>
          <w:rFonts w:eastAsia="Calibri"/>
        </w:rPr>
        <w:t xml:space="preserve">Freshwater farm plans (or FEPs with a freshwater component) will become mandatory in the future as part of the Essential Freshwater policy package. </w:t>
      </w:r>
    </w:p>
    <w:p w14:paraId="2A63C351" w14:textId="77777777" w:rsidR="00D73860" w:rsidRPr="00B510A6" w:rsidRDefault="00D73860" w:rsidP="00D73860">
      <w:pPr>
        <w:pStyle w:val="Heading4"/>
        <w:ind w:left="851" w:hanging="851"/>
        <w:rPr>
          <w:rFonts w:eastAsia="Calibri"/>
        </w:rPr>
      </w:pPr>
      <w:r w:rsidRPr="00B510A6">
        <w:rPr>
          <w:rFonts w:eastAsia="Calibri"/>
        </w:rPr>
        <w:t>Freshwater accounting</w:t>
      </w:r>
    </w:p>
    <w:p w14:paraId="5048BB8A" w14:textId="77777777" w:rsidR="00D73860" w:rsidRPr="00B510A6" w:rsidRDefault="00D73860" w:rsidP="00503754">
      <w:pPr>
        <w:pStyle w:val="BodyText"/>
      </w:pPr>
      <w:r w:rsidRPr="00B510A6">
        <w:rPr>
          <w:rFonts w:eastAsia="Calibri"/>
        </w:rPr>
        <w:t xml:space="preserve">Overseer has been used by some councils as a method within their freshwater quality accounting systems, </w:t>
      </w:r>
      <w:proofErr w:type="gramStart"/>
      <w:r w:rsidRPr="00B510A6">
        <w:rPr>
          <w:rFonts w:eastAsia="Calibri"/>
        </w:rPr>
        <w:t>similar to</w:t>
      </w:r>
      <w:proofErr w:type="gramEnd"/>
      <w:r w:rsidRPr="00B510A6">
        <w:rPr>
          <w:rFonts w:eastAsia="Calibri"/>
        </w:rPr>
        <w:t xml:space="preserve"> its use in catchment modelling processes. This can include tracking land-use change and intensification levels over time against a baseline state and estimating further effects on nutrient loads and concentrations (such as under altered flow </w:t>
      </w:r>
      <w:r w:rsidRPr="00B510A6">
        <w:t>regimes caused by climate change).</w:t>
      </w:r>
      <w:r w:rsidR="00797AC1" w:rsidRPr="00B510A6">
        <w:t xml:space="preserve"> </w:t>
      </w:r>
    </w:p>
    <w:p w14:paraId="114F710E" w14:textId="77777777" w:rsidR="00D73860" w:rsidRPr="00B510A6" w:rsidRDefault="00D73860" w:rsidP="00166085">
      <w:pPr>
        <w:pStyle w:val="Heading3"/>
        <w:spacing w:before="240"/>
      </w:pPr>
      <w:bookmarkStart w:id="106" w:name="_Toc71027222"/>
      <w:r w:rsidRPr="00B510A6">
        <w:t>Overseer as a non-regulatory decision-support tool</w:t>
      </w:r>
      <w:bookmarkEnd w:id="106"/>
    </w:p>
    <w:p w14:paraId="311B1E04" w14:textId="5AD570C1" w:rsidR="00D73860" w:rsidRPr="00B510A6" w:rsidRDefault="00D73860" w:rsidP="00692A75">
      <w:pPr>
        <w:pStyle w:val="BodyText"/>
        <w:rPr>
          <w:rFonts w:eastAsia="Calibri"/>
        </w:rPr>
      </w:pPr>
      <w:r w:rsidRPr="00B510A6">
        <w:rPr>
          <w:rFonts w:eastAsia="Calibri"/>
        </w:rPr>
        <w:t xml:space="preserve">Overseer is widely used across the primary sector for </w:t>
      </w:r>
      <w:r w:rsidR="00E54DA1">
        <w:rPr>
          <w:rFonts w:eastAsia="Calibri"/>
        </w:rPr>
        <w:t>various</w:t>
      </w:r>
      <w:r w:rsidRPr="00B510A6">
        <w:rPr>
          <w:rFonts w:eastAsia="Calibri"/>
        </w:rPr>
        <w:t xml:space="preserve"> non-regulatory uses</w:t>
      </w:r>
      <w:r w:rsidR="00F93441">
        <w:rPr>
          <w:rFonts w:eastAsia="Calibri"/>
        </w:rPr>
        <w:t xml:space="preserve">. </w:t>
      </w:r>
      <w:r w:rsidRPr="00B510A6">
        <w:rPr>
          <w:rFonts w:eastAsia="Calibri"/>
        </w:rPr>
        <w:t xml:space="preserve">The use of Overseer as an on-farm decision-support system continues to be its fundamental purpose. OverseerFM, the current version of the tool, is used on thousands of farms across Aotearoa New Zealand. This core function has extended beyond the farm gate, and the tool is now used in a variety of settings for a variety of purposes. </w:t>
      </w:r>
    </w:p>
    <w:p w14:paraId="785B5671" w14:textId="77777777" w:rsidR="00D73860" w:rsidRPr="00B510A6" w:rsidRDefault="00D73860" w:rsidP="00692A75">
      <w:pPr>
        <w:pStyle w:val="BodyText"/>
        <w:rPr>
          <w:rFonts w:eastAsia="Calibri"/>
        </w:rPr>
      </w:pPr>
      <w:r w:rsidRPr="00B510A6">
        <w:rPr>
          <w:rFonts w:eastAsia="Calibri"/>
        </w:rPr>
        <w:t>The main uses of Overseer beyond those in the regulatory context are summarised below. This is not an exhaustive list.</w:t>
      </w:r>
    </w:p>
    <w:p w14:paraId="631028D5" w14:textId="71508420" w:rsidR="00692A75" w:rsidRPr="00B510A6" w:rsidRDefault="00692A75" w:rsidP="00692A75">
      <w:pPr>
        <w:pStyle w:val="BodyText"/>
        <w:rPr>
          <w:rFonts w:eastAsia="Calibri" w:cs="Arial"/>
        </w:rPr>
      </w:pPr>
      <w:r w:rsidRPr="00B510A6">
        <w:rPr>
          <w:rFonts w:eastAsia="Calibri" w:cs="Arial"/>
        </w:rPr>
        <w:lastRenderedPageBreak/>
        <w:t>Some of these are related to the use of Overseer in the regulatory context, however</w:t>
      </w:r>
      <w:r w:rsidR="00053BA9">
        <w:rPr>
          <w:rFonts w:eastAsia="Calibri" w:cs="Arial"/>
        </w:rPr>
        <w:t>,</w:t>
      </w:r>
      <w:r w:rsidRPr="00B510A6">
        <w:rPr>
          <w:rFonts w:eastAsia="Calibri" w:cs="Arial"/>
        </w:rPr>
        <w:t xml:space="preserve"> they are not explicitly described above and are therefore set out here.</w:t>
      </w:r>
    </w:p>
    <w:p w14:paraId="7DFB4FE9" w14:textId="77777777" w:rsidR="00692A75" w:rsidRPr="00B510A6" w:rsidRDefault="00692A75" w:rsidP="00692A75">
      <w:pPr>
        <w:pStyle w:val="Heading4"/>
        <w:ind w:left="851" w:hanging="851"/>
        <w:rPr>
          <w:rFonts w:eastAsia="Calibri"/>
        </w:rPr>
      </w:pPr>
      <w:r w:rsidRPr="00B510A6">
        <w:rPr>
          <w:rFonts w:eastAsia="Calibri"/>
        </w:rPr>
        <w:t>Nutrient budgeting</w:t>
      </w:r>
    </w:p>
    <w:p w14:paraId="2D35AA5D" w14:textId="38E9B99C" w:rsidR="00692A75" w:rsidRPr="00B510A6" w:rsidRDefault="00692A75" w:rsidP="00692A75">
      <w:pPr>
        <w:pStyle w:val="BodyText"/>
        <w:rPr>
          <w:rFonts w:eastAsia="Calibri"/>
        </w:rPr>
      </w:pPr>
      <w:r w:rsidRPr="00B510A6">
        <w:rPr>
          <w:rFonts w:eastAsia="Calibri"/>
        </w:rPr>
        <w:t xml:space="preserve">The Overseer nutrient budget is the </w:t>
      </w:r>
      <w:r w:rsidR="00ED5DB5">
        <w:rPr>
          <w:rFonts w:eastAsia="Calibri"/>
        </w:rPr>
        <w:t>main</w:t>
      </w:r>
      <w:r w:rsidR="00ED5DB5" w:rsidRPr="00B510A6">
        <w:rPr>
          <w:rFonts w:eastAsia="Calibri"/>
        </w:rPr>
        <w:t xml:space="preserve"> </w:t>
      </w:r>
      <w:r w:rsidRPr="00B510A6">
        <w:rPr>
          <w:rFonts w:eastAsia="Calibri"/>
        </w:rPr>
        <w:t>output of the tool. It describes how nutrients flow on farm blocks or across the whole farm. A budget is broken down into nutrient added, removed and internal transfers.</w:t>
      </w:r>
    </w:p>
    <w:p w14:paraId="7ED56A0E" w14:textId="5D6F9CBB" w:rsidR="00692A75" w:rsidRPr="00B510A6" w:rsidRDefault="00692A75" w:rsidP="00692A75">
      <w:pPr>
        <w:pStyle w:val="BodyText"/>
        <w:rPr>
          <w:rFonts w:eastAsia="Calibri"/>
          <w:sz w:val="24"/>
          <w:szCs w:val="24"/>
        </w:rPr>
      </w:pPr>
      <w:r w:rsidRPr="00B510A6">
        <w:rPr>
          <w:rFonts w:eastAsia="Calibri"/>
        </w:rPr>
        <w:t>The budget allows a farmer or grower to see where nutrients are being lost to the environment. Regulation has focused on Overseer’s modelling of nitrogen lost through the</w:t>
      </w:r>
      <w:r w:rsidR="00F47DB7">
        <w:rPr>
          <w:rFonts w:eastAsia="Calibri"/>
        </w:rPr>
        <w:t> </w:t>
      </w:r>
      <w:r w:rsidRPr="00B510A6">
        <w:rPr>
          <w:rFonts w:eastAsia="Calibri"/>
        </w:rPr>
        <w:t xml:space="preserve">root zone. Overseer, however, also models </w:t>
      </w:r>
      <w:r w:rsidRPr="00B510A6">
        <w:t xml:space="preserve">phosphorus, potassium, sulphur, calcium, </w:t>
      </w:r>
      <w:proofErr w:type="gramStart"/>
      <w:r w:rsidRPr="00B510A6">
        <w:t>magnesium</w:t>
      </w:r>
      <w:proofErr w:type="gramEnd"/>
      <w:r w:rsidRPr="00B510A6">
        <w:t xml:space="preserve"> and sodium</w:t>
      </w:r>
      <w:r w:rsidRPr="00B510A6">
        <w:rPr>
          <w:rFonts w:eastAsia="Calibri"/>
        </w:rPr>
        <w:t xml:space="preserve">. Various factors (farm-system type, receiving environment, soil properties </w:t>
      </w:r>
      <w:r w:rsidR="00E150E3">
        <w:rPr>
          <w:rFonts w:eastAsia="Calibri"/>
        </w:rPr>
        <w:t>and so on</w:t>
      </w:r>
      <w:r w:rsidRPr="00B510A6">
        <w:rPr>
          <w:rFonts w:eastAsia="Calibri"/>
        </w:rPr>
        <w:t>) will determine which nutrients are critical for a particular farm or block.</w:t>
      </w:r>
    </w:p>
    <w:p w14:paraId="5C5284BC" w14:textId="77777777" w:rsidR="00692A75" w:rsidRPr="00B510A6" w:rsidRDefault="00692A75" w:rsidP="00692A75">
      <w:pPr>
        <w:pStyle w:val="Heading4"/>
        <w:ind w:left="851" w:hanging="851"/>
        <w:rPr>
          <w:rFonts w:eastAsia="Calibri"/>
        </w:rPr>
      </w:pPr>
      <w:r w:rsidRPr="00B510A6">
        <w:rPr>
          <w:rFonts w:eastAsia="Calibri"/>
        </w:rPr>
        <w:t>Greenhouse gas emissions recording and reporting</w:t>
      </w:r>
    </w:p>
    <w:p w14:paraId="64BAFEA1" w14:textId="77777777" w:rsidR="00692A75" w:rsidRPr="00B510A6" w:rsidRDefault="00692A75" w:rsidP="00692A75">
      <w:pPr>
        <w:pStyle w:val="BodyText"/>
        <w:rPr>
          <w:rFonts w:eastAsia="Calibri"/>
        </w:rPr>
      </w:pPr>
      <w:r w:rsidRPr="00B510A6">
        <w:rPr>
          <w:rFonts w:eastAsia="Calibri"/>
        </w:rPr>
        <w:t xml:space="preserve">The Overseer model estimates methane, nitrous </w:t>
      </w:r>
      <w:proofErr w:type="gramStart"/>
      <w:r w:rsidRPr="00B510A6">
        <w:rPr>
          <w:rFonts w:eastAsia="Calibri"/>
        </w:rPr>
        <w:t>oxide</w:t>
      </w:r>
      <w:proofErr w:type="gramEnd"/>
      <w:r w:rsidRPr="00B510A6">
        <w:rPr>
          <w:rFonts w:eastAsia="Calibri"/>
        </w:rPr>
        <w:t xml:space="preserve"> and carbon dioxide emissions for a farm</w:t>
      </w:r>
      <w:r w:rsidR="00797AC1" w:rsidRPr="00B510A6">
        <w:rPr>
          <w:rFonts w:eastAsia="Calibri"/>
        </w:rPr>
        <w:t> </w:t>
      </w:r>
      <w:r w:rsidRPr="00B510A6">
        <w:rPr>
          <w:rFonts w:eastAsia="Calibri"/>
        </w:rPr>
        <w:t>by their source. Estimated values for each gas are converted to kilograms of carbon dioxide equivalent per hectare per year so they can be compared with each other and other</w:t>
      </w:r>
      <w:r w:rsidR="00797AC1" w:rsidRPr="00B510A6">
        <w:rPr>
          <w:rFonts w:eastAsia="Calibri"/>
        </w:rPr>
        <w:t> </w:t>
      </w:r>
      <w:r w:rsidRPr="00B510A6">
        <w:rPr>
          <w:rFonts w:eastAsia="Calibri"/>
        </w:rPr>
        <w:t>greenhouse gas reporting. Greenhouse gas estimates have been available in Overseer</w:t>
      </w:r>
      <w:r w:rsidR="00166085">
        <w:rPr>
          <w:rFonts w:eastAsia="Calibri"/>
        </w:rPr>
        <w:t> </w:t>
      </w:r>
      <w:r w:rsidRPr="00B510A6">
        <w:rPr>
          <w:rFonts w:eastAsia="Calibri"/>
        </w:rPr>
        <w:t>since 2008.</w:t>
      </w:r>
    </w:p>
    <w:p w14:paraId="74C75AA0" w14:textId="77777777" w:rsidR="00692A75" w:rsidRPr="00B510A6" w:rsidRDefault="00692A75" w:rsidP="00692A75">
      <w:pPr>
        <w:pStyle w:val="BodyText"/>
        <w:rPr>
          <w:rFonts w:eastAsia="Calibri"/>
        </w:rPr>
      </w:pPr>
      <w:r w:rsidRPr="00B510A6">
        <w:rPr>
          <w:rFonts w:eastAsia="Calibri"/>
        </w:rPr>
        <w:t>A carbon stock tool has also recently been added, which estimates the carbon sequestration potential of tree blocks on farm.</w:t>
      </w:r>
    </w:p>
    <w:p w14:paraId="1EEC9ACC" w14:textId="77777777" w:rsidR="00692A75" w:rsidRPr="00B510A6" w:rsidRDefault="00692A75" w:rsidP="00692A75">
      <w:pPr>
        <w:pStyle w:val="Heading4"/>
        <w:ind w:left="851" w:hanging="851"/>
        <w:rPr>
          <w:rFonts w:eastAsia="Calibri"/>
        </w:rPr>
      </w:pPr>
      <w:r w:rsidRPr="00B510A6">
        <w:rPr>
          <w:rFonts w:eastAsia="Calibri"/>
        </w:rPr>
        <w:t>Benchmarking and aggregated reporting</w:t>
      </w:r>
    </w:p>
    <w:p w14:paraId="75FB4286" w14:textId="77777777" w:rsidR="00692A75" w:rsidRPr="00B510A6" w:rsidRDefault="00692A75" w:rsidP="00692A75">
      <w:pPr>
        <w:pStyle w:val="BodyText"/>
        <w:rPr>
          <w:rFonts w:eastAsia="Calibri"/>
        </w:rPr>
      </w:pPr>
      <w:r w:rsidRPr="00B510A6">
        <w:rPr>
          <w:rFonts w:eastAsia="Calibri"/>
        </w:rPr>
        <w:t>OverseerFM (launched in 2019) allows for farm benchmarking and aggregated reporting. This is used by groups of users to assess their performance against other farms and can provide for group reporting. This is particularly useful where farms operate under a collective environmental management strategy or system.</w:t>
      </w:r>
    </w:p>
    <w:p w14:paraId="4333F448" w14:textId="1DDC9A76" w:rsidR="00692A75" w:rsidRPr="00B510A6" w:rsidRDefault="00692A75" w:rsidP="00692A75">
      <w:pPr>
        <w:pStyle w:val="Heading4"/>
        <w:ind w:left="851" w:hanging="851"/>
        <w:rPr>
          <w:rFonts w:eastAsia="Calibri"/>
        </w:rPr>
      </w:pPr>
      <w:r w:rsidRPr="00B510A6">
        <w:rPr>
          <w:rFonts w:eastAsia="Calibri"/>
        </w:rPr>
        <w:t>Scenario testing and planning, investment decision</w:t>
      </w:r>
      <w:r w:rsidR="00A22C2E">
        <w:rPr>
          <w:rFonts w:eastAsia="Calibri"/>
        </w:rPr>
        <w:t xml:space="preserve"> </w:t>
      </w:r>
      <w:r w:rsidRPr="00B510A6">
        <w:rPr>
          <w:rFonts w:eastAsia="Calibri"/>
        </w:rPr>
        <w:t>support</w:t>
      </w:r>
    </w:p>
    <w:p w14:paraId="3B2F53AF" w14:textId="331E6341" w:rsidR="00692A75" w:rsidRPr="00B510A6" w:rsidRDefault="00692A75" w:rsidP="00692A75">
      <w:pPr>
        <w:pStyle w:val="BodyText"/>
        <w:rPr>
          <w:rFonts w:eastAsia="Calibri"/>
        </w:rPr>
      </w:pPr>
      <w:r w:rsidRPr="00B510A6">
        <w:rPr>
          <w:rFonts w:eastAsia="Calibri"/>
        </w:rPr>
        <w:t xml:space="preserve">Many farmers and growers use Overseer as a means of informing investment options on farm, using the scenario-testing functionality. This is particularly the case where Overseer has been used in a regulatory context and a fixed nitrate-loss number must be attained or a percentage reduction in modelled losses is required over time. </w:t>
      </w:r>
    </w:p>
    <w:p w14:paraId="21AA3F23" w14:textId="3B4E0E36" w:rsidR="00692A75" w:rsidRPr="00B510A6" w:rsidRDefault="00692A75" w:rsidP="00692A75">
      <w:pPr>
        <w:pStyle w:val="BodyText"/>
        <w:rPr>
          <w:rFonts w:eastAsia="Calibri"/>
        </w:rPr>
      </w:pPr>
      <w:r w:rsidRPr="00B510A6">
        <w:rPr>
          <w:rFonts w:eastAsia="Calibri"/>
        </w:rPr>
        <w:t>Overlaying financial information onto these options means farmers can assess different options to reduce their environmental footprint</w:t>
      </w:r>
      <w:r w:rsidR="009E1BAE">
        <w:rPr>
          <w:rFonts w:eastAsia="Calibri"/>
        </w:rPr>
        <w:t>;</w:t>
      </w:r>
      <w:r w:rsidRPr="00B510A6">
        <w:rPr>
          <w:rFonts w:eastAsia="Calibri"/>
        </w:rPr>
        <w:t>– the best bang for their buck. These options can then also be assessed by financial institutions (see below).</w:t>
      </w:r>
    </w:p>
    <w:p w14:paraId="1B44DE09" w14:textId="77777777" w:rsidR="00692A75" w:rsidRPr="00B510A6" w:rsidRDefault="00692A75" w:rsidP="00166085">
      <w:pPr>
        <w:pStyle w:val="Heading3"/>
      </w:pPr>
      <w:r w:rsidRPr="00B510A6">
        <w:t>Other uses</w:t>
      </w:r>
    </w:p>
    <w:p w14:paraId="3C06BB36" w14:textId="77777777" w:rsidR="00692A75" w:rsidRPr="00B510A6" w:rsidRDefault="00692A75" w:rsidP="00692A75">
      <w:pPr>
        <w:pStyle w:val="Heading4"/>
        <w:ind w:left="851" w:hanging="851"/>
        <w:rPr>
          <w:rFonts w:eastAsia="Calibri"/>
        </w:rPr>
      </w:pPr>
      <w:r w:rsidRPr="00B510A6">
        <w:rPr>
          <w:rFonts w:eastAsia="Calibri"/>
        </w:rPr>
        <w:t xml:space="preserve">Due diligence, </w:t>
      </w:r>
      <w:proofErr w:type="gramStart"/>
      <w:r w:rsidRPr="00B510A6">
        <w:rPr>
          <w:rFonts w:eastAsia="Calibri"/>
        </w:rPr>
        <w:t>banks</w:t>
      </w:r>
      <w:proofErr w:type="gramEnd"/>
      <w:r w:rsidRPr="00B510A6">
        <w:rPr>
          <w:rFonts w:eastAsia="Calibri"/>
        </w:rPr>
        <w:t xml:space="preserve"> and other lending institutions</w:t>
      </w:r>
    </w:p>
    <w:p w14:paraId="6948EC71" w14:textId="77777777" w:rsidR="00692A75" w:rsidRPr="00B510A6" w:rsidRDefault="00692A75" w:rsidP="00692A75">
      <w:pPr>
        <w:pStyle w:val="BodyText"/>
        <w:rPr>
          <w:rFonts w:eastAsia="Calibri"/>
        </w:rPr>
      </w:pPr>
      <w:r w:rsidRPr="00B510A6">
        <w:rPr>
          <w:rFonts w:eastAsia="Calibri"/>
        </w:rPr>
        <w:t>Banks and lending institutions use Overseer to assess the bankability of options on a farm</w:t>
      </w:r>
      <w:r w:rsidR="00303D61">
        <w:rPr>
          <w:rFonts w:eastAsia="Calibri"/>
        </w:rPr>
        <w:t> </w:t>
      </w:r>
      <w:r w:rsidRPr="00B510A6">
        <w:rPr>
          <w:rFonts w:eastAsia="Calibri"/>
        </w:rPr>
        <w:t>within environmental limits, and as part of due diligence on assessing farm sales and</w:t>
      </w:r>
      <w:r w:rsidR="00303D61">
        <w:rPr>
          <w:rFonts w:eastAsia="Calibri"/>
        </w:rPr>
        <w:t> </w:t>
      </w:r>
      <w:r w:rsidRPr="00B510A6">
        <w:rPr>
          <w:rFonts w:eastAsia="Calibri"/>
        </w:rPr>
        <w:t>purchases.</w:t>
      </w:r>
    </w:p>
    <w:p w14:paraId="2DA3A57C" w14:textId="77777777" w:rsidR="00692A75" w:rsidRPr="00B510A6" w:rsidRDefault="00692A75" w:rsidP="00692A75">
      <w:pPr>
        <w:pStyle w:val="BodyText"/>
        <w:rPr>
          <w:rFonts w:eastAsia="Calibri"/>
        </w:rPr>
      </w:pPr>
      <w:r w:rsidRPr="00B510A6">
        <w:rPr>
          <w:rFonts w:eastAsia="Calibri"/>
        </w:rPr>
        <w:lastRenderedPageBreak/>
        <w:t xml:space="preserve">Overseer output reports are also used in the marketing and saleability of properties, particularly those with nitrogen limits imposed through regional regulations. </w:t>
      </w:r>
    </w:p>
    <w:p w14:paraId="7A10583D" w14:textId="77777777" w:rsidR="00692A75" w:rsidRPr="00B510A6" w:rsidRDefault="00692A75" w:rsidP="00692A75">
      <w:pPr>
        <w:pStyle w:val="BodyText"/>
        <w:rPr>
          <w:rFonts w:eastAsia="Calibri"/>
        </w:rPr>
      </w:pPr>
      <w:r w:rsidRPr="00B510A6">
        <w:rPr>
          <w:rFonts w:eastAsia="Calibri"/>
        </w:rPr>
        <w:t>Some institutions may offer premium products to farmers able to demonstrate high levels of sustainability (for instance, reduced interest rates on borrowings). Sustainable finance is a rapidly growing trend across the globe, where financing is linked to sustainability targets agreed by the lender and borrower. If the borrower meets the targets, they receive a funding discount, but if their environmental indicators worsen, they may have cost increases imposed.</w:t>
      </w:r>
    </w:p>
    <w:p w14:paraId="60162654" w14:textId="77777777" w:rsidR="00692A75" w:rsidRPr="00B510A6" w:rsidRDefault="00692A75" w:rsidP="00692A75">
      <w:pPr>
        <w:pStyle w:val="Heading4"/>
        <w:ind w:left="851" w:hanging="851"/>
        <w:rPr>
          <w:rFonts w:eastAsia="Calibri"/>
        </w:rPr>
      </w:pPr>
      <w:r w:rsidRPr="00B510A6">
        <w:rPr>
          <w:rFonts w:eastAsia="Calibri"/>
        </w:rPr>
        <w:t>Use in research</w:t>
      </w:r>
    </w:p>
    <w:p w14:paraId="4CC93C42" w14:textId="3C83F9AC" w:rsidR="00692A75" w:rsidRPr="00B510A6" w:rsidRDefault="00692A75" w:rsidP="00692A75">
      <w:pPr>
        <w:pStyle w:val="BodyText"/>
        <w:rPr>
          <w:rFonts w:eastAsia="Calibri"/>
        </w:rPr>
      </w:pPr>
      <w:r w:rsidRPr="00B510A6">
        <w:rPr>
          <w:rFonts w:eastAsia="Calibri"/>
        </w:rPr>
        <w:t xml:space="preserve">Overseer has been used extensively in research in Aotearoa New Zealand to </w:t>
      </w:r>
      <w:r w:rsidR="00BE1DD4">
        <w:rPr>
          <w:rFonts w:eastAsia="Calibri"/>
        </w:rPr>
        <w:t xml:space="preserve">help </w:t>
      </w:r>
      <w:r w:rsidRPr="00B510A6">
        <w:rPr>
          <w:rFonts w:eastAsia="Calibri"/>
        </w:rPr>
        <w:t>in understanding nutrient flows and farm environmental outputs.</w:t>
      </w:r>
    </w:p>
    <w:p w14:paraId="5F197E5A" w14:textId="77777777" w:rsidR="00692A75" w:rsidRPr="00B510A6" w:rsidRDefault="00692A75" w:rsidP="00692A75">
      <w:pPr>
        <w:pStyle w:val="Heading4"/>
        <w:ind w:left="851" w:hanging="851"/>
        <w:rPr>
          <w:rFonts w:eastAsia="Calibri"/>
        </w:rPr>
      </w:pPr>
      <w:r w:rsidRPr="00B510A6">
        <w:rPr>
          <w:rFonts w:eastAsia="Calibri"/>
        </w:rPr>
        <w:t>Nutrient management qualifications and certification</w:t>
      </w:r>
    </w:p>
    <w:p w14:paraId="70111C62" w14:textId="77777777" w:rsidR="00692A75" w:rsidRPr="00B510A6" w:rsidRDefault="00692A75" w:rsidP="00692A75">
      <w:pPr>
        <w:pStyle w:val="BodyText"/>
        <w:rPr>
          <w:rFonts w:eastAsia="Calibri"/>
        </w:rPr>
      </w:pPr>
      <w:r w:rsidRPr="00B510A6">
        <w:rPr>
          <w:rFonts w:eastAsia="Calibri"/>
        </w:rPr>
        <w:t>Overseer is used within several university undergraduate programmes. It is also a key component of Sustainable Nutrient Management in New Zealand courses run by Massey University. Completion of these courses is required to become a Certified Nutrient Management Advisor.</w:t>
      </w:r>
    </w:p>
    <w:p w14:paraId="5B7AC5B3" w14:textId="2E0DFCF9" w:rsidR="00692A75" w:rsidRPr="00B510A6" w:rsidRDefault="00692A75" w:rsidP="00692A75">
      <w:pPr>
        <w:pStyle w:val="Heading4"/>
        <w:ind w:left="851" w:hanging="851"/>
        <w:rPr>
          <w:rFonts w:eastAsia="Calibri"/>
        </w:rPr>
      </w:pPr>
      <w:r w:rsidRPr="00B510A6">
        <w:rPr>
          <w:rFonts w:eastAsia="Calibri"/>
        </w:rPr>
        <w:t>Component or contributor to other tools</w:t>
      </w:r>
      <w:r w:rsidR="005943FE">
        <w:rPr>
          <w:rFonts w:eastAsia="Calibri"/>
        </w:rPr>
        <w:t xml:space="preserve">, </w:t>
      </w:r>
      <w:proofErr w:type="gramStart"/>
      <w:r w:rsidRPr="00B510A6">
        <w:rPr>
          <w:rFonts w:eastAsia="Calibri"/>
        </w:rPr>
        <w:t>models</w:t>
      </w:r>
      <w:proofErr w:type="gramEnd"/>
      <w:r w:rsidRPr="00B510A6">
        <w:rPr>
          <w:rFonts w:eastAsia="Calibri"/>
        </w:rPr>
        <w:t xml:space="preserve"> or systems</w:t>
      </w:r>
    </w:p>
    <w:p w14:paraId="0FFF45AA" w14:textId="04A3AC53" w:rsidR="00692A75" w:rsidRPr="00B510A6" w:rsidRDefault="00692A75" w:rsidP="00692A75">
      <w:pPr>
        <w:pStyle w:val="BodyText"/>
        <w:rPr>
          <w:rFonts w:eastAsia="Calibri"/>
        </w:rPr>
      </w:pPr>
      <w:r w:rsidRPr="00B510A6">
        <w:rPr>
          <w:rFonts w:eastAsia="Calibri"/>
        </w:rPr>
        <w:t xml:space="preserve">Overseer is used as </w:t>
      </w:r>
      <w:r w:rsidR="001A6060">
        <w:rPr>
          <w:rFonts w:eastAsia="Calibri"/>
        </w:rPr>
        <w:t xml:space="preserve">a </w:t>
      </w:r>
      <w:r w:rsidRPr="00B510A6">
        <w:rPr>
          <w:rFonts w:eastAsia="Calibri"/>
        </w:rPr>
        <w:t>component of</w:t>
      </w:r>
      <w:r w:rsidR="0021340F">
        <w:rPr>
          <w:rFonts w:eastAsia="Calibri"/>
        </w:rPr>
        <w:t>,</w:t>
      </w:r>
      <w:r w:rsidRPr="00B510A6">
        <w:rPr>
          <w:rFonts w:eastAsia="Calibri"/>
        </w:rPr>
        <w:t xml:space="preserve"> or contributor to</w:t>
      </w:r>
      <w:r w:rsidR="0021340F">
        <w:rPr>
          <w:rFonts w:eastAsia="Calibri"/>
        </w:rPr>
        <w:t>,</w:t>
      </w:r>
      <w:r w:rsidRPr="00B510A6">
        <w:rPr>
          <w:rFonts w:eastAsia="Calibri"/>
        </w:rPr>
        <w:t xml:space="preserve"> other tools, </w:t>
      </w:r>
      <w:proofErr w:type="gramStart"/>
      <w:r w:rsidRPr="00B510A6">
        <w:rPr>
          <w:rFonts w:eastAsia="Calibri"/>
        </w:rPr>
        <w:t>models</w:t>
      </w:r>
      <w:proofErr w:type="gramEnd"/>
      <w:r w:rsidRPr="00B510A6">
        <w:rPr>
          <w:rFonts w:eastAsia="Calibri"/>
        </w:rPr>
        <w:t xml:space="preserve"> and systems. Where Overseer outputs or reports are a direct component of the tool, the implications will be more significant than if it is an indirect input. </w:t>
      </w:r>
    </w:p>
    <w:p w14:paraId="4F2031DF" w14:textId="1616B19D" w:rsidR="00692A75" w:rsidRPr="00B510A6" w:rsidRDefault="00692A75" w:rsidP="00692A75">
      <w:pPr>
        <w:pStyle w:val="Heading4"/>
        <w:ind w:left="851" w:hanging="851"/>
        <w:rPr>
          <w:rFonts w:eastAsia="Calibri"/>
        </w:rPr>
      </w:pPr>
      <w:r w:rsidRPr="00B510A6">
        <w:rPr>
          <w:rFonts w:eastAsia="Calibri"/>
        </w:rPr>
        <w:t xml:space="preserve">Non-regulatory </w:t>
      </w:r>
      <w:r w:rsidR="00EF3A19">
        <w:rPr>
          <w:rFonts w:eastAsia="Calibri"/>
        </w:rPr>
        <w:t>farm environment plan</w:t>
      </w:r>
      <w:r w:rsidRPr="00B510A6">
        <w:rPr>
          <w:rFonts w:eastAsia="Calibri"/>
        </w:rPr>
        <w:t xml:space="preserve"> requirement</w:t>
      </w:r>
    </w:p>
    <w:p w14:paraId="21260ACF" w14:textId="77777777" w:rsidR="00692A75" w:rsidRPr="00B510A6" w:rsidRDefault="00692A75" w:rsidP="00692A75">
      <w:pPr>
        <w:pStyle w:val="BodyText"/>
        <w:rPr>
          <w:rFonts w:eastAsia="Calibri"/>
        </w:rPr>
      </w:pPr>
      <w:r w:rsidRPr="00B510A6">
        <w:rPr>
          <w:rFonts w:eastAsia="Calibri"/>
        </w:rPr>
        <w:t xml:space="preserve">Processors and collective companies (such as irrigation schemes) often require their suppliers, </w:t>
      </w:r>
      <w:proofErr w:type="gramStart"/>
      <w:r w:rsidRPr="00B510A6">
        <w:rPr>
          <w:rFonts w:eastAsia="Calibri"/>
        </w:rPr>
        <w:t>members</w:t>
      </w:r>
      <w:proofErr w:type="gramEnd"/>
      <w:r w:rsidRPr="00B510A6">
        <w:rPr>
          <w:rFonts w:eastAsia="Calibri"/>
        </w:rPr>
        <w:t xml:space="preserve"> or shareholders to undertake farm environment planning (see above) or incentivise their use.</w:t>
      </w:r>
    </w:p>
    <w:p w14:paraId="4B797606" w14:textId="77777777" w:rsidR="009B2E91" w:rsidRPr="00B510A6" w:rsidRDefault="009B2E91">
      <w:pPr>
        <w:spacing w:before="0" w:after="200" w:line="276" w:lineRule="auto"/>
        <w:jc w:val="left"/>
      </w:pPr>
      <w:r w:rsidRPr="00B510A6">
        <w:br w:type="page"/>
      </w:r>
    </w:p>
    <w:p w14:paraId="3AAE7619" w14:textId="2822B098" w:rsidR="00371012" w:rsidRPr="00B510A6" w:rsidRDefault="00371012" w:rsidP="00371012">
      <w:pPr>
        <w:pStyle w:val="Heading2"/>
      </w:pPr>
      <w:bookmarkStart w:id="107" w:name="_Appendix_C:_Implications"/>
      <w:bookmarkStart w:id="108" w:name="_Appendix_D:_Examples"/>
      <w:bookmarkStart w:id="109" w:name="_Toc77078065"/>
      <w:bookmarkStart w:id="110" w:name="_Toc77171903"/>
      <w:bookmarkStart w:id="111" w:name="_Toc77326669"/>
      <w:bookmarkStart w:id="112" w:name="_Toc77078066"/>
      <w:bookmarkStart w:id="113" w:name="_Toc77171904"/>
      <w:bookmarkStart w:id="114" w:name="_Toc79488717"/>
      <w:bookmarkEnd w:id="107"/>
      <w:bookmarkEnd w:id="108"/>
      <w:r w:rsidRPr="00B510A6">
        <w:lastRenderedPageBreak/>
        <w:t xml:space="preserve">Appendix </w:t>
      </w:r>
      <w:r w:rsidR="007E195F">
        <w:t>C</w:t>
      </w:r>
      <w:bookmarkStart w:id="115" w:name="_Toc77326670"/>
      <w:bookmarkEnd w:id="109"/>
      <w:bookmarkEnd w:id="110"/>
      <w:bookmarkEnd w:id="111"/>
      <w:r w:rsidRPr="00B510A6">
        <w:t>: Examples of risk</w:t>
      </w:r>
      <w:r w:rsidR="000C46DD">
        <w:t xml:space="preserve"> </w:t>
      </w:r>
      <w:r w:rsidRPr="00B510A6">
        <w:t>assessment approaches</w:t>
      </w:r>
      <w:bookmarkEnd w:id="112"/>
      <w:bookmarkEnd w:id="113"/>
      <w:bookmarkEnd w:id="115"/>
      <w:bookmarkEnd w:id="114"/>
    </w:p>
    <w:p w14:paraId="51F57A11" w14:textId="77777777" w:rsidR="00371012" w:rsidRPr="00B510A6" w:rsidRDefault="00371012" w:rsidP="00371012">
      <w:pPr>
        <w:pStyle w:val="BodyText"/>
      </w:pPr>
      <w:r w:rsidRPr="00B510A6">
        <w:t>Regional council engagement has highlighted the need for any risk-index system developed to be applicable across a range of land-use types, or for different indices to be designed to cater to the different risks associated with different land-use types (for example, a risk index for dairy and a different risk index for vegetable growing).</w:t>
      </w:r>
    </w:p>
    <w:p w14:paraId="5158C7F9" w14:textId="41145099" w:rsidR="00371012" w:rsidRPr="00B510A6" w:rsidRDefault="00371012" w:rsidP="00371012">
      <w:pPr>
        <w:pStyle w:val="BodyText"/>
      </w:pPr>
      <w:r w:rsidRPr="00B510A6">
        <w:t>Two examples of nitrogen-risk indexing systems are provided below. These are provided for illustrative purposes only and do not reflect government policy. The first was developed by McDowell et al</w:t>
      </w:r>
      <w:r w:rsidRPr="00B510A6">
        <w:rPr>
          <w:rStyle w:val="FootnoteReference"/>
        </w:rPr>
        <w:footnoteReference w:id="15"/>
      </w:r>
      <w:r w:rsidRPr="00B510A6">
        <w:t xml:space="preserve"> for use in the United States</w:t>
      </w:r>
      <w:r w:rsidR="00755AF0">
        <w:t xml:space="preserve"> of Amer</w:t>
      </w:r>
      <w:r w:rsidR="008B243D">
        <w:t>i</w:t>
      </w:r>
      <w:r w:rsidR="00755AF0">
        <w:t>ca</w:t>
      </w:r>
      <w:r w:rsidRPr="00B510A6">
        <w:t xml:space="preserve">. The second was developed by Fonterra as part of its </w:t>
      </w:r>
      <w:proofErr w:type="spellStart"/>
      <w:r w:rsidRPr="00B510A6">
        <w:t>Tiaki</w:t>
      </w:r>
      <w:proofErr w:type="spellEnd"/>
      <w:r w:rsidRPr="00B510A6">
        <w:t xml:space="preserve"> programme to </w:t>
      </w:r>
      <w:r w:rsidR="00397955">
        <w:t>help</w:t>
      </w:r>
      <w:r w:rsidR="00397955" w:rsidRPr="00B510A6">
        <w:t xml:space="preserve"> </w:t>
      </w:r>
      <w:r w:rsidRPr="00B510A6">
        <w:t>its shareholders manage nitrogen risks in the New Zealand context. It is therefore designed specifically for the New Zealand dairy sector.</w:t>
      </w:r>
    </w:p>
    <w:p w14:paraId="55FC8794" w14:textId="4364D27A" w:rsidR="00371012" w:rsidRPr="00B510A6" w:rsidRDefault="00371012" w:rsidP="00371012">
      <w:pPr>
        <w:pStyle w:val="Heading4"/>
        <w:rPr>
          <w:rFonts w:eastAsia="Calibri"/>
        </w:rPr>
      </w:pPr>
      <w:r w:rsidRPr="00B510A6">
        <w:rPr>
          <w:rFonts w:eastAsia="Calibri"/>
        </w:rPr>
        <w:t>Example 1</w:t>
      </w:r>
      <w:r w:rsidR="00397955">
        <w:rPr>
          <w:rFonts w:eastAsia="Calibri"/>
        </w:rPr>
        <w:t>:</w:t>
      </w:r>
      <w:r w:rsidRPr="00B510A6">
        <w:rPr>
          <w:rFonts w:eastAsia="Calibri"/>
        </w:rPr>
        <w:t xml:space="preserve"> Nitrogen-indexing system</w:t>
      </w:r>
    </w:p>
    <w:p w14:paraId="53EA16BA" w14:textId="1A791FE4" w:rsidR="00371012" w:rsidRPr="00B510A6" w:rsidRDefault="00371012" w:rsidP="00371012">
      <w:pPr>
        <w:pStyle w:val="Tableheading"/>
        <w:jc w:val="center"/>
        <w:rPr>
          <w:szCs w:val="20"/>
        </w:rPr>
      </w:pPr>
      <w:r w:rsidRPr="00B510A6">
        <w:rPr>
          <w:szCs w:val="20"/>
        </w:rPr>
        <w:t>Nitrogen-</w:t>
      </w:r>
      <w:r w:rsidR="00397955">
        <w:rPr>
          <w:szCs w:val="20"/>
        </w:rPr>
        <w:t>i</w:t>
      </w:r>
      <w:r w:rsidRPr="00B510A6">
        <w:rPr>
          <w:szCs w:val="20"/>
        </w:rPr>
        <w:t xml:space="preserve">ndexing </w:t>
      </w:r>
      <w:r w:rsidR="00397955">
        <w:rPr>
          <w:szCs w:val="20"/>
        </w:rPr>
        <w:t>s</w:t>
      </w:r>
      <w:r w:rsidRPr="00B510A6">
        <w:rPr>
          <w:szCs w:val="20"/>
        </w:rPr>
        <w:t>ystem (from McDowell et al, 2002)</w:t>
      </w:r>
      <w:r w:rsidRPr="00B510A6">
        <w:rPr>
          <w:rStyle w:val="FootnoteReference"/>
          <w:bCs w:val="0"/>
          <w:szCs w:val="20"/>
        </w:rPr>
        <w:footnoteReference w:id="16"/>
      </w:r>
    </w:p>
    <w:tbl>
      <w:tblPr>
        <w:tblStyle w:val="TableGrid2"/>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ayout w:type="fixed"/>
        <w:tblCellMar>
          <w:left w:w="28" w:type="dxa"/>
          <w:right w:w="28" w:type="dxa"/>
        </w:tblCellMar>
        <w:tblLook w:val="04A0" w:firstRow="1" w:lastRow="0" w:firstColumn="1" w:lastColumn="0" w:noHBand="0" w:noVBand="1"/>
      </w:tblPr>
      <w:tblGrid>
        <w:gridCol w:w="1606"/>
        <w:gridCol w:w="1206"/>
        <w:gridCol w:w="939"/>
        <w:gridCol w:w="1073"/>
        <w:gridCol w:w="1381"/>
        <w:gridCol w:w="1166"/>
        <w:gridCol w:w="1134"/>
      </w:tblGrid>
      <w:tr w:rsidR="003B4699" w:rsidRPr="00B510A6" w14:paraId="2CCBAA4A" w14:textId="77777777" w:rsidTr="009027A9">
        <w:tc>
          <w:tcPr>
            <w:tcW w:w="1606" w:type="dxa"/>
            <w:tcBorders>
              <w:top w:val="nil"/>
              <w:bottom w:val="single" w:sz="4" w:space="0" w:color="1C556C" w:themeColor="accent1"/>
            </w:tcBorders>
            <w:shd w:val="clear" w:color="auto" w:fill="FFFFFF"/>
            <w:vAlign w:val="center"/>
          </w:tcPr>
          <w:p w14:paraId="5676AEDE" w14:textId="77777777" w:rsidR="00A078B2" w:rsidRPr="00B510A6" w:rsidRDefault="00A078B2" w:rsidP="0004202C">
            <w:pPr>
              <w:pStyle w:val="TableTextbold"/>
              <w:jc w:val="center"/>
              <w:rPr>
                <w:sz w:val="17"/>
                <w:szCs w:val="17"/>
              </w:rPr>
            </w:pPr>
          </w:p>
        </w:tc>
        <w:tc>
          <w:tcPr>
            <w:tcW w:w="1206" w:type="dxa"/>
            <w:tcBorders>
              <w:bottom w:val="single" w:sz="4" w:space="0" w:color="1C556C" w:themeColor="accent1"/>
            </w:tcBorders>
            <w:shd w:val="clear" w:color="auto" w:fill="1C556C" w:themeFill="accent1"/>
            <w:vAlign w:val="center"/>
          </w:tcPr>
          <w:p w14:paraId="221F5790" w14:textId="77777777" w:rsidR="00A078B2" w:rsidRPr="00B510A6" w:rsidRDefault="00A078B2" w:rsidP="0004202C">
            <w:pPr>
              <w:pStyle w:val="TableTextbold"/>
              <w:jc w:val="center"/>
              <w:rPr>
                <w:bCs/>
                <w:color w:val="FFFFFF" w:themeColor="background1"/>
                <w:sz w:val="17"/>
                <w:szCs w:val="17"/>
              </w:rPr>
            </w:pPr>
            <w:r w:rsidRPr="00B510A6">
              <w:rPr>
                <w:bCs/>
                <w:color w:val="FFFFFF" w:themeColor="background1"/>
                <w:sz w:val="17"/>
                <w:szCs w:val="17"/>
              </w:rPr>
              <w:t>Factors</w:t>
            </w:r>
          </w:p>
        </w:tc>
        <w:tc>
          <w:tcPr>
            <w:tcW w:w="939" w:type="dxa"/>
            <w:tcBorders>
              <w:bottom w:val="single" w:sz="4" w:space="0" w:color="1C556C" w:themeColor="accent1"/>
            </w:tcBorders>
            <w:shd w:val="clear" w:color="auto" w:fill="1C556C" w:themeFill="accent1"/>
            <w:vAlign w:val="center"/>
          </w:tcPr>
          <w:p w14:paraId="276EEBC8" w14:textId="77777777" w:rsidR="00A078B2" w:rsidRPr="00B510A6" w:rsidRDefault="00A078B2" w:rsidP="0004202C">
            <w:pPr>
              <w:pStyle w:val="TableTextbold"/>
              <w:jc w:val="center"/>
              <w:rPr>
                <w:bCs/>
                <w:color w:val="FFFFFF" w:themeColor="background1"/>
                <w:sz w:val="17"/>
                <w:szCs w:val="17"/>
              </w:rPr>
            </w:pPr>
            <w:r w:rsidRPr="00B510A6">
              <w:rPr>
                <w:bCs/>
                <w:color w:val="FFFFFF" w:themeColor="background1"/>
                <w:sz w:val="17"/>
                <w:szCs w:val="17"/>
              </w:rPr>
              <w:t>None (0)</w:t>
            </w:r>
          </w:p>
        </w:tc>
        <w:tc>
          <w:tcPr>
            <w:tcW w:w="1073" w:type="dxa"/>
            <w:tcBorders>
              <w:bottom w:val="single" w:sz="4" w:space="0" w:color="1C556C" w:themeColor="accent1"/>
            </w:tcBorders>
            <w:shd w:val="clear" w:color="auto" w:fill="1C556C" w:themeFill="accent1"/>
            <w:vAlign w:val="center"/>
          </w:tcPr>
          <w:p w14:paraId="65582189" w14:textId="77777777" w:rsidR="00A078B2" w:rsidRPr="00B510A6" w:rsidRDefault="00A078B2" w:rsidP="0004202C">
            <w:pPr>
              <w:pStyle w:val="TableTextbold"/>
              <w:jc w:val="center"/>
              <w:rPr>
                <w:bCs/>
                <w:color w:val="FFFFFF" w:themeColor="background1"/>
                <w:sz w:val="17"/>
                <w:szCs w:val="17"/>
              </w:rPr>
            </w:pPr>
            <w:r w:rsidRPr="00B510A6">
              <w:rPr>
                <w:bCs/>
                <w:color w:val="FFFFFF" w:themeColor="background1"/>
                <w:sz w:val="17"/>
                <w:szCs w:val="17"/>
              </w:rPr>
              <w:t>Low (1)</w:t>
            </w:r>
          </w:p>
        </w:tc>
        <w:tc>
          <w:tcPr>
            <w:tcW w:w="1381" w:type="dxa"/>
            <w:tcBorders>
              <w:bottom w:val="single" w:sz="4" w:space="0" w:color="1C556C" w:themeColor="accent1"/>
            </w:tcBorders>
            <w:shd w:val="clear" w:color="auto" w:fill="1C556C" w:themeFill="accent1"/>
            <w:vAlign w:val="center"/>
          </w:tcPr>
          <w:p w14:paraId="010B625C" w14:textId="77777777" w:rsidR="00A078B2" w:rsidRPr="00B510A6" w:rsidRDefault="00A078B2" w:rsidP="0004202C">
            <w:pPr>
              <w:pStyle w:val="TableTextbold"/>
              <w:jc w:val="center"/>
              <w:rPr>
                <w:bCs/>
                <w:color w:val="FFFFFF" w:themeColor="background1"/>
                <w:sz w:val="17"/>
                <w:szCs w:val="17"/>
              </w:rPr>
            </w:pPr>
            <w:r w:rsidRPr="00B510A6">
              <w:rPr>
                <w:bCs/>
                <w:color w:val="FFFFFF" w:themeColor="background1"/>
                <w:sz w:val="17"/>
                <w:szCs w:val="17"/>
              </w:rPr>
              <w:t>Medium (2)</w:t>
            </w:r>
          </w:p>
        </w:tc>
        <w:tc>
          <w:tcPr>
            <w:tcW w:w="1166" w:type="dxa"/>
            <w:tcBorders>
              <w:bottom w:val="single" w:sz="4" w:space="0" w:color="1C556C" w:themeColor="accent1"/>
            </w:tcBorders>
            <w:shd w:val="clear" w:color="auto" w:fill="1C556C" w:themeFill="accent1"/>
            <w:vAlign w:val="center"/>
          </w:tcPr>
          <w:p w14:paraId="2CC911E1" w14:textId="77777777" w:rsidR="00A078B2" w:rsidRPr="00B510A6" w:rsidRDefault="00A078B2" w:rsidP="0004202C">
            <w:pPr>
              <w:pStyle w:val="TableTextbold"/>
              <w:jc w:val="center"/>
              <w:rPr>
                <w:bCs/>
                <w:color w:val="FFFFFF" w:themeColor="background1"/>
                <w:sz w:val="17"/>
                <w:szCs w:val="17"/>
              </w:rPr>
            </w:pPr>
            <w:r w:rsidRPr="00B510A6">
              <w:rPr>
                <w:bCs/>
                <w:color w:val="FFFFFF" w:themeColor="background1"/>
                <w:sz w:val="17"/>
                <w:szCs w:val="17"/>
              </w:rPr>
              <w:t>High (4)</w:t>
            </w:r>
          </w:p>
        </w:tc>
        <w:tc>
          <w:tcPr>
            <w:tcW w:w="1134" w:type="dxa"/>
            <w:tcBorders>
              <w:bottom w:val="single" w:sz="4" w:space="0" w:color="1C556C" w:themeColor="accent1"/>
            </w:tcBorders>
            <w:shd w:val="clear" w:color="auto" w:fill="1C556C" w:themeFill="accent1"/>
            <w:vAlign w:val="center"/>
          </w:tcPr>
          <w:p w14:paraId="38BFAFE5" w14:textId="77777777" w:rsidR="00A078B2" w:rsidRPr="00B510A6" w:rsidRDefault="00A078B2" w:rsidP="0004202C">
            <w:pPr>
              <w:pStyle w:val="TableTextbold"/>
              <w:jc w:val="center"/>
              <w:rPr>
                <w:bCs/>
                <w:color w:val="FFFFFF" w:themeColor="background1"/>
                <w:sz w:val="17"/>
                <w:szCs w:val="17"/>
              </w:rPr>
            </w:pPr>
            <w:r w:rsidRPr="00B510A6">
              <w:rPr>
                <w:bCs/>
                <w:color w:val="FFFFFF" w:themeColor="background1"/>
                <w:sz w:val="17"/>
                <w:szCs w:val="17"/>
              </w:rPr>
              <w:t>Very High (8)</w:t>
            </w:r>
          </w:p>
        </w:tc>
      </w:tr>
      <w:tr w:rsidR="003B4699" w:rsidRPr="00B510A6" w14:paraId="49DB747D" w14:textId="77777777" w:rsidTr="009027A9">
        <w:tc>
          <w:tcPr>
            <w:tcW w:w="1606" w:type="dxa"/>
            <w:vMerge w:val="restart"/>
            <w:shd w:val="clear" w:color="auto" w:fill="FFFFFF" w:themeFill="background1"/>
            <w:vAlign w:val="center"/>
          </w:tcPr>
          <w:p w14:paraId="1C509C9F" w14:textId="77777777" w:rsidR="00A078B2" w:rsidRPr="00B510A6" w:rsidRDefault="00A078B2" w:rsidP="0004202C">
            <w:pPr>
              <w:pStyle w:val="TableTextbold"/>
              <w:spacing w:after="0"/>
              <w:jc w:val="center"/>
              <w:rPr>
                <w:sz w:val="17"/>
                <w:szCs w:val="17"/>
              </w:rPr>
            </w:pPr>
            <w:r w:rsidRPr="00B510A6">
              <w:rPr>
                <w:sz w:val="17"/>
                <w:szCs w:val="17"/>
              </w:rPr>
              <w:t>Part A</w:t>
            </w:r>
          </w:p>
          <w:p w14:paraId="5B953B07" w14:textId="77777777" w:rsidR="00A078B2" w:rsidRPr="00B510A6" w:rsidRDefault="00A078B2" w:rsidP="0004202C">
            <w:pPr>
              <w:pStyle w:val="TableText"/>
              <w:jc w:val="center"/>
              <w:rPr>
                <w:sz w:val="17"/>
                <w:szCs w:val="17"/>
              </w:rPr>
            </w:pPr>
            <w:r w:rsidRPr="00B510A6">
              <w:rPr>
                <w:sz w:val="17"/>
                <w:szCs w:val="17"/>
              </w:rPr>
              <w:t xml:space="preserve">Nitrogen </w:t>
            </w:r>
            <w:r w:rsidRPr="00B510A6">
              <w:rPr>
                <w:i/>
                <w:iCs/>
                <w:sz w:val="17"/>
                <w:szCs w:val="17"/>
              </w:rPr>
              <w:t xml:space="preserve">Transport </w:t>
            </w:r>
            <w:r w:rsidRPr="00B510A6">
              <w:rPr>
                <w:sz w:val="17"/>
                <w:szCs w:val="17"/>
              </w:rPr>
              <w:t>Characteristics</w:t>
            </w:r>
          </w:p>
        </w:tc>
        <w:tc>
          <w:tcPr>
            <w:tcW w:w="1206" w:type="dxa"/>
            <w:shd w:val="clear" w:color="auto" w:fill="FFFFFF" w:themeFill="background1"/>
            <w:vAlign w:val="center"/>
          </w:tcPr>
          <w:p w14:paraId="07066F63" w14:textId="77777777" w:rsidR="00A078B2" w:rsidRPr="00B510A6" w:rsidRDefault="00A078B2" w:rsidP="0004202C">
            <w:pPr>
              <w:pStyle w:val="TableText"/>
              <w:jc w:val="center"/>
              <w:rPr>
                <w:sz w:val="17"/>
                <w:szCs w:val="17"/>
              </w:rPr>
            </w:pPr>
            <w:r w:rsidRPr="00B510A6">
              <w:rPr>
                <w:sz w:val="17"/>
                <w:szCs w:val="17"/>
              </w:rPr>
              <w:t>Texture</w:t>
            </w:r>
          </w:p>
        </w:tc>
        <w:tc>
          <w:tcPr>
            <w:tcW w:w="939" w:type="dxa"/>
            <w:shd w:val="clear" w:color="auto" w:fill="FFFFFF" w:themeFill="background1"/>
            <w:vAlign w:val="center"/>
          </w:tcPr>
          <w:p w14:paraId="1CEBD566" w14:textId="77777777" w:rsidR="00A078B2" w:rsidRPr="00B510A6" w:rsidRDefault="00A078B2" w:rsidP="0004202C">
            <w:pPr>
              <w:pStyle w:val="TableText"/>
              <w:jc w:val="center"/>
              <w:rPr>
                <w:sz w:val="17"/>
                <w:szCs w:val="17"/>
              </w:rPr>
            </w:pPr>
            <w:r w:rsidRPr="00B510A6">
              <w:rPr>
                <w:sz w:val="17"/>
                <w:szCs w:val="17"/>
              </w:rPr>
              <w:t>Clay</w:t>
            </w:r>
          </w:p>
        </w:tc>
        <w:tc>
          <w:tcPr>
            <w:tcW w:w="1073" w:type="dxa"/>
            <w:shd w:val="clear" w:color="auto" w:fill="FFFFFF" w:themeFill="background1"/>
            <w:vAlign w:val="center"/>
          </w:tcPr>
          <w:p w14:paraId="1E6678E2" w14:textId="77777777" w:rsidR="00A078B2" w:rsidRPr="00B510A6" w:rsidRDefault="00A078B2" w:rsidP="0004202C">
            <w:pPr>
              <w:pStyle w:val="TableText"/>
              <w:jc w:val="center"/>
              <w:rPr>
                <w:sz w:val="17"/>
                <w:szCs w:val="17"/>
              </w:rPr>
            </w:pPr>
            <w:r w:rsidRPr="00B510A6">
              <w:rPr>
                <w:sz w:val="17"/>
                <w:szCs w:val="17"/>
              </w:rPr>
              <w:t>Clay loam to silty clay loam</w:t>
            </w:r>
          </w:p>
        </w:tc>
        <w:tc>
          <w:tcPr>
            <w:tcW w:w="1381" w:type="dxa"/>
            <w:shd w:val="clear" w:color="auto" w:fill="FFFFFF" w:themeFill="background1"/>
            <w:vAlign w:val="center"/>
          </w:tcPr>
          <w:p w14:paraId="5C382CDF" w14:textId="77777777" w:rsidR="00A078B2" w:rsidRPr="00B510A6" w:rsidRDefault="00A078B2" w:rsidP="0004202C">
            <w:pPr>
              <w:pStyle w:val="TableText"/>
              <w:jc w:val="center"/>
              <w:rPr>
                <w:sz w:val="17"/>
                <w:szCs w:val="17"/>
              </w:rPr>
            </w:pPr>
            <w:r w:rsidRPr="00B510A6">
              <w:rPr>
                <w:sz w:val="17"/>
                <w:szCs w:val="17"/>
              </w:rPr>
              <w:t>Loam to silt loam</w:t>
            </w:r>
          </w:p>
        </w:tc>
        <w:tc>
          <w:tcPr>
            <w:tcW w:w="1166" w:type="dxa"/>
            <w:shd w:val="clear" w:color="auto" w:fill="FFFFFF" w:themeFill="background1"/>
            <w:vAlign w:val="center"/>
          </w:tcPr>
          <w:p w14:paraId="721E5EBF" w14:textId="77777777" w:rsidR="00A078B2" w:rsidRPr="00B510A6" w:rsidRDefault="00A078B2" w:rsidP="0004202C">
            <w:pPr>
              <w:pStyle w:val="TableText"/>
              <w:jc w:val="center"/>
              <w:rPr>
                <w:sz w:val="17"/>
                <w:szCs w:val="17"/>
              </w:rPr>
            </w:pPr>
            <w:r w:rsidRPr="00B510A6">
              <w:rPr>
                <w:sz w:val="17"/>
                <w:szCs w:val="17"/>
              </w:rPr>
              <w:t>Loamy fine sand to coarse sandy loam</w:t>
            </w:r>
          </w:p>
        </w:tc>
        <w:tc>
          <w:tcPr>
            <w:tcW w:w="1134" w:type="dxa"/>
            <w:shd w:val="clear" w:color="auto" w:fill="FFFFFF" w:themeFill="background1"/>
            <w:vAlign w:val="center"/>
          </w:tcPr>
          <w:p w14:paraId="1225A945" w14:textId="77777777" w:rsidR="00A078B2" w:rsidRPr="00B510A6" w:rsidRDefault="00A078B2" w:rsidP="0004202C">
            <w:pPr>
              <w:pStyle w:val="TableText"/>
              <w:jc w:val="center"/>
              <w:rPr>
                <w:sz w:val="17"/>
                <w:szCs w:val="17"/>
              </w:rPr>
            </w:pPr>
            <w:r w:rsidRPr="00B510A6">
              <w:rPr>
                <w:sz w:val="17"/>
                <w:szCs w:val="17"/>
              </w:rPr>
              <w:t>Sand</w:t>
            </w:r>
          </w:p>
        </w:tc>
      </w:tr>
      <w:tr w:rsidR="003B4699" w:rsidRPr="00B510A6" w14:paraId="5E51B7C7" w14:textId="77777777" w:rsidTr="009027A9">
        <w:tc>
          <w:tcPr>
            <w:tcW w:w="1606" w:type="dxa"/>
            <w:vMerge/>
            <w:shd w:val="clear" w:color="auto" w:fill="FFFFFF" w:themeFill="background1"/>
            <w:vAlign w:val="center"/>
          </w:tcPr>
          <w:p w14:paraId="0310B0A3" w14:textId="77777777" w:rsidR="00A078B2" w:rsidRPr="00B510A6" w:rsidRDefault="00A078B2" w:rsidP="00894975">
            <w:pPr>
              <w:spacing w:line="259" w:lineRule="auto"/>
              <w:rPr>
                <w:rFonts w:cs="Arial"/>
                <w:sz w:val="17"/>
                <w:szCs w:val="17"/>
              </w:rPr>
            </w:pPr>
          </w:p>
        </w:tc>
        <w:tc>
          <w:tcPr>
            <w:tcW w:w="1206" w:type="dxa"/>
            <w:shd w:val="clear" w:color="auto" w:fill="FFFFFF" w:themeFill="background1"/>
            <w:vAlign w:val="center"/>
          </w:tcPr>
          <w:p w14:paraId="32550CCC" w14:textId="77777777" w:rsidR="00A078B2" w:rsidRPr="00B510A6" w:rsidRDefault="00A078B2" w:rsidP="0004202C">
            <w:pPr>
              <w:pStyle w:val="TableText"/>
              <w:jc w:val="center"/>
              <w:rPr>
                <w:sz w:val="17"/>
                <w:szCs w:val="17"/>
              </w:rPr>
            </w:pPr>
            <w:r w:rsidRPr="00B510A6">
              <w:rPr>
                <w:sz w:val="17"/>
                <w:szCs w:val="17"/>
              </w:rPr>
              <w:t>Permeability</w:t>
            </w:r>
          </w:p>
        </w:tc>
        <w:tc>
          <w:tcPr>
            <w:tcW w:w="939" w:type="dxa"/>
            <w:shd w:val="clear" w:color="auto" w:fill="FFFFFF" w:themeFill="background1"/>
            <w:vAlign w:val="center"/>
          </w:tcPr>
          <w:p w14:paraId="03D8AEB4" w14:textId="77777777" w:rsidR="00A078B2" w:rsidRPr="00B510A6" w:rsidRDefault="00A078B2" w:rsidP="0004202C">
            <w:pPr>
              <w:pStyle w:val="TableText"/>
              <w:jc w:val="center"/>
              <w:rPr>
                <w:sz w:val="17"/>
                <w:szCs w:val="17"/>
              </w:rPr>
            </w:pPr>
            <w:r w:rsidRPr="00B510A6">
              <w:rPr>
                <w:sz w:val="17"/>
                <w:szCs w:val="17"/>
              </w:rPr>
              <w:t>N/A</w:t>
            </w:r>
          </w:p>
        </w:tc>
        <w:tc>
          <w:tcPr>
            <w:tcW w:w="1073" w:type="dxa"/>
            <w:shd w:val="clear" w:color="auto" w:fill="FFFFFF" w:themeFill="background1"/>
            <w:vAlign w:val="center"/>
          </w:tcPr>
          <w:p w14:paraId="2AB2E989" w14:textId="77777777" w:rsidR="00A078B2" w:rsidRPr="00B510A6" w:rsidRDefault="00A078B2" w:rsidP="0004202C">
            <w:pPr>
              <w:pStyle w:val="TableText"/>
              <w:jc w:val="center"/>
              <w:rPr>
                <w:sz w:val="17"/>
                <w:szCs w:val="17"/>
              </w:rPr>
            </w:pPr>
            <w:r w:rsidRPr="00B510A6">
              <w:rPr>
                <w:sz w:val="17"/>
                <w:szCs w:val="17"/>
              </w:rPr>
              <w:t>Infrequent irrigation on well-drained soils</w:t>
            </w:r>
          </w:p>
        </w:tc>
        <w:tc>
          <w:tcPr>
            <w:tcW w:w="1381" w:type="dxa"/>
            <w:shd w:val="clear" w:color="auto" w:fill="FFFFFF" w:themeFill="background1"/>
            <w:vAlign w:val="center"/>
          </w:tcPr>
          <w:p w14:paraId="2CB604D0" w14:textId="77777777" w:rsidR="00A078B2" w:rsidRPr="00B510A6" w:rsidRDefault="00A078B2" w:rsidP="0004202C">
            <w:pPr>
              <w:pStyle w:val="TableText"/>
              <w:jc w:val="center"/>
              <w:rPr>
                <w:sz w:val="17"/>
                <w:szCs w:val="17"/>
              </w:rPr>
            </w:pPr>
            <w:r w:rsidRPr="00B510A6">
              <w:rPr>
                <w:sz w:val="17"/>
                <w:szCs w:val="17"/>
              </w:rPr>
              <w:t>Moderate irrigation on soils with slopes &lt; 5%</w:t>
            </w:r>
          </w:p>
        </w:tc>
        <w:tc>
          <w:tcPr>
            <w:tcW w:w="1166" w:type="dxa"/>
            <w:shd w:val="clear" w:color="auto" w:fill="FFFFFF" w:themeFill="background1"/>
            <w:vAlign w:val="center"/>
          </w:tcPr>
          <w:p w14:paraId="5DE36372" w14:textId="77777777" w:rsidR="00A078B2" w:rsidRPr="00B510A6" w:rsidRDefault="00A078B2" w:rsidP="0004202C">
            <w:pPr>
              <w:pStyle w:val="TableText"/>
              <w:jc w:val="center"/>
              <w:rPr>
                <w:sz w:val="17"/>
                <w:szCs w:val="17"/>
              </w:rPr>
            </w:pPr>
            <w:r w:rsidRPr="00B510A6">
              <w:rPr>
                <w:sz w:val="17"/>
                <w:szCs w:val="17"/>
              </w:rPr>
              <w:t>Frequent irrigation on soils with slopes of 2</w:t>
            </w:r>
            <w:r w:rsidR="0046660A">
              <w:rPr>
                <w:sz w:val="17"/>
                <w:szCs w:val="17"/>
              </w:rPr>
              <w:t>%</w:t>
            </w:r>
            <w:r w:rsidRPr="00B510A6">
              <w:rPr>
                <w:sz w:val="17"/>
                <w:szCs w:val="17"/>
              </w:rPr>
              <w:t xml:space="preserve"> to 5%</w:t>
            </w:r>
          </w:p>
        </w:tc>
        <w:tc>
          <w:tcPr>
            <w:tcW w:w="1134" w:type="dxa"/>
            <w:shd w:val="clear" w:color="auto" w:fill="FFFFFF" w:themeFill="background1"/>
            <w:vAlign w:val="center"/>
          </w:tcPr>
          <w:p w14:paraId="776AFBFB" w14:textId="77777777" w:rsidR="00A078B2" w:rsidRPr="00B510A6" w:rsidRDefault="00A078B2" w:rsidP="0004202C">
            <w:pPr>
              <w:pStyle w:val="TableText"/>
              <w:jc w:val="center"/>
              <w:rPr>
                <w:sz w:val="17"/>
                <w:szCs w:val="17"/>
              </w:rPr>
            </w:pPr>
            <w:r w:rsidRPr="00B510A6">
              <w:rPr>
                <w:sz w:val="17"/>
                <w:szCs w:val="17"/>
              </w:rPr>
              <w:t>Frequent irrigation on soils with slopes &lt; 5%</w:t>
            </w:r>
          </w:p>
        </w:tc>
      </w:tr>
      <w:tr w:rsidR="00A078B2" w:rsidRPr="00B510A6" w14:paraId="241269C7" w14:textId="77777777" w:rsidTr="009027A9">
        <w:tc>
          <w:tcPr>
            <w:tcW w:w="1606" w:type="dxa"/>
            <w:vMerge/>
            <w:tcBorders>
              <w:bottom w:val="single" w:sz="4" w:space="0" w:color="1C556C" w:themeColor="accent1"/>
            </w:tcBorders>
            <w:shd w:val="clear" w:color="auto" w:fill="FFFFFF" w:themeFill="background1"/>
            <w:vAlign w:val="center"/>
          </w:tcPr>
          <w:p w14:paraId="00044735" w14:textId="77777777" w:rsidR="00A078B2" w:rsidRPr="00B510A6" w:rsidRDefault="00A078B2" w:rsidP="00894975">
            <w:pPr>
              <w:spacing w:line="259" w:lineRule="auto"/>
              <w:rPr>
                <w:rFonts w:cs="Arial"/>
                <w:sz w:val="17"/>
                <w:szCs w:val="17"/>
              </w:rPr>
            </w:pPr>
          </w:p>
        </w:tc>
        <w:tc>
          <w:tcPr>
            <w:tcW w:w="6899" w:type="dxa"/>
            <w:gridSpan w:val="6"/>
            <w:tcBorders>
              <w:bottom w:val="single" w:sz="4" w:space="0" w:color="1C556C" w:themeColor="accent1"/>
            </w:tcBorders>
            <w:shd w:val="clear" w:color="auto" w:fill="FFFFFF" w:themeFill="background1"/>
            <w:vAlign w:val="center"/>
          </w:tcPr>
          <w:p w14:paraId="3F2C5DAC" w14:textId="77777777" w:rsidR="00A078B2" w:rsidRPr="00B510A6" w:rsidRDefault="00A078B2" w:rsidP="0004202C">
            <w:pPr>
              <w:pStyle w:val="TableTextbold"/>
              <w:jc w:val="center"/>
              <w:rPr>
                <w:sz w:val="17"/>
                <w:szCs w:val="17"/>
              </w:rPr>
            </w:pPr>
            <w:r w:rsidRPr="00B510A6">
              <w:rPr>
                <w:sz w:val="17"/>
                <w:szCs w:val="17"/>
              </w:rPr>
              <w:t>A score = texture rating x permeability rating</w:t>
            </w:r>
          </w:p>
        </w:tc>
      </w:tr>
      <w:tr w:rsidR="00A078B2" w:rsidRPr="00B510A6" w14:paraId="2187B230" w14:textId="77777777" w:rsidTr="009027A9">
        <w:tc>
          <w:tcPr>
            <w:tcW w:w="1606" w:type="dxa"/>
            <w:vMerge w:val="restart"/>
            <w:shd w:val="clear" w:color="auto" w:fill="D2DDE2" w:themeFill="accent3"/>
            <w:vAlign w:val="center"/>
          </w:tcPr>
          <w:p w14:paraId="7170B3E8" w14:textId="77777777" w:rsidR="00A078B2" w:rsidRPr="00B510A6" w:rsidRDefault="00A078B2" w:rsidP="0004202C">
            <w:pPr>
              <w:pStyle w:val="TableTextbold"/>
              <w:jc w:val="center"/>
              <w:rPr>
                <w:sz w:val="17"/>
                <w:szCs w:val="17"/>
              </w:rPr>
            </w:pPr>
            <w:r w:rsidRPr="00B510A6">
              <w:rPr>
                <w:sz w:val="17"/>
                <w:szCs w:val="17"/>
              </w:rPr>
              <w:t>Part B</w:t>
            </w:r>
          </w:p>
          <w:p w14:paraId="0BB2C977" w14:textId="77777777" w:rsidR="00A078B2" w:rsidRPr="00B510A6" w:rsidRDefault="00A078B2" w:rsidP="0004202C">
            <w:pPr>
              <w:pStyle w:val="TableText"/>
              <w:jc w:val="center"/>
              <w:rPr>
                <w:sz w:val="17"/>
                <w:szCs w:val="17"/>
              </w:rPr>
            </w:pPr>
            <w:r w:rsidRPr="00B510A6">
              <w:rPr>
                <w:sz w:val="17"/>
                <w:szCs w:val="17"/>
              </w:rPr>
              <w:t>Nitrogen</w:t>
            </w:r>
            <w:r w:rsidRPr="00B510A6">
              <w:rPr>
                <w:i/>
                <w:iCs/>
                <w:sz w:val="17"/>
                <w:szCs w:val="17"/>
              </w:rPr>
              <w:t xml:space="preserve"> Source</w:t>
            </w:r>
            <w:r w:rsidRPr="00B510A6">
              <w:rPr>
                <w:sz w:val="17"/>
                <w:szCs w:val="17"/>
              </w:rPr>
              <w:t xml:space="preserve"> Characteristics</w:t>
            </w:r>
          </w:p>
        </w:tc>
        <w:tc>
          <w:tcPr>
            <w:tcW w:w="6899" w:type="dxa"/>
            <w:gridSpan w:val="6"/>
            <w:shd w:val="clear" w:color="auto" w:fill="D2DDE2" w:themeFill="accent3"/>
            <w:vAlign w:val="center"/>
          </w:tcPr>
          <w:p w14:paraId="64E78935" w14:textId="77777777" w:rsidR="00A078B2" w:rsidRPr="00B510A6" w:rsidRDefault="00A078B2" w:rsidP="0004202C">
            <w:pPr>
              <w:pStyle w:val="TableText"/>
              <w:jc w:val="center"/>
              <w:rPr>
                <w:sz w:val="17"/>
                <w:szCs w:val="17"/>
              </w:rPr>
            </w:pPr>
            <w:r w:rsidRPr="00B510A6">
              <w:rPr>
                <w:b/>
                <w:bCs/>
                <w:sz w:val="17"/>
                <w:szCs w:val="17"/>
              </w:rPr>
              <w:t>Soil LRV</w:t>
            </w:r>
            <w:r w:rsidRPr="00B510A6">
              <w:rPr>
                <w:sz w:val="17"/>
                <w:szCs w:val="17"/>
              </w:rPr>
              <w:t xml:space="preserve"> = Soil Test P (mg P </w:t>
            </w:r>
            <w:proofErr w:type="gramStart"/>
            <w:r w:rsidRPr="00B510A6">
              <w:rPr>
                <w:sz w:val="17"/>
                <w:szCs w:val="17"/>
              </w:rPr>
              <w:t>kg</w:t>
            </w:r>
            <w:r w:rsidRPr="00B510A6">
              <w:rPr>
                <w:sz w:val="17"/>
                <w:szCs w:val="17"/>
                <w:vertAlign w:val="superscript"/>
              </w:rPr>
              <w:t>-1</w:t>
            </w:r>
            <w:proofErr w:type="gramEnd"/>
            <w:r w:rsidRPr="00B510A6">
              <w:rPr>
                <w:sz w:val="17"/>
                <w:szCs w:val="17"/>
              </w:rPr>
              <w:t>) x 0.2 x CP</w:t>
            </w:r>
          </w:p>
        </w:tc>
      </w:tr>
      <w:tr w:rsidR="00A078B2" w:rsidRPr="00B510A6" w14:paraId="26D05854" w14:textId="77777777" w:rsidTr="009027A9">
        <w:tc>
          <w:tcPr>
            <w:tcW w:w="1606" w:type="dxa"/>
            <w:vMerge/>
            <w:shd w:val="clear" w:color="auto" w:fill="D2DDE2" w:themeFill="accent3"/>
          </w:tcPr>
          <w:p w14:paraId="6DCB9F8B" w14:textId="77777777" w:rsidR="00A078B2" w:rsidRPr="00B510A6" w:rsidRDefault="00A078B2" w:rsidP="00894975">
            <w:pPr>
              <w:spacing w:line="259" w:lineRule="auto"/>
              <w:rPr>
                <w:rFonts w:cs="Arial"/>
                <w:sz w:val="17"/>
                <w:szCs w:val="17"/>
              </w:rPr>
            </w:pPr>
          </w:p>
        </w:tc>
        <w:tc>
          <w:tcPr>
            <w:tcW w:w="6899" w:type="dxa"/>
            <w:gridSpan w:val="6"/>
            <w:shd w:val="clear" w:color="auto" w:fill="D2DDE2" w:themeFill="accent3"/>
            <w:vAlign w:val="center"/>
          </w:tcPr>
          <w:p w14:paraId="37B49BF8" w14:textId="77777777" w:rsidR="00A078B2" w:rsidRPr="00B510A6" w:rsidRDefault="00A078B2" w:rsidP="002808A9">
            <w:pPr>
              <w:pStyle w:val="TableText"/>
              <w:jc w:val="center"/>
              <w:rPr>
                <w:sz w:val="17"/>
                <w:szCs w:val="17"/>
              </w:rPr>
            </w:pPr>
            <w:r w:rsidRPr="00B510A6">
              <w:rPr>
                <w:sz w:val="17"/>
                <w:szCs w:val="17"/>
              </w:rPr>
              <w:t xml:space="preserve">Fertiliser rate = kg P </w:t>
            </w:r>
            <w:proofErr w:type="gramStart"/>
            <w:r w:rsidRPr="00B510A6">
              <w:rPr>
                <w:sz w:val="17"/>
                <w:szCs w:val="17"/>
              </w:rPr>
              <w:t>ha</w:t>
            </w:r>
            <w:r w:rsidRPr="00B510A6">
              <w:rPr>
                <w:sz w:val="17"/>
                <w:szCs w:val="17"/>
                <w:vertAlign w:val="superscript"/>
              </w:rPr>
              <w:t>-1</w:t>
            </w:r>
            <w:proofErr w:type="gramEnd"/>
          </w:p>
        </w:tc>
      </w:tr>
      <w:tr w:rsidR="00F65D9F" w:rsidRPr="00B510A6" w14:paraId="7BADEA2B" w14:textId="77777777" w:rsidTr="009027A9">
        <w:tc>
          <w:tcPr>
            <w:tcW w:w="1606" w:type="dxa"/>
            <w:vMerge/>
            <w:shd w:val="clear" w:color="auto" w:fill="D2DDE2" w:themeFill="accent3"/>
          </w:tcPr>
          <w:p w14:paraId="21D96330" w14:textId="77777777" w:rsidR="00A078B2" w:rsidRPr="00B510A6" w:rsidRDefault="00A078B2" w:rsidP="00894975">
            <w:pPr>
              <w:spacing w:line="259" w:lineRule="auto"/>
              <w:rPr>
                <w:rFonts w:cs="Arial"/>
                <w:sz w:val="17"/>
                <w:szCs w:val="17"/>
              </w:rPr>
            </w:pPr>
          </w:p>
        </w:tc>
        <w:tc>
          <w:tcPr>
            <w:tcW w:w="1206" w:type="dxa"/>
            <w:shd w:val="clear" w:color="auto" w:fill="D2DDE2" w:themeFill="accent3"/>
            <w:vAlign w:val="center"/>
          </w:tcPr>
          <w:p w14:paraId="2BBEE5A8" w14:textId="77777777" w:rsidR="00A078B2" w:rsidRPr="00B510A6" w:rsidRDefault="00A078B2" w:rsidP="0004202C">
            <w:pPr>
              <w:pStyle w:val="TableText"/>
              <w:jc w:val="center"/>
              <w:rPr>
                <w:sz w:val="17"/>
                <w:szCs w:val="17"/>
              </w:rPr>
            </w:pPr>
            <w:r w:rsidRPr="00B510A6">
              <w:rPr>
                <w:sz w:val="17"/>
                <w:szCs w:val="17"/>
              </w:rPr>
              <w:t>Fertiliser application method and timing</w:t>
            </w:r>
          </w:p>
        </w:tc>
        <w:tc>
          <w:tcPr>
            <w:tcW w:w="939" w:type="dxa"/>
            <w:shd w:val="clear" w:color="auto" w:fill="D2DDE2" w:themeFill="accent3"/>
            <w:vAlign w:val="center"/>
          </w:tcPr>
          <w:p w14:paraId="557D20DE" w14:textId="77777777" w:rsidR="00A078B2" w:rsidRPr="00B510A6" w:rsidRDefault="00A078B2" w:rsidP="0004202C">
            <w:pPr>
              <w:pStyle w:val="TableTextbold"/>
              <w:spacing w:after="0"/>
              <w:jc w:val="center"/>
              <w:rPr>
                <w:sz w:val="17"/>
                <w:szCs w:val="17"/>
              </w:rPr>
            </w:pPr>
            <w:r w:rsidRPr="00B510A6">
              <w:rPr>
                <w:sz w:val="17"/>
                <w:szCs w:val="17"/>
              </w:rPr>
              <w:t>Very low</w:t>
            </w:r>
          </w:p>
          <w:p w14:paraId="3C62BF63" w14:textId="77777777" w:rsidR="00A078B2" w:rsidRPr="00B510A6" w:rsidRDefault="00A078B2" w:rsidP="002808A9">
            <w:pPr>
              <w:pStyle w:val="TableTextbold"/>
              <w:spacing w:before="0" w:after="0"/>
              <w:jc w:val="center"/>
              <w:rPr>
                <w:sz w:val="17"/>
                <w:szCs w:val="17"/>
              </w:rPr>
            </w:pPr>
            <w:r w:rsidRPr="00B510A6">
              <w:rPr>
                <w:sz w:val="17"/>
                <w:szCs w:val="17"/>
              </w:rPr>
              <w:t>(0.2)</w:t>
            </w:r>
          </w:p>
          <w:p w14:paraId="33551188" w14:textId="6929C54A" w:rsidR="00A078B2" w:rsidRPr="00B510A6" w:rsidRDefault="00A078B2" w:rsidP="0004202C">
            <w:pPr>
              <w:pStyle w:val="TableText"/>
              <w:jc w:val="center"/>
              <w:rPr>
                <w:sz w:val="17"/>
                <w:szCs w:val="17"/>
              </w:rPr>
            </w:pPr>
            <w:r w:rsidRPr="00B510A6">
              <w:rPr>
                <w:sz w:val="17"/>
                <w:szCs w:val="17"/>
              </w:rPr>
              <w:t>Placed with planter or injected more than 2</w:t>
            </w:r>
            <w:r w:rsidR="0021340F">
              <w:rPr>
                <w:sz w:val="17"/>
                <w:szCs w:val="17"/>
              </w:rPr>
              <w:t xml:space="preserve"> inches</w:t>
            </w:r>
            <w:r w:rsidRPr="00B510A6">
              <w:rPr>
                <w:sz w:val="17"/>
                <w:szCs w:val="17"/>
              </w:rPr>
              <w:t xml:space="preserve"> deep</w:t>
            </w:r>
          </w:p>
        </w:tc>
        <w:tc>
          <w:tcPr>
            <w:tcW w:w="1073" w:type="dxa"/>
            <w:shd w:val="clear" w:color="auto" w:fill="D2DDE2" w:themeFill="accent3"/>
            <w:vAlign w:val="center"/>
          </w:tcPr>
          <w:p w14:paraId="618E5CB4" w14:textId="77777777" w:rsidR="00A078B2" w:rsidRPr="00B510A6" w:rsidRDefault="00A078B2" w:rsidP="0004202C">
            <w:pPr>
              <w:pStyle w:val="TableTextbold"/>
              <w:spacing w:after="0"/>
              <w:jc w:val="center"/>
              <w:rPr>
                <w:sz w:val="17"/>
                <w:szCs w:val="17"/>
              </w:rPr>
            </w:pPr>
            <w:r w:rsidRPr="00B510A6">
              <w:rPr>
                <w:sz w:val="17"/>
                <w:szCs w:val="17"/>
              </w:rPr>
              <w:t>Low</w:t>
            </w:r>
          </w:p>
          <w:p w14:paraId="2D875E7A" w14:textId="77777777" w:rsidR="00A078B2" w:rsidRPr="00B510A6" w:rsidRDefault="00A078B2" w:rsidP="002808A9">
            <w:pPr>
              <w:pStyle w:val="TableTextbold"/>
              <w:spacing w:before="0" w:after="0"/>
              <w:jc w:val="center"/>
              <w:rPr>
                <w:sz w:val="17"/>
                <w:szCs w:val="17"/>
              </w:rPr>
            </w:pPr>
            <w:r w:rsidRPr="00B510A6">
              <w:rPr>
                <w:sz w:val="17"/>
                <w:szCs w:val="17"/>
              </w:rPr>
              <w:t>(0.4)</w:t>
            </w:r>
          </w:p>
          <w:p w14:paraId="3D40362D" w14:textId="77777777" w:rsidR="00A078B2" w:rsidRPr="00B510A6" w:rsidRDefault="00A078B2" w:rsidP="0004202C">
            <w:pPr>
              <w:pStyle w:val="TableText"/>
              <w:jc w:val="center"/>
              <w:rPr>
                <w:sz w:val="17"/>
                <w:szCs w:val="17"/>
              </w:rPr>
            </w:pPr>
            <w:r w:rsidRPr="00B510A6">
              <w:rPr>
                <w:sz w:val="17"/>
                <w:szCs w:val="17"/>
              </w:rPr>
              <w:t>Incorporated &lt; 1 week after application</w:t>
            </w:r>
          </w:p>
          <w:p w14:paraId="636B3D9A" w14:textId="77777777" w:rsidR="00A078B2" w:rsidRPr="00B510A6" w:rsidRDefault="00A078B2" w:rsidP="002808A9">
            <w:pPr>
              <w:spacing w:line="259" w:lineRule="auto"/>
              <w:rPr>
                <w:rFonts w:cs="Arial"/>
                <w:sz w:val="17"/>
                <w:szCs w:val="17"/>
              </w:rPr>
            </w:pPr>
          </w:p>
        </w:tc>
        <w:tc>
          <w:tcPr>
            <w:tcW w:w="1381" w:type="dxa"/>
            <w:shd w:val="clear" w:color="auto" w:fill="D2DDE2" w:themeFill="accent3"/>
            <w:vAlign w:val="center"/>
          </w:tcPr>
          <w:p w14:paraId="2427344F" w14:textId="77777777" w:rsidR="00A078B2" w:rsidRPr="00B510A6" w:rsidRDefault="00A078B2" w:rsidP="0004202C">
            <w:pPr>
              <w:pStyle w:val="TableTextbold"/>
              <w:spacing w:after="0"/>
              <w:jc w:val="center"/>
              <w:rPr>
                <w:sz w:val="17"/>
                <w:szCs w:val="17"/>
              </w:rPr>
            </w:pPr>
            <w:r w:rsidRPr="00B510A6">
              <w:rPr>
                <w:sz w:val="17"/>
                <w:szCs w:val="17"/>
              </w:rPr>
              <w:t>Medium</w:t>
            </w:r>
          </w:p>
          <w:p w14:paraId="0F0E7BBE" w14:textId="77777777" w:rsidR="00A078B2" w:rsidRPr="00B510A6" w:rsidRDefault="00A078B2" w:rsidP="002808A9">
            <w:pPr>
              <w:pStyle w:val="TableTextbold"/>
              <w:spacing w:before="0" w:after="0"/>
              <w:jc w:val="center"/>
              <w:rPr>
                <w:sz w:val="17"/>
                <w:szCs w:val="17"/>
              </w:rPr>
            </w:pPr>
            <w:r w:rsidRPr="00B510A6">
              <w:rPr>
                <w:sz w:val="17"/>
                <w:szCs w:val="17"/>
              </w:rPr>
              <w:t>(0.6)</w:t>
            </w:r>
          </w:p>
          <w:p w14:paraId="39ADCE9D" w14:textId="671B80D2" w:rsidR="00A078B2" w:rsidRPr="00B510A6" w:rsidRDefault="00A078B2" w:rsidP="0004202C">
            <w:pPr>
              <w:pStyle w:val="TableText"/>
              <w:jc w:val="center"/>
              <w:rPr>
                <w:sz w:val="17"/>
                <w:szCs w:val="17"/>
              </w:rPr>
            </w:pPr>
            <w:r w:rsidRPr="00B510A6">
              <w:rPr>
                <w:sz w:val="17"/>
                <w:szCs w:val="17"/>
              </w:rPr>
              <w:t>Incorporated &gt;</w:t>
            </w:r>
            <w:r w:rsidR="002808A9" w:rsidRPr="00B510A6">
              <w:rPr>
                <w:sz w:val="17"/>
                <w:szCs w:val="17"/>
              </w:rPr>
              <w:t> </w:t>
            </w:r>
            <w:r w:rsidRPr="00B510A6">
              <w:rPr>
                <w:sz w:val="17"/>
                <w:szCs w:val="17"/>
              </w:rPr>
              <w:t>1</w:t>
            </w:r>
            <w:r w:rsidR="002808A9" w:rsidRPr="00B510A6">
              <w:rPr>
                <w:sz w:val="17"/>
                <w:szCs w:val="17"/>
              </w:rPr>
              <w:t> </w:t>
            </w:r>
            <w:r w:rsidRPr="00B510A6">
              <w:rPr>
                <w:sz w:val="17"/>
                <w:szCs w:val="17"/>
              </w:rPr>
              <w:t>week or not incorporated &gt;</w:t>
            </w:r>
            <w:r w:rsidR="002808A9" w:rsidRPr="00B510A6">
              <w:rPr>
                <w:sz w:val="17"/>
                <w:szCs w:val="17"/>
              </w:rPr>
              <w:t> </w:t>
            </w:r>
            <w:r w:rsidRPr="00B510A6">
              <w:rPr>
                <w:sz w:val="17"/>
                <w:szCs w:val="17"/>
              </w:rPr>
              <w:t>1</w:t>
            </w:r>
            <w:r w:rsidR="002808A9" w:rsidRPr="00B510A6">
              <w:rPr>
                <w:sz w:val="17"/>
                <w:szCs w:val="17"/>
              </w:rPr>
              <w:t> </w:t>
            </w:r>
            <w:r w:rsidRPr="00B510A6">
              <w:rPr>
                <w:sz w:val="17"/>
                <w:szCs w:val="17"/>
              </w:rPr>
              <w:t xml:space="preserve">week following application </w:t>
            </w:r>
            <w:r w:rsidR="00213441">
              <w:rPr>
                <w:sz w:val="17"/>
                <w:szCs w:val="17"/>
              </w:rPr>
              <w:br/>
            </w:r>
            <w:r w:rsidRPr="00B510A6">
              <w:rPr>
                <w:sz w:val="17"/>
                <w:szCs w:val="17"/>
              </w:rPr>
              <w:t>May</w:t>
            </w:r>
            <w:r w:rsidR="00213441">
              <w:rPr>
                <w:sz w:val="17"/>
                <w:szCs w:val="17"/>
              </w:rPr>
              <w:t>–</w:t>
            </w:r>
            <w:r w:rsidRPr="00B510A6">
              <w:rPr>
                <w:sz w:val="17"/>
                <w:szCs w:val="17"/>
              </w:rPr>
              <w:t>Oct</w:t>
            </w:r>
          </w:p>
        </w:tc>
        <w:tc>
          <w:tcPr>
            <w:tcW w:w="1166" w:type="dxa"/>
            <w:shd w:val="clear" w:color="auto" w:fill="D2DDE2" w:themeFill="accent3"/>
            <w:vAlign w:val="center"/>
          </w:tcPr>
          <w:p w14:paraId="5BDC256A" w14:textId="77777777" w:rsidR="00A078B2" w:rsidRPr="00B510A6" w:rsidRDefault="00A078B2" w:rsidP="0004202C">
            <w:pPr>
              <w:pStyle w:val="TableTextbold"/>
              <w:spacing w:after="0"/>
              <w:jc w:val="center"/>
              <w:rPr>
                <w:sz w:val="17"/>
                <w:szCs w:val="17"/>
              </w:rPr>
            </w:pPr>
            <w:r w:rsidRPr="00B510A6">
              <w:rPr>
                <w:sz w:val="17"/>
                <w:szCs w:val="17"/>
              </w:rPr>
              <w:t>High</w:t>
            </w:r>
          </w:p>
          <w:p w14:paraId="27943F2E" w14:textId="77777777" w:rsidR="00A078B2" w:rsidRPr="00B510A6" w:rsidRDefault="00A078B2" w:rsidP="002808A9">
            <w:pPr>
              <w:pStyle w:val="TableTextbold"/>
              <w:spacing w:before="0" w:after="0"/>
              <w:jc w:val="center"/>
              <w:rPr>
                <w:sz w:val="17"/>
                <w:szCs w:val="17"/>
              </w:rPr>
            </w:pPr>
            <w:r w:rsidRPr="00B510A6">
              <w:rPr>
                <w:sz w:val="17"/>
                <w:szCs w:val="17"/>
              </w:rPr>
              <w:t>(0.8)</w:t>
            </w:r>
          </w:p>
          <w:p w14:paraId="7D48A239" w14:textId="056C7BDF" w:rsidR="00A078B2" w:rsidRPr="00B510A6" w:rsidRDefault="00A078B2" w:rsidP="0004202C">
            <w:pPr>
              <w:pStyle w:val="TableText"/>
              <w:jc w:val="center"/>
              <w:rPr>
                <w:sz w:val="17"/>
                <w:szCs w:val="17"/>
              </w:rPr>
            </w:pPr>
            <w:r w:rsidRPr="00B510A6">
              <w:rPr>
                <w:sz w:val="17"/>
                <w:szCs w:val="17"/>
              </w:rPr>
              <w:t>Incorporated &gt;</w:t>
            </w:r>
            <w:r w:rsidR="006D1D15" w:rsidRPr="00B510A6">
              <w:rPr>
                <w:sz w:val="17"/>
                <w:szCs w:val="17"/>
              </w:rPr>
              <w:t> </w:t>
            </w:r>
            <w:r w:rsidRPr="00B510A6">
              <w:rPr>
                <w:sz w:val="17"/>
                <w:szCs w:val="17"/>
              </w:rPr>
              <w:t>1 week or not incorporated following application Nov</w:t>
            </w:r>
            <w:r w:rsidR="00213441">
              <w:rPr>
                <w:sz w:val="17"/>
                <w:szCs w:val="17"/>
              </w:rPr>
              <w:t>–</w:t>
            </w:r>
            <w:r w:rsidRPr="00B510A6">
              <w:rPr>
                <w:sz w:val="17"/>
                <w:szCs w:val="17"/>
              </w:rPr>
              <w:t>Apr</w:t>
            </w:r>
          </w:p>
        </w:tc>
        <w:tc>
          <w:tcPr>
            <w:tcW w:w="1134" w:type="dxa"/>
            <w:shd w:val="clear" w:color="auto" w:fill="D2DDE2" w:themeFill="accent3"/>
            <w:vAlign w:val="center"/>
          </w:tcPr>
          <w:p w14:paraId="66844EBB" w14:textId="5DC4EA2B" w:rsidR="00A078B2" w:rsidRPr="00B510A6" w:rsidRDefault="00A078B2" w:rsidP="0004202C">
            <w:pPr>
              <w:pStyle w:val="TableTextbold"/>
              <w:spacing w:after="0"/>
              <w:jc w:val="center"/>
              <w:rPr>
                <w:sz w:val="17"/>
                <w:szCs w:val="17"/>
              </w:rPr>
            </w:pPr>
            <w:r w:rsidRPr="00B510A6">
              <w:rPr>
                <w:sz w:val="17"/>
                <w:szCs w:val="17"/>
              </w:rPr>
              <w:t xml:space="preserve">Very </w:t>
            </w:r>
            <w:r w:rsidR="002108ED">
              <w:rPr>
                <w:sz w:val="17"/>
                <w:szCs w:val="17"/>
              </w:rPr>
              <w:t>h</w:t>
            </w:r>
            <w:r w:rsidRPr="00B510A6">
              <w:rPr>
                <w:sz w:val="17"/>
                <w:szCs w:val="17"/>
              </w:rPr>
              <w:t>igh</w:t>
            </w:r>
          </w:p>
          <w:p w14:paraId="7CCD36AB" w14:textId="77777777" w:rsidR="00A078B2" w:rsidRPr="00B510A6" w:rsidRDefault="00A078B2" w:rsidP="002808A9">
            <w:pPr>
              <w:pStyle w:val="TableTextbold"/>
              <w:spacing w:before="0" w:after="0"/>
              <w:jc w:val="center"/>
              <w:rPr>
                <w:sz w:val="17"/>
                <w:szCs w:val="17"/>
              </w:rPr>
            </w:pPr>
            <w:r w:rsidRPr="00B510A6">
              <w:rPr>
                <w:sz w:val="17"/>
                <w:szCs w:val="17"/>
              </w:rPr>
              <w:t>1</w:t>
            </w:r>
          </w:p>
          <w:p w14:paraId="67B73D0C" w14:textId="77777777" w:rsidR="00A078B2" w:rsidRPr="00B510A6" w:rsidRDefault="00A078B2" w:rsidP="0004202C">
            <w:pPr>
              <w:pStyle w:val="TableText"/>
              <w:jc w:val="center"/>
              <w:rPr>
                <w:sz w:val="17"/>
                <w:szCs w:val="17"/>
              </w:rPr>
            </w:pPr>
            <w:r w:rsidRPr="00B510A6">
              <w:rPr>
                <w:sz w:val="17"/>
                <w:szCs w:val="17"/>
              </w:rPr>
              <w:t>Surface-applied on frozen or snow-covered soil</w:t>
            </w:r>
          </w:p>
        </w:tc>
      </w:tr>
      <w:tr w:rsidR="00A078B2" w:rsidRPr="00B510A6" w14:paraId="58D1A855" w14:textId="77777777" w:rsidTr="009027A9">
        <w:tc>
          <w:tcPr>
            <w:tcW w:w="1606" w:type="dxa"/>
            <w:vMerge/>
            <w:shd w:val="clear" w:color="auto" w:fill="D2DDE2" w:themeFill="accent3"/>
          </w:tcPr>
          <w:p w14:paraId="59FD7AA4" w14:textId="77777777" w:rsidR="00A078B2" w:rsidRPr="00B510A6" w:rsidRDefault="00A078B2" w:rsidP="00894975">
            <w:pPr>
              <w:spacing w:line="259" w:lineRule="auto"/>
              <w:rPr>
                <w:rFonts w:cs="Arial"/>
                <w:sz w:val="17"/>
                <w:szCs w:val="17"/>
              </w:rPr>
            </w:pPr>
          </w:p>
        </w:tc>
        <w:tc>
          <w:tcPr>
            <w:tcW w:w="6899" w:type="dxa"/>
            <w:gridSpan w:val="6"/>
            <w:shd w:val="clear" w:color="auto" w:fill="D2DDE2" w:themeFill="accent3"/>
            <w:vAlign w:val="center"/>
          </w:tcPr>
          <w:p w14:paraId="6C56CBB4" w14:textId="77777777" w:rsidR="00A078B2" w:rsidRPr="00B510A6" w:rsidRDefault="00A078B2" w:rsidP="0004202C">
            <w:pPr>
              <w:pStyle w:val="TableText"/>
              <w:jc w:val="center"/>
              <w:rPr>
                <w:sz w:val="17"/>
                <w:szCs w:val="17"/>
              </w:rPr>
            </w:pPr>
            <w:r w:rsidRPr="00B510A6">
              <w:rPr>
                <w:b/>
                <w:bCs/>
                <w:sz w:val="17"/>
                <w:szCs w:val="17"/>
              </w:rPr>
              <w:t>Fertiliser LRV</w:t>
            </w:r>
            <w:r w:rsidRPr="00B510A6">
              <w:rPr>
                <w:sz w:val="17"/>
                <w:szCs w:val="17"/>
              </w:rPr>
              <w:t xml:space="preserve"> = Fertiliser rate x application method and timing score</w:t>
            </w:r>
          </w:p>
        </w:tc>
      </w:tr>
      <w:tr w:rsidR="00F65D9F" w:rsidRPr="00B510A6" w14:paraId="2FD55EA2" w14:textId="77777777" w:rsidTr="009027A9">
        <w:tc>
          <w:tcPr>
            <w:tcW w:w="1606" w:type="dxa"/>
            <w:vMerge/>
            <w:shd w:val="clear" w:color="auto" w:fill="D2DDE2" w:themeFill="accent3"/>
          </w:tcPr>
          <w:p w14:paraId="7E33AD1A" w14:textId="77777777" w:rsidR="00A078B2" w:rsidRPr="00B510A6" w:rsidRDefault="00A078B2" w:rsidP="00894975">
            <w:pPr>
              <w:spacing w:line="259" w:lineRule="auto"/>
              <w:rPr>
                <w:rFonts w:cs="Arial"/>
                <w:sz w:val="17"/>
                <w:szCs w:val="17"/>
              </w:rPr>
            </w:pPr>
          </w:p>
        </w:tc>
        <w:tc>
          <w:tcPr>
            <w:tcW w:w="1206" w:type="dxa"/>
            <w:shd w:val="clear" w:color="auto" w:fill="D2DDE2" w:themeFill="accent3"/>
            <w:vAlign w:val="center"/>
          </w:tcPr>
          <w:p w14:paraId="1F84B1B0" w14:textId="77777777" w:rsidR="00A078B2" w:rsidRPr="00B510A6" w:rsidRDefault="00A078B2" w:rsidP="0004202C">
            <w:pPr>
              <w:pStyle w:val="TableText"/>
              <w:jc w:val="center"/>
              <w:rPr>
                <w:sz w:val="17"/>
                <w:szCs w:val="17"/>
              </w:rPr>
            </w:pPr>
            <w:r w:rsidRPr="00B510A6">
              <w:rPr>
                <w:sz w:val="17"/>
                <w:szCs w:val="17"/>
              </w:rPr>
              <w:t>Manure application method and timing</w:t>
            </w:r>
          </w:p>
        </w:tc>
        <w:tc>
          <w:tcPr>
            <w:tcW w:w="939" w:type="dxa"/>
            <w:shd w:val="clear" w:color="auto" w:fill="D2DDE2" w:themeFill="accent3"/>
            <w:vAlign w:val="center"/>
          </w:tcPr>
          <w:p w14:paraId="40A16E80" w14:textId="77777777" w:rsidR="00A078B2" w:rsidRPr="00B510A6" w:rsidRDefault="00A078B2" w:rsidP="0004202C">
            <w:pPr>
              <w:pStyle w:val="TableTextbold"/>
              <w:spacing w:after="0"/>
              <w:jc w:val="center"/>
              <w:rPr>
                <w:sz w:val="17"/>
                <w:szCs w:val="17"/>
              </w:rPr>
            </w:pPr>
            <w:r w:rsidRPr="00B510A6">
              <w:rPr>
                <w:sz w:val="17"/>
                <w:szCs w:val="17"/>
              </w:rPr>
              <w:t>Very low</w:t>
            </w:r>
          </w:p>
          <w:p w14:paraId="0C18FBDF" w14:textId="77777777" w:rsidR="00A078B2" w:rsidRPr="00B510A6" w:rsidRDefault="00A078B2" w:rsidP="002808A9">
            <w:pPr>
              <w:pStyle w:val="TableTextbold"/>
              <w:spacing w:before="0" w:after="0"/>
              <w:jc w:val="center"/>
              <w:rPr>
                <w:sz w:val="17"/>
                <w:szCs w:val="17"/>
              </w:rPr>
            </w:pPr>
            <w:r w:rsidRPr="00B510A6">
              <w:rPr>
                <w:sz w:val="17"/>
                <w:szCs w:val="17"/>
              </w:rPr>
              <w:t>(0.2)</w:t>
            </w:r>
          </w:p>
          <w:p w14:paraId="3583458C" w14:textId="0282985B" w:rsidR="00A078B2" w:rsidRPr="00B510A6" w:rsidRDefault="00A078B2" w:rsidP="0004202C">
            <w:pPr>
              <w:pStyle w:val="TableText"/>
              <w:jc w:val="center"/>
              <w:rPr>
                <w:sz w:val="17"/>
                <w:szCs w:val="17"/>
              </w:rPr>
            </w:pPr>
            <w:r w:rsidRPr="00B510A6">
              <w:rPr>
                <w:sz w:val="17"/>
                <w:szCs w:val="17"/>
              </w:rPr>
              <w:t>Placed with planter or injected more than 2</w:t>
            </w:r>
            <w:r w:rsidR="0021340F">
              <w:rPr>
                <w:sz w:val="17"/>
                <w:szCs w:val="17"/>
              </w:rPr>
              <w:t xml:space="preserve"> inches</w:t>
            </w:r>
            <w:r w:rsidRPr="00B510A6">
              <w:rPr>
                <w:sz w:val="17"/>
                <w:szCs w:val="17"/>
              </w:rPr>
              <w:t xml:space="preserve"> deep</w:t>
            </w:r>
          </w:p>
        </w:tc>
        <w:tc>
          <w:tcPr>
            <w:tcW w:w="1073" w:type="dxa"/>
            <w:shd w:val="clear" w:color="auto" w:fill="D2DDE2" w:themeFill="accent3"/>
            <w:vAlign w:val="center"/>
          </w:tcPr>
          <w:p w14:paraId="080FD3CB" w14:textId="77777777" w:rsidR="00A078B2" w:rsidRPr="00B510A6" w:rsidRDefault="00A078B2" w:rsidP="0004202C">
            <w:pPr>
              <w:pStyle w:val="TableTextbold"/>
              <w:spacing w:after="0"/>
              <w:jc w:val="center"/>
              <w:rPr>
                <w:sz w:val="17"/>
                <w:szCs w:val="17"/>
              </w:rPr>
            </w:pPr>
            <w:r w:rsidRPr="00B510A6">
              <w:rPr>
                <w:sz w:val="17"/>
                <w:szCs w:val="17"/>
              </w:rPr>
              <w:t>Low</w:t>
            </w:r>
          </w:p>
          <w:p w14:paraId="623CD49B" w14:textId="77777777" w:rsidR="00A078B2" w:rsidRPr="00B510A6" w:rsidRDefault="00A078B2" w:rsidP="002808A9">
            <w:pPr>
              <w:pStyle w:val="TableTextbold"/>
              <w:spacing w:before="0" w:after="0"/>
              <w:jc w:val="center"/>
              <w:rPr>
                <w:sz w:val="17"/>
                <w:szCs w:val="17"/>
              </w:rPr>
            </w:pPr>
            <w:r w:rsidRPr="00B510A6">
              <w:rPr>
                <w:sz w:val="17"/>
                <w:szCs w:val="17"/>
              </w:rPr>
              <w:t>(0.4)</w:t>
            </w:r>
          </w:p>
          <w:p w14:paraId="52B5318C" w14:textId="77777777" w:rsidR="00A078B2" w:rsidRPr="00B510A6" w:rsidRDefault="00A078B2" w:rsidP="0004202C">
            <w:pPr>
              <w:pStyle w:val="TableText"/>
              <w:jc w:val="center"/>
              <w:rPr>
                <w:sz w:val="17"/>
                <w:szCs w:val="17"/>
              </w:rPr>
            </w:pPr>
            <w:r w:rsidRPr="00B510A6">
              <w:rPr>
                <w:sz w:val="17"/>
                <w:szCs w:val="17"/>
              </w:rPr>
              <w:t>Incorporated &lt; 1 week after application</w:t>
            </w:r>
          </w:p>
        </w:tc>
        <w:tc>
          <w:tcPr>
            <w:tcW w:w="1381" w:type="dxa"/>
            <w:shd w:val="clear" w:color="auto" w:fill="D2DDE2" w:themeFill="accent3"/>
            <w:vAlign w:val="center"/>
          </w:tcPr>
          <w:p w14:paraId="0C3AAFA3" w14:textId="77777777" w:rsidR="00A078B2" w:rsidRPr="00B510A6" w:rsidRDefault="00A078B2" w:rsidP="0004202C">
            <w:pPr>
              <w:pStyle w:val="TableTextbold"/>
              <w:spacing w:after="0"/>
              <w:jc w:val="center"/>
              <w:rPr>
                <w:sz w:val="17"/>
                <w:szCs w:val="17"/>
              </w:rPr>
            </w:pPr>
            <w:r w:rsidRPr="00B510A6">
              <w:rPr>
                <w:sz w:val="17"/>
                <w:szCs w:val="17"/>
              </w:rPr>
              <w:t>Medium</w:t>
            </w:r>
          </w:p>
          <w:p w14:paraId="4270C9A5" w14:textId="77777777" w:rsidR="00A078B2" w:rsidRPr="00B510A6" w:rsidRDefault="00A078B2" w:rsidP="002808A9">
            <w:pPr>
              <w:pStyle w:val="TableTextbold"/>
              <w:spacing w:before="0" w:after="0"/>
              <w:jc w:val="center"/>
              <w:rPr>
                <w:sz w:val="17"/>
                <w:szCs w:val="17"/>
              </w:rPr>
            </w:pPr>
            <w:r w:rsidRPr="00B510A6">
              <w:rPr>
                <w:sz w:val="17"/>
                <w:szCs w:val="17"/>
              </w:rPr>
              <w:t>(0.6)</w:t>
            </w:r>
          </w:p>
          <w:p w14:paraId="7BF49914" w14:textId="2DD8C9F8" w:rsidR="00A078B2" w:rsidRPr="00B510A6" w:rsidRDefault="00A078B2" w:rsidP="0004202C">
            <w:pPr>
              <w:pStyle w:val="TableText"/>
              <w:jc w:val="center"/>
              <w:rPr>
                <w:sz w:val="17"/>
                <w:szCs w:val="17"/>
              </w:rPr>
            </w:pPr>
            <w:r w:rsidRPr="00B510A6">
              <w:rPr>
                <w:sz w:val="17"/>
                <w:szCs w:val="17"/>
              </w:rPr>
              <w:t>Incorporated &gt;</w:t>
            </w:r>
            <w:r w:rsidR="006D1D15" w:rsidRPr="00B510A6">
              <w:rPr>
                <w:sz w:val="17"/>
                <w:szCs w:val="17"/>
              </w:rPr>
              <w:t> </w:t>
            </w:r>
            <w:r w:rsidRPr="00B510A6">
              <w:rPr>
                <w:sz w:val="17"/>
                <w:szCs w:val="17"/>
              </w:rPr>
              <w:t>1</w:t>
            </w:r>
            <w:r w:rsidR="006D1D15" w:rsidRPr="00B510A6">
              <w:rPr>
                <w:sz w:val="17"/>
                <w:szCs w:val="17"/>
              </w:rPr>
              <w:t> </w:t>
            </w:r>
            <w:r w:rsidRPr="00B510A6">
              <w:rPr>
                <w:sz w:val="17"/>
                <w:szCs w:val="17"/>
              </w:rPr>
              <w:t>week or not incorporated &gt;</w:t>
            </w:r>
            <w:r w:rsidR="006D1D15" w:rsidRPr="00B510A6">
              <w:rPr>
                <w:sz w:val="17"/>
                <w:szCs w:val="17"/>
              </w:rPr>
              <w:t> </w:t>
            </w:r>
            <w:r w:rsidRPr="00B510A6">
              <w:rPr>
                <w:sz w:val="17"/>
                <w:szCs w:val="17"/>
              </w:rPr>
              <w:t>1</w:t>
            </w:r>
            <w:r w:rsidR="006D1D15" w:rsidRPr="00B510A6">
              <w:rPr>
                <w:sz w:val="17"/>
                <w:szCs w:val="17"/>
              </w:rPr>
              <w:t> </w:t>
            </w:r>
            <w:r w:rsidRPr="00B510A6">
              <w:rPr>
                <w:sz w:val="17"/>
                <w:szCs w:val="17"/>
              </w:rPr>
              <w:t xml:space="preserve">week following application </w:t>
            </w:r>
            <w:r w:rsidR="00213441">
              <w:rPr>
                <w:sz w:val="17"/>
                <w:szCs w:val="17"/>
              </w:rPr>
              <w:br/>
            </w:r>
            <w:r w:rsidRPr="00B510A6">
              <w:rPr>
                <w:sz w:val="17"/>
                <w:szCs w:val="17"/>
              </w:rPr>
              <w:t>May</w:t>
            </w:r>
            <w:r w:rsidR="003A2B3F">
              <w:rPr>
                <w:sz w:val="17"/>
                <w:szCs w:val="17"/>
              </w:rPr>
              <w:t>–</w:t>
            </w:r>
            <w:r w:rsidRPr="00B510A6">
              <w:rPr>
                <w:sz w:val="17"/>
                <w:szCs w:val="17"/>
              </w:rPr>
              <w:t>Oct</w:t>
            </w:r>
          </w:p>
        </w:tc>
        <w:tc>
          <w:tcPr>
            <w:tcW w:w="1166" w:type="dxa"/>
            <w:shd w:val="clear" w:color="auto" w:fill="D2DDE2" w:themeFill="accent3"/>
            <w:vAlign w:val="center"/>
          </w:tcPr>
          <w:p w14:paraId="71A181CF" w14:textId="77777777" w:rsidR="00A078B2" w:rsidRPr="00B510A6" w:rsidRDefault="00A078B2" w:rsidP="0004202C">
            <w:pPr>
              <w:pStyle w:val="TableTextbold"/>
              <w:spacing w:after="0"/>
              <w:jc w:val="center"/>
              <w:rPr>
                <w:sz w:val="17"/>
                <w:szCs w:val="17"/>
              </w:rPr>
            </w:pPr>
            <w:r w:rsidRPr="00B510A6">
              <w:rPr>
                <w:sz w:val="17"/>
                <w:szCs w:val="17"/>
              </w:rPr>
              <w:t>High</w:t>
            </w:r>
          </w:p>
          <w:p w14:paraId="5BFDD19E" w14:textId="77777777" w:rsidR="00A078B2" w:rsidRPr="00B510A6" w:rsidRDefault="00A078B2" w:rsidP="002808A9">
            <w:pPr>
              <w:pStyle w:val="TableTextbold"/>
              <w:spacing w:before="0" w:after="0"/>
              <w:jc w:val="center"/>
              <w:rPr>
                <w:sz w:val="17"/>
                <w:szCs w:val="17"/>
              </w:rPr>
            </w:pPr>
            <w:r w:rsidRPr="00B510A6">
              <w:rPr>
                <w:sz w:val="17"/>
                <w:szCs w:val="17"/>
              </w:rPr>
              <w:t>(0.8)</w:t>
            </w:r>
          </w:p>
          <w:p w14:paraId="335F7823" w14:textId="21CE7FB7" w:rsidR="00A078B2" w:rsidRPr="00B510A6" w:rsidRDefault="00A078B2" w:rsidP="0004202C">
            <w:pPr>
              <w:pStyle w:val="TableText"/>
              <w:jc w:val="center"/>
              <w:rPr>
                <w:sz w:val="17"/>
                <w:szCs w:val="17"/>
              </w:rPr>
            </w:pPr>
            <w:r w:rsidRPr="00B510A6">
              <w:rPr>
                <w:sz w:val="17"/>
                <w:szCs w:val="17"/>
              </w:rPr>
              <w:t>Incorporated &gt;</w:t>
            </w:r>
            <w:r w:rsidR="006D1D15" w:rsidRPr="00B510A6">
              <w:rPr>
                <w:sz w:val="17"/>
                <w:szCs w:val="17"/>
              </w:rPr>
              <w:t> </w:t>
            </w:r>
            <w:r w:rsidRPr="00B510A6">
              <w:rPr>
                <w:sz w:val="17"/>
                <w:szCs w:val="17"/>
              </w:rPr>
              <w:t>1 week or not incorporated following application Nov</w:t>
            </w:r>
            <w:r w:rsidR="003A2B3F">
              <w:rPr>
                <w:sz w:val="17"/>
                <w:szCs w:val="17"/>
              </w:rPr>
              <w:t>–</w:t>
            </w:r>
            <w:r w:rsidRPr="00B510A6">
              <w:rPr>
                <w:sz w:val="17"/>
                <w:szCs w:val="17"/>
              </w:rPr>
              <w:t>Apr</w:t>
            </w:r>
          </w:p>
        </w:tc>
        <w:tc>
          <w:tcPr>
            <w:tcW w:w="1134" w:type="dxa"/>
            <w:shd w:val="clear" w:color="auto" w:fill="D2DDE2" w:themeFill="accent3"/>
            <w:vAlign w:val="center"/>
          </w:tcPr>
          <w:p w14:paraId="7090931B" w14:textId="66586BBB" w:rsidR="00A078B2" w:rsidRPr="00B510A6" w:rsidRDefault="00A078B2" w:rsidP="0004202C">
            <w:pPr>
              <w:pStyle w:val="TableTextbold"/>
              <w:spacing w:after="0"/>
              <w:jc w:val="center"/>
              <w:rPr>
                <w:sz w:val="17"/>
                <w:szCs w:val="17"/>
              </w:rPr>
            </w:pPr>
            <w:r w:rsidRPr="00B510A6">
              <w:rPr>
                <w:sz w:val="17"/>
                <w:szCs w:val="17"/>
              </w:rPr>
              <w:t xml:space="preserve">Very </w:t>
            </w:r>
            <w:r w:rsidR="00213441">
              <w:rPr>
                <w:sz w:val="17"/>
                <w:szCs w:val="17"/>
              </w:rPr>
              <w:t>h</w:t>
            </w:r>
            <w:r w:rsidRPr="00B510A6">
              <w:rPr>
                <w:sz w:val="17"/>
                <w:szCs w:val="17"/>
              </w:rPr>
              <w:t>igh</w:t>
            </w:r>
          </w:p>
          <w:p w14:paraId="75685C14" w14:textId="77777777" w:rsidR="00A078B2" w:rsidRPr="00B510A6" w:rsidRDefault="00A078B2" w:rsidP="002808A9">
            <w:pPr>
              <w:pStyle w:val="TableTextbold"/>
              <w:spacing w:before="0" w:after="0"/>
              <w:jc w:val="center"/>
              <w:rPr>
                <w:sz w:val="17"/>
                <w:szCs w:val="17"/>
              </w:rPr>
            </w:pPr>
            <w:r w:rsidRPr="00B510A6">
              <w:rPr>
                <w:sz w:val="17"/>
                <w:szCs w:val="17"/>
              </w:rPr>
              <w:t>1</w:t>
            </w:r>
          </w:p>
          <w:p w14:paraId="3FA17369" w14:textId="77777777" w:rsidR="00A078B2" w:rsidRPr="00B510A6" w:rsidRDefault="00A078B2" w:rsidP="0004202C">
            <w:pPr>
              <w:pStyle w:val="TableText"/>
              <w:jc w:val="center"/>
              <w:rPr>
                <w:sz w:val="17"/>
                <w:szCs w:val="17"/>
              </w:rPr>
            </w:pPr>
            <w:r w:rsidRPr="00B510A6">
              <w:rPr>
                <w:sz w:val="17"/>
                <w:szCs w:val="17"/>
              </w:rPr>
              <w:t>Surface-applied on frozen or snow-covered soil</w:t>
            </w:r>
          </w:p>
        </w:tc>
      </w:tr>
      <w:tr w:rsidR="00A078B2" w:rsidRPr="00B510A6" w14:paraId="323FD0FC" w14:textId="77777777" w:rsidTr="009027A9">
        <w:tc>
          <w:tcPr>
            <w:tcW w:w="1606" w:type="dxa"/>
            <w:vMerge/>
            <w:shd w:val="clear" w:color="auto" w:fill="D2DDE2" w:themeFill="accent3"/>
          </w:tcPr>
          <w:p w14:paraId="279C3E60" w14:textId="77777777" w:rsidR="00A078B2" w:rsidRPr="00B510A6" w:rsidRDefault="00A078B2" w:rsidP="00894975">
            <w:pPr>
              <w:spacing w:line="259" w:lineRule="auto"/>
              <w:rPr>
                <w:rFonts w:cs="Arial"/>
                <w:sz w:val="17"/>
                <w:szCs w:val="17"/>
              </w:rPr>
            </w:pPr>
          </w:p>
        </w:tc>
        <w:tc>
          <w:tcPr>
            <w:tcW w:w="6899" w:type="dxa"/>
            <w:gridSpan w:val="6"/>
            <w:shd w:val="clear" w:color="auto" w:fill="D2DDE2" w:themeFill="accent3"/>
            <w:vAlign w:val="center"/>
          </w:tcPr>
          <w:p w14:paraId="3011B454" w14:textId="77777777" w:rsidR="00A078B2" w:rsidRPr="00B510A6" w:rsidRDefault="00A078B2" w:rsidP="0004202C">
            <w:pPr>
              <w:pStyle w:val="TableText"/>
              <w:jc w:val="center"/>
              <w:rPr>
                <w:sz w:val="17"/>
                <w:szCs w:val="17"/>
              </w:rPr>
            </w:pPr>
            <w:r w:rsidRPr="00B510A6">
              <w:rPr>
                <w:b/>
                <w:bCs/>
                <w:sz w:val="17"/>
                <w:szCs w:val="17"/>
              </w:rPr>
              <w:t>Manure LRV</w:t>
            </w:r>
            <w:r w:rsidRPr="00B510A6">
              <w:rPr>
                <w:sz w:val="17"/>
                <w:szCs w:val="17"/>
              </w:rPr>
              <w:t xml:space="preserve"> = Manure rate x application method and timing score</w:t>
            </w:r>
          </w:p>
        </w:tc>
      </w:tr>
      <w:tr w:rsidR="00A078B2" w:rsidRPr="00B510A6" w14:paraId="65EA6040" w14:textId="77777777" w:rsidTr="009027A9">
        <w:tc>
          <w:tcPr>
            <w:tcW w:w="1606" w:type="dxa"/>
            <w:vMerge/>
            <w:shd w:val="clear" w:color="auto" w:fill="D2DDE2" w:themeFill="accent3"/>
          </w:tcPr>
          <w:p w14:paraId="55411E8D" w14:textId="77777777" w:rsidR="00A078B2" w:rsidRPr="00B510A6" w:rsidRDefault="00A078B2" w:rsidP="00894975">
            <w:pPr>
              <w:spacing w:line="259" w:lineRule="auto"/>
              <w:rPr>
                <w:rFonts w:cs="Arial"/>
                <w:sz w:val="17"/>
                <w:szCs w:val="17"/>
              </w:rPr>
            </w:pPr>
          </w:p>
        </w:tc>
        <w:tc>
          <w:tcPr>
            <w:tcW w:w="6899" w:type="dxa"/>
            <w:gridSpan w:val="6"/>
            <w:shd w:val="clear" w:color="auto" w:fill="D2DDE2" w:themeFill="accent3"/>
            <w:vAlign w:val="center"/>
          </w:tcPr>
          <w:p w14:paraId="3E3DDA3E" w14:textId="77777777" w:rsidR="00A078B2" w:rsidRPr="00B510A6" w:rsidRDefault="00A078B2" w:rsidP="0004202C">
            <w:pPr>
              <w:pStyle w:val="TableTextbold"/>
              <w:jc w:val="center"/>
              <w:rPr>
                <w:sz w:val="17"/>
                <w:szCs w:val="17"/>
              </w:rPr>
            </w:pPr>
            <w:r w:rsidRPr="00B510A6">
              <w:rPr>
                <w:sz w:val="17"/>
                <w:szCs w:val="17"/>
              </w:rPr>
              <w:t>B score = sum of source characteristic ratings</w:t>
            </w:r>
          </w:p>
        </w:tc>
      </w:tr>
      <w:tr w:rsidR="00A078B2" w:rsidRPr="00B510A6" w14:paraId="2539EE42" w14:textId="77777777" w:rsidTr="00663A25">
        <w:tc>
          <w:tcPr>
            <w:tcW w:w="1606" w:type="dxa"/>
            <w:shd w:val="clear" w:color="auto" w:fill="FFFFFF"/>
          </w:tcPr>
          <w:p w14:paraId="6B7B6E62" w14:textId="77777777" w:rsidR="00A078B2" w:rsidRPr="00B510A6" w:rsidRDefault="00A078B2" w:rsidP="00664C61">
            <w:pPr>
              <w:pStyle w:val="TableTextbold"/>
              <w:jc w:val="center"/>
              <w:rPr>
                <w:sz w:val="17"/>
                <w:szCs w:val="17"/>
              </w:rPr>
            </w:pPr>
          </w:p>
        </w:tc>
        <w:tc>
          <w:tcPr>
            <w:tcW w:w="6899" w:type="dxa"/>
            <w:gridSpan w:val="6"/>
            <w:shd w:val="clear" w:color="auto" w:fill="EEECE1" w:themeFill="background2"/>
            <w:vAlign w:val="center"/>
          </w:tcPr>
          <w:p w14:paraId="79469E75" w14:textId="77777777" w:rsidR="00A078B2" w:rsidRPr="00B510A6" w:rsidRDefault="00A078B2" w:rsidP="00664C61">
            <w:pPr>
              <w:pStyle w:val="TableTextbold"/>
              <w:jc w:val="center"/>
              <w:rPr>
                <w:sz w:val="17"/>
                <w:szCs w:val="17"/>
              </w:rPr>
            </w:pPr>
            <w:r w:rsidRPr="00B510A6">
              <w:rPr>
                <w:sz w:val="17"/>
                <w:szCs w:val="17"/>
              </w:rPr>
              <w:t>N Index Rating = A score x B score</w:t>
            </w:r>
          </w:p>
        </w:tc>
      </w:tr>
    </w:tbl>
    <w:p w14:paraId="3A762847" w14:textId="3ECF83AB" w:rsidR="009027A9" w:rsidRPr="00B510A6" w:rsidRDefault="009027A9" w:rsidP="00122E4B">
      <w:pPr>
        <w:pStyle w:val="Heading4"/>
        <w:rPr>
          <w:rFonts w:eastAsia="Calibri"/>
        </w:rPr>
      </w:pPr>
      <w:r w:rsidRPr="00B510A6">
        <w:rPr>
          <w:rFonts w:eastAsia="Calibri"/>
        </w:rPr>
        <w:lastRenderedPageBreak/>
        <w:t>Example 2</w:t>
      </w:r>
      <w:r w:rsidR="00221CBB">
        <w:rPr>
          <w:rFonts w:eastAsia="Calibri"/>
        </w:rPr>
        <w:t>:</w:t>
      </w:r>
      <w:r w:rsidRPr="00B510A6">
        <w:rPr>
          <w:rFonts w:eastAsia="Calibri"/>
        </w:rPr>
        <w:t xml:space="preserve"> Nitrogen-</w:t>
      </w:r>
      <w:r w:rsidR="00221CBB">
        <w:rPr>
          <w:rFonts w:eastAsia="Calibri"/>
        </w:rPr>
        <w:t>r</w:t>
      </w:r>
      <w:r w:rsidRPr="00B510A6">
        <w:rPr>
          <w:rFonts w:eastAsia="Calibri"/>
        </w:rPr>
        <w:t xml:space="preserve">isk </w:t>
      </w:r>
      <w:r w:rsidR="00221CBB">
        <w:rPr>
          <w:rFonts w:eastAsia="Calibri"/>
        </w:rPr>
        <w:t>s</w:t>
      </w:r>
      <w:r w:rsidRPr="00B510A6">
        <w:rPr>
          <w:rFonts w:eastAsia="Calibri"/>
        </w:rPr>
        <w:t>corecard</w:t>
      </w:r>
    </w:p>
    <w:p w14:paraId="61F3FE83" w14:textId="77777777" w:rsidR="009027A9" w:rsidRPr="00B510A6" w:rsidRDefault="009027A9" w:rsidP="009027A9">
      <w:pPr>
        <w:pStyle w:val="BodyText"/>
        <w:rPr>
          <w:rFonts w:eastAsia="Calibri"/>
        </w:rPr>
      </w:pPr>
      <w:r w:rsidRPr="00B510A6">
        <w:rPr>
          <w:rFonts w:eastAsia="Calibri"/>
        </w:rPr>
        <w:t xml:space="preserve">The </w:t>
      </w:r>
      <w:proofErr w:type="spellStart"/>
      <w:r w:rsidRPr="00B510A6">
        <w:rPr>
          <w:rFonts w:eastAsia="Calibri"/>
        </w:rPr>
        <w:t>Tiaki</w:t>
      </w:r>
      <w:proofErr w:type="spellEnd"/>
      <w:r w:rsidRPr="00B510A6">
        <w:rPr>
          <w:rFonts w:eastAsia="Calibri"/>
        </w:rPr>
        <w:t xml:space="preserve"> programme scorecard assesses risk across six farm practice areas that have been identified as the primary drivers of nitrogen loss from dairy farms. Each management practice starts from a position of zero points, with points being added under each key risk practice. Moderating practices can add or subtract points depending on the practice. </w:t>
      </w:r>
    </w:p>
    <w:p w14:paraId="6877D5CF" w14:textId="77777777" w:rsidR="009027A9" w:rsidRPr="00B510A6" w:rsidRDefault="009027A9" w:rsidP="00ED53D3">
      <w:pPr>
        <w:pStyle w:val="BodyText"/>
        <w:spacing w:after="240"/>
        <w:rPr>
          <w:rFonts w:eastAsia="Calibri"/>
        </w:rPr>
      </w:pPr>
      <w:r w:rsidRPr="00B510A6">
        <w:rPr>
          <w:rFonts w:eastAsia="Calibri"/>
        </w:rPr>
        <w:t>For example, in relation to wintering practices, break-feeding on fodder crops will add 40 risk points to the base score, while wintering cows off pasture (such as in a barn or on a wintering pad) will reduce the base score by 40 points. The scores for each practice area are then totalled. All scores less than 20 are considered very low risk, and all scores greater than 80 are</w:t>
      </w:r>
      <w:r w:rsidR="00ED53D3">
        <w:rPr>
          <w:rFonts w:eastAsia="Calibri"/>
        </w:rPr>
        <w:t> </w:t>
      </w:r>
      <w:r w:rsidRPr="00B510A6">
        <w:rPr>
          <w:rFonts w:eastAsia="Calibri"/>
        </w:rPr>
        <w:t xml:space="preserve">considered high risk. </w:t>
      </w:r>
    </w:p>
    <w:tbl>
      <w:tblPr>
        <w:tblStyle w:val="TableGrid3"/>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422"/>
        <w:gridCol w:w="3247"/>
        <w:gridCol w:w="2836"/>
      </w:tblGrid>
      <w:tr w:rsidR="00057C2D" w:rsidRPr="00B510A6" w14:paraId="58914FDE" w14:textId="77777777" w:rsidTr="00ED53D3">
        <w:tc>
          <w:tcPr>
            <w:tcW w:w="2547" w:type="dxa"/>
            <w:shd w:val="clear" w:color="auto" w:fill="1C556C" w:themeFill="accent1"/>
            <w:vAlign w:val="center"/>
          </w:tcPr>
          <w:p w14:paraId="58524774" w14:textId="77777777" w:rsidR="009027A9" w:rsidRPr="00B510A6" w:rsidRDefault="009027A9" w:rsidP="009027A9">
            <w:pPr>
              <w:pStyle w:val="TableTextbold"/>
              <w:rPr>
                <w:color w:val="FFFFFF" w:themeColor="background1"/>
              </w:rPr>
            </w:pPr>
            <w:r w:rsidRPr="00B510A6">
              <w:rPr>
                <w:color w:val="FFFFFF" w:themeColor="background1"/>
              </w:rPr>
              <w:t>Management practice</w:t>
            </w:r>
          </w:p>
        </w:tc>
        <w:tc>
          <w:tcPr>
            <w:tcW w:w="3463" w:type="dxa"/>
            <w:shd w:val="clear" w:color="auto" w:fill="1C556C" w:themeFill="accent1"/>
            <w:vAlign w:val="center"/>
          </w:tcPr>
          <w:p w14:paraId="678C2480" w14:textId="77777777" w:rsidR="009027A9" w:rsidRPr="00B510A6" w:rsidRDefault="009027A9" w:rsidP="009027A9">
            <w:pPr>
              <w:pStyle w:val="TableTextbold"/>
              <w:rPr>
                <w:color w:val="FFFFFF" w:themeColor="background1"/>
              </w:rPr>
            </w:pPr>
            <w:r w:rsidRPr="00B510A6">
              <w:rPr>
                <w:color w:val="FFFFFF" w:themeColor="background1"/>
              </w:rPr>
              <w:t>Key risk practice</w:t>
            </w:r>
          </w:p>
        </w:tc>
        <w:tc>
          <w:tcPr>
            <w:tcW w:w="3006" w:type="dxa"/>
            <w:shd w:val="clear" w:color="auto" w:fill="1C556C" w:themeFill="accent1"/>
            <w:vAlign w:val="center"/>
          </w:tcPr>
          <w:p w14:paraId="066129E8" w14:textId="77777777" w:rsidR="009027A9" w:rsidRPr="00B510A6" w:rsidRDefault="009027A9" w:rsidP="009027A9">
            <w:pPr>
              <w:pStyle w:val="TableTextbold"/>
              <w:rPr>
                <w:color w:val="FFFFFF" w:themeColor="background1"/>
              </w:rPr>
            </w:pPr>
            <w:r w:rsidRPr="00B510A6">
              <w:rPr>
                <w:color w:val="FFFFFF" w:themeColor="background1"/>
              </w:rPr>
              <w:t>Moderating practices</w:t>
            </w:r>
          </w:p>
        </w:tc>
      </w:tr>
      <w:tr w:rsidR="009027A9" w:rsidRPr="00B510A6" w14:paraId="2082639E" w14:textId="77777777" w:rsidTr="00ED53D3">
        <w:tc>
          <w:tcPr>
            <w:tcW w:w="2547" w:type="dxa"/>
            <w:vMerge w:val="restart"/>
            <w:vAlign w:val="center"/>
          </w:tcPr>
          <w:p w14:paraId="59B1E664" w14:textId="77777777" w:rsidR="009027A9" w:rsidRPr="00B510A6" w:rsidRDefault="009027A9" w:rsidP="009027A9">
            <w:pPr>
              <w:pStyle w:val="TableText"/>
            </w:pPr>
            <w:r w:rsidRPr="00B510A6">
              <w:t xml:space="preserve">Nitrogen </w:t>
            </w:r>
            <w:r w:rsidR="005B4D88">
              <w:t xml:space="preserve">(N) </w:t>
            </w:r>
            <w:r w:rsidRPr="00B510A6">
              <w:t>fertiliser application</w:t>
            </w:r>
          </w:p>
        </w:tc>
        <w:tc>
          <w:tcPr>
            <w:tcW w:w="3463" w:type="dxa"/>
            <w:vMerge w:val="restart"/>
            <w:vAlign w:val="center"/>
          </w:tcPr>
          <w:p w14:paraId="18E07601" w14:textId="77777777" w:rsidR="009027A9" w:rsidRPr="00B510A6" w:rsidRDefault="009027A9" w:rsidP="009027A9">
            <w:pPr>
              <w:pStyle w:val="TableText"/>
            </w:pPr>
            <w:r w:rsidRPr="00B510A6">
              <w:t>Amount of applied N</w:t>
            </w:r>
          </w:p>
        </w:tc>
        <w:tc>
          <w:tcPr>
            <w:tcW w:w="3006" w:type="dxa"/>
            <w:vAlign w:val="center"/>
          </w:tcPr>
          <w:p w14:paraId="761BB883" w14:textId="77777777" w:rsidR="009027A9" w:rsidRPr="00B510A6" w:rsidRDefault="009027A9" w:rsidP="009027A9">
            <w:pPr>
              <w:pStyle w:val="TableText"/>
            </w:pPr>
            <w:r w:rsidRPr="00B510A6">
              <w:t>Conversion efficiency</w:t>
            </w:r>
          </w:p>
        </w:tc>
      </w:tr>
      <w:tr w:rsidR="009027A9" w:rsidRPr="00B510A6" w14:paraId="2A0DB569" w14:textId="77777777" w:rsidTr="00ED53D3">
        <w:tc>
          <w:tcPr>
            <w:tcW w:w="2547" w:type="dxa"/>
            <w:vMerge/>
            <w:vAlign w:val="center"/>
          </w:tcPr>
          <w:p w14:paraId="453458C6" w14:textId="77777777" w:rsidR="009027A9" w:rsidRPr="00B510A6" w:rsidRDefault="009027A9" w:rsidP="009027A9">
            <w:pPr>
              <w:pStyle w:val="TableText"/>
            </w:pPr>
          </w:p>
        </w:tc>
        <w:tc>
          <w:tcPr>
            <w:tcW w:w="3463" w:type="dxa"/>
            <w:vMerge/>
            <w:vAlign w:val="center"/>
          </w:tcPr>
          <w:p w14:paraId="043E7C80" w14:textId="77777777" w:rsidR="009027A9" w:rsidRPr="00B510A6" w:rsidRDefault="009027A9" w:rsidP="009027A9">
            <w:pPr>
              <w:pStyle w:val="TableText"/>
            </w:pPr>
          </w:p>
        </w:tc>
        <w:tc>
          <w:tcPr>
            <w:tcW w:w="3006" w:type="dxa"/>
            <w:vAlign w:val="center"/>
          </w:tcPr>
          <w:p w14:paraId="6C3AE26F" w14:textId="77777777" w:rsidR="009027A9" w:rsidRPr="00B510A6" w:rsidRDefault="009027A9" w:rsidP="009027A9">
            <w:pPr>
              <w:pStyle w:val="TableText"/>
            </w:pPr>
            <w:r w:rsidRPr="00B510A6">
              <w:t>Timing of application</w:t>
            </w:r>
          </w:p>
        </w:tc>
      </w:tr>
      <w:tr w:rsidR="009027A9" w:rsidRPr="00B510A6" w14:paraId="031B5D9A" w14:textId="77777777" w:rsidTr="00ED53D3">
        <w:tc>
          <w:tcPr>
            <w:tcW w:w="2547" w:type="dxa"/>
            <w:vMerge/>
            <w:vAlign w:val="center"/>
          </w:tcPr>
          <w:p w14:paraId="6AF54500" w14:textId="77777777" w:rsidR="009027A9" w:rsidRPr="00B510A6" w:rsidRDefault="009027A9" w:rsidP="009027A9">
            <w:pPr>
              <w:pStyle w:val="TableText"/>
            </w:pPr>
          </w:p>
        </w:tc>
        <w:tc>
          <w:tcPr>
            <w:tcW w:w="3463" w:type="dxa"/>
            <w:vMerge/>
            <w:vAlign w:val="center"/>
          </w:tcPr>
          <w:p w14:paraId="5E64F241" w14:textId="77777777" w:rsidR="009027A9" w:rsidRPr="00B510A6" w:rsidRDefault="009027A9" w:rsidP="009027A9">
            <w:pPr>
              <w:pStyle w:val="TableText"/>
            </w:pPr>
          </w:p>
        </w:tc>
        <w:tc>
          <w:tcPr>
            <w:tcW w:w="3006" w:type="dxa"/>
            <w:vAlign w:val="center"/>
          </w:tcPr>
          <w:p w14:paraId="61AE9F1F" w14:textId="77777777" w:rsidR="009027A9" w:rsidRPr="00B510A6" w:rsidRDefault="009027A9" w:rsidP="009027A9">
            <w:pPr>
              <w:pStyle w:val="TableText"/>
            </w:pPr>
            <w:r w:rsidRPr="00B510A6">
              <w:t>Feed budget use</w:t>
            </w:r>
          </w:p>
        </w:tc>
      </w:tr>
      <w:tr w:rsidR="009027A9" w:rsidRPr="00B510A6" w14:paraId="6574F4A4" w14:textId="77777777" w:rsidTr="00ED53D3">
        <w:tc>
          <w:tcPr>
            <w:tcW w:w="2547" w:type="dxa"/>
            <w:vMerge/>
            <w:vAlign w:val="center"/>
          </w:tcPr>
          <w:p w14:paraId="4BE2A1A7" w14:textId="77777777" w:rsidR="009027A9" w:rsidRPr="00B510A6" w:rsidRDefault="009027A9" w:rsidP="009027A9">
            <w:pPr>
              <w:pStyle w:val="TableText"/>
            </w:pPr>
          </w:p>
        </w:tc>
        <w:tc>
          <w:tcPr>
            <w:tcW w:w="3463" w:type="dxa"/>
            <w:vMerge/>
            <w:vAlign w:val="center"/>
          </w:tcPr>
          <w:p w14:paraId="5060732A" w14:textId="77777777" w:rsidR="009027A9" w:rsidRPr="00B510A6" w:rsidRDefault="009027A9" w:rsidP="009027A9">
            <w:pPr>
              <w:pStyle w:val="TableText"/>
            </w:pPr>
          </w:p>
        </w:tc>
        <w:tc>
          <w:tcPr>
            <w:tcW w:w="3006" w:type="dxa"/>
            <w:vAlign w:val="center"/>
          </w:tcPr>
          <w:p w14:paraId="1F2EE787" w14:textId="77777777" w:rsidR="009027A9" w:rsidRPr="00B510A6" w:rsidRDefault="009027A9" w:rsidP="009027A9">
            <w:pPr>
              <w:pStyle w:val="TableText"/>
            </w:pPr>
            <w:r w:rsidRPr="00B510A6">
              <w:t>Application rate</w:t>
            </w:r>
          </w:p>
        </w:tc>
      </w:tr>
      <w:tr w:rsidR="009027A9" w:rsidRPr="00B510A6" w14:paraId="42CEF2DB" w14:textId="77777777" w:rsidTr="00ED53D3">
        <w:tc>
          <w:tcPr>
            <w:tcW w:w="2547" w:type="dxa"/>
            <w:vMerge w:val="restart"/>
            <w:vAlign w:val="center"/>
          </w:tcPr>
          <w:p w14:paraId="52DA262C" w14:textId="77777777" w:rsidR="009027A9" w:rsidRPr="00B510A6" w:rsidRDefault="009027A9" w:rsidP="009027A9">
            <w:pPr>
              <w:pStyle w:val="TableText"/>
            </w:pPr>
            <w:r w:rsidRPr="00B510A6">
              <w:t>Stock management</w:t>
            </w:r>
          </w:p>
        </w:tc>
        <w:tc>
          <w:tcPr>
            <w:tcW w:w="3463" w:type="dxa"/>
            <w:vMerge w:val="restart"/>
            <w:vAlign w:val="center"/>
          </w:tcPr>
          <w:p w14:paraId="15F743B9" w14:textId="77777777" w:rsidR="009027A9" w:rsidRPr="00B510A6" w:rsidRDefault="009027A9" w:rsidP="009027A9">
            <w:pPr>
              <w:pStyle w:val="TableText"/>
            </w:pPr>
            <w:r w:rsidRPr="00B510A6">
              <w:t>Peak stocking rate</w:t>
            </w:r>
          </w:p>
        </w:tc>
        <w:tc>
          <w:tcPr>
            <w:tcW w:w="3006" w:type="dxa"/>
            <w:vAlign w:val="center"/>
          </w:tcPr>
          <w:p w14:paraId="49EDCC99" w14:textId="77777777" w:rsidR="009027A9" w:rsidRPr="00B510A6" w:rsidRDefault="009027A9" w:rsidP="009027A9">
            <w:pPr>
              <w:pStyle w:val="TableText"/>
            </w:pPr>
            <w:r w:rsidRPr="00B510A6">
              <w:t>Pasture eaten</w:t>
            </w:r>
          </w:p>
        </w:tc>
      </w:tr>
      <w:tr w:rsidR="009027A9" w:rsidRPr="00B510A6" w14:paraId="01A9BBE3" w14:textId="77777777" w:rsidTr="00ED53D3">
        <w:tc>
          <w:tcPr>
            <w:tcW w:w="2547" w:type="dxa"/>
            <w:vMerge/>
            <w:vAlign w:val="center"/>
          </w:tcPr>
          <w:p w14:paraId="18479D45" w14:textId="77777777" w:rsidR="009027A9" w:rsidRPr="00B510A6" w:rsidRDefault="009027A9" w:rsidP="009027A9">
            <w:pPr>
              <w:pStyle w:val="TableText"/>
            </w:pPr>
          </w:p>
        </w:tc>
        <w:tc>
          <w:tcPr>
            <w:tcW w:w="3463" w:type="dxa"/>
            <w:vMerge/>
            <w:vAlign w:val="center"/>
          </w:tcPr>
          <w:p w14:paraId="0E690E27" w14:textId="77777777" w:rsidR="009027A9" w:rsidRPr="00B510A6" w:rsidRDefault="009027A9" w:rsidP="009027A9">
            <w:pPr>
              <w:pStyle w:val="TableText"/>
            </w:pPr>
          </w:p>
        </w:tc>
        <w:tc>
          <w:tcPr>
            <w:tcW w:w="3006" w:type="dxa"/>
            <w:vAlign w:val="center"/>
          </w:tcPr>
          <w:p w14:paraId="6F50967A" w14:textId="77777777" w:rsidR="009027A9" w:rsidRPr="00B510A6" w:rsidRDefault="009027A9" w:rsidP="009027A9">
            <w:pPr>
              <w:pStyle w:val="TableText"/>
            </w:pPr>
            <w:r w:rsidRPr="00B510A6">
              <w:t>Replacement grazing</w:t>
            </w:r>
          </w:p>
        </w:tc>
      </w:tr>
      <w:tr w:rsidR="009027A9" w:rsidRPr="00B510A6" w14:paraId="465BF21D" w14:textId="77777777" w:rsidTr="00ED53D3">
        <w:tc>
          <w:tcPr>
            <w:tcW w:w="2547" w:type="dxa"/>
            <w:vMerge/>
            <w:vAlign w:val="center"/>
          </w:tcPr>
          <w:p w14:paraId="6799A6CA" w14:textId="77777777" w:rsidR="009027A9" w:rsidRPr="00B510A6" w:rsidRDefault="009027A9" w:rsidP="009027A9">
            <w:pPr>
              <w:pStyle w:val="TableText"/>
            </w:pPr>
          </w:p>
        </w:tc>
        <w:tc>
          <w:tcPr>
            <w:tcW w:w="3463" w:type="dxa"/>
            <w:vMerge/>
            <w:vAlign w:val="center"/>
          </w:tcPr>
          <w:p w14:paraId="0CA07D7C" w14:textId="77777777" w:rsidR="009027A9" w:rsidRPr="00B510A6" w:rsidRDefault="009027A9" w:rsidP="009027A9">
            <w:pPr>
              <w:pStyle w:val="TableText"/>
            </w:pPr>
          </w:p>
        </w:tc>
        <w:tc>
          <w:tcPr>
            <w:tcW w:w="3006" w:type="dxa"/>
            <w:vAlign w:val="center"/>
          </w:tcPr>
          <w:p w14:paraId="03FAC4C8" w14:textId="77777777" w:rsidR="009027A9" w:rsidRPr="00B510A6" w:rsidRDefault="009027A9" w:rsidP="009027A9">
            <w:pPr>
              <w:pStyle w:val="TableText"/>
            </w:pPr>
            <w:r w:rsidRPr="00B510A6">
              <w:t>Wintering practices (x</w:t>
            </w:r>
            <w:r w:rsidR="005B4D88">
              <w:t xml:space="preserve"> </w:t>
            </w:r>
            <w:r w:rsidRPr="00B510A6">
              <w:t>2)</w:t>
            </w:r>
          </w:p>
        </w:tc>
      </w:tr>
      <w:tr w:rsidR="009027A9" w:rsidRPr="00B510A6" w14:paraId="048DE105" w14:textId="77777777" w:rsidTr="00ED53D3">
        <w:tc>
          <w:tcPr>
            <w:tcW w:w="2547" w:type="dxa"/>
            <w:vMerge w:val="restart"/>
            <w:vAlign w:val="center"/>
          </w:tcPr>
          <w:p w14:paraId="50642AFC" w14:textId="77777777" w:rsidR="009027A9" w:rsidRPr="00B510A6" w:rsidRDefault="009027A9" w:rsidP="009027A9">
            <w:pPr>
              <w:pStyle w:val="TableText"/>
            </w:pPr>
            <w:r w:rsidRPr="00B510A6">
              <w:t>Imported feed</w:t>
            </w:r>
          </w:p>
        </w:tc>
        <w:tc>
          <w:tcPr>
            <w:tcW w:w="3463" w:type="dxa"/>
            <w:vMerge w:val="restart"/>
            <w:vAlign w:val="center"/>
          </w:tcPr>
          <w:p w14:paraId="2DD1E754" w14:textId="77777777" w:rsidR="009027A9" w:rsidRPr="00B510A6" w:rsidRDefault="009027A9" w:rsidP="009027A9">
            <w:pPr>
              <w:pStyle w:val="TableText"/>
            </w:pPr>
            <w:r w:rsidRPr="00B510A6">
              <w:t>Total N imported through feed</w:t>
            </w:r>
          </w:p>
        </w:tc>
        <w:tc>
          <w:tcPr>
            <w:tcW w:w="3006" w:type="dxa"/>
            <w:vAlign w:val="center"/>
          </w:tcPr>
          <w:p w14:paraId="68A45CED" w14:textId="77777777" w:rsidR="009027A9" w:rsidRPr="00B510A6" w:rsidRDefault="009027A9" w:rsidP="009027A9">
            <w:pPr>
              <w:pStyle w:val="TableText"/>
            </w:pPr>
            <w:r w:rsidRPr="00B510A6">
              <w:t>Ratio of N supplements to product</w:t>
            </w:r>
          </w:p>
        </w:tc>
      </w:tr>
      <w:tr w:rsidR="009027A9" w:rsidRPr="00B510A6" w14:paraId="13D8D94A" w14:textId="77777777" w:rsidTr="00ED53D3">
        <w:tc>
          <w:tcPr>
            <w:tcW w:w="2547" w:type="dxa"/>
            <w:vMerge/>
            <w:vAlign w:val="center"/>
          </w:tcPr>
          <w:p w14:paraId="51FE2607" w14:textId="77777777" w:rsidR="009027A9" w:rsidRPr="00B510A6" w:rsidRDefault="009027A9" w:rsidP="009027A9">
            <w:pPr>
              <w:pStyle w:val="TableText"/>
            </w:pPr>
          </w:p>
        </w:tc>
        <w:tc>
          <w:tcPr>
            <w:tcW w:w="3463" w:type="dxa"/>
            <w:vMerge/>
            <w:vAlign w:val="center"/>
          </w:tcPr>
          <w:p w14:paraId="1E05B0A3" w14:textId="77777777" w:rsidR="009027A9" w:rsidRPr="00B510A6" w:rsidRDefault="009027A9" w:rsidP="009027A9">
            <w:pPr>
              <w:pStyle w:val="TableText"/>
            </w:pPr>
          </w:p>
        </w:tc>
        <w:tc>
          <w:tcPr>
            <w:tcW w:w="3006" w:type="dxa"/>
            <w:vAlign w:val="center"/>
          </w:tcPr>
          <w:p w14:paraId="5B562BBD" w14:textId="77777777" w:rsidR="009027A9" w:rsidRPr="00B510A6" w:rsidRDefault="009027A9" w:rsidP="009027A9">
            <w:pPr>
              <w:pStyle w:val="TableText"/>
            </w:pPr>
            <w:r w:rsidRPr="00B510A6">
              <w:t>Average N content of imported supplements</w:t>
            </w:r>
          </w:p>
        </w:tc>
      </w:tr>
      <w:tr w:rsidR="009027A9" w:rsidRPr="00B510A6" w14:paraId="01CDC999" w14:textId="77777777" w:rsidTr="00ED53D3">
        <w:tc>
          <w:tcPr>
            <w:tcW w:w="2547" w:type="dxa"/>
            <w:vMerge w:val="restart"/>
            <w:vAlign w:val="center"/>
          </w:tcPr>
          <w:p w14:paraId="0114A761" w14:textId="77777777" w:rsidR="009027A9" w:rsidRPr="00B510A6" w:rsidRDefault="009027A9" w:rsidP="009027A9">
            <w:pPr>
              <w:pStyle w:val="TableText"/>
            </w:pPr>
            <w:r w:rsidRPr="00B510A6">
              <w:t>Irrigation</w:t>
            </w:r>
          </w:p>
        </w:tc>
        <w:tc>
          <w:tcPr>
            <w:tcW w:w="3463" w:type="dxa"/>
            <w:vMerge w:val="restart"/>
            <w:vAlign w:val="center"/>
          </w:tcPr>
          <w:p w14:paraId="1065F042" w14:textId="77777777" w:rsidR="009027A9" w:rsidRPr="00B510A6" w:rsidRDefault="009027A9" w:rsidP="009027A9">
            <w:pPr>
              <w:pStyle w:val="TableText"/>
            </w:pPr>
            <w:r w:rsidRPr="00B510A6">
              <w:t>Irrigation type</w:t>
            </w:r>
          </w:p>
        </w:tc>
        <w:tc>
          <w:tcPr>
            <w:tcW w:w="3006" w:type="dxa"/>
            <w:vAlign w:val="center"/>
          </w:tcPr>
          <w:p w14:paraId="31BEDA69" w14:textId="77777777" w:rsidR="009027A9" w:rsidRPr="00B510A6" w:rsidRDefault="009027A9" w:rsidP="009027A9">
            <w:pPr>
              <w:pStyle w:val="TableText"/>
            </w:pPr>
            <w:r w:rsidRPr="00B510A6">
              <w:t>Soil moisture monitoring</w:t>
            </w:r>
          </w:p>
        </w:tc>
      </w:tr>
      <w:tr w:rsidR="009027A9" w:rsidRPr="00B510A6" w14:paraId="143E163B" w14:textId="77777777" w:rsidTr="00ED53D3">
        <w:tc>
          <w:tcPr>
            <w:tcW w:w="2547" w:type="dxa"/>
            <w:vMerge/>
            <w:vAlign w:val="center"/>
          </w:tcPr>
          <w:p w14:paraId="4EBBAD70" w14:textId="77777777" w:rsidR="009027A9" w:rsidRPr="00B510A6" w:rsidRDefault="009027A9" w:rsidP="009027A9">
            <w:pPr>
              <w:pStyle w:val="TableText"/>
            </w:pPr>
          </w:p>
        </w:tc>
        <w:tc>
          <w:tcPr>
            <w:tcW w:w="3463" w:type="dxa"/>
            <w:vMerge/>
            <w:vAlign w:val="center"/>
          </w:tcPr>
          <w:p w14:paraId="10F98263" w14:textId="77777777" w:rsidR="009027A9" w:rsidRPr="00B510A6" w:rsidRDefault="009027A9" w:rsidP="009027A9">
            <w:pPr>
              <w:pStyle w:val="TableText"/>
            </w:pPr>
          </w:p>
        </w:tc>
        <w:tc>
          <w:tcPr>
            <w:tcW w:w="3006" w:type="dxa"/>
            <w:vAlign w:val="center"/>
          </w:tcPr>
          <w:p w14:paraId="4F0BD6D9" w14:textId="77777777" w:rsidR="009027A9" w:rsidRPr="00B510A6" w:rsidRDefault="009027A9" w:rsidP="009027A9">
            <w:pPr>
              <w:pStyle w:val="TableText"/>
            </w:pPr>
            <w:r w:rsidRPr="00B510A6">
              <w:t>Application methodology</w:t>
            </w:r>
          </w:p>
        </w:tc>
      </w:tr>
      <w:tr w:rsidR="009027A9" w:rsidRPr="00B510A6" w14:paraId="760A9162" w14:textId="77777777" w:rsidTr="00ED53D3">
        <w:tc>
          <w:tcPr>
            <w:tcW w:w="2547" w:type="dxa"/>
            <w:vMerge w:val="restart"/>
            <w:vAlign w:val="center"/>
          </w:tcPr>
          <w:p w14:paraId="2CE78F48" w14:textId="77777777" w:rsidR="009027A9" w:rsidRPr="00B510A6" w:rsidRDefault="009027A9" w:rsidP="009027A9">
            <w:pPr>
              <w:pStyle w:val="TableText"/>
            </w:pPr>
            <w:r w:rsidRPr="00B510A6">
              <w:t>Cropping and cultivation</w:t>
            </w:r>
          </w:p>
        </w:tc>
        <w:tc>
          <w:tcPr>
            <w:tcW w:w="3463" w:type="dxa"/>
            <w:vAlign w:val="center"/>
          </w:tcPr>
          <w:p w14:paraId="4A707953" w14:textId="77777777" w:rsidR="009027A9" w:rsidRPr="00B510A6" w:rsidRDefault="009027A9" w:rsidP="009027A9">
            <w:pPr>
              <w:pStyle w:val="TableText"/>
            </w:pPr>
            <w:r w:rsidRPr="00B510A6">
              <w:t>Percentage of farm cultivated annually via minimum till</w:t>
            </w:r>
          </w:p>
        </w:tc>
        <w:tc>
          <w:tcPr>
            <w:tcW w:w="3006" w:type="dxa"/>
            <w:vAlign w:val="center"/>
          </w:tcPr>
          <w:p w14:paraId="57EB3985" w14:textId="77777777" w:rsidR="009027A9" w:rsidRPr="00B510A6" w:rsidRDefault="009027A9" w:rsidP="009027A9">
            <w:pPr>
              <w:pStyle w:val="TableText"/>
            </w:pPr>
            <w:r w:rsidRPr="00B510A6">
              <w:t>Season of harvest</w:t>
            </w:r>
          </w:p>
        </w:tc>
      </w:tr>
      <w:tr w:rsidR="009027A9" w:rsidRPr="00B510A6" w14:paraId="2DE2B9FC" w14:textId="77777777" w:rsidTr="00ED53D3">
        <w:tc>
          <w:tcPr>
            <w:tcW w:w="2547" w:type="dxa"/>
            <w:vMerge/>
            <w:vAlign w:val="center"/>
          </w:tcPr>
          <w:p w14:paraId="0E78564A" w14:textId="77777777" w:rsidR="009027A9" w:rsidRPr="00B510A6" w:rsidRDefault="009027A9" w:rsidP="009027A9">
            <w:pPr>
              <w:pStyle w:val="TableText"/>
            </w:pPr>
          </w:p>
        </w:tc>
        <w:tc>
          <w:tcPr>
            <w:tcW w:w="3463" w:type="dxa"/>
            <w:vAlign w:val="center"/>
          </w:tcPr>
          <w:p w14:paraId="399307C3" w14:textId="77777777" w:rsidR="009027A9" w:rsidRPr="00B510A6" w:rsidRDefault="009027A9" w:rsidP="009027A9">
            <w:pPr>
              <w:pStyle w:val="TableText"/>
            </w:pPr>
            <w:r w:rsidRPr="00B510A6">
              <w:t>Percentage of farm cultivated annually via conventional method</w:t>
            </w:r>
          </w:p>
        </w:tc>
        <w:tc>
          <w:tcPr>
            <w:tcW w:w="3006" w:type="dxa"/>
            <w:vAlign w:val="center"/>
          </w:tcPr>
          <w:p w14:paraId="589D8421" w14:textId="77777777" w:rsidR="009027A9" w:rsidRPr="00B510A6" w:rsidRDefault="009027A9" w:rsidP="009027A9">
            <w:pPr>
              <w:pStyle w:val="TableText"/>
            </w:pPr>
            <w:r w:rsidRPr="00B510A6">
              <w:t>N fertiliser application</w:t>
            </w:r>
          </w:p>
        </w:tc>
      </w:tr>
      <w:tr w:rsidR="009027A9" w:rsidRPr="00B510A6" w14:paraId="112277F1" w14:textId="77777777" w:rsidTr="00ED53D3">
        <w:trPr>
          <w:trHeight w:val="58"/>
        </w:trPr>
        <w:tc>
          <w:tcPr>
            <w:tcW w:w="2547" w:type="dxa"/>
            <w:vMerge w:val="restart"/>
            <w:vAlign w:val="center"/>
          </w:tcPr>
          <w:p w14:paraId="6E05C3C6" w14:textId="77777777" w:rsidR="009027A9" w:rsidRPr="00B510A6" w:rsidRDefault="009027A9" w:rsidP="009027A9">
            <w:pPr>
              <w:pStyle w:val="TableText"/>
            </w:pPr>
            <w:r w:rsidRPr="00B510A6">
              <w:t>Effluent management</w:t>
            </w:r>
          </w:p>
        </w:tc>
        <w:tc>
          <w:tcPr>
            <w:tcW w:w="3463" w:type="dxa"/>
            <w:vMerge w:val="restart"/>
            <w:vAlign w:val="center"/>
          </w:tcPr>
          <w:p w14:paraId="6E346ADA" w14:textId="77777777" w:rsidR="009027A9" w:rsidRPr="00B510A6" w:rsidRDefault="009027A9" w:rsidP="009027A9">
            <w:pPr>
              <w:pStyle w:val="TableText"/>
            </w:pPr>
            <w:r w:rsidRPr="00B510A6">
              <w:t>Discharge method</w:t>
            </w:r>
          </w:p>
        </w:tc>
        <w:tc>
          <w:tcPr>
            <w:tcW w:w="3006" w:type="dxa"/>
            <w:vAlign w:val="center"/>
          </w:tcPr>
          <w:p w14:paraId="6BF42AFF" w14:textId="77777777" w:rsidR="009027A9" w:rsidRPr="00B510A6" w:rsidRDefault="009027A9" w:rsidP="009027A9">
            <w:pPr>
              <w:pStyle w:val="TableText"/>
            </w:pPr>
            <w:r w:rsidRPr="00B510A6">
              <w:t>Application depth</w:t>
            </w:r>
          </w:p>
        </w:tc>
      </w:tr>
      <w:tr w:rsidR="009027A9" w:rsidRPr="00B510A6" w14:paraId="5E3F6ED1" w14:textId="77777777" w:rsidTr="00ED53D3">
        <w:tc>
          <w:tcPr>
            <w:tcW w:w="2547" w:type="dxa"/>
            <w:vMerge/>
            <w:vAlign w:val="center"/>
          </w:tcPr>
          <w:p w14:paraId="72602367" w14:textId="77777777" w:rsidR="009027A9" w:rsidRPr="00B510A6" w:rsidRDefault="009027A9" w:rsidP="009027A9">
            <w:pPr>
              <w:pStyle w:val="TableText"/>
            </w:pPr>
          </w:p>
        </w:tc>
        <w:tc>
          <w:tcPr>
            <w:tcW w:w="3463" w:type="dxa"/>
            <w:vMerge/>
            <w:vAlign w:val="center"/>
          </w:tcPr>
          <w:p w14:paraId="6D3B11DD" w14:textId="77777777" w:rsidR="009027A9" w:rsidRPr="00B510A6" w:rsidRDefault="009027A9" w:rsidP="009027A9">
            <w:pPr>
              <w:pStyle w:val="TableText"/>
            </w:pPr>
          </w:p>
        </w:tc>
        <w:tc>
          <w:tcPr>
            <w:tcW w:w="3006" w:type="dxa"/>
            <w:vAlign w:val="center"/>
          </w:tcPr>
          <w:p w14:paraId="0E293769" w14:textId="77777777" w:rsidR="009027A9" w:rsidRPr="00B510A6" w:rsidRDefault="009027A9" w:rsidP="009027A9">
            <w:pPr>
              <w:pStyle w:val="TableText"/>
            </w:pPr>
            <w:r w:rsidRPr="00B510A6">
              <w:t>Disposal area</w:t>
            </w:r>
          </w:p>
        </w:tc>
      </w:tr>
    </w:tbl>
    <w:p w14:paraId="428B2031" w14:textId="77777777" w:rsidR="009027A9" w:rsidRPr="00B510A6" w:rsidRDefault="009027A9" w:rsidP="00B93D54">
      <w:pPr>
        <w:pStyle w:val="BodyText"/>
        <w:spacing w:before="0" w:after="0"/>
        <w:rPr>
          <w:rFonts w:eastAsia="Calibri"/>
        </w:rPr>
      </w:pPr>
    </w:p>
    <w:p w14:paraId="6E5ED097" w14:textId="77777777" w:rsidR="009027A9" w:rsidRPr="00B510A6" w:rsidRDefault="009027A9" w:rsidP="009027A9">
      <w:pPr>
        <w:pStyle w:val="BodyText"/>
        <w:rPr>
          <w:rFonts w:eastAsia="Calibri"/>
          <w:b/>
          <w:bCs/>
        </w:rPr>
      </w:pPr>
      <w:r w:rsidRPr="00B510A6">
        <w:rPr>
          <w:rFonts w:eastAsia="Calibri"/>
        </w:rPr>
        <w:t>A mock example of how the final scores are set on the risk scale is provided below.</w:t>
      </w:r>
    </w:p>
    <w:tbl>
      <w:tblPr>
        <w:tblStyle w:val="TableGrid3"/>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3161"/>
        <w:gridCol w:w="1048"/>
        <w:gridCol w:w="1048"/>
        <w:gridCol w:w="1048"/>
        <w:gridCol w:w="1077"/>
        <w:gridCol w:w="1123"/>
      </w:tblGrid>
      <w:tr w:rsidR="0073385B" w:rsidRPr="00B510A6" w14:paraId="5DCF10F7" w14:textId="77777777" w:rsidTr="005B4D88">
        <w:trPr>
          <w:trHeight w:val="408"/>
        </w:trPr>
        <w:tc>
          <w:tcPr>
            <w:tcW w:w="1859" w:type="pct"/>
            <w:vMerge w:val="restart"/>
            <w:shd w:val="clear" w:color="auto" w:fill="1C556C" w:themeFill="accent1"/>
            <w:vAlign w:val="bottom"/>
          </w:tcPr>
          <w:p w14:paraId="4675140F" w14:textId="77777777" w:rsidR="009027A9" w:rsidRPr="00B510A6" w:rsidRDefault="009027A9" w:rsidP="009027A9">
            <w:pPr>
              <w:pStyle w:val="TableTextbold"/>
              <w:rPr>
                <w:color w:val="FFFFFF" w:themeColor="background1"/>
              </w:rPr>
            </w:pPr>
            <w:r w:rsidRPr="00B510A6">
              <w:rPr>
                <w:color w:val="FFFFFF" w:themeColor="background1"/>
              </w:rPr>
              <w:t>Farm management practices</w:t>
            </w:r>
          </w:p>
        </w:tc>
        <w:tc>
          <w:tcPr>
            <w:tcW w:w="3141" w:type="pct"/>
            <w:gridSpan w:val="5"/>
            <w:shd w:val="clear" w:color="auto" w:fill="1C556C" w:themeFill="accent1"/>
            <w:vAlign w:val="center"/>
          </w:tcPr>
          <w:p w14:paraId="148F702C" w14:textId="77777777" w:rsidR="009027A9" w:rsidRPr="00B510A6" w:rsidRDefault="009027A9" w:rsidP="00057C2D">
            <w:pPr>
              <w:pStyle w:val="TableTextbold"/>
              <w:jc w:val="center"/>
              <w:rPr>
                <w:color w:val="FFFFFF" w:themeColor="background1"/>
              </w:rPr>
            </w:pPr>
            <w:r w:rsidRPr="00B510A6">
              <w:rPr>
                <w:color w:val="FFFFFF" w:themeColor="background1"/>
              </w:rPr>
              <w:t>Risk ratings</w:t>
            </w:r>
          </w:p>
        </w:tc>
      </w:tr>
      <w:tr w:rsidR="009027A9" w:rsidRPr="00B510A6" w14:paraId="33171504" w14:textId="77777777" w:rsidTr="005B4D88">
        <w:tc>
          <w:tcPr>
            <w:tcW w:w="1859" w:type="pct"/>
            <w:vMerge/>
            <w:shd w:val="clear" w:color="auto" w:fill="auto"/>
            <w:vAlign w:val="center"/>
          </w:tcPr>
          <w:p w14:paraId="6BCAAA6C" w14:textId="77777777" w:rsidR="009027A9" w:rsidRPr="00B510A6" w:rsidRDefault="009027A9" w:rsidP="00894975">
            <w:pPr>
              <w:spacing w:line="259" w:lineRule="auto"/>
              <w:rPr>
                <w:rFonts w:cs="Arial"/>
                <w:sz w:val="20"/>
                <w:szCs w:val="20"/>
              </w:rPr>
            </w:pPr>
          </w:p>
        </w:tc>
        <w:tc>
          <w:tcPr>
            <w:tcW w:w="616" w:type="pct"/>
            <w:shd w:val="clear" w:color="auto" w:fill="C5E0B3"/>
            <w:vAlign w:val="center"/>
          </w:tcPr>
          <w:p w14:paraId="58F8D124" w14:textId="77777777" w:rsidR="009027A9" w:rsidRPr="00B510A6" w:rsidRDefault="009027A9" w:rsidP="00057C2D">
            <w:pPr>
              <w:pStyle w:val="TableText"/>
              <w:spacing w:after="0"/>
              <w:jc w:val="center"/>
            </w:pPr>
            <w:r w:rsidRPr="00B510A6">
              <w:t>Very low</w:t>
            </w:r>
            <w:r w:rsidRPr="00B510A6">
              <w:br/>
              <w:t>&lt; 20</w:t>
            </w:r>
          </w:p>
        </w:tc>
        <w:tc>
          <w:tcPr>
            <w:tcW w:w="616" w:type="pct"/>
            <w:shd w:val="clear" w:color="auto" w:fill="9CC2E5"/>
            <w:vAlign w:val="center"/>
          </w:tcPr>
          <w:p w14:paraId="5C7C3F19" w14:textId="1E555CC6" w:rsidR="009027A9" w:rsidRPr="00B510A6" w:rsidRDefault="009027A9" w:rsidP="00057C2D">
            <w:pPr>
              <w:pStyle w:val="TableText"/>
              <w:jc w:val="center"/>
            </w:pPr>
            <w:r w:rsidRPr="00B510A6">
              <w:t>Low</w:t>
            </w:r>
            <w:r w:rsidRPr="00B510A6">
              <w:br/>
              <w:t>20</w:t>
            </w:r>
            <w:r w:rsidR="005B4D88">
              <w:t>–</w:t>
            </w:r>
            <w:r w:rsidRPr="00B510A6">
              <w:t>39</w:t>
            </w:r>
          </w:p>
        </w:tc>
        <w:tc>
          <w:tcPr>
            <w:tcW w:w="616" w:type="pct"/>
            <w:shd w:val="clear" w:color="auto" w:fill="FFE599"/>
            <w:vAlign w:val="center"/>
          </w:tcPr>
          <w:p w14:paraId="258D86F0" w14:textId="25EA9891" w:rsidR="009027A9" w:rsidRPr="00B510A6" w:rsidRDefault="009027A9" w:rsidP="00057C2D">
            <w:pPr>
              <w:pStyle w:val="TableText"/>
              <w:jc w:val="center"/>
            </w:pPr>
            <w:r w:rsidRPr="00B510A6">
              <w:t>Medium</w:t>
            </w:r>
            <w:r w:rsidRPr="00B510A6">
              <w:br/>
              <w:t>40</w:t>
            </w:r>
            <w:r w:rsidR="005B4D88">
              <w:t>–</w:t>
            </w:r>
            <w:r w:rsidRPr="00B510A6">
              <w:t>59</w:t>
            </w:r>
          </w:p>
        </w:tc>
        <w:tc>
          <w:tcPr>
            <w:tcW w:w="633" w:type="pct"/>
            <w:shd w:val="clear" w:color="auto" w:fill="F7CAAC"/>
            <w:vAlign w:val="center"/>
          </w:tcPr>
          <w:p w14:paraId="417E6B65" w14:textId="5848A2AB" w:rsidR="009027A9" w:rsidRPr="00B510A6" w:rsidRDefault="009027A9" w:rsidP="00057C2D">
            <w:pPr>
              <w:pStyle w:val="TableText"/>
              <w:jc w:val="center"/>
            </w:pPr>
            <w:r w:rsidRPr="00B510A6">
              <w:t>High</w:t>
            </w:r>
            <w:r w:rsidRPr="00B510A6">
              <w:br/>
              <w:t>60–79</w:t>
            </w:r>
          </w:p>
        </w:tc>
        <w:tc>
          <w:tcPr>
            <w:tcW w:w="660" w:type="pct"/>
            <w:shd w:val="clear" w:color="auto" w:fill="F89F96"/>
            <w:vAlign w:val="center"/>
          </w:tcPr>
          <w:p w14:paraId="29EAE31A" w14:textId="77777777" w:rsidR="009027A9" w:rsidRPr="00B510A6" w:rsidRDefault="009027A9" w:rsidP="00057C2D">
            <w:pPr>
              <w:pStyle w:val="TableText"/>
              <w:jc w:val="center"/>
            </w:pPr>
            <w:r w:rsidRPr="00B510A6">
              <w:t>Very high</w:t>
            </w:r>
            <w:r w:rsidRPr="00B510A6">
              <w:br/>
              <w:t>80</w:t>
            </w:r>
            <w:r w:rsidR="005261C9">
              <w:t> </w:t>
            </w:r>
            <w:r w:rsidRPr="00B510A6">
              <w:t>&lt;</w:t>
            </w:r>
          </w:p>
        </w:tc>
      </w:tr>
      <w:tr w:rsidR="009027A9" w:rsidRPr="00B510A6" w14:paraId="5AEDFE47" w14:textId="77777777" w:rsidTr="005B4D88">
        <w:trPr>
          <w:trHeight w:val="441"/>
        </w:trPr>
        <w:tc>
          <w:tcPr>
            <w:tcW w:w="1859" w:type="pct"/>
            <w:shd w:val="clear" w:color="auto" w:fill="auto"/>
            <w:vAlign w:val="center"/>
          </w:tcPr>
          <w:p w14:paraId="178E199D" w14:textId="77777777" w:rsidR="009027A9" w:rsidRPr="00B510A6" w:rsidRDefault="009027A9" w:rsidP="00985A76">
            <w:pPr>
              <w:pStyle w:val="TableText"/>
            </w:pPr>
            <w:r w:rsidRPr="00B510A6">
              <w:t>Stock management</w:t>
            </w:r>
          </w:p>
        </w:tc>
        <w:tc>
          <w:tcPr>
            <w:tcW w:w="616" w:type="pct"/>
            <w:shd w:val="clear" w:color="auto" w:fill="C5E0B3"/>
            <w:vAlign w:val="center"/>
          </w:tcPr>
          <w:p w14:paraId="417969BC" w14:textId="77777777" w:rsidR="009027A9" w:rsidRPr="00B510A6" w:rsidRDefault="009027A9" w:rsidP="00985A76">
            <w:pPr>
              <w:pStyle w:val="TableText"/>
              <w:jc w:val="center"/>
            </w:pPr>
          </w:p>
        </w:tc>
        <w:tc>
          <w:tcPr>
            <w:tcW w:w="616" w:type="pct"/>
            <w:shd w:val="clear" w:color="auto" w:fill="9CC2E5"/>
            <w:vAlign w:val="center"/>
          </w:tcPr>
          <w:p w14:paraId="69DA38FF" w14:textId="77777777" w:rsidR="009027A9" w:rsidRPr="00B510A6" w:rsidRDefault="009027A9" w:rsidP="00985A76">
            <w:pPr>
              <w:pStyle w:val="TableText"/>
              <w:jc w:val="center"/>
            </w:pPr>
          </w:p>
        </w:tc>
        <w:tc>
          <w:tcPr>
            <w:tcW w:w="616" w:type="pct"/>
            <w:shd w:val="clear" w:color="auto" w:fill="FFE599"/>
            <w:vAlign w:val="center"/>
          </w:tcPr>
          <w:p w14:paraId="73C97775" w14:textId="77777777" w:rsidR="009027A9" w:rsidRPr="00B510A6" w:rsidRDefault="009027A9" w:rsidP="00985A76">
            <w:pPr>
              <w:pStyle w:val="TableText"/>
              <w:jc w:val="center"/>
            </w:pPr>
            <w:r w:rsidRPr="00B510A6">
              <w:rPr>
                <w:noProof/>
              </w:rPr>
              <w:drawing>
                <wp:inline distT="0" distB="0" distL="0" distR="0" wp14:anchorId="576409B1" wp14:editId="33D4B6C0">
                  <wp:extent cx="213360" cy="213360"/>
                  <wp:effectExtent l="0" t="0" r="0" b="0"/>
                  <wp:docPr id="17" name="Graphic 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13360" cy="213360"/>
                          </a:xfrm>
                          <a:prstGeom prst="rect">
                            <a:avLst/>
                          </a:prstGeom>
                        </pic:spPr>
                      </pic:pic>
                    </a:graphicData>
                  </a:graphic>
                </wp:inline>
              </w:drawing>
            </w:r>
          </w:p>
        </w:tc>
        <w:tc>
          <w:tcPr>
            <w:tcW w:w="633" w:type="pct"/>
            <w:shd w:val="clear" w:color="auto" w:fill="F7CAAC"/>
            <w:vAlign w:val="center"/>
          </w:tcPr>
          <w:p w14:paraId="12F8C821" w14:textId="77777777" w:rsidR="009027A9" w:rsidRPr="00B510A6" w:rsidRDefault="009027A9" w:rsidP="00985A76">
            <w:pPr>
              <w:pStyle w:val="TableText"/>
              <w:jc w:val="center"/>
            </w:pPr>
          </w:p>
        </w:tc>
        <w:tc>
          <w:tcPr>
            <w:tcW w:w="660" w:type="pct"/>
            <w:shd w:val="clear" w:color="auto" w:fill="F89F96"/>
            <w:vAlign w:val="center"/>
          </w:tcPr>
          <w:p w14:paraId="6D2260F1" w14:textId="77777777" w:rsidR="009027A9" w:rsidRPr="00B510A6" w:rsidRDefault="009027A9" w:rsidP="00985A76">
            <w:pPr>
              <w:pStyle w:val="TableText"/>
              <w:jc w:val="center"/>
            </w:pPr>
          </w:p>
        </w:tc>
      </w:tr>
      <w:tr w:rsidR="009027A9" w:rsidRPr="00B510A6" w14:paraId="1B1D76C0" w14:textId="77777777" w:rsidTr="005B4D88">
        <w:trPr>
          <w:trHeight w:val="419"/>
        </w:trPr>
        <w:tc>
          <w:tcPr>
            <w:tcW w:w="1859" w:type="pct"/>
            <w:shd w:val="clear" w:color="auto" w:fill="auto"/>
            <w:vAlign w:val="center"/>
          </w:tcPr>
          <w:p w14:paraId="7740C607" w14:textId="77777777" w:rsidR="009027A9" w:rsidRPr="00B510A6" w:rsidRDefault="009027A9" w:rsidP="00985A76">
            <w:pPr>
              <w:pStyle w:val="TableText"/>
            </w:pPr>
            <w:r w:rsidRPr="00B510A6">
              <w:t>Nitrogen fertiliser</w:t>
            </w:r>
          </w:p>
        </w:tc>
        <w:tc>
          <w:tcPr>
            <w:tcW w:w="616" w:type="pct"/>
            <w:shd w:val="clear" w:color="auto" w:fill="C5E0B3"/>
            <w:vAlign w:val="center"/>
          </w:tcPr>
          <w:p w14:paraId="0AF9EB63" w14:textId="77777777" w:rsidR="009027A9" w:rsidRPr="00B510A6" w:rsidRDefault="009027A9" w:rsidP="00985A76">
            <w:pPr>
              <w:pStyle w:val="TableText"/>
              <w:jc w:val="center"/>
            </w:pPr>
          </w:p>
        </w:tc>
        <w:tc>
          <w:tcPr>
            <w:tcW w:w="616" w:type="pct"/>
            <w:shd w:val="clear" w:color="auto" w:fill="9CC2E5"/>
            <w:vAlign w:val="center"/>
          </w:tcPr>
          <w:p w14:paraId="30C7FDB9" w14:textId="77777777" w:rsidR="009027A9" w:rsidRPr="00B510A6" w:rsidRDefault="009027A9" w:rsidP="00985A76">
            <w:pPr>
              <w:pStyle w:val="TableText"/>
              <w:jc w:val="center"/>
            </w:pPr>
          </w:p>
        </w:tc>
        <w:tc>
          <w:tcPr>
            <w:tcW w:w="616" w:type="pct"/>
            <w:shd w:val="clear" w:color="auto" w:fill="FFE599"/>
            <w:vAlign w:val="center"/>
          </w:tcPr>
          <w:p w14:paraId="035D6400" w14:textId="77777777" w:rsidR="009027A9" w:rsidRPr="00B510A6" w:rsidRDefault="009027A9" w:rsidP="00985A76">
            <w:pPr>
              <w:pStyle w:val="TableText"/>
              <w:jc w:val="center"/>
            </w:pPr>
          </w:p>
        </w:tc>
        <w:tc>
          <w:tcPr>
            <w:tcW w:w="633" w:type="pct"/>
            <w:shd w:val="clear" w:color="auto" w:fill="F7CAAC"/>
            <w:vAlign w:val="center"/>
          </w:tcPr>
          <w:p w14:paraId="30D1F38C" w14:textId="77777777" w:rsidR="009027A9" w:rsidRPr="00B510A6" w:rsidRDefault="009027A9" w:rsidP="00985A76">
            <w:pPr>
              <w:pStyle w:val="TableText"/>
              <w:jc w:val="center"/>
            </w:pPr>
            <w:r w:rsidRPr="00B510A6">
              <w:rPr>
                <w:noProof/>
              </w:rPr>
              <w:drawing>
                <wp:inline distT="0" distB="0" distL="0" distR="0" wp14:anchorId="0273B4D4" wp14:editId="2BECCAA9">
                  <wp:extent cx="213360" cy="213360"/>
                  <wp:effectExtent l="0" t="0" r="0" b="0"/>
                  <wp:docPr id="18" name="Graphic 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13360" cy="213360"/>
                          </a:xfrm>
                          <a:prstGeom prst="rect">
                            <a:avLst/>
                          </a:prstGeom>
                        </pic:spPr>
                      </pic:pic>
                    </a:graphicData>
                  </a:graphic>
                </wp:inline>
              </w:drawing>
            </w:r>
          </w:p>
        </w:tc>
        <w:tc>
          <w:tcPr>
            <w:tcW w:w="660" w:type="pct"/>
            <w:shd w:val="clear" w:color="auto" w:fill="F89F96"/>
            <w:vAlign w:val="center"/>
          </w:tcPr>
          <w:p w14:paraId="01790766" w14:textId="77777777" w:rsidR="009027A9" w:rsidRPr="00B510A6" w:rsidRDefault="009027A9" w:rsidP="00985A76">
            <w:pPr>
              <w:pStyle w:val="TableText"/>
              <w:jc w:val="center"/>
            </w:pPr>
          </w:p>
        </w:tc>
      </w:tr>
      <w:tr w:rsidR="009027A9" w:rsidRPr="00B510A6" w14:paraId="7B1F3E59" w14:textId="77777777" w:rsidTr="005B4D88">
        <w:trPr>
          <w:trHeight w:val="410"/>
        </w:trPr>
        <w:tc>
          <w:tcPr>
            <w:tcW w:w="1859" w:type="pct"/>
            <w:shd w:val="clear" w:color="auto" w:fill="auto"/>
            <w:vAlign w:val="center"/>
          </w:tcPr>
          <w:p w14:paraId="54615B0C" w14:textId="77777777" w:rsidR="009027A9" w:rsidRPr="00B510A6" w:rsidRDefault="009027A9" w:rsidP="00985A76">
            <w:pPr>
              <w:pStyle w:val="TableText"/>
            </w:pPr>
            <w:r w:rsidRPr="00B510A6">
              <w:t>Imported feed</w:t>
            </w:r>
          </w:p>
        </w:tc>
        <w:tc>
          <w:tcPr>
            <w:tcW w:w="616" w:type="pct"/>
            <w:shd w:val="clear" w:color="auto" w:fill="C5E0B3"/>
            <w:vAlign w:val="center"/>
          </w:tcPr>
          <w:p w14:paraId="35EEC2A6" w14:textId="77777777" w:rsidR="009027A9" w:rsidRPr="00B510A6" w:rsidRDefault="009027A9" w:rsidP="00985A76">
            <w:pPr>
              <w:pStyle w:val="TableText"/>
              <w:jc w:val="center"/>
            </w:pPr>
          </w:p>
        </w:tc>
        <w:tc>
          <w:tcPr>
            <w:tcW w:w="616" w:type="pct"/>
            <w:shd w:val="clear" w:color="auto" w:fill="9CC2E5"/>
            <w:vAlign w:val="center"/>
          </w:tcPr>
          <w:p w14:paraId="23AE3006" w14:textId="77777777" w:rsidR="009027A9" w:rsidRPr="00B510A6" w:rsidRDefault="009027A9" w:rsidP="00985A76">
            <w:pPr>
              <w:pStyle w:val="TableText"/>
              <w:jc w:val="center"/>
            </w:pPr>
            <w:r w:rsidRPr="00B510A6">
              <w:rPr>
                <w:noProof/>
              </w:rPr>
              <w:drawing>
                <wp:inline distT="0" distB="0" distL="0" distR="0" wp14:anchorId="36277E3A" wp14:editId="242256D5">
                  <wp:extent cx="213360" cy="213360"/>
                  <wp:effectExtent l="0" t="0" r="0" b="0"/>
                  <wp:docPr id="19" name="Graphic 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13360" cy="213360"/>
                          </a:xfrm>
                          <a:prstGeom prst="rect">
                            <a:avLst/>
                          </a:prstGeom>
                        </pic:spPr>
                      </pic:pic>
                    </a:graphicData>
                  </a:graphic>
                </wp:inline>
              </w:drawing>
            </w:r>
          </w:p>
        </w:tc>
        <w:tc>
          <w:tcPr>
            <w:tcW w:w="616" w:type="pct"/>
            <w:shd w:val="clear" w:color="auto" w:fill="FFE599"/>
            <w:vAlign w:val="center"/>
          </w:tcPr>
          <w:p w14:paraId="6C752839" w14:textId="77777777" w:rsidR="009027A9" w:rsidRPr="00B510A6" w:rsidRDefault="009027A9" w:rsidP="00985A76">
            <w:pPr>
              <w:pStyle w:val="TableText"/>
              <w:jc w:val="center"/>
            </w:pPr>
          </w:p>
        </w:tc>
        <w:tc>
          <w:tcPr>
            <w:tcW w:w="633" w:type="pct"/>
            <w:shd w:val="clear" w:color="auto" w:fill="F7CAAC"/>
            <w:vAlign w:val="center"/>
          </w:tcPr>
          <w:p w14:paraId="65950EF0" w14:textId="77777777" w:rsidR="009027A9" w:rsidRPr="00B510A6" w:rsidRDefault="009027A9" w:rsidP="00985A76">
            <w:pPr>
              <w:pStyle w:val="TableText"/>
              <w:jc w:val="center"/>
            </w:pPr>
          </w:p>
        </w:tc>
        <w:tc>
          <w:tcPr>
            <w:tcW w:w="660" w:type="pct"/>
            <w:shd w:val="clear" w:color="auto" w:fill="F89F96"/>
            <w:vAlign w:val="center"/>
          </w:tcPr>
          <w:p w14:paraId="226AED53" w14:textId="77777777" w:rsidR="009027A9" w:rsidRPr="00B510A6" w:rsidRDefault="009027A9" w:rsidP="00985A76">
            <w:pPr>
              <w:pStyle w:val="TableText"/>
              <w:jc w:val="center"/>
            </w:pPr>
          </w:p>
        </w:tc>
      </w:tr>
      <w:tr w:rsidR="009027A9" w:rsidRPr="00B510A6" w14:paraId="3E25791F" w14:textId="77777777" w:rsidTr="005B4D88">
        <w:trPr>
          <w:trHeight w:val="528"/>
        </w:trPr>
        <w:tc>
          <w:tcPr>
            <w:tcW w:w="1859" w:type="pct"/>
            <w:shd w:val="clear" w:color="auto" w:fill="auto"/>
            <w:vAlign w:val="center"/>
          </w:tcPr>
          <w:p w14:paraId="78A7DB2F" w14:textId="77777777" w:rsidR="009027A9" w:rsidRPr="00B510A6" w:rsidRDefault="009027A9" w:rsidP="00985A76">
            <w:pPr>
              <w:pStyle w:val="TableText"/>
            </w:pPr>
            <w:r w:rsidRPr="00B510A6">
              <w:t>Cropping and cultivation</w:t>
            </w:r>
          </w:p>
        </w:tc>
        <w:tc>
          <w:tcPr>
            <w:tcW w:w="616" w:type="pct"/>
            <w:shd w:val="clear" w:color="auto" w:fill="C5E0B3"/>
            <w:vAlign w:val="center"/>
          </w:tcPr>
          <w:p w14:paraId="5A9087D8" w14:textId="77777777" w:rsidR="009027A9" w:rsidRPr="00B510A6" w:rsidRDefault="009027A9" w:rsidP="00985A76">
            <w:pPr>
              <w:pStyle w:val="TableText"/>
              <w:jc w:val="center"/>
            </w:pPr>
          </w:p>
        </w:tc>
        <w:tc>
          <w:tcPr>
            <w:tcW w:w="616" w:type="pct"/>
            <w:shd w:val="clear" w:color="auto" w:fill="9CC2E5"/>
            <w:vAlign w:val="center"/>
          </w:tcPr>
          <w:p w14:paraId="75B8475A" w14:textId="77777777" w:rsidR="009027A9" w:rsidRPr="00B510A6" w:rsidRDefault="009027A9" w:rsidP="00985A76">
            <w:pPr>
              <w:pStyle w:val="TableText"/>
              <w:jc w:val="center"/>
            </w:pPr>
            <w:r w:rsidRPr="00B510A6">
              <w:rPr>
                <w:noProof/>
              </w:rPr>
              <w:drawing>
                <wp:inline distT="0" distB="0" distL="0" distR="0" wp14:anchorId="5469E219" wp14:editId="7D13C62D">
                  <wp:extent cx="213360" cy="213360"/>
                  <wp:effectExtent l="0" t="0" r="0" b="0"/>
                  <wp:docPr id="21" name="Graphic 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13360" cy="213360"/>
                          </a:xfrm>
                          <a:prstGeom prst="rect">
                            <a:avLst/>
                          </a:prstGeom>
                        </pic:spPr>
                      </pic:pic>
                    </a:graphicData>
                  </a:graphic>
                </wp:inline>
              </w:drawing>
            </w:r>
          </w:p>
        </w:tc>
        <w:tc>
          <w:tcPr>
            <w:tcW w:w="616" w:type="pct"/>
            <w:shd w:val="clear" w:color="auto" w:fill="FFE599"/>
            <w:vAlign w:val="center"/>
          </w:tcPr>
          <w:p w14:paraId="39963863" w14:textId="77777777" w:rsidR="009027A9" w:rsidRPr="00B510A6" w:rsidRDefault="009027A9" w:rsidP="00985A76">
            <w:pPr>
              <w:pStyle w:val="TableText"/>
              <w:jc w:val="center"/>
            </w:pPr>
          </w:p>
        </w:tc>
        <w:tc>
          <w:tcPr>
            <w:tcW w:w="633" w:type="pct"/>
            <w:shd w:val="clear" w:color="auto" w:fill="F7CAAC"/>
            <w:vAlign w:val="center"/>
          </w:tcPr>
          <w:p w14:paraId="52FE0EFF" w14:textId="77777777" w:rsidR="009027A9" w:rsidRPr="00B510A6" w:rsidRDefault="009027A9" w:rsidP="00985A76">
            <w:pPr>
              <w:pStyle w:val="TableText"/>
              <w:jc w:val="center"/>
            </w:pPr>
          </w:p>
        </w:tc>
        <w:tc>
          <w:tcPr>
            <w:tcW w:w="660" w:type="pct"/>
            <w:shd w:val="clear" w:color="auto" w:fill="F89F96"/>
            <w:vAlign w:val="center"/>
          </w:tcPr>
          <w:p w14:paraId="77922F17" w14:textId="77777777" w:rsidR="009027A9" w:rsidRPr="00B510A6" w:rsidRDefault="009027A9" w:rsidP="00985A76">
            <w:pPr>
              <w:pStyle w:val="TableText"/>
              <w:jc w:val="center"/>
            </w:pPr>
          </w:p>
        </w:tc>
      </w:tr>
      <w:tr w:rsidR="009027A9" w:rsidRPr="00B510A6" w14:paraId="6132B5D6" w14:textId="77777777" w:rsidTr="005B4D88">
        <w:trPr>
          <w:trHeight w:val="416"/>
        </w:trPr>
        <w:tc>
          <w:tcPr>
            <w:tcW w:w="1859" w:type="pct"/>
            <w:shd w:val="clear" w:color="auto" w:fill="auto"/>
            <w:vAlign w:val="center"/>
          </w:tcPr>
          <w:p w14:paraId="3EA4662A" w14:textId="77777777" w:rsidR="009027A9" w:rsidRPr="00B510A6" w:rsidRDefault="009027A9" w:rsidP="00985A76">
            <w:pPr>
              <w:pStyle w:val="TableText"/>
            </w:pPr>
            <w:r w:rsidRPr="00B510A6">
              <w:t>Irrigation</w:t>
            </w:r>
          </w:p>
        </w:tc>
        <w:tc>
          <w:tcPr>
            <w:tcW w:w="616" w:type="pct"/>
            <w:shd w:val="clear" w:color="auto" w:fill="C5E0B3"/>
            <w:vAlign w:val="center"/>
          </w:tcPr>
          <w:p w14:paraId="43F0332C" w14:textId="77777777" w:rsidR="009027A9" w:rsidRPr="00B510A6" w:rsidRDefault="009027A9" w:rsidP="00985A76">
            <w:pPr>
              <w:pStyle w:val="TableText"/>
              <w:jc w:val="center"/>
              <w:rPr>
                <w:rFonts w:cs="Arial"/>
                <w:sz w:val="20"/>
                <w:szCs w:val="20"/>
              </w:rPr>
            </w:pPr>
          </w:p>
        </w:tc>
        <w:tc>
          <w:tcPr>
            <w:tcW w:w="616" w:type="pct"/>
            <w:shd w:val="clear" w:color="auto" w:fill="9CC2E5"/>
            <w:vAlign w:val="center"/>
          </w:tcPr>
          <w:p w14:paraId="70E7F79F" w14:textId="77777777" w:rsidR="009027A9" w:rsidRPr="00B510A6" w:rsidRDefault="009027A9" w:rsidP="00985A76">
            <w:pPr>
              <w:pStyle w:val="TableText"/>
              <w:jc w:val="center"/>
              <w:rPr>
                <w:rFonts w:cs="Arial"/>
                <w:sz w:val="20"/>
                <w:szCs w:val="20"/>
              </w:rPr>
            </w:pPr>
          </w:p>
        </w:tc>
        <w:tc>
          <w:tcPr>
            <w:tcW w:w="616" w:type="pct"/>
            <w:shd w:val="clear" w:color="auto" w:fill="FFE599"/>
            <w:vAlign w:val="center"/>
          </w:tcPr>
          <w:p w14:paraId="0E138A66" w14:textId="77777777" w:rsidR="009027A9" w:rsidRPr="00B510A6" w:rsidRDefault="009027A9" w:rsidP="00985A76">
            <w:pPr>
              <w:pStyle w:val="TableText"/>
              <w:jc w:val="center"/>
              <w:rPr>
                <w:rFonts w:cs="Arial"/>
                <w:sz w:val="20"/>
                <w:szCs w:val="20"/>
              </w:rPr>
            </w:pPr>
            <w:r w:rsidRPr="00B510A6">
              <w:rPr>
                <w:rFonts w:cs="Arial"/>
                <w:noProof/>
              </w:rPr>
              <w:drawing>
                <wp:inline distT="0" distB="0" distL="0" distR="0" wp14:anchorId="7AA6982B" wp14:editId="64289225">
                  <wp:extent cx="213360" cy="213360"/>
                  <wp:effectExtent l="0" t="0" r="0" b="0"/>
                  <wp:docPr id="22" name="Graphic 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heckmark"/>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13360" cy="213360"/>
                          </a:xfrm>
                          <a:prstGeom prst="rect">
                            <a:avLst/>
                          </a:prstGeom>
                        </pic:spPr>
                      </pic:pic>
                    </a:graphicData>
                  </a:graphic>
                </wp:inline>
              </w:drawing>
            </w:r>
          </w:p>
        </w:tc>
        <w:tc>
          <w:tcPr>
            <w:tcW w:w="633" w:type="pct"/>
            <w:shd w:val="clear" w:color="auto" w:fill="F7CAAC"/>
            <w:vAlign w:val="center"/>
          </w:tcPr>
          <w:p w14:paraId="1EB11372" w14:textId="77777777" w:rsidR="009027A9" w:rsidRPr="00B510A6" w:rsidRDefault="009027A9" w:rsidP="00985A76">
            <w:pPr>
              <w:pStyle w:val="TableText"/>
              <w:jc w:val="center"/>
              <w:rPr>
                <w:rFonts w:cs="Arial"/>
                <w:sz w:val="20"/>
                <w:szCs w:val="20"/>
              </w:rPr>
            </w:pPr>
          </w:p>
        </w:tc>
        <w:tc>
          <w:tcPr>
            <w:tcW w:w="660" w:type="pct"/>
            <w:shd w:val="clear" w:color="auto" w:fill="F89F96"/>
            <w:vAlign w:val="center"/>
          </w:tcPr>
          <w:p w14:paraId="0A43AC39" w14:textId="77777777" w:rsidR="009027A9" w:rsidRPr="00B510A6" w:rsidRDefault="009027A9" w:rsidP="00985A76">
            <w:pPr>
              <w:pStyle w:val="TableText"/>
              <w:jc w:val="center"/>
              <w:rPr>
                <w:rFonts w:cs="Arial"/>
                <w:sz w:val="20"/>
                <w:szCs w:val="20"/>
              </w:rPr>
            </w:pPr>
          </w:p>
        </w:tc>
      </w:tr>
    </w:tbl>
    <w:p w14:paraId="7176B63F" w14:textId="7E91A137" w:rsidR="00D75C04" w:rsidRPr="00B510A6" w:rsidRDefault="00D75C04" w:rsidP="00D75C04">
      <w:pPr>
        <w:pStyle w:val="Heading3"/>
        <w:rPr>
          <w:rFonts w:eastAsia="Calibri"/>
        </w:rPr>
      </w:pPr>
      <w:r w:rsidRPr="00B510A6">
        <w:rPr>
          <w:rFonts w:eastAsia="Calibri"/>
        </w:rPr>
        <w:lastRenderedPageBreak/>
        <w:t>Nitrogen-risk indices in action</w:t>
      </w:r>
      <w:r w:rsidR="009D297D">
        <w:rPr>
          <w:rFonts w:eastAsia="Calibri"/>
        </w:rPr>
        <w:t>:</w:t>
      </w:r>
      <w:r w:rsidRPr="00B510A6">
        <w:rPr>
          <w:rFonts w:eastAsia="Calibri"/>
        </w:rPr>
        <w:t xml:space="preserve"> US Clean Water Act</w:t>
      </w:r>
    </w:p>
    <w:p w14:paraId="723A711D" w14:textId="77777777" w:rsidR="00D75C04" w:rsidRPr="00B510A6" w:rsidRDefault="00D75C04" w:rsidP="00D75C04">
      <w:pPr>
        <w:pStyle w:val="BodyText"/>
      </w:pPr>
      <w:r w:rsidRPr="00B510A6">
        <w:rPr>
          <w:rFonts w:eastAsia="Calibri"/>
        </w:rPr>
        <w:t>In the United States</w:t>
      </w:r>
      <w:r w:rsidR="009D297D">
        <w:rPr>
          <w:rFonts w:eastAsia="Calibri"/>
        </w:rPr>
        <w:t xml:space="preserve"> of America</w:t>
      </w:r>
      <w:r w:rsidRPr="00B510A6">
        <w:rPr>
          <w:rFonts w:eastAsia="Calibri"/>
        </w:rPr>
        <w:t>, the federal Clean Water Act (CWA)</w:t>
      </w:r>
      <w:r w:rsidRPr="00B510A6">
        <w:rPr>
          <w:rFonts w:eastAsia="Calibri"/>
          <w:b/>
          <w:bCs/>
        </w:rPr>
        <w:t xml:space="preserve"> </w:t>
      </w:r>
      <w:r w:rsidRPr="00B510A6">
        <w:t>established the basic structure for regulating discharges of pollutants into waterbodies and regulated water quality standards (across a range of indicators) for surface water. The key parts of the CWA came into</w:t>
      </w:r>
      <w:r w:rsidR="00C327C8">
        <w:t> </w:t>
      </w:r>
      <w:r w:rsidRPr="00B510A6">
        <w:t>effect in 1972. At the national level, the CWA is implemented by the Environmental Protection Agency.</w:t>
      </w:r>
    </w:p>
    <w:p w14:paraId="47126AD5" w14:textId="33E2AF7F" w:rsidR="00D75C04" w:rsidRPr="00B510A6" w:rsidRDefault="00D75C04" w:rsidP="00D75C04">
      <w:pPr>
        <w:pStyle w:val="BodyText"/>
      </w:pPr>
      <w:r w:rsidRPr="00B510A6">
        <w:t xml:space="preserve">The CWA made it unlawful to discharge any pollutant from a point source into navigable waters without a permit. States were also required to identify waterbodies that were not meeting water quality standards (for various outcome areas including recreation, ecosystem requirements, drinking water </w:t>
      </w:r>
      <w:r w:rsidR="00F33B8C">
        <w:t>and so on</w:t>
      </w:r>
      <w:r w:rsidRPr="00B510A6">
        <w:t>) set by the CWA (known as ‘impaired waters’) and then implement programmes to improve water quality.</w:t>
      </w:r>
    </w:p>
    <w:p w14:paraId="28994C9D" w14:textId="4A6AF121" w:rsidR="00D75C04" w:rsidRPr="00B510A6" w:rsidRDefault="00D75C04" w:rsidP="00D75C04">
      <w:pPr>
        <w:pStyle w:val="BodyText"/>
      </w:pPr>
      <w:r w:rsidRPr="00B510A6">
        <w:t xml:space="preserve">The </w:t>
      </w:r>
      <w:r w:rsidR="008502A6">
        <w:t>main</w:t>
      </w:r>
      <w:r w:rsidR="008502A6" w:rsidRPr="00B510A6">
        <w:t xml:space="preserve"> </w:t>
      </w:r>
      <w:r w:rsidRPr="00B510A6">
        <w:t xml:space="preserve">parameter for determining water quality limits under the CWA is the </w:t>
      </w:r>
      <w:r w:rsidR="003534B5">
        <w:t>t</w:t>
      </w:r>
      <w:r w:rsidRPr="00B510A6">
        <w:t xml:space="preserve">otal </w:t>
      </w:r>
      <w:r w:rsidR="003534B5">
        <w:t>m</w:t>
      </w:r>
      <w:r w:rsidRPr="00B510A6">
        <w:t xml:space="preserve">aximum </w:t>
      </w:r>
      <w:r w:rsidR="003534B5">
        <w:t>d</w:t>
      </w:r>
      <w:r w:rsidRPr="00B510A6">
        <w:t xml:space="preserve">aily </w:t>
      </w:r>
      <w:r w:rsidR="003534B5">
        <w:t>l</w:t>
      </w:r>
      <w:r w:rsidRPr="00B510A6">
        <w:t xml:space="preserve">oad (TMDL). This is the maximum loading rate of given pollutants that a receiving water can assimilate without resulting in water quality impairments. TMDLs are set at the watershed (catchment) scale and include both point and non-point contributions. The TMDL approach is now used across the </w:t>
      </w:r>
      <w:r w:rsidR="008C2C7B" w:rsidRPr="00B510A6">
        <w:rPr>
          <w:rFonts w:eastAsia="Calibri"/>
        </w:rPr>
        <w:t>United States</w:t>
      </w:r>
      <w:r w:rsidR="008C2C7B">
        <w:rPr>
          <w:rFonts w:eastAsia="Calibri"/>
        </w:rPr>
        <w:t xml:space="preserve"> of America</w:t>
      </w:r>
      <w:r w:rsidRPr="00B510A6">
        <w:t>. Where a water body is ‘impaired’, a TMDL must</w:t>
      </w:r>
      <w:r w:rsidR="008C2C7B">
        <w:t> </w:t>
      </w:r>
      <w:r w:rsidRPr="00B510A6">
        <w:t>be set to improve water quality to meet the relevant quality standard for the particular use value.</w:t>
      </w:r>
    </w:p>
    <w:p w14:paraId="1C1CF7B5" w14:textId="03B16D23" w:rsidR="00D75C04" w:rsidRPr="00B510A6" w:rsidRDefault="00D75C04" w:rsidP="00D75C04">
      <w:pPr>
        <w:pStyle w:val="BodyText"/>
      </w:pPr>
      <w:r w:rsidRPr="00B510A6">
        <w:t>Where non-point source pollution is identified as contributing to the exceedance of TM</w:t>
      </w:r>
      <w:r w:rsidR="008B243D">
        <w:t>D</w:t>
      </w:r>
      <w:r w:rsidRPr="00B510A6">
        <w:t>Ls for</w:t>
      </w:r>
      <w:r w:rsidR="00A718FA">
        <w:t> </w:t>
      </w:r>
      <w:r w:rsidRPr="00B510A6">
        <w:t xml:space="preserve">impaired watersheds, most states have adopted environmental risk-index approaches to improve land management practices. Risk indices have been developed at the national, state and county levels across a range of contaminants. </w:t>
      </w:r>
    </w:p>
    <w:p w14:paraId="1E5797F9" w14:textId="37D74A0F" w:rsidR="00D75C04" w:rsidRPr="00B510A6" w:rsidRDefault="00D75C04" w:rsidP="00D75C04">
      <w:pPr>
        <w:pStyle w:val="BodyText"/>
      </w:pPr>
      <w:r w:rsidRPr="00B510A6">
        <w:t xml:space="preserve">A risk index for managing nitrogen in the </w:t>
      </w:r>
      <w:r w:rsidR="0098565C" w:rsidRPr="00B510A6">
        <w:rPr>
          <w:rFonts w:eastAsia="Calibri"/>
        </w:rPr>
        <w:t>United States</w:t>
      </w:r>
      <w:r w:rsidR="0098565C">
        <w:rPr>
          <w:rFonts w:eastAsia="Calibri"/>
        </w:rPr>
        <w:t xml:space="preserve"> of America</w:t>
      </w:r>
      <w:r w:rsidR="0098565C" w:rsidRPr="00B510A6" w:rsidDel="0098565C">
        <w:t xml:space="preserve"> </w:t>
      </w:r>
      <w:r w:rsidRPr="00B510A6">
        <w:t xml:space="preserve">will (at a minimum) determine the risk profile of a particular farm based on environmental (soil and climate) factors (see the national Leaching Index, below). Farms are then required to implement </w:t>
      </w:r>
      <w:r w:rsidR="003534B5">
        <w:t>b</w:t>
      </w:r>
      <w:r w:rsidRPr="00B510A6">
        <w:t xml:space="preserve">est </w:t>
      </w:r>
      <w:r w:rsidR="003534B5">
        <w:t>m</w:t>
      </w:r>
      <w:r w:rsidRPr="00B510A6">
        <w:t xml:space="preserve">anagement </w:t>
      </w:r>
      <w:r w:rsidR="003534B5">
        <w:t>p</w:t>
      </w:r>
      <w:r w:rsidRPr="00B510A6">
        <w:t xml:space="preserve">ractices (BMPs) based on environmental risk-factor rating and their farm-system type. More sophisticated indices incorporate management practices within the index itself, to determine the overall rating (see the </w:t>
      </w:r>
      <w:r w:rsidR="00E31A4B">
        <w:t>case study</w:t>
      </w:r>
      <w:r w:rsidR="00056746">
        <w:t>:</w:t>
      </w:r>
      <w:r w:rsidR="00E31A4B">
        <w:t xml:space="preserve"> </w:t>
      </w:r>
      <w:hyperlink w:anchor="casestudy" w:history="1">
        <w:r w:rsidR="00056746">
          <w:rPr>
            <w:rStyle w:val="Hyperlink"/>
          </w:rPr>
          <w:t>“Nitrogen risk scoring in Virginia’s Muddy Creek”</w:t>
        </w:r>
      </w:hyperlink>
      <w:r w:rsidRPr="00B510A6">
        <w:t>, below).</w:t>
      </w:r>
    </w:p>
    <w:p w14:paraId="216DEE4C" w14:textId="2EA66629" w:rsidR="00D75C04" w:rsidRPr="00B510A6" w:rsidRDefault="00D75C04" w:rsidP="00D75C04">
      <w:pPr>
        <w:pStyle w:val="BodyText"/>
      </w:pPr>
      <w:r w:rsidRPr="00B510A6">
        <w:t xml:space="preserve">The United States Department of Agriculture’s Natural Resources Conservation Service (NRCS) develops </w:t>
      </w:r>
      <w:r w:rsidR="008343A0">
        <w:t>c</w:t>
      </w:r>
      <w:r w:rsidRPr="00B510A6">
        <w:t xml:space="preserve">onservation </w:t>
      </w:r>
      <w:r w:rsidR="008343A0">
        <w:t>p</w:t>
      </w:r>
      <w:r w:rsidRPr="00B510A6">
        <w:t xml:space="preserve">ractice </w:t>
      </w:r>
      <w:r w:rsidR="008343A0">
        <w:t>s</w:t>
      </w:r>
      <w:r w:rsidRPr="00B510A6">
        <w:t>tandards, which state-level conservation practice standards must comply with at a minimum. State conservation practices can be more stringent than those set at the national level.</w:t>
      </w:r>
    </w:p>
    <w:p w14:paraId="115B8DFD" w14:textId="77777777" w:rsidR="00D75C04" w:rsidRPr="00B510A6" w:rsidRDefault="00D75C04" w:rsidP="00D75C04">
      <w:pPr>
        <w:pStyle w:val="BodyText"/>
      </w:pPr>
      <w:r w:rsidRPr="00B510A6">
        <w:t xml:space="preserve">The NRCS Nutrient Management Code 590 applies to “all fields where plant nutrients and soil amendments are applied” and specifically to nitrogen, </w:t>
      </w:r>
      <w:proofErr w:type="gramStart"/>
      <w:r w:rsidRPr="00B510A6">
        <w:t>phosphorus</w:t>
      </w:r>
      <w:proofErr w:type="gramEnd"/>
      <w:r w:rsidRPr="00B510A6">
        <w:t xml:space="preserve"> and potassium. It requires NRCS-approved nitrogen-risk assessments to be undertaken “for all fields where nutrient management is planned unless the state NRCS, in cooperation with state water quality control authorities, has determined specific conditions where nitrogen leaching </w:t>
      </w:r>
      <w:r w:rsidRPr="00B510A6">
        <w:rPr>
          <w:i/>
          <w:iCs/>
        </w:rPr>
        <w:t>is not</w:t>
      </w:r>
      <w:r w:rsidRPr="00B510A6">
        <w:t xml:space="preserve"> a risk to water quality, including drinking water</w:t>
      </w:r>
      <w:r w:rsidR="00797AC1" w:rsidRPr="00B510A6">
        <w:t>”</w:t>
      </w:r>
      <w:r w:rsidRPr="00B510A6">
        <w:t>.</w:t>
      </w:r>
    </w:p>
    <w:p w14:paraId="0062D51E" w14:textId="25677E84" w:rsidR="00A744DA" w:rsidRPr="00B510A6" w:rsidRDefault="00D75C04" w:rsidP="00D75C04">
      <w:pPr>
        <w:pStyle w:val="BodyText"/>
      </w:pPr>
      <w:r w:rsidRPr="00B510A6">
        <w:t>The nationally mandated risk</w:t>
      </w:r>
      <w:r w:rsidR="00333AD6">
        <w:t xml:space="preserve"> </w:t>
      </w:r>
      <w:r w:rsidRPr="00B510A6">
        <w:t>assessment criteria for nitrogen are either the Leaching Index or the Nutrient Tracking Tool. The Leaching Index will provide a score for a field based on soil type (including whether subsurface (tile) drainage occurs) and climate. The score for the field will then determine the appropriate management practices</w:t>
      </w:r>
      <w:r w:rsidR="00C232F9">
        <w:t>.</w:t>
      </w:r>
    </w:p>
    <w:tbl>
      <w:tblPr>
        <w:tblStyle w:val="TableGrid4"/>
        <w:tblW w:w="8505" w:type="dxa"/>
        <w:tblInd w:w="113"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1894"/>
        <w:gridCol w:w="2797"/>
        <w:gridCol w:w="3814"/>
      </w:tblGrid>
      <w:tr w:rsidR="008B6CB1" w:rsidRPr="00B510A6" w14:paraId="0CA0C46C" w14:textId="77777777" w:rsidTr="00A718FA">
        <w:tc>
          <w:tcPr>
            <w:tcW w:w="1894" w:type="dxa"/>
            <w:shd w:val="clear" w:color="auto" w:fill="1C556C" w:themeFill="accent1"/>
            <w:vAlign w:val="center"/>
          </w:tcPr>
          <w:p w14:paraId="6A9687D5" w14:textId="77777777" w:rsidR="008B6CB1" w:rsidRPr="00B510A6" w:rsidRDefault="008B6CB1" w:rsidP="008B6CB1">
            <w:pPr>
              <w:pStyle w:val="TableTextbold"/>
              <w:keepNext/>
              <w:rPr>
                <w:color w:val="FFFFFF" w:themeColor="background1"/>
              </w:rPr>
            </w:pPr>
            <w:r w:rsidRPr="00B510A6">
              <w:rPr>
                <w:color w:val="FFFFFF" w:themeColor="background1"/>
              </w:rPr>
              <w:lastRenderedPageBreak/>
              <w:t>Leaching Index Score</w:t>
            </w:r>
          </w:p>
        </w:tc>
        <w:tc>
          <w:tcPr>
            <w:tcW w:w="2797" w:type="dxa"/>
            <w:shd w:val="clear" w:color="auto" w:fill="1C556C" w:themeFill="accent1"/>
            <w:vAlign w:val="center"/>
          </w:tcPr>
          <w:p w14:paraId="2BE5EF77" w14:textId="77777777" w:rsidR="008B6CB1" w:rsidRPr="00B510A6" w:rsidRDefault="008B6CB1" w:rsidP="008B6CB1">
            <w:pPr>
              <w:pStyle w:val="TableTextbold"/>
              <w:keepNext/>
              <w:rPr>
                <w:color w:val="FFFFFF" w:themeColor="background1"/>
              </w:rPr>
            </w:pPr>
            <w:r w:rsidRPr="00B510A6">
              <w:rPr>
                <w:color w:val="FFFFFF" w:themeColor="background1"/>
              </w:rPr>
              <w:t>Potential Leaching</w:t>
            </w:r>
          </w:p>
        </w:tc>
        <w:tc>
          <w:tcPr>
            <w:tcW w:w="3814" w:type="dxa"/>
            <w:shd w:val="clear" w:color="auto" w:fill="1C556C" w:themeFill="accent1"/>
            <w:vAlign w:val="center"/>
          </w:tcPr>
          <w:p w14:paraId="2F207E79" w14:textId="77777777" w:rsidR="008B6CB1" w:rsidRPr="00B510A6" w:rsidRDefault="008B6CB1" w:rsidP="008B6CB1">
            <w:pPr>
              <w:pStyle w:val="TableTextbold"/>
              <w:keepNext/>
              <w:rPr>
                <w:color w:val="FFFFFF" w:themeColor="background1"/>
              </w:rPr>
            </w:pPr>
            <w:r w:rsidRPr="00B510A6">
              <w:rPr>
                <w:color w:val="FFFFFF" w:themeColor="background1"/>
              </w:rPr>
              <w:t>Technical Guidance</w:t>
            </w:r>
          </w:p>
        </w:tc>
      </w:tr>
      <w:tr w:rsidR="008B6CB1" w:rsidRPr="00B510A6" w14:paraId="45090C29" w14:textId="77777777" w:rsidTr="00A718FA">
        <w:tc>
          <w:tcPr>
            <w:tcW w:w="1894" w:type="dxa"/>
          </w:tcPr>
          <w:p w14:paraId="0E9C1C42" w14:textId="77777777" w:rsidR="008B6CB1" w:rsidRPr="00B510A6" w:rsidRDefault="008B6CB1" w:rsidP="008B6CB1">
            <w:pPr>
              <w:pStyle w:val="TableText"/>
              <w:keepNext/>
            </w:pPr>
            <w:r w:rsidRPr="00B510A6">
              <w:t>&lt; 2</w:t>
            </w:r>
          </w:p>
        </w:tc>
        <w:tc>
          <w:tcPr>
            <w:tcW w:w="2797" w:type="dxa"/>
          </w:tcPr>
          <w:p w14:paraId="15F4CC39" w14:textId="77777777" w:rsidR="008B6CB1" w:rsidRPr="00B510A6" w:rsidRDefault="008B6CB1" w:rsidP="008B6CB1">
            <w:pPr>
              <w:pStyle w:val="TableText"/>
              <w:keepNext/>
            </w:pPr>
            <w:r w:rsidRPr="00B510A6">
              <w:t>Low potential to contribute to soluble nutrient leaching below the root zone</w:t>
            </w:r>
          </w:p>
        </w:tc>
        <w:tc>
          <w:tcPr>
            <w:tcW w:w="3814" w:type="dxa"/>
          </w:tcPr>
          <w:p w14:paraId="6B4B5BAE" w14:textId="77777777" w:rsidR="008B6CB1" w:rsidRPr="00B510A6" w:rsidRDefault="008B6CB1" w:rsidP="001F4B5F">
            <w:pPr>
              <w:pStyle w:val="TableText"/>
            </w:pPr>
            <w:r w:rsidRPr="00B510A6">
              <w:t>None</w:t>
            </w:r>
          </w:p>
        </w:tc>
      </w:tr>
      <w:tr w:rsidR="008B6CB1" w:rsidRPr="00B510A6" w14:paraId="71E0D10C" w14:textId="77777777" w:rsidTr="00A718FA">
        <w:tc>
          <w:tcPr>
            <w:tcW w:w="1894" w:type="dxa"/>
          </w:tcPr>
          <w:p w14:paraId="072454BE" w14:textId="77777777" w:rsidR="008B6CB1" w:rsidRPr="00B510A6" w:rsidRDefault="008B6CB1" w:rsidP="008B6CB1">
            <w:pPr>
              <w:pStyle w:val="TableText"/>
            </w:pPr>
            <w:r w:rsidRPr="00B510A6">
              <w:t>&gt; = 2 and &lt; = 10</w:t>
            </w:r>
          </w:p>
        </w:tc>
        <w:tc>
          <w:tcPr>
            <w:tcW w:w="2797" w:type="dxa"/>
          </w:tcPr>
          <w:p w14:paraId="17D3BA51" w14:textId="77777777" w:rsidR="008B6CB1" w:rsidRPr="00B510A6" w:rsidRDefault="008B6CB1" w:rsidP="008B6CB1">
            <w:pPr>
              <w:pStyle w:val="TableText"/>
            </w:pPr>
            <w:r w:rsidRPr="00B510A6">
              <w:t>Moderate potential to contribute to soluble nutrient leaching below the root zone</w:t>
            </w:r>
          </w:p>
        </w:tc>
        <w:tc>
          <w:tcPr>
            <w:tcW w:w="3814" w:type="dxa"/>
          </w:tcPr>
          <w:p w14:paraId="309F7F3B" w14:textId="77777777" w:rsidR="008B6CB1" w:rsidRPr="00B510A6" w:rsidRDefault="008B6CB1" w:rsidP="008B6CB1">
            <w:pPr>
              <w:pStyle w:val="TableText"/>
            </w:pPr>
            <w:r w:rsidRPr="00B510A6">
              <w:t>Nutrient management (Code 590) should be planned</w:t>
            </w:r>
          </w:p>
        </w:tc>
      </w:tr>
      <w:tr w:rsidR="008B6CB1" w:rsidRPr="00B510A6" w14:paraId="1B4C0306" w14:textId="77777777" w:rsidTr="00A718FA">
        <w:tc>
          <w:tcPr>
            <w:tcW w:w="1894" w:type="dxa"/>
          </w:tcPr>
          <w:p w14:paraId="58C0B8A9" w14:textId="77777777" w:rsidR="008B6CB1" w:rsidRPr="00B510A6" w:rsidRDefault="008B6CB1" w:rsidP="008B6CB1">
            <w:pPr>
              <w:pStyle w:val="TableText"/>
            </w:pPr>
            <w:r w:rsidRPr="00B510A6">
              <w:t>&gt; 10</w:t>
            </w:r>
          </w:p>
        </w:tc>
        <w:tc>
          <w:tcPr>
            <w:tcW w:w="2797" w:type="dxa"/>
          </w:tcPr>
          <w:p w14:paraId="74791C9C" w14:textId="77777777" w:rsidR="008B6CB1" w:rsidRPr="00B510A6" w:rsidRDefault="008B6CB1" w:rsidP="008B6CB1">
            <w:pPr>
              <w:pStyle w:val="TableText"/>
            </w:pPr>
            <w:r w:rsidRPr="00B510A6">
              <w:t>High potential to contribute to soluble nutrient leaching below the root zone</w:t>
            </w:r>
          </w:p>
        </w:tc>
        <w:tc>
          <w:tcPr>
            <w:tcW w:w="3814" w:type="dxa"/>
          </w:tcPr>
          <w:p w14:paraId="654B781E" w14:textId="77777777" w:rsidR="008B6CB1" w:rsidRPr="00B510A6" w:rsidRDefault="008B6CB1" w:rsidP="008B6CB1">
            <w:pPr>
              <w:pStyle w:val="TableText"/>
            </w:pPr>
            <w:r w:rsidRPr="00B510A6">
              <w:t xml:space="preserve">Nutrient management (Code 590) must be planned AND practices planned to trap soluble nutrients before field loss via surface or subsurface drainage </w:t>
            </w:r>
          </w:p>
        </w:tc>
      </w:tr>
    </w:tbl>
    <w:p w14:paraId="4E1CB4C7" w14:textId="0E6D42DB" w:rsidR="008B6CB1" w:rsidRPr="00B510A6" w:rsidRDefault="008B6CB1" w:rsidP="001F4B5F">
      <w:pPr>
        <w:pStyle w:val="BodyText"/>
        <w:spacing w:before="240" w:after="240"/>
      </w:pPr>
      <w:r w:rsidRPr="00B510A6">
        <w:t>The Leaching Index is being replaced in some states by the Nutrient Tracking Tool. This is an</w:t>
      </w:r>
      <w:r w:rsidR="00BB4712">
        <w:t> </w:t>
      </w:r>
      <w:r w:rsidRPr="00B510A6">
        <w:t>online tool that assesses nutrient-loss risks based on an array of environmental and practice</w:t>
      </w:r>
      <w:r w:rsidR="00BB4712">
        <w:t> </w:t>
      </w:r>
      <w:r w:rsidRPr="00B510A6">
        <w:t>input data, at a highly granular level. The most effective BMPS (environmentally and economically) can then be assessed using the tool as part of farm planning processes. A risk score is provided in the form of estimated nutrient loss rate, with a plus</w:t>
      </w:r>
      <w:r w:rsidR="00F537EA">
        <w:t>–</w:t>
      </w:r>
      <w:r w:rsidRPr="00B510A6">
        <w:t xml:space="preserve">minus margin of error. See </w:t>
      </w:r>
      <w:hyperlink r:id="rId32" w:history="1">
        <w:r w:rsidRPr="00B510A6">
          <w:rPr>
            <w:rStyle w:val="Hyperlink"/>
          </w:rPr>
          <w:t>https://ntt.tiaer.tarleton.edu/welcomes/new?locale=en</w:t>
        </w:r>
      </w:hyperlink>
      <w:r w:rsidRPr="00B510A6">
        <w:t xml:space="preserve"> for more information.</w:t>
      </w:r>
    </w:p>
    <w:p w14:paraId="3E500797" w14:textId="77777777" w:rsidR="00BE065D" w:rsidRPr="00B510A6" w:rsidRDefault="00BE065D" w:rsidP="00BE065D">
      <w:pPr>
        <w:pStyle w:val="BodyText"/>
      </w:pPr>
      <w:r w:rsidRPr="00B510A6">
        <w:br w:type="page"/>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8505"/>
      </w:tblGrid>
      <w:tr w:rsidR="007C46FB" w:rsidRPr="00B510A6" w14:paraId="769D2A08" w14:textId="77777777" w:rsidTr="00894975">
        <w:tc>
          <w:tcPr>
            <w:tcW w:w="8505" w:type="dxa"/>
            <w:tcBorders>
              <w:top w:val="single" w:sz="4" w:space="0" w:color="0F7B7D"/>
              <w:left w:val="single" w:sz="4" w:space="0" w:color="0F7B7D"/>
              <w:bottom w:val="nil"/>
              <w:right w:val="single" w:sz="4" w:space="0" w:color="0F7B7D"/>
            </w:tcBorders>
            <w:shd w:val="clear" w:color="auto" w:fill="0F7B7D"/>
            <w:vAlign w:val="center"/>
          </w:tcPr>
          <w:p w14:paraId="1F4008C5" w14:textId="77777777" w:rsidR="007C46FB" w:rsidRPr="00B510A6" w:rsidDel="00D5390D" w:rsidRDefault="00D46720" w:rsidP="00894975">
            <w:pPr>
              <w:pStyle w:val="Casestudyheading"/>
            </w:pPr>
            <w:bookmarkStart w:id="116" w:name="casestudy"/>
            <w:r w:rsidRPr="00B510A6">
              <w:lastRenderedPageBreak/>
              <w:t>Case study: Nitrogen risk scoring in Virginia’s Muddy Creek improves water quality</w:t>
            </w:r>
            <w:bookmarkEnd w:id="116"/>
          </w:p>
        </w:tc>
      </w:tr>
      <w:tr w:rsidR="007C46FB" w:rsidRPr="00B510A6" w14:paraId="1AABDCE5" w14:textId="77777777" w:rsidTr="00894975">
        <w:tc>
          <w:tcPr>
            <w:tcW w:w="8505" w:type="dxa"/>
            <w:tcBorders>
              <w:top w:val="nil"/>
              <w:left w:val="single" w:sz="4" w:space="0" w:color="CFE5E5"/>
              <w:bottom w:val="single" w:sz="4" w:space="0" w:color="CFE5E5"/>
              <w:right w:val="single" w:sz="4" w:space="0" w:color="CFE5E5"/>
            </w:tcBorders>
            <w:shd w:val="clear" w:color="auto" w:fill="CFE5E5"/>
          </w:tcPr>
          <w:p w14:paraId="06626527" w14:textId="434BE333" w:rsidR="00F9560C" w:rsidRPr="00B510A6" w:rsidRDefault="00F9560C" w:rsidP="00F9560C">
            <w:pPr>
              <w:pStyle w:val="Greentext-casestudytables"/>
              <w:spacing w:before="240"/>
            </w:pPr>
            <w:r w:rsidRPr="00B510A6">
              <w:t>The Muddy Creek watershed in Virginia was found to be impaired for nitrate-nitrogen in 1998</w:t>
            </w:r>
            <w:r w:rsidR="00797AC1" w:rsidRPr="00B510A6">
              <w:t> </w:t>
            </w:r>
            <w:r w:rsidR="001302BA">
              <w:t>because</w:t>
            </w:r>
            <w:r w:rsidRPr="00B510A6">
              <w:t xml:space="preserve"> part of the river is designated for public drinking water and drinking water standards (10</w:t>
            </w:r>
            <w:r w:rsidR="005D4B74">
              <w:t> </w:t>
            </w:r>
            <w:r w:rsidR="007C4EEE">
              <w:t>milligrams per litre</w:t>
            </w:r>
            <w:r w:rsidRPr="00B510A6">
              <w:t xml:space="preserve">) were being breached. The </w:t>
            </w:r>
            <w:r w:rsidR="00696C60" w:rsidRPr="00696C60">
              <w:t xml:space="preserve">total maximum daily load </w:t>
            </w:r>
            <w:r w:rsidR="00606121">
              <w:t>(</w:t>
            </w:r>
            <w:r w:rsidRPr="00B510A6">
              <w:t>TMDL</w:t>
            </w:r>
            <w:r w:rsidR="00606121">
              <w:t>)</w:t>
            </w:r>
            <w:r w:rsidRPr="00B510A6">
              <w:t xml:space="preserve"> for nitrate-nitrogen was determined in 2000. Sources at the sub-catchment level were identified and the </w:t>
            </w:r>
            <w:r w:rsidR="007C4EEE">
              <w:t>main</w:t>
            </w:r>
            <w:r w:rsidR="007C4EEE" w:rsidRPr="00B510A6">
              <w:t xml:space="preserve"> </w:t>
            </w:r>
            <w:r w:rsidRPr="00B510A6">
              <w:t>sources of nitrogen were failing septic tank systems, pipe losses and discharges from agriculture. Agriculture is the predominant land</w:t>
            </w:r>
            <w:r w:rsidR="00D7630B">
              <w:t xml:space="preserve"> </w:t>
            </w:r>
            <w:r w:rsidRPr="00B510A6">
              <w:t>use in the catchment (61</w:t>
            </w:r>
            <w:r w:rsidR="00D7630B">
              <w:t> </w:t>
            </w:r>
            <w:r w:rsidRPr="00B510A6">
              <w:t>per</w:t>
            </w:r>
            <w:r w:rsidR="00D7630B">
              <w:t> </w:t>
            </w:r>
            <w:r w:rsidRPr="00B510A6">
              <w:t xml:space="preserve">cent) and some of the highest production intensive dairy and poultry farming in the state of Virginia </w:t>
            </w:r>
            <w:proofErr w:type="gramStart"/>
            <w:r w:rsidRPr="00B510A6">
              <w:t>is located in</w:t>
            </w:r>
            <w:proofErr w:type="gramEnd"/>
            <w:r w:rsidRPr="00B510A6">
              <w:t xml:space="preserve"> the catchment.</w:t>
            </w:r>
          </w:p>
          <w:p w14:paraId="07CF408B" w14:textId="77777777" w:rsidR="00F9560C" w:rsidRPr="00B510A6" w:rsidRDefault="00F9560C" w:rsidP="00F9560C">
            <w:pPr>
              <w:pStyle w:val="Greentext-casestudytables"/>
              <w:spacing w:before="80"/>
            </w:pPr>
            <w:r w:rsidRPr="00B510A6">
              <w:t xml:space="preserve">Community consultation was undertaken to help determine which </w:t>
            </w:r>
            <w:r w:rsidR="001224D5">
              <w:t>b</w:t>
            </w:r>
            <w:r w:rsidR="001224D5" w:rsidRPr="00B510A6">
              <w:t xml:space="preserve">est </w:t>
            </w:r>
            <w:r w:rsidR="001224D5">
              <w:t>m</w:t>
            </w:r>
            <w:r w:rsidR="001224D5" w:rsidRPr="00B510A6">
              <w:t xml:space="preserve">anagement </w:t>
            </w:r>
            <w:r w:rsidR="001224D5">
              <w:t>p</w:t>
            </w:r>
            <w:r w:rsidR="001224D5" w:rsidRPr="00B510A6">
              <w:t>ractices (</w:t>
            </w:r>
            <w:r w:rsidRPr="00B510A6">
              <w:t>BMPs</w:t>
            </w:r>
            <w:r w:rsidR="001224D5">
              <w:t>)</w:t>
            </w:r>
            <w:r w:rsidRPr="00B510A6">
              <w:t xml:space="preserve"> should be implemented at the watershed scale to achieve the TMDL. Total nitrogen losses were managed through BMPs even though the goal was to reduce surface water nitrate levels. The development of farm plans, nutrient management plans, assistance with individual BMP identification (based on a farm’s risk assessment), and funding assistance (where applicable) is delivered on the ground by the local conservation district (in this case, the Shenandoah Valley </w:t>
            </w:r>
            <w:bookmarkStart w:id="117" w:name="_Hlk77278997"/>
            <w:r w:rsidRPr="00B510A6">
              <w:t>Soil and Water Conservation District</w:t>
            </w:r>
            <w:bookmarkEnd w:id="117"/>
            <w:r w:rsidRPr="00B510A6">
              <w:t>).</w:t>
            </w:r>
          </w:p>
          <w:p w14:paraId="34EBD0E4" w14:textId="643F6D40" w:rsidR="00F9560C" w:rsidRPr="00B510A6" w:rsidRDefault="00F9560C" w:rsidP="00F9560C">
            <w:pPr>
              <w:pStyle w:val="Greentext-casestudytables"/>
              <w:spacing w:before="80"/>
            </w:pPr>
            <w:r w:rsidRPr="00B510A6">
              <w:t xml:space="preserve">Virginia </w:t>
            </w:r>
            <w:r w:rsidR="003D1131">
              <w:t>s</w:t>
            </w:r>
            <w:r w:rsidRPr="00B510A6">
              <w:t xml:space="preserve">tate uses the national Leaching Index for assessing nitrogen risk, except for </w:t>
            </w:r>
            <w:r w:rsidR="0000383E">
              <w:t>a</w:t>
            </w:r>
            <w:r w:rsidRPr="00B510A6">
              <w:t xml:space="preserve">nimal </w:t>
            </w:r>
            <w:r w:rsidR="0000383E">
              <w:t>c</w:t>
            </w:r>
            <w:r w:rsidRPr="00B510A6">
              <w:t xml:space="preserve">oncentration </w:t>
            </w:r>
            <w:r w:rsidR="0000383E">
              <w:t>a</w:t>
            </w:r>
            <w:r w:rsidRPr="00B510A6">
              <w:t xml:space="preserve">reas where stock is fed in a fixed location (such as feedlots). These practices are assessed using the Risk Assessment for Water Quality Impairment from Animal Concentration Areas. This is a more sophisticated index than the Leaching </w:t>
            </w:r>
            <w:proofErr w:type="gramStart"/>
            <w:r w:rsidRPr="00B510A6">
              <w:t xml:space="preserve">Index, </w:t>
            </w:r>
            <w:r w:rsidR="0000383E">
              <w:t>because</w:t>
            </w:r>
            <w:proofErr w:type="gramEnd"/>
            <w:r w:rsidRPr="00B510A6">
              <w:t xml:space="preserve"> it</w:t>
            </w:r>
            <w:r w:rsidR="00A718FA">
              <w:t> </w:t>
            </w:r>
            <w:r w:rsidRPr="00B510A6">
              <w:t>incorporates farm-specific management and environmental risk factors (beyond soil type</w:t>
            </w:r>
            <w:r w:rsidR="00A718FA">
              <w:t> </w:t>
            </w:r>
            <w:r w:rsidRPr="00B510A6">
              <w:t>and</w:t>
            </w:r>
            <w:r w:rsidR="00797AC1" w:rsidRPr="00B510A6">
              <w:t> </w:t>
            </w:r>
            <w:r w:rsidRPr="00B510A6">
              <w:t>climate).</w:t>
            </w:r>
          </w:p>
          <w:p w14:paraId="55B97DBD" w14:textId="77777777" w:rsidR="007C46FB" w:rsidRPr="00B510A6" w:rsidRDefault="00F9560C" w:rsidP="00F9560C">
            <w:pPr>
              <w:pStyle w:val="Greentext-casestudytables"/>
              <w:spacing w:before="80"/>
            </w:pPr>
            <w:r w:rsidRPr="00B510A6">
              <w:t>BMP implementation began in the early 2000s. By 2003, the area of Muddy Creek used for drinking water no longer breached the drinking water standard, and the trend continued. In 2010, the stretch of river was removed from the list of impaired waters for nitrate-nitrogen impairment. The watershed remains impaired for aquatic life due to reduced dissolved oxygen</w:t>
            </w:r>
            <w:r w:rsidR="001F4B5F" w:rsidRPr="00B510A6">
              <w:t> </w:t>
            </w:r>
            <w:r w:rsidRPr="00B510A6">
              <w:t>levels.</w:t>
            </w:r>
          </w:p>
          <w:p w14:paraId="48199D5E" w14:textId="77777777" w:rsidR="00F9560C" w:rsidRPr="00B510A6" w:rsidRDefault="00ED4240" w:rsidP="00ED4240">
            <w:pPr>
              <w:pStyle w:val="Greentext-casestudytables"/>
              <w:spacing w:before="80"/>
              <w:jc w:val="center"/>
            </w:pPr>
            <w:r w:rsidRPr="00B510A6">
              <w:rPr>
                <w:noProof/>
                <w:sz w:val="22"/>
              </w:rPr>
              <w:drawing>
                <wp:inline distT="0" distB="0" distL="0" distR="0" wp14:anchorId="037B7E45" wp14:editId="33A7D4F7">
                  <wp:extent cx="2987040" cy="21640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9358" t="4753" r="3246" b="5202"/>
                          <a:stretch/>
                        </pic:blipFill>
                        <pic:spPr bwMode="auto">
                          <a:xfrm>
                            <a:off x="0" y="0"/>
                            <a:ext cx="2995112" cy="2169928"/>
                          </a:xfrm>
                          <a:prstGeom prst="rect">
                            <a:avLst/>
                          </a:prstGeom>
                          <a:noFill/>
                          <a:ln>
                            <a:noFill/>
                          </a:ln>
                          <a:extLst>
                            <a:ext uri="{53640926-AAD7-44D8-BBD7-CCE9431645EC}">
                              <a14:shadowObscured xmlns:a14="http://schemas.microsoft.com/office/drawing/2010/main"/>
                            </a:ext>
                          </a:extLst>
                        </pic:spPr>
                      </pic:pic>
                    </a:graphicData>
                  </a:graphic>
                </wp:inline>
              </w:drawing>
            </w:r>
          </w:p>
          <w:p w14:paraId="19B6F398" w14:textId="774E9E0F" w:rsidR="00ED4240" w:rsidRPr="00B510A6" w:rsidRDefault="001F4B5F" w:rsidP="00E345FB">
            <w:pPr>
              <w:pStyle w:val="Greentext-casestudytables"/>
              <w:spacing w:before="80" w:after="240"/>
              <w:jc w:val="center"/>
            </w:pPr>
            <w:r w:rsidRPr="00B510A6">
              <w:rPr>
                <w:sz w:val="18"/>
                <w:szCs w:val="20"/>
              </w:rPr>
              <w:t>Riparian buffer and stock exclusion fencing on Muddy Creek</w:t>
            </w:r>
            <w:r w:rsidR="00AB07F3">
              <w:rPr>
                <w:sz w:val="18"/>
                <w:szCs w:val="20"/>
              </w:rPr>
              <w:t>.</w:t>
            </w:r>
            <w:r w:rsidRPr="00B510A6">
              <w:rPr>
                <w:sz w:val="18"/>
                <w:szCs w:val="20"/>
              </w:rPr>
              <w:t xml:space="preserve"> </w:t>
            </w:r>
            <w:r w:rsidR="00AB07F3">
              <w:rPr>
                <w:sz w:val="18"/>
                <w:szCs w:val="20"/>
              </w:rPr>
              <w:br/>
              <w:t>I</w:t>
            </w:r>
            <w:r w:rsidRPr="00B510A6">
              <w:rPr>
                <w:sz w:val="18"/>
                <w:szCs w:val="20"/>
              </w:rPr>
              <w:t xml:space="preserve">mage courtesy of Shenandoah Valley </w:t>
            </w:r>
            <w:r w:rsidR="00E345FB" w:rsidRPr="00E345FB">
              <w:rPr>
                <w:sz w:val="18"/>
                <w:szCs w:val="20"/>
              </w:rPr>
              <w:t>Soil and Water Conservation District</w:t>
            </w:r>
          </w:p>
        </w:tc>
      </w:tr>
      <w:bookmarkEnd w:id="0"/>
    </w:tbl>
    <w:p w14:paraId="4E460C64" w14:textId="77777777" w:rsidR="00D75C04" w:rsidRPr="00B510A6" w:rsidRDefault="00D75C04" w:rsidP="00D75C04">
      <w:pPr>
        <w:pStyle w:val="BodyText"/>
      </w:pPr>
    </w:p>
    <w:sectPr w:rsidR="00D75C04" w:rsidRPr="00B510A6" w:rsidSect="00C519E5">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9C145" w14:textId="77777777" w:rsidR="0002242D" w:rsidRDefault="0002242D" w:rsidP="0080531E">
      <w:pPr>
        <w:spacing w:before="0" w:after="0" w:line="240" w:lineRule="auto"/>
      </w:pPr>
      <w:r>
        <w:separator/>
      </w:r>
    </w:p>
    <w:p w14:paraId="49186E93" w14:textId="77777777" w:rsidR="0002242D" w:rsidRDefault="0002242D"/>
  </w:endnote>
  <w:endnote w:type="continuationSeparator" w:id="0">
    <w:p w14:paraId="2375383B" w14:textId="77777777" w:rsidR="0002242D" w:rsidRDefault="0002242D" w:rsidP="0080531E">
      <w:pPr>
        <w:spacing w:before="0" w:after="0" w:line="240" w:lineRule="auto"/>
      </w:pPr>
      <w:r>
        <w:continuationSeparator/>
      </w:r>
    </w:p>
    <w:p w14:paraId="62FB036D" w14:textId="77777777" w:rsidR="0002242D" w:rsidRDefault="0002242D"/>
  </w:endnote>
  <w:endnote w:type="continuationNotice" w:id="1">
    <w:p w14:paraId="4379A012" w14:textId="77777777" w:rsidR="0002242D" w:rsidRDefault="000224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5E73" w14:textId="77777777" w:rsidR="00EF074C" w:rsidRDefault="00EF0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0181" w14:textId="5307A273" w:rsidR="00190A63" w:rsidRDefault="00190A63"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1C64A" w14:textId="77777777" w:rsidR="00EF074C" w:rsidRDefault="00EF07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4294" w14:textId="77777777" w:rsidR="00190A63" w:rsidRDefault="00190A63"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28E48" w14:textId="77777777" w:rsidR="00190A63" w:rsidRDefault="00190A6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8350" w14:textId="4D0D2C6F" w:rsidR="00190A63" w:rsidRDefault="00190A63" w:rsidP="00CD25E1">
    <w:pPr>
      <w:pStyle w:val="Footereven"/>
    </w:pPr>
    <w:r w:rsidRPr="004F458A">
      <w:rPr>
        <w:b/>
      </w:rPr>
      <w:fldChar w:fldCharType="begin"/>
    </w:r>
    <w:r w:rsidRPr="004F458A">
      <w:instrText xml:space="preserve"> PAGE </w:instrText>
    </w:r>
    <w:r w:rsidRPr="004F458A">
      <w:rPr>
        <w:b/>
      </w:rPr>
      <w:fldChar w:fldCharType="separate"/>
    </w:r>
    <w:r>
      <w:rPr>
        <w:noProof/>
      </w:rPr>
      <w:t>14</w:t>
    </w:r>
    <w:r w:rsidRPr="004F458A">
      <w:rPr>
        <w:b/>
      </w:rPr>
      <w:fldChar w:fldCharType="end"/>
    </w:r>
    <w:r>
      <w:tab/>
    </w:r>
    <w:r w:rsidRPr="00210941">
      <w:tab/>
      <w:t>Government response to the findings of the Overseer peer review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28E56" w14:textId="5D786C02" w:rsidR="00190A63" w:rsidRDefault="00190A63" w:rsidP="00CD25E1">
    <w:pPr>
      <w:pStyle w:val="Footerodd"/>
    </w:pPr>
    <w:r>
      <w:tab/>
    </w:r>
    <w:r w:rsidRPr="00155E43">
      <w:t xml:space="preserve">Government </w:t>
    </w:r>
    <w:r>
      <w:t>r</w:t>
    </w:r>
    <w:r w:rsidRPr="00155E43">
      <w:t xml:space="preserve">esponse to the </w:t>
    </w:r>
    <w:r>
      <w:t>f</w:t>
    </w:r>
    <w:r w:rsidRPr="00155E43">
      <w:t xml:space="preserve">indings of the Overseer </w:t>
    </w:r>
    <w:r>
      <w:t>peer r</w:t>
    </w:r>
    <w:r w:rsidRPr="00155E43">
      <w:t xml:space="preserve">eview </w:t>
    </w:r>
    <w:r>
      <w:t>r</w:t>
    </w:r>
    <w:r w:rsidRPr="00155E43">
      <w:t>eport</w:t>
    </w:r>
    <w:r>
      <w:tab/>
    </w:r>
    <w:r>
      <w:fldChar w:fldCharType="begin"/>
    </w:r>
    <w:r>
      <w:instrText xml:space="preserve"> PAGE   \* MERGEFORMAT </w:instrText>
    </w:r>
    <w:r>
      <w:fldChar w:fldCharType="separate"/>
    </w:r>
    <w:r>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68F7D" w14:textId="77777777" w:rsidR="0002242D" w:rsidRDefault="0002242D" w:rsidP="00CB5C5F">
      <w:pPr>
        <w:spacing w:before="0" w:after="80" w:line="240" w:lineRule="auto"/>
      </w:pPr>
      <w:r>
        <w:separator/>
      </w:r>
    </w:p>
  </w:footnote>
  <w:footnote w:type="continuationSeparator" w:id="0">
    <w:p w14:paraId="33991DC9" w14:textId="77777777" w:rsidR="0002242D" w:rsidRDefault="0002242D" w:rsidP="0080531E">
      <w:pPr>
        <w:spacing w:before="0" w:after="0" w:line="240" w:lineRule="auto"/>
      </w:pPr>
      <w:r>
        <w:continuationSeparator/>
      </w:r>
    </w:p>
    <w:p w14:paraId="141873B3" w14:textId="77777777" w:rsidR="0002242D" w:rsidRDefault="0002242D"/>
  </w:footnote>
  <w:footnote w:type="continuationNotice" w:id="1">
    <w:p w14:paraId="5FF1940B" w14:textId="77777777" w:rsidR="0002242D" w:rsidRDefault="0002242D">
      <w:pPr>
        <w:spacing w:before="0" w:after="0" w:line="240" w:lineRule="auto"/>
      </w:pPr>
    </w:p>
  </w:footnote>
  <w:footnote w:id="2">
    <w:p w14:paraId="25CC6F8B" w14:textId="074847E1" w:rsidR="00190A63" w:rsidRDefault="00190A63">
      <w:pPr>
        <w:pStyle w:val="FootnoteText"/>
      </w:pPr>
      <w:r>
        <w:rPr>
          <w:rStyle w:val="FootnoteReference"/>
        </w:rPr>
        <w:footnoteRef/>
      </w:r>
      <w:r>
        <w:t xml:space="preserve"> </w:t>
      </w:r>
      <w:r w:rsidRPr="0001733F">
        <w:rPr>
          <w:szCs w:val="16"/>
        </w:rPr>
        <w:t xml:space="preserve">Parliamentary Commissioner for the Environment, 2018. </w:t>
      </w:r>
      <w:hyperlink r:id="rId1" w:history="1">
        <w:r w:rsidRPr="00824842">
          <w:rPr>
            <w:rStyle w:val="Hyperlink"/>
            <w:i/>
            <w:iCs/>
            <w:szCs w:val="16"/>
          </w:rPr>
          <w:t>Overseer and regulatory oversight: Models, uncertainty, and cleaning up our waterways</w:t>
        </w:r>
      </w:hyperlink>
      <w:r w:rsidRPr="0001733F">
        <w:rPr>
          <w:i/>
          <w:iCs/>
          <w:szCs w:val="16"/>
        </w:rPr>
        <w:t>.</w:t>
      </w:r>
      <w:r w:rsidRPr="0001733F">
        <w:rPr>
          <w:szCs w:val="16"/>
        </w:rPr>
        <w:t xml:space="preserve"> </w:t>
      </w:r>
    </w:p>
  </w:footnote>
  <w:footnote w:id="3">
    <w:p w14:paraId="0225613A" w14:textId="69FE7BE0" w:rsidR="00190A63" w:rsidRDefault="00190A63">
      <w:pPr>
        <w:pStyle w:val="FootnoteText"/>
      </w:pPr>
      <w:r>
        <w:rPr>
          <w:rStyle w:val="FootnoteReference"/>
        </w:rPr>
        <w:footnoteRef/>
      </w:r>
      <w:r>
        <w:t xml:space="preserve"> </w:t>
      </w:r>
      <w:r w:rsidRPr="00C374D3">
        <w:t>In accordance with its terms of reference, the Panel did not consider Overseer’s modelling of greenhouse gases.</w:t>
      </w:r>
    </w:p>
  </w:footnote>
  <w:footnote w:id="4">
    <w:p w14:paraId="6BD203A9" w14:textId="1A2B3CF5" w:rsidR="00190A63" w:rsidRPr="002B7189" w:rsidRDefault="00190A63" w:rsidP="00D55FDA">
      <w:pPr>
        <w:pStyle w:val="FootnoteText"/>
        <w:rPr>
          <w:lang w:val="en-US"/>
        </w:rPr>
      </w:pPr>
      <w:r w:rsidRPr="00515684">
        <w:rPr>
          <w:rStyle w:val="FootnoteReference"/>
          <w:sz w:val="22"/>
        </w:rPr>
        <w:footnoteRef/>
      </w:r>
      <w:r>
        <w:t xml:space="preserve"> </w:t>
      </w:r>
      <w:r>
        <w:tab/>
      </w:r>
      <w:r w:rsidRPr="00D55FDA">
        <w:rPr>
          <w:szCs w:val="19"/>
        </w:rPr>
        <w:t>Parliamentary Commissioner for the Environment</w:t>
      </w:r>
      <w:r>
        <w:rPr>
          <w:szCs w:val="19"/>
        </w:rPr>
        <w:t>.</w:t>
      </w:r>
      <w:r w:rsidRPr="00D55FDA">
        <w:rPr>
          <w:szCs w:val="19"/>
        </w:rPr>
        <w:t xml:space="preserve"> 2018. </w:t>
      </w:r>
      <w:hyperlink r:id="rId2" w:history="1">
        <w:r w:rsidRPr="0002112A">
          <w:rPr>
            <w:rStyle w:val="Hyperlink"/>
            <w:i/>
            <w:iCs/>
            <w:szCs w:val="19"/>
          </w:rPr>
          <w:t>Overseer and regulatory oversight: Models, uncertainty, and cleaning up our waterways</w:t>
        </w:r>
      </w:hyperlink>
      <w:r w:rsidRPr="00CD2BE5">
        <w:rPr>
          <w:szCs w:val="19"/>
        </w:rPr>
        <w:t xml:space="preserve">. </w:t>
      </w:r>
      <w:r>
        <w:rPr>
          <w:szCs w:val="19"/>
        </w:rPr>
        <w:t xml:space="preserve">Wellington: </w:t>
      </w:r>
      <w:r w:rsidRPr="00D55FDA">
        <w:rPr>
          <w:szCs w:val="19"/>
        </w:rPr>
        <w:t>Parliamentary Commissioner for the Environment</w:t>
      </w:r>
      <w:r>
        <w:rPr>
          <w:szCs w:val="19"/>
        </w:rPr>
        <w:t>.</w:t>
      </w:r>
      <w:r w:rsidRPr="00D55FDA">
        <w:rPr>
          <w:szCs w:val="19"/>
        </w:rPr>
        <w:t xml:space="preserve"> </w:t>
      </w:r>
    </w:p>
  </w:footnote>
  <w:footnote w:id="5">
    <w:p w14:paraId="72E34AF9" w14:textId="5AC61E23" w:rsidR="00190A63" w:rsidRPr="006F63C6" w:rsidRDefault="00190A63" w:rsidP="00D55FDA">
      <w:pPr>
        <w:pStyle w:val="FootnoteText"/>
        <w:rPr>
          <w:lang w:val="en-US"/>
        </w:rPr>
      </w:pPr>
      <w:r w:rsidRPr="00515684">
        <w:rPr>
          <w:rStyle w:val="FootnoteReference"/>
          <w:sz w:val="22"/>
        </w:rPr>
        <w:footnoteRef/>
      </w:r>
      <w:r>
        <w:t xml:space="preserve"> </w:t>
      </w:r>
      <w:r>
        <w:tab/>
      </w:r>
      <w:r w:rsidRPr="006F63C6">
        <w:t xml:space="preserve">The names and credentials of the Review Panel members are set out in </w:t>
      </w:r>
      <w:hyperlink w:anchor="_Appendix_A:_Science" w:history="1">
        <w:r w:rsidRPr="00C238F3">
          <w:rPr>
            <w:rStyle w:val="Hyperlink"/>
          </w:rPr>
          <w:t>appendix A</w:t>
        </w:r>
      </w:hyperlink>
      <w:r w:rsidRPr="006F63C6">
        <w:t>.</w:t>
      </w:r>
      <w:r>
        <w:t xml:space="preserve"> </w:t>
      </w:r>
    </w:p>
  </w:footnote>
  <w:footnote w:id="6">
    <w:p w14:paraId="14C037E8" w14:textId="77777777" w:rsidR="00190A63" w:rsidRDefault="00190A63" w:rsidP="006B77B6">
      <w:pPr>
        <w:pStyle w:val="FootnoteText"/>
        <w:spacing w:after="40"/>
      </w:pPr>
      <w:r w:rsidRPr="00515684">
        <w:rPr>
          <w:rStyle w:val="FootnoteReference"/>
          <w:sz w:val="22"/>
        </w:rPr>
        <w:footnoteRef/>
      </w:r>
      <w:r>
        <w:t xml:space="preserve"> </w:t>
      </w:r>
      <w:r>
        <w:tab/>
      </w:r>
      <w:r w:rsidRPr="00600C71">
        <w:t>Retrieved</w:t>
      </w:r>
      <w:r>
        <w:t xml:space="preserve"> from </w:t>
      </w:r>
      <w:hyperlink r:id="rId3" w:history="1">
        <w:r w:rsidRPr="00515684">
          <w:rPr>
            <w:rStyle w:val="Hyperlink"/>
          </w:rPr>
          <w:t>www.overseer.org.nz</w:t>
        </w:r>
      </w:hyperlink>
      <w:r>
        <w:rPr>
          <w:rStyle w:val="Hyperlink"/>
          <w:szCs w:val="19"/>
        </w:rPr>
        <w:t>.</w:t>
      </w:r>
      <w:r w:rsidRPr="00056436">
        <w:t xml:space="preserve"> </w:t>
      </w:r>
    </w:p>
  </w:footnote>
  <w:footnote w:id="7">
    <w:p w14:paraId="2D2D8617" w14:textId="063CD0B8" w:rsidR="00190A63" w:rsidRDefault="00190A63" w:rsidP="006B77B6">
      <w:pPr>
        <w:pStyle w:val="FootnoteText"/>
        <w:spacing w:after="0"/>
      </w:pPr>
      <w:r w:rsidRPr="00515684">
        <w:rPr>
          <w:rStyle w:val="FootnoteReference"/>
          <w:sz w:val="22"/>
        </w:rPr>
        <w:footnoteRef/>
      </w:r>
      <w:r>
        <w:t xml:space="preserve"> </w:t>
      </w:r>
      <w:r>
        <w:tab/>
      </w:r>
      <w:r w:rsidRPr="00CC468F">
        <w:t xml:space="preserve">A description of the most common regulatory and non-regulatory uses of the tool is provided in </w:t>
      </w:r>
      <w:hyperlink w:anchor="_Appendix_B:_Existing" w:history="1">
        <w:r w:rsidRPr="00040418">
          <w:rPr>
            <w:rStyle w:val="Hyperlink"/>
          </w:rPr>
          <w:t>appendix B</w:t>
        </w:r>
      </w:hyperlink>
      <w:r w:rsidRPr="00CC468F">
        <w:t>.</w:t>
      </w:r>
    </w:p>
  </w:footnote>
  <w:footnote w:id="8">
    <w:p w14:paraId="467DECC8" w14:textId="77777777" w:rsidR="00190A63" w:rsidRDefault="00190A63" w:rsidP="008F40C6">
      <w:pPr>
        <w:pStyle w:val="FootnoteText"/>
      </w:pPr>
      <w:r w:rsidRPr="00515684">
        <w:rPr>
          <w:rStyle w:val="FootnoteReference"/>
          <w:sz w:val="22"/>
        </w:rPr>
        <w:footnoteRef/>
      </w:r>
      <w:r>
        <w:t xml:space="preserve"> </w:t>
      </w:r>
      <w:r>
        <w:tab/>
      </w:r>
      <w:r w:rsidRPr="008F40C6">
        <w:t>Traditional</w:t>
      </w:r>
      <w:r w:rsidRPr="00F10703">
        <w:t xml:space="preserve"> concepts of knowledge and knowledge systems</w:t>
      </w:r>
    </w:p>
  </w:footnote>
  <w:footnote w:id="9">
    <w:p w14:paraId="67F198FC" w14:textId="2C9A9426" w:rsidR="00190A63" w:rsidRPr="00FE01A4" w:rsidRDefault="00190A63" w:rsidP="008F40C6">
      <w:pPr>
        <w:pStyle w:val="FootnoteText"/>
        <w:rPr>
          <w:lang w:val="en-US"/>
        </w:rPr>
      </w:pPr>
      <w:r w:rsidRPr="00515684">
        <w:rPr>
          <w:rStyle w:val="FootnoteReference"/>
          <w:sz w:val="22"/>
        </w:rPr>
        <w:footnoteRef/>
      </w:r>
      <w:r>
        <w:t xml:space="preserve"> </w:t>
      </w:r>
      <w:r>
        <w:tab/>
      </w:r>
      <w:proofErr w:type="spellStart"/>
      <w:r w:rsidRPr="008F40C6">
        <w:t>Kelliher</w:t>
      </w:r>
      <w:proofErr w:type="spellEnd"/>
      <w:r w:rsidRPr="00647F4C">
        <w:t xml:space="preserve"> F, Rollo M</w:t>
      </w:r>
      <w:r>
        <w:t>,</w:t>
      </w:r>
      <w:r w:rsidRPr="00647F4C">
        <w:t xml:space="preserve"> Vibart R. 2015. Desk-top review of GHG components of Overseer</w:t>
      </w:r>
      <w:r>
        <w:t>:</w:t>
      </w:r>
      <w:r w:rsidRPr="00647F4C">
        <w:t xml:space="preserve"> Draft report prepared for the New Zealand Agricultural Greenhouse Gas Research Centre. AgResearch report RE500/2015/081</w:t>
      </w:r>
      <w:r>
        <w:t>. Hamilton: AgResearch. D</w:t>
      </w:r>
      <w:r w:rsidRPr="00FE01A4">
        <w:t xml:space="preserve">e Klein C, van der </w:t>
      </w:r>
      <w:proofErr w:type="spellStart"/>
      <w:r w:rsidRPr="00FE01A4">
        <w:t>Weerden</w:t>
      </w:r>
      <w:proofErr w:type="spellEnd"/>
      <w:r w:rsidRPr="00FE01A4">
        <w:t xml:space="preserve"> T, </w:t>
      </w:r>
      <w:proofErr w:type="spellStart"/>
      <w:r w:rsidRPr="00FE01A4">
        <w:t>Kelliher</w:t>
      </w:r>
      <w:proofErr w:type="spellEnd"/>
      <w:r w:rsidRPr="00FE01A4">
        <w:t xml:space="preserve"> F, Wheeler D</w:t>
      </w:r>
      <w:r>
        <w:t>,</w:t>
      </w:r>
      <w:r w:rsidRPr="00FE01A4">
        <w:t xml:space="preserve"> Rollo N</w:t>
      </w:r>
      <w:r>
        <w:t>.</w:t>
      </w:r>
      <w:r w:rsidRPr="00FE01A4">
        <w:t xml:space="preserve"> 2017. </w:t>
      </w:r>
      <w:r w:rsidRPr="00D6188E">
        <w:rPr>
          <w:i/>
          <w:iCs/>
        </w:rPr>
        <w:t>Initial review of the suitability of Overseer Nutrient Budgets Model for farm-scale greenhouse gas reporting: Final report for the Ministry for Primary Industries and the Biological Emissions Reference Group</w:t>
      </w:r>
      <w:r w:rsidRPr="00FE01A4">
        <w:t>. AgResearch report RE450/2017/022</w:t>
      </w:r>
      <w:r>
        <w:t>. Hamilton: AgResearch.</w:t>
      </w:r>
    </w:p>
  </w:footnote>
  <w:footnote w:id="10">
    <w:p w14:paraId="3A86DDB4" w14:textId="77777777" w:rsidR="00190A63" w:rsidRDefault="00190A63" w:rsidP="004C1C61">
      <w:pPr>
        <w:pStyle w:val="FootnoteText"/>
      </w:pPr>
      <w:r w:rsidRPr="00515684">
        <w:rPr>
          <w:rStyle w:val="FootnoteReference"/>
          <w:sz w:val="22"/>
        </w:rPr>
        <w:footnoteRef/>
      </w:r>
      <w:r>
        <w:t xml:space="preserve"> </w:t>
      </w:r>
      <w:r>
        <w:tab/>
        <w:t xml:space="preserve">Overseer </w:t>
      </w:r>
      <w:r w:rsidRPr="004C1C61">
        <w:t>balances</w:t>
      </w:r>
      <w:r>
        <w:t xml:space="preserve"> the movement of nutrients between blocks, but this is not a guarantee that mass balance is preserved for actual nutrient dynamics in crops and pastures. Over the duration of a model run, the amount of nitrogen initially in the system plus the amount added may not equal the amount at the end of the run plus the amount removed. The model uses the terms ‘balancing error’ and ‘nitrogen deficit’ to correct the numerical inequality in the model, but the Panel considered that this does not restore mass balance in the formal sense of the process. </w:t>
      </w:r>
    </w:p>
  </w:footnote>
  <w:footnote w:id="11">
    <w:p w14:paraId="62F41A48" w14:textId="193DC910" w:rsidR="00190A63" w:rsidRDefault="00190A63">
      <w:pPr>
        <w:pStyle w:val="FootnoteText"/>
      </w:pPr>
      <w:r w:rsidRPr="00515684">
        <w:rPr>
          <w:rStyle w:val="FootnoteReference"/>
          <w:sz w:val="22"/>
        </w:rPr>
        <w:footnoteRef/>
      </w:r>
      <w:r>
        <w:t xml:space="preserve"> </w:t>
      </w:r>
      <w:r>
        <w:tab/>
      </w:r>
      <w:r w:rsidRPr="00453146">
        <w:t>Nitrogen</w:t>
      </w:r>
      <w:r>
        <w:t xml:space="preserve"> </w:t>
      </w:r>
      <w:r w:rsidRPr="00453146">
        <w:t>risk factors are well researched. This includes, for example, the relationship between livestock urine patches (and hence stocking rates) and nitrogen leaching</w:t>
      </w:r>
      <w:r>
        <w:t>,</w:t>
      </w:r>
      <w:r w:rsidRPr="00453146">
        <w:t xml:space="preserve"> </w:t>
      </w:r>
      <w:r>
        <w:t>o</w:t>
      </w:r>
      <w:r w:rsidRPr="00453146">
        <w:t>r the relationship between nitrogen fertiliser use and potential nitrogen losses (if farm production remains constant). Metrics</w:t>
      </w:r>
      <w:r>
        <w:t>,</w:t>
      </w:r>
      <w:r w:rsidRPr="00453146">
        <w:t xml:space="preserve"> such as purchased nitrogen surplus and nitrogen-use efficiency</w:t>
      </w:r>
      <w:r>
        <w:t>,</w:t>
      </w:r>
      <w:r w:rsidRPr="00453146">
        <w:t xml:space="preserve"> will remain important and useful</w:t>
      </w:r>
      <w:r>
        <w:t>,</w:t>
      </w:r>
      <w:r w:rsidRPr="00453146">
        <w:t xml:space="preserve"> particularly when used in conjunction with an understanding of changes in nitrogen-loss risk factors (such as stocking rates and fertiliser use).</w:t>
      </w:r>
    </w:p>
  </w:footnote>
  <w:footnote w:id="12">
    <w:p w14:paraId="49A11878" w14:textId="7257337D" w:rsidR="00190A63" w:rsidRPr="00860862" w:rsidRDefault="00190A63" w:rsidP="00860862">
      <w:pPr>
        <w:pStyle w:val="FootnoteText"/>
      </w:pPr>
      <w:r w:rsidRPr="00515684">
        <w:rPr>
          <w:rStyle w:val="FootnoteReference"/>
          <w:sz w:val="22"/>
        </w:rPr>
        <w:footnoteRef/>
      </w:r>
      <w:r>
        <w:t xml:space="preserve"> </w:t>
      </w:r>
      <w:r>
        <w:tab/>
      </w:r>
      <w:r w:rsidRPr="00BF7FE0">
        <w:t xml:space="preserve">The </w:t>
      </w:r>
      <w:r w:rsidRPr="003A208A">
        <w:t>Resource Management Act 1991</w:t>
      </w:r>
      <w:r w:rsidRPr="00BF7FE0">
        <w:t xml:space="preserve"> </w:t>
      </w:r>
      <w:r>
        <w:t xml:space="preserve">provides a broad definition of contaminants. In practice, however, the contaminants of focus in these regulations are nitrogen, phosphorus, </w:t>
      </w:r>
      <w:proofErr w:type="gramStart"/>
      <w:r>
        <w:t>sediment</w:t>
      </w:r>
      <w:proofErr w:type="gramEnd"/>
      <w:r>
        <w:t xml:space="preserve"> and </w:t>
      </w:r>
      <w:r w:rsidRPr="004022C2">
        <w:rPr>
          <w:i/>
          <w:iCs/>
        </w:rPr>
        <w:t>Escherichia</w:t>
      </w:r>
      <w:r w:rsidRPr="00954477">
        <w:rPr>
          <w:i/>
          <w:iCs/>
        </w:rPr>
        <w:t xml:space="preserve"> coli</w:t>
      </w:r>
      <w:r>
        <w:t xml:space="preserve"> (as an indicator of microbial contamination).</w:t>
      </w:r>
    </w:p>
  </w:footnote>
  <w:footnote w:id="13">
    <w:p w14:paraId="4434850A" w14:textId="26F84E6E" w:rsidR="00190A63" w:rsidRPr="00004C78" w:rsidRDefault="00190A63" w:rsidP="00004C78">
      <w:pPr>
        <w:pStyle w:val="FootnoteText"/>
        <w:rPr>
          <w:szCs w:val="19"/>
        </w:rPr>
      </w:pPr>
      <w:r w:rsidRPr="00515684">
        <w:rPr>
          <w:rStyle w:val="FootnoteReference"/>
          <w:sz w:val="22"/>
          <w:szCs w:val="26"/>
        </w:rPr>
        <w:footnoteRef/>
      </w:r>
      <w:r w:rsidRPr="00BF7FE0">
        <w:t xml:space="preserve"> </w:t>
      </w:r>
      <w:r>
        <w:tab/>
      </w:r>
      <w:r w:rsidRPr="00B510A6">
        <w:t>APSIM</w:t>
      </w:r>
      <w:r>
        <w:t>:</w:t>
      </w:r>
      <w:r w:rsidRPr="00004C78">
        <w:rPr>
          <w:szCs w:val="19"/>
        </w:rPr>
        <w:t xml:space="preserve"> </w:t>
      </w:r>
      <w:r>
        <w:rPr>
          <w:szCs w:val="19"/>
        </w:rPr>
        <w:t>t</w:t>
      </w:r>
      <w:r w:rsidRPr="00004C78">
        <w:rPr>
          <w:szCs w:val="19"/>
        </w:rPr>
        <w:t xml:space="preserve">he Agricultural Production Systems </w:t>
      </w:r>
      <w:proofErr w:type="spellStart"/>
      <w:r w:rsidRPr="00004C78">
        <w:rPr>
          <w:szCs w:val="19"/>
        </w:rPr>
        <w:t>sIMulator</w:t>
      </w:r>
      <w:proofErr w:type="spellEnd"/>
      <w:r>
        <w:rPr>
          <w:szCs w:val="19"/>
        </w:rPr>
        <w:t>;</w:t>
      </w:r>
      <w:r w:rsidRPr="00004C78">
        <w:rPr>
          <w:szCs w:val="19"/>
        </w:rPr>
        <w:t xml:space="preserve"> for more information, see </w:t>
      </w:r>
      <w:hyperlink r:id="rId4" w:history="1">
        <w:r w:rsidRPr="00A43478">
          <w:rPr>
            <w:rStyle w:val="Hyperlink"/>
            <w:szCs w:val="19"/>
          </w:rPr>
          <w:t>www.apsim.info</w:t>
        </w:r>
      </w:hyperlink>
      <w:r w:rsidRPr="00004C78">
        <w:rPr>
          <w:rStyle w:val="Hyperlink"/>
          <w:szCs w:val="19"/>
        </w:rPr>
        <w:t>.</w:t>
      </w:r>
      <w:r w:rsidRPr="00004C78">
        <w:rPr>
          <w:szCs w:val="19"/>
        </w:rPr>
        <w:t xml:space="preserve"> </w:t>
      </w:r>
    </w:p>
  </w:footnote>
  <w:footnote w:id="14">
    <w:p w14:paraId="400E70CD" w14:textId="1F06EC1D" w:rsidR="00190A63" w:rsidRDefault="00190A63">
      <w:pPr>
        <w:pStyle w:val="FootnoteText"/>
      </w:pPr>
      <w:r>
        <w:rPr>
          <w:rStyle w:val="FootnoteReference"/>
        </w:rPr>
        <w:footnoteRef/>
      </w:r>
      <w:r>
        <w:t xml:space="preserve"> </w:t>
      </w:r>
      <w:r>
        <w:rPr>
          <w:lang w:val="en-US"/>
        </w:rPr>
        <w:t>The options referred to in (d) are likely to be longer-term possibilities than options that would be ready to implement within 12 months.</w:t>
      </w:r>
    </w:p>
  </w:footnote>
  <w:footnote w:id="15">
    <w:p w14:paraId="0ECCA010" w14:textId="77777777" w:rsidR="00190A63" w:rsidRPr="0017000B" w:rsidRDefault="00190A63" w:rsidP="0004202C">
      <w:pPr>
        <w:pStyle w:val="FootnoteText"/>
        <w:rPr>
          <w:lang w:val="en-US"/>
        </w:rPr>
      </w:pPr>
      <w:r>
        <w:rPr>
          <w:rStyle w:val="FootnoteReference"/>
        </w:rPr>
        <w:footnoteRef/>
      </w:r>
      <w:r>
        <w:t xml:space="preserve"> </w:t>
      </w:r>
      <w:r>
        <w:tab/>
      </w:r>
      <w:r w:rsidRPr="00B0116D">
        <w:t>McDowell R</w:t>
      </w:r>
      <w:r>
        <w:t>,</w:t>
      </w:r>
      <w:r w:rsidRPr="00B0116D">
        <w:t xml:space="preserve"> Sharpley A</w:t>
      </w:r>
      <w:r>
        <w:t>,</w:t>
      </w:r>
      <w:r w:rsidRPr="00B0116D">
        <w:t xml:space="preserve"> Kleinman J. </w:t>
      </w:r>
      <w:r>
        <w:t>2002.</w:t>
      </w:r>
      <w:r w:rsidRPr="00B0116D">
        <w:t xml:space="preserve"> Integrating Phosphorus and Nitrogen Decision Management at Watershed Scales. </w:t>
      </w:r>
      <w:r w:rsidRPr="00222B17">
        <w:rPr>
          <w:i/>
        </w:rPr>
        <w:t>Journal of American Water Resources Association</w:t>
      </w:r>
      <w:r w:rsidRPr="00B0116D">
        <w:t xml:space="preserve"> 38, 2</w:t>
      </w:r>
      <w:r>
        <w:t>.</w:t>
      </w:r>
    </w:p>
  </w:footnote>
  <w:footnote w:id="16">
    <w:p w14:paraId="5B2535FD" w14:textId="141AF0D2" w:rsidR="00190A63" w:rsidRPr="0004202C" w:rsidRDefault="00190A63" w:rsidP="0004202C">
      <w:pPr>
        <w:pStyle w:val="FootnoteText"/>
      </w:pPr>
      <w:r w:rsidRPr="00B0116D">
        <w:rPr>
          <w:rStyle w:val="FootnoteReference"/>
          <w:sz w:val="18"/>
        </w:rPr>
        <w:footnoteRef/>
      </w:r>
      <w:r w:rsidRPr="00B0116D">
        <w:t xml:space="preserve"> </w:t>
      </w:r>
      <w:r>
        <w:tab/>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DE175" w14:textId="77777777" w:rsidR="00EF074C" w:rsidRDefault="00EF07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FD328" w14:textId="64C2705D" w:rsidR="00190A63" w:rsidRPr="00DE7BF8" w:rsidRDefault="00190A63"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8DAF" w14:textId="77777777" w:rsidR="00EF074C" w:rsidRDefault="00EF07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91F8E" w14:textId="77777777" w:rsidR="00190A63" w:rsidRDefault="00190A63"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0DFCB" w14:textId="77777777" w:rsidR="00190A63" w:rsidRDefault="00190A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25BB6"/>
    <w:multiLevelType w:val="hybridMultilevel"/>
    <w:tmpl w:val="5EA097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4F0253"/>
    <w:multiLevelType w:val="hybridMultilevel"/>
    <w:tmpl w:val="D4B6CFA8"/>
    <w:lvl w:ilvl="0" w:tplc="82022C84">
      <w:start w:val="1"/>
      <w:numFmt w:val="lowerRoman"/>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0DB3430E"/>
    <w:multiLevelType w:val="hybridMultilevel"/>
    <w:tmpl w:val="4768AE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F240535"/>
    <w:multiLevelType w:val="multilevel"/>
    <w:tmpl w:val="65002342"/>
    <w:lvl w:ilvl="0">
      <w:start w:val="1"/>
      <w:numFmt w:val="decimal"/>
      <w:lvlText w:val="5.%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0E962D4"/>
    <w:multiLevelType w:val="multilevel"/>
    <w:tmpl w:val="26004038"/>
    <w:lvl w:ilvl="0">
      <w:start w:val="1"/>
      <w:numFmt w:val="decimal"/>
      <w:lvlText w:val="4.%1"/>
      <w:lvlJc w:val="left"/>
      <w:pPr>
        <w:ind w:left="851" w:hanging="851"/>
      </w:pPr>
      <w:rPr>
        <w:rFonts w:ascii="Calibri" w:hAnsi="Calibri" w:cs="Arial" w:hint="default"/>
        <w:b/>
        <w:i w:val="0"/>
        <w:sz w:val="35"/>
        <w:szCs w:val="35"/>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F806B4"/>
    <w:multiLevelType w:val="hybridMultilevel"/>
    <w:tmpl w:val="BC0839A6"/>
    <w:lvl w:ilvl="0" w:tplc="82022C84">
      <w:start w:val="1"/>
      <w:numFmt w:val="lowerRoman"/>
      <w:lvlText w:val="(%1)"/>
      <w:lvlJc w:val="left"/>
      <w:pPr>
        <w:ind w:left="1117" w:hanging="360"/>
      </w:pPr>
    </w:lvl>
    <w:lvl w:ilvl="1" w:tplc="14090019" w:tentative="1">
      <w:start w:val="1"/>
      <w:numFmt w:val="lowerLetter"/>
      <w:lvlText w:val="%2."/>
      <w:lvlJc w:val="left"/>
      <w:pPr>
        <w:ind w:left="1837" w:hanging="360"/>
      </w:pPr>
    </w:lvl>
    <w:lvl w:ilvl="2" w:tplc="1409001B">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8"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9"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E02047"/>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4" w15:restartNumberingAfterBreak="0">
    <w:nsid w:val="2FB85AA1"/>
    <w:multiLevelType w:val="hybridMultilevel"/>
    <w:tmpl w:val="3D508FA0"/>
    <w:lvl w:ilvl="0" w:tplc="82022C84">
      <w:start w:val="1"/>
      <w:numFmt w:val="lowerRoman"/>
      <w:lvlText w:val="(%1)"/>
      <w:lvlJc w:val="left"/>
      <w:pPr>
        <w:ind w:left="757" w:hanging="360"/>
      </w:pPr>
    </w:lvl>
    <w:lvl w:ilvl="1" w:tplc="14090019">
      <w:start w:val="1"/>
      <w:numFmt w:val="lowerLetter"/>
      <w:lvlText w:val="%2."/>
      <w:lvlJc w:val="left"/>
      <w:pPr>
        <w:ind w:left="1477" w:hanging="360"/>
      </w:pPr>
    </w:lvl>
    <w:lvl w:ilvl="2" w:tplc="82022C84">
      <w:start w:val="1"/>
      <w:numFmt w:val="lowerRoman"/>
      <w:lvlText w:val="(%3)"/>
      <w:lvlJc w:val="lef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15" w15:restartNumberingAfterBreak="0">
    <w:nsid w:val="316234A0"/>
    <w:multiLevelType w:val="multilevel"/>
    <w:tmpl w:val="B61C0832"/>
    <w:lvl w:ilvl="0">
      <w:start w:val="1"/>
      <w:numFmt w:val="decimal"/>
      <w:lvlText w:val="%1"/>
      <w:lvlJc w:val="left"/>
      <w:pPr>
        <w:ind w:left="851" w:hanging="851"/>
      </w:pPr>
      <w:rPr>
        <w:rFonts w:ascii="Calibri" w:hAnsi="Calibri" w:hint="default"/>
        <w:b/>
        <w:i w:val="0"/>
        <w:sz w:val="48"/>
        <w:szCs w:val="4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1716CA8"/>
    <w:multiLevelType w:val="hybridMultilevel"/>
    <w:tmpl w:val="B7CA56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8" w15:restartNumberingAfterBreak="0">
    <w:nsid w:val="37F205FB"/>
    <w:multiLevelType w:val="multilevel"/>
    <w:tmpl w:val="E65CD59E"/>
    <w:lvl w:ilvl="0">
      <w:start w:val="1"/>
      <w:numFmt w:val="decimal"/>
      <w:lvlText w:val="3.%1"/>
      <w:lvlJc w:val="left"/>
      <w:pPr>
        <w:ind w:left="720" w:hanging="360"/>
      </w:pPr>
      <w:rPr>
        <w:rFonts w:ascii="Calibri" w:hAnsi="Calibri" w:hint="default"/>
        <w:b/>
        <w:i w:val="0"/>
        <w:sz w:val="36"/>
      </w:rPr>
    </w:lvl>
    <w:lvl w:ilvl="1">
      <w:start w:val="1"/>
      <w:numFmt w:val="decimal"/>
      <w:lvlText w:val="3.%2"/>
      <w:lvlJc w:val="left"/>
      <w:pPr>
        <w:ind w:left="851" w:hanging="851"/>
      </w:pPr>
      <w:rPr>
        <w:rFonts w:ascii="Calibri" w:hAnsi="Calibri" w:hint="default"/>
        <w:b/>
        <w:i w:val="0"/>
        <w:sz w:val="3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C9B5472"/>
    <w:multiLevelType w:val="multilevel"/>
    <w:tmpl w:val="1FCAD1AE"/>
    <w:lvl w:ilvl="0">
      <w:start w:val="1"/>
      <w:numFmt w:val="decimal"/>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4.1.%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CB5E8D"/>
    <w:multiLevelType w:val="hybridMultilevel"/>
    <w:tmpl w:val="23165C46"/>
    <w:lvl w:ilvl="0" w:tplc="14090001">
      <w:start w:val="1"/>
      <w:numFmt w:val="bullet"/>
      <w:lvlText w:val=""/>
      <w:lvlJc w:val="left"/>
      <w:pPr>
        <w:ind w:left="420" w:hanging="360"/>
      </w:pPr>
      <w:rPr>
        <w:rFonts w:ascii="Symbol" w:hAnsi="Symbol" w:hint="default"/>
      </w:rPr>
    </w:lvl>
    <w:lvl w:ilvl="1" w:tplc="14090003">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22" w15:restartNumberingAfterBreak="0">
    <w:nsid w:val="427701FB"/>
    <w:multiLevelType w:val="hybridMultilevel"/>
    <w:tmpl w:val="0BA89340"/>
    <w:lvl w:ilvl="0" w:tplc="C04A679E">
      <w:start w:val="1"/>
      <w:numFmt w:val="bulle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5" w15:restartNumberingAfterBreak="0">
    <w:nsid w:val="4D667A6E"/>
    <w:multiLevelType w:val="multilevel"/>
    <w:tmpl w:val="E702DDAA"/>
    <w:lvl w:ilvl="0">
      <w:start w:val="1"/>
      <w:numFmt w:val="decimal"/>
      <w:lvlText w:val="2.%1"/>
      <w:lvlJc w:val="left"/>
      <w:pPr>
        <w:ind w:left="851" w:hanging="851"/>
      </w:pPr>
      <w:rPr>
        <w:rFonts w:ascii="Calibri" w:hAnsi="Calibri" w:cs="Arial" w:hint="default"/>
        <w:b/>
        <w:i w:val="0"/>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DCD7792"/>
    <w:multiLevelType w:val="singleLevel"/>
    <w:tmpl w:val="E8384DC6"/>
    <w:lvl w:ilvl="0">
      <w:start w:val="1"/>
      <w:numFmt w:val="bullet"/>
      <w:pStyle w:val="ListBullet"/>
      <w:lvlText w:val=""/>
      <w:lvlJc w:val="left"/>
      <w:pPr>
        <w:tabs>
          <w:tab w:val="num" w:pos="360"/>
        </w:tabs>
        <w:ind w:left="360" w:hanging="360"/>
      </w:pPr>
      <w:rPr>
        <w:rFonts w:ascii="Symbol" w:hAnsi="Symbol" w:hint="default"/>
      </w:rPr>
    </w:lvl>
  </w:abstractNum>
  <w:abstractNum w:abstractNumId="27" w15:restartNumberingAfterBreak="0">
    <w:nsid w:val="4E1246D8"/>
    <w:multiLevelType w:val="multilevel"/>
    <w:tmpl w:val="E79ABA26"/>
    <w:lvl w:ilvl="0">
      <w:start w:val="1"/>
      <w:numFmt w:val="decimal"/>
      <w:lvlText w:val="3.2.%1"/>
      <w:lvlJc w:val="left"/>
      <w:pPr>
        <w:ind w:left="851" w:hanging="85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9" w15:restartNumberingAfterBreak="0">
    <w:nsid w:val="56303B07"/>
    <w:multiLevelType w:val="hybridMultilevel"/>
    <w:tmpl w:val="53D813D4"/>
    <w:lvl w:ilvl="0" w:tplc="1409001B">
      <w:start w:val="1"/>
      <w:numFmt w:val="lowerRoman"/>
      <w:lvlText w:val="%1."/>
      <w:lvlJc w:val="right"/>
      <w:pPr>
        <w:ind w:left="1117" w:hanging="360"/>
      </w:p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30" w15:restartNumberingAfterBreak="0">
    <w:nsid w:val="57547FA8"/>
    <w:multiLevelType w:val="hybridMultilevel"/>
    <w:tmpl w:val="978E910E"/>
    <w:lvl w:ilvl="0" w:tplc="729408D0">
      <w:start w:val="1"/>
      <w:numFmt w:val="bullet"/>
      <w:lvlText w:val=""/>
      <w:lvlJc w:val="left"/>
      <w:pPr>
        <w:ind w:left="720" w:hanging="360"/>
      </w:pPr>
      <w:rPr>
        <w:rFonts w:ascii="Symbol" w:hAnsi="Symbol" w:hint="default"/>
        <w:sz w:val="18"/>
        <w:szCs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2" w15:restartNumberingAfterBreak="0">
    <w:nsid w:val="6DE2427E"/>
    <w:multiLevelType w:val="hybridMultilevel"/>
    <w:tmpl w:val="20E0A2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E0F120B"/>
    <w:multiLevelType w:val="multilevel"/>
    <w:tmpl w:val="2D128ED6"/>
    <w:lvl w:ilvl="0">
      <w:start w:val="1"/>
      <w:numFmt w:val="decimal"/>
      <w:lvlText w:val="4.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4.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E433DB5"/>
    <w:multiLevelType w:val="hybridMultilevel"/>
    <w:tmpl w:val="02E8D3DC"/>
    <w:lvl w:ilvl="0" w:tplc="52BEA6D4">
      <w:start w:val="5"/>
      <w:numFmt w:val="bullet"/>
      <w:lvlText w:val="-"/>
      <w:lvlJc w:val="left"/>
      <w:pPr>
        <w:ind w:left="408"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7" w15:restartNumberingAfterBreak="0">
    <w:nsid w:val="71DB366A"/>
    <w:multiLevelType w:val="hybridMultilevel"/>
    <w:tmpl w:val="5EF699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28D654D"/>
    <w:multiLevelType w:val="hybridMultilevel"/>
    <w:tmpl w:val="19903304"/>
    <w:lvl w:ilvl="0" w:tplc="82022C84">
      <w:start w:val="1"/>
      <w:numFmt w:val="lowerRoman"/>
      <w:lvlText w:val="(%1)"/>
      <w:lvlJc w:val="left"/>
      <w:pPr>
        <w:ind w:left="757" w:hanging="360"/>
      </w:p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39"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8"/>
  </w:num>
  <w:num w:numId="3">
    <w:abstractNumId w:val="22"/>
  </w:num>
  <w:num w:numId="4">
    <w:abstractNumId w:val="13"/>
  </w:num>
  <w:num w:numId="5">
    <w:abstractNumId w:val="9"/>
  </w:num>
  <w:num w:numId="6">
    <w:abstractNumId w:val="24"/>
  </w:num>
  <w:num w:numId="7">
    <w:abstractNumId w:val="23"/>
  </w:num>
  <w:num w:numId="8">
    <w:abstractNumId w:val="39"/>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35"/>
  </w:num>
  <w:num w:numId="12">
    <w:abstractNumId w:val="3"/>
  </w:num>
  <w:num w:numId="13">
    <w:abstractNumId w:val="10"/>
  </w:num>
  <w:num w:numId="14">
    <w:abstractNumId w:val="20"/>
  </w:num>
  <w:num w:numId="15">
    <w:abstractNumId w:val="8"/>
  </w:num>
  <w:num w:numId="16">
    <w:abstractNumId w:val="36"/>
  </w:num>
  <w:num w:numId="17">
    <w:abstractNumId w:val="15"/>
  </w:num>
  <w:num w:numId="18">
    <w:abstractNumId w:val="25"/>
  </w:num>
  <w:num w:numId="19">
    <w:abstractNumId w:val="18"/>
  </w:num>
  <w:num w:numId="20">
    <w:abstractNumId w:val="27"/>
  </w:num>
  <w:num w:numId="21">
    <w:abstractNumId w:val="6"/>
  </w:num>
  <w:num w:numId="22">
    <w:abstractNumId w:val="19"/>
  </w:num>
  <w:num w:numId="23">
    <w:abstractNumId w:val="33"/>
  </w:num>
  <w:num w:numId="24">
    <w:abstractNumId w:val="2"/>
  </w:num>
  <w:num w:numId="25">
    <w:abstractNumId w:val="5"/>
  </w:num>
  <w:num w:numId="26">
    <w:abstractNumId w:val="34"/>
  </w:num>
  <w:num w:numId="27">
    <w:abstractNumId w:val="16"/>
  </w:num>
  <w:num w:numId="28">
    <w:abstractNumId w:val="4"/>
  </w:num>
  <w:num w:numId="29">
    <w:abstractNumId w:val="0"/>
  </w:num>
  <w:num w:numId="30">
    <w:abstractNumId w:val="32"/>
  </w:num>
  <w:num w:numId="31">
    <w:abstractNumId w:val="21"/>
  </w:num>
  <w:num w:numId="32">
    <w:abstractNumId w:val="26"/>
  </w:num>
  <w:num w:numId="33">
    <w:abstractNumId w:val="31"/>
  </w:num>
  <w:num w:numId="34">
    <w:abstractNumId w:val="11"/>
  </w:num>
  <w:num w:numId="35">
    <w:abstractNumId w:val="30"/>
  </w:num>
  <w:num w:numId="36">
    <w:abstractNumId w:val="37"/>
  </w:num>
  <w:num w:numId="37">
    <w:abstractNumId w:val="29"/>
  </w:num>
  <w:num w:numId="38">
    <w:abstractNumId w:val="38"/>
  </w:num>
  <w:num w:numId="39">
    <w:abstractNumId w:val="7"/>
  </w:num>
  <w:num w:numId="40">
    <w:abstractNumId w:val="14"/>
  </w:num>
  <w:num w:numId="41">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485"/>
    <w:rsid w:val="00000792"/>
    <w:rsid w:val="00000F04"/>
    <w:rsid w:val="000027AF"/>
    <w:rsid w:val="00002C09"/>
    <w:rsid w:val="0000383E"/>
    <w:rsid w:val="00003C4F"/>
    <w:rsid w:val="00004AB0"/>
    <w:rsid w:val="00004C78"/>
    <w:rsid w:val="00004E0A"/>
    <w:rsid w:val="00004FD3"/>
    <w:rsid w:val="000058B3"/>
    <w:rsid w:val="00006DF5"/>
    <w:rsid w:val="00006F95"/>
    <w:rsid w:val="00007023"/>
    <w:rsid w:val="0000709F"/>
    <w:rsid w:val="000071D6"/>
    <w:rsid w:val="00007F2D"/>
    <w:rsid w:val="00007FAC"/>
    <w:rsid w:val="00010A9C"/>
    <w:rsid w:val="00010ABA"/>
    <w:rsid w:val="00010E15"/>
    <w:rsid w:val="00010F57"/>
    <w:rsid w:val="0001100C"/>
    <w:rsid w:val="000110CC"/>
    <w:rsid w:val="00011188"/>
    <w:rsid w:val="00012555"/>
    <w:rsid w:val="00014236"/>
    <w:rsid w:val="000148F6"/>
    <w:rsid w:val="00015217"/>
    <w:rsid w:val="000159D2"/>
    <w:rsid w:val="00016264"/>
    <w:rsid w:val="000167E5"/>
    <w:rsid w:val="00016993"/>
    <w:rsid w:val="00016CAB"/>
    <w:rsid w:val="00016E5B"/>
    <w:rsid w:val="0001749B"/>
    <w:rsid w:val="00017D75"/>
    <w:rsid w:val="00017FE5"/>
    <w:rsid w:val="00021048"/>
    <w:rsid w:val="0002112A"/>
    <w:rsid w:val="00021910"/>
    <w:rsid w:val="0002242D"/>
    <w:rsid w:val="00022E8D"/>
    <w:rsid w:val="0002348A"/>
    <w:rsid w:val="00023BDA"/>
    <w:rsid w:val="00024708"/>
    <w:rsid w:val="00024EE7"/>
    <w:rsid w:val="00025F96"/>
    <w:rsid w:val="00025FAB"/>
    <w:rsid w:val="000269AB"/>
    <w:rsid w:val="00026E89"/>
    <w:rsid w:val="000271E2"/>
    <w:rsid w:val="000275A3"/>
    <w:rsid w:val="00030558"/>
    <w:rsid w:val="00030699"/>
    <w:rsid w:val="00030725"/>
    <w:rsid w:val="00030DB8"/>
    <w:rsid w:val="00031A83"/>
    <w:rsid w:val="0003213A"/>
    <w:rsid w:val="00032A81"/>
    <w:rsid w:val="000340D8"/>
    <w:rsid w:val="0003427D"/>
    <w:rsid w:val="00034DFA"/>
    <w:rsid w:val="00035728"/>
    <w:rsid w:val="000357ED"/>
    <w:rsid w:val="00035E15"/>
    <w:rsid w:val="00035FAB"/>
    <w:rsid w:val="0003640E"/>
    <w:rsid w:val="0003688A"/>
    <w:rsid w:val="000368FC"/>
    <w:rsid w:val="00036DA3"/>
    <w:rsid w:val="000379BF"/>
    <w:rsid w:val="00037BEC"/>
    <w:rsid w:val="000400D9"/>
    <w:rsid w:val="0004035C"/>
    <w:rsid w:val="00040418"/>
    <w:rsid w:val="00040860"/>
    <w:rsid w:val="00040CED"/>
    <w:rsid w:val="00040EA1"/>
    <w:rsid w:val="0004202C"/>
    <w:rsid w:val="0004205F"/>
    <w:rsid w:val="000423C6"/>
    <w:rsid w:val="00042EDB"/>
    <w:rsid w:val="00043782"/>
    <w:rsid w:val="00044A50"/>
    <w:rsid w:val="00044C65"/>
    <w:rsid w:val="000458C7"/>
    <w:rsid w:val="00045991"/>
    <w:rsid w:val="00045E5C"/>
    <w:rsid w:val="00046288"/>
    <w:rsid w:val="0004774F"/>
    <w:rsid w:val="00047941"/>
    <w:rsid w:val="000479B4"/>
    <w:rsid w:val="00050A22"/>
    <w:rsid w:val="00050E27"/>
    <w:rsid w:val="0005144F"/>
    <w:rsid w:val="00051AF1"/>
    <w:rsid w:val="00051D42"/>
    <w:rsid w:val="000538A1"/>
    <w:rsid w:val="00053BA9"/>
    <w:rsid w:val="00055375"/>
    <w:rsid w:val="00056319"/>
    <w:rsid w:val="00056436"/>
    <w:rsid w:val="000564E7"/>
    <w:rsid w:val="00056746"/>
    <w:rsid w:val="00056770"/>
    <w:rsid w:val="00057386"/>
    <w:rsid w:val="00057C2D"/>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085F"/>
    <w:rsid w:val="0008145A"/>
    <w:rsid w:val="0008162D"/>
    <w:rsid w:val="000820F6"/>
    <w:rsid w:val="000831C8"/>
    <w:rsid w:val="00083F5E"/>
    <w:rsid w:val="00084FDB"/>
    <w:rsid w:val="0008505C"/>
    <w:rsid w:val="00085C46"/>
    <w:rsid w:val="0008686A"/>
    <w:rsid w:val="00087175"/>
    <w:rsid w:val="00087D35"/>
    <w:rsid w:val="00091796"/>
    <w:rsid w:val="00091BA2"/>
    <w:rsid w:val="00091CB0"/>
    <w:rsid w:val="00092215"/>
    <w:rsid w:val="00093D85"/>
    <w:rsid w:val="00094344"/>
    <w:rsid w:val="00094CA2"/>
    <w:rsid w:val="000953C6"/>
    <w:rsid w:val="000953F4"/>
    <w:rsid w:val="0009590C"/>
    <w:rsid w:val="000959E7"/>
    <w:rsid w:val="00095CCE"/>
    <w:rsid w:val="00095E7D"/>
    <w:rsid w:val="000964DE"/>
    <w:rsid w:val="000972AB"/>
    <w:rsid w:val="00097B40"/>
    <w:rsid w:val="00097D0E"/>
    <w:rsid w:val="000A17EA"/>
    <w:rsid w:val="000A1C7A"/>
    <w:rsid w:val="000A226C"/>
    <w:rsid w:val="000A2345"/>
    <w:rsid w:val="000A2394"/>
    <w:rsid w:val="000A31C1"/>
    <w:rsid w:val="000A32C5"/>
    <w:rsid w:val="000A3411"/>
    <w:rsid w:val="000A34CA"/>
    <w:rsid w:val="000A426F"/>
    <w:rsid w:val="000A4559"/>
    <w:rsid w:val="000A45FD"/>
    <w:rsid w:val="000A477B"/>
    <w:rsid w:val="000A4E4B"/>
    <w:rsid w:val="000A558D"/>
    <w:rsid w:val="000A5611"/>
    <w:rsid w:val="000A563C"/>
    <w:rsid w:val="000A59C5"/>
    <w:rsid w:val="000A5AE8"/>
    <w:rsid w:val="000A5DEA"/>
    <w:rsid w:val="000A5EBD"/>
    <w:rsid w:val="000A7658"/>
    <w:rsid w:val="000A7C80"/>
    <w:rsid w:val="000A7F0F"/>
    <w:rsid w:val="000A7F4C"/>
    <w:rsid w:val="000B02BC"/>
    <w:rsid w:val="000B0498"/>
    <w:rsid w:val="000B0ED8"/>
    <w:rsid w:val="000B0F36"/>
    <w:rsid w:val="000B1942"/>
    <w:rsid w:val="000B1A4E"/>
    <w:rsid w:val="000B1BED"/>
    <w:rsid w:val="000B2146"/>
    <w:rsid w:val="000B2240"/>
    <w:rsid w:val="000B2477"/>
    <w:rsid w:val="000B2600"/>
    <w:rsid w:val="000B31F5"/>
    <w:rsid w:val="000B36F9"/>
    <w:rsid w:val="000B4074"/>
    <w:rsid w:val="000B4732"/>
    <w:rsid w:val="000B4BCD"/>
    <w:rsid w:val="000B6231"/>
    <w:rsid w:val="000B66DC"/>
    <w:rsid w:val="000B6D1F"/>
    <w:rsid w:val="000B6DAD"/>
    <w:rsid w:val="000C062F"/>
    <w:rsid w:val="000C17E7"/>
    <w:rsid w:val="000C3270"/>
    <w:rsid w:val="000C46DD"/>
    <w:rsid w:val="000C577E"/>
    <w:rsid w:val="000C58F6"/>
    <w:rsid w:val="000C7BA1"/>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CF"/>
    <w:rsid w:val="000D5FD6"/>
    <w:rsid w:val="000D6201"/>
    <w:rsid w:val="000D6488"/>
    <w:rsid w:val="000D6927"/>
    <w:rsid w:val="000D6DB4"/>
    <w:rsid w:val="000D7088"/>
    <w:rsid w:val="000D770B"/>
    <w:rsid w:val="000D788E"/>
    <w:rsid w:val="000D7A89"/>
    <w:rsid w:val="000E0B09"/>
    <w:rsid w:val="000E12B0"/>
    <w:rsid w:val="000E1BC8"/>
    <w:rsid w:val="000E1D32"/>
    <w:rsid w:val="000E26D8"/>
    <w:rsid w:val="000E2B94"/>
    <w:rsid w:val="000E2E96"/>
    <w:rsid w:val="000E3156"/>
    <w:rsid w:val="000E35B6"/>
    <w:rsid w:val="000E3BB8"/>
    <w:rsid w:val="000E3D9B"/>
    <w:rsid w:val="000E3DFD"/>
    <w:rsid w:val="000E4261"/>
    <w:rsid w:val="000E43C2"/>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4D"/>
    <w:rsid w:val="000F1FFF"/>
    <w:rsid w:val="000F20AA"/>
    <w:rsid w:val="000F2651"/>
    <w:rsid w:val="000F348D"/>
    <w:rsid w:val="000F369A"/>
    <w:rsid w:val="000F4463"/>
    <w:rsid w:val="000F5285"/>
    <w:rsid w:val="000F52E0"/>
    <w:rsid w:val="000F53A9"/>
    <w:rsid w:val="000F6464"/>
    <w:rsid w:val="000F6628"/>
    <w:rsid w:val="000F6C25"/>
    <w:rsid w:val="000F7464"/>
    <w:rsid w:val="000F76EB"/>
    <w:rsid w:val="000F78AE"/>
    <w:rsid w:val="000F7E25"/>
    <w:rsid w:val="001007EE"/>
    <w:rsid w:val="00100F76"/>
    <w:rsid w:val="0010148E"/>
    <w:rsid w:val="00101A79"/>
    <w:rsid w:val="0010253C"/>
    <w:rsid w:val="00102BD1"/>
    <w:rsid w:val="00103FDB"/>
    <w:rsid w:val="0010486A"/>
    <w:rsid w:val="0010561C"/>
    <w:rsid w:val="00105C0F"/>
    <w:rsid w:val="00105E39"/>
    <w:rsid w:val="00106561"/>
    <w:rsid w:val="00106D63"/>
    <w:rsid w:val="001075F3"/>
    <w:rsid w:val="00107A01"/>
    <w:rsid w:val="00107C23"/>
    <w:rsid w:val="00107C87"/>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3A"/>
    <w:rsid w:val="001172B2"/>
    <w:rsid w:val="00117F9B"/>
    <w:rsid w:val="00121211"/>
    <w:rsid w:val="00121628"/>
    <w:rsid w:val="0012167D"/>
    <w:rsid w:val="00122189"/>
    <w:rsid w:val="00122280"/>
    <w:rsid w:val="001224D5"/>
    <w:rsid w:val="00122D42"/>
    <w:rsid w:val="00122E4B"/>
    <w:rsid w:val="00123345"/>
    <w:rsid w:val="00123AAE"/>
    <w:rsid w:val="00123C46"/>
    <w:rsid w:val="0012453F"/>
    <w:rsid w:val="0012470B"/>
    <w:rsid w:val="00125C75"/>
    <w:rsid w:val="00125C7E"/>
    <w:rsid w:val="00127945"/>
    <w:rsid w:val="00127D94"/>
    <w:rsid w:val="00127E90"/>
    <w:rsid w:val="001302BA"/>
    <w:rsid w:val="001302C1"/>
    <w:rsid w:val="001302D6"/>
    <w:rsid w:val="001306D3"/>
    <w:rsid w:val="001310BF"/>
    <w:rsid w:val="00133E73"/>
    <w:rsid w:val="00133FDB"/>
    <w:rsid w:val="00134F4A"/>
    <w:rsid w:val="0013588B"/>
    <w:rsid w:val="00135E4E"/>
    <w:rsid w:val="00136246"/>
    <w:rsid w:val="001364D4"/>
    <w:rsid w:val="001371C8"/>
    <w:rsid w:val="001372ED"/>
    <w:rsid w:val="00141A62"/>
    <w:rsid w:val="00142B50"/>
    <w:rsid w:val="00143873"/>
    <w:rsid w:val="001439E9"/>
    <w:rsid w:val="00143C55"/>
    <w:rsid w:val="00143E96"/>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5E43"/>
    <w:rsid w:val="001565A2"/>
    <w:rsid w:val="001567C3"/>
    <w:rsid w:val="00156A12"/>
    <w:rsid w:val="00157800"/>
    <w:rsid w:val="00157B3F"/>
    <w:rsid w:val="00157F8A"/>
    <w:rsid w:val="00160C3D"/>
    <w:rsid w:val="00161B24"/>
    <w:rsid w:val="00161C41"/>
    <w:rsid w:val="00161DD5"/>
    <w:rsid w:val="001633A4"/>
    <w:rsid w:val="001634D6"/>
    <w:rsid w:val="00164009"/>
    <w:rsid w:val="001648DD"/>
    <w:rsid w:val="00165705"/>
    <w:rsid w:val="00165A36"/>
    <w:rsid w:val="00166085"/>
    <w:rsid w:val="00166389"/>
    <w:rsid w:val="00166E03"/>
    <w:rsid w:val="00167E4C"/>
    <w:rsid w:val="001703CC"/>
    <w:rsid w:val="00170D70"/>
    <w:rsid w:val="00171449"/>
    <w:rsid w:val="0017199C"/>
    <w:rsid w:val="00171C7E"/>
    <w:rsid w:val="00171F35"/>
    <w:rsid w:val="0017219A"/>
    <w:rsid w:val="00172552"/>
    <w:rsid w:val="00172839"/>
    <w:rsid w:val="00172873"/>
    <w:rsid w:val="00172CF7"/>
    <w:rsid w:val="00172E06"/>
    <w:rsid w:val="00172E82"/>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3F7A"/>
    <w:rsid w:val="001842C8"/>
    <w:rsid w:val="00185044"/>
    <w:rsid w:val="001850DB"/>
    <w:rsid w:val="0018599C"/>
    <w:rsid w:val="001869EE"/>
    <w:rsid w:val="00186D00"/>
    <w:rsid w:val="0018743A"/>
    <w:rsid w:val="00190A57"/>
    <w:rsid w:val="00190A63"/>
    <w:rsid w:val="00190B3F"/>
    <w:rsid w:val="0019122C"/>
    <w:rsid w:val="00191436"/>
    <w:rsid w:val="00191908"/>
    <w:rsid w:val="00192DF3"/>
    <w:rsid w:val="00192E64"/>
    <w:rsid w:val="0019301F"/>
    <w:rsid w:val="00193286"/>
    <w:rsid w:val="001937B8"/>
    <w:rsid w:val="00194BB7"/>
    <w:rsid w:val="00194CC5"/>
    <w:rsid w:val="001951B2"/>
    <w:rsid w:val="0019565D"/>
    <w:rsid w:val="0019583F"/>
    <w:rsid w:val="00197217"/>
    <w:rsid w:val="00197564"/>
    <w:rsid w:val="00197EC2"/>
    <w:rsid w:val="00197ECE"/>
    <w:rsid w:val="001A14D5"/>
    <w:rsid w:val="001A1CED"/>
    <w:rsid w:val="001A2227"/>
    <w:rsid w:val="001A279B"/>
    <w:rsid w:val="001A2DC3"/>
    <w:rsid w:val="001A2E87"/>
    <w:rsid w:val="001A3869"/>
    <w:rsid w:val="001A38C2"/>
    <w:rsid w:val="001A6060"/>
    <w:rsid w:val="001A65C8"/>
    <w:rsid w:val="001A732E"/>
    <w:rsid w:val="001A7D13"/>
    <w:rsid w:val="001A7F30"/>
    <w:rsid w:val="001B06E2"/>
    <w:rsid w:val="001B103A"/>
    <w:rsid w:val="001B103D"/>
    <w:rsid w:val="001B1513"/>
    <w:rsid w:val="001B1767"/>
    <w:rsid w:val="001B2453"/>
    <w:rsid w:val="001B26EF"/>
    <w:rsid w:val="001B3BDE"/>
    <w:rsid w:val="001B3D48"/>
    <w:rsid w:val="001B4E59"/>
    <w:rsid w:val="001B5AF9"/>
    <w:rsid w:val="001B6600"/>
    <w:rsid w:val="001B6B9B"/>
    <w:rsid w:val="001B6C27"/>
    <w:rsid w:val="001B7144"/>
    <w:rsid w:val="001B7E91"/>
    <w:rsid w:val="001B7EA9"/>
    <w:rsid w:val="001C147E"/>
    <w:rsid w:val="001C151B"/>
    <w:rsid w:val="001C19E5"/>
    <w:rsid w:val="001C1CD1"/>
    <w:rsid w:val="001C3800"/>
    <w:rsid w:val="001C3C7B"/>
    <w:rsid w:val="001C6122"/>
    <w:rsid w:val="001C6587"/>
    <w:rsid w:val="001C65B5"/>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5CED"/>
    <w:rsid w:val="001E6E8D"/>
    <w:rsid w:val="001E7EE4"/>
    <w:rsid w:val="001E7F76"/>
    <w:rsid w:val="001F0FAF"/>
    <w:rsid w:val="001F139F"/>
    <w:rsid w:val="001F2805"/>
    <w:rsid w:val="001F2E79"/>
    <w:rsid w:val="001F2F07"/>
    <w:rsid w:val="001F3123"/>
    <w:rsid w:val="001F320A"/>
    <w:rsid w:val="001F376D"/>
    <w:rsid w:val="001F418C"/>
    <w:rsid w:val="001F4B2D"/>
    <w:rsid w:val="001F4B5F"/>
    <w:rsid w:val="001F4F40"/>
    <w:rsid w:val="001F50E0"/>
    <w:rsid w:val="001F594C"/>
    <w:rsid w:val="001F5F08"/>
    <w:rsid w:val="001F69FC"/>
    <w:rsid w:val="001F6D62"/>
    <w:rsid w:val="001F7675"/>
    <w:rsid w:val="00200FAE"/>
    <w:rsid w:val="0020102D"/>
    <w:rsid w:val="002010E2"/>
    <w:rsid w:val="00201B73"/>
    <w:rsid w:val="00201CAE"/>
    <w:rsid w:val="00202517"/>
    <w:rsid w:val="00202ADB"/>
    <w:rsid w:val="00202BB7"/>
    <w:rsid w:val="00204162"/>
    <w:rsid w:val="0020435B"/>
    <w:rsid w:val="00204533"/>
    <w:rsid w:val="00204F2D"/>
    <w:rsid w:val="00205566"/>
    <w:rsid w:val="002063AA"/>
    <w:rsid w:val="0020697D"/>
    <w:rsid w:val="00210549"/>
    <w:rsid w:val="0021069E"/>
    <w:rsid w:val="00210804"/>
    <w:rsid w:val="0021088F"/>
    <w:rsid w:val="002108ED"/>
    <w:rsid w:val="00210941"/>
    <w:rsid w:val="002113FE"/>
    <w:rsid w:val="00211737"/>
    <w:rsid w:val="0021181B"/>
    <w:rsid w:val="0021230F"/>
    <w:rsid w:val="002125B0"/>
    <w:rsid w:val="002125F6"/>
    <w:rsid w:val="00212A82"/>
    <w:rsid w:val="0021340F"/>
    <w:rsid w:val="00213441"/>
    <w:rsid w:val="00214EA2"/>
    <w:rsid w:val="002160FA"/>
    <w:rsid w:val="00216507"/>
    <w:rsid w:val="002166DD"/>
    <w:rsid w:val="002168A2"/>
    <w:rsid w:val="002170D6"/>
    <w:rsid w:val="00217867"/>
    <w:rsid w:val="002205E4"/>
    <w:rsid w:val="00220D67"/>
    <w:rsid w:val="002215F8"/>
    <w:rsid w:val="00221CBB"/>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4DF8"/>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0709"/>
    <w:rsid w:val="002517A8"/>
    <w:rsid w:val="00251EEE"/>
    <w:rsid w:val="00252018"/>
    <w:rsid w:val="00253177"/>
    <w:rsid w:val="002538B8"/>
    <w:rsid w:val="0025396F"/>
    <w:rsid w:val="00254319"/>
    <w:rsid w:val="0025539F"/>
    <w:rsid w:val="00256388"/>
    <w:rsid w:val="00256E44"/>
    <w:rsid w:val="00257E0D"/>
    <w:rsid w:val="00260919"/>
    <w:rsid w:val="002612FD"/>
    <w:rsid w:val="002613DC"/>
    <w:rsid w:val="00261717"/>
    <w:rsid w:val="0026174A"/>
    <w:rsid w:val="00261755"/>
    <w:rsid w:val="00261AAA"/>
    <w:rsid w:val="00262097"/>
    <w:rsid w:val="00262D20"/>
    <w:rsid w:val="002634AB"/>
    <w:rsid w:val="00263696"/>
    <w:rsid w:val="002638E0"/>
    <w:rsid w:val="00263C19"/>
    <w:rsid w:val="00263E9F"/>
    <w:rsid w:val="00264F03"/>
    <w:rsid w:val="00264F8F"/>
    <w:rsid w:val="002655AE"/>
    <w:rsid w:val="0026591F"/>
    <w:rsid w:val="00265A65"/>
    <w:rsid w:val="002660F0"/>
    <w:rsid w:val="002675B6"/>
    <w:rsid w:val="00267A99"/>
    <w:rsid w:val="00270271"/>
    <w:rsid w:val="00271740"/>
    <w:rsid w:val="00272174"/>
    <w:rsid w:val="002721A6"/>
    <w:rsid w:val="002722E0"/>
    <w:rsid w:val="002730EC"/>
    <w:rsid w:val="00273100"/>
    <w:rsid w:val="002735CC"/>
    <w:rsid w:val="00273809"/>
    <w:rsid w:val="00274588"/>
    <w:rsid w:val="00274A67"/>
    <w:rsid w:val="00274AA2"/>
    <w:rsid w:val="002756EF"/>
    <w:rsid w:val="00275708"/>
    <w:rsid w:val="0027679A"/>
    <w:rsid w:val="002768CF"/>
    <w:rsid w:val="00276F82"/>
    <w:rsid w:val="002805DF"/>
    <w:rsid w:val="002808A9"/>
    <w:rsid w:val="0028092D"/>
    <w:rsid w:val="002815D9"/>
    <w:rsid w:val="00282317"/>
    <w:rsid w:val="00282D25"/>
    <w:rsid w:val="00282DF9"/>
    <w:rsid w:val="00283A44"/>
    <w:rsid w:val="0028529F"/>
    <w:rsid w:val="00285687"/>
    <w:rsid w:val="00287341"/>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03B"/>
    <w:rsid w:val="002A4478"/>
    <w:rsid w:val="002A45AA"/>
    <w:rsid w:val="002A4B0B"/>
    <w:rsid w:val="002A4B6F"/>
    <w:rsid w:val="002A4FFF"/>
    <w:rsid w:val="002A533C"/>
    <w:rsid w:val="002A56E1"/>
    <w:rsid w:val="002A59BD"/>
    <w:rsid w:val="002A75CA"/>
    <w:rsid w:val="002A7889"/>
    <w:rsid w:val="002A799A"/>
    <w:rsid w:val="002B097D"/>
    <w:rsid w:val="002B11B2"/>
    <w:rsid w:val="002B18F7"/>
    <w:rsid w:val="002B3CE6"/>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5A7F"/>
    <w:rsid w:val="002D621E"/>
    <w:rsid w:val="002D66DA"/>
    <w:rsid w:val="002D7027"/>
    <w:rsid w:val="002D70DC"/>
    <w:rsid w:val="002D758B"/>
    <w:rsid w:val="002D79BC"/>
    <w:rsid w:val="002D7E58"/>
    <w:rsid w:val="002E0D31"/>
    <w:rsid w:val="002E0EFA"/>
    <w:rsid w:val="002E1073"/>
    <w:rsid w:val="002E12EC"/>
    <w:rsid w:val="002E146D"/>
    <w:rsid w:val="002E1803"/>
    <w:rsid w:val="002E2493"/>
    <w:rsid w:val="002E272B"/>
    <w:rsid w:val="002E29F8"/>
    <w:rsid w:val="002E2C52"/>
    <w:rsid w:val="002E342B"/>
    <w:rsid w:val="002E3B81"/>
    <w:rsid w:val="002E3D08"/>
    <w:rsid w:val="002E3E1D"/>
    <w:rsid w:val="002E3EEA"/>
    <w:rsid w:val="002E4D08"/>
    <w:rsid w:val="002E4DA5"/>
    <w:rsid w:val="002E52B8"/>
    <w:rsid w:val="002E599D"/>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650"/>
    <w:rsid w:val="002F4C8E"/>
    <w:rsid w:val="002F5076"/>
    <w:rsid w:val="002F5839"/>
    <w:rsid w:val="002F64D9"/>
    <w:rsid w:val="002F651D"/>
    <w:rsid w:val="002F6648"/>
    <w:rsid w:val="002F6A80"/>
    <w:rsid w:val="002F6E44"/>
    <w:rsid w:val="002F6F7D"/>
    <w:rsid w:val="002F74FD"/>
    <w:rsid w:val="002F787B"/>
    <w:rsid w:val="002F7974"/>
    <w:rsid w:val="002F7D01"/>
    <w:rsid w:val="0030005C"/>
    <w:rsid w:val="00300369"/>
    <w:rsid w:val="00301D0A"/>
    <w:rsid w:val="003027B8"/>
    <w:rsid w:val="0030293F"/>
    <w:rsid w:val="00302947"/>
    <w:rsid w:val="00302C50"/>
    <w:rsid w:val="003031C2"/>
    <w:rsid w:val="00303861"/>
    <w:rsid w:val="00303D61"/>
    <w:rsid w:val="00304FFF"/>
    <w:rsid w:val="00305557"/>
    <w:rsid w:val="0030561F"/>
    <w:rsid w:val="00305CA3"/>
    <w:rsid w:val="00306E5C"/>
    <w:rsid w:val="00307C19"/>
    <w:rsid w:val="00310732"/>
    <w:rsid w:val="00310BC9"/>
    <w:rsid w:val="00311762"/>
    <w:rsid w:val="00311A85"/>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2576D"/>
    <w:rsid w:val="003269F5"/>
    <w:rsid w:val="00327B59"/>
    <w:rsid w:val="003314B6"/>
    <w:rsid w:val="00331A20"/>
    <w:rsid w:val="00331E65"/>
    <w:rsid w:val="00333107"/>
    <w:rsid w:val="0033343B"/>
    <w:rsid w:val="0033393C"/>
    <w:rsid w:val="00333AD6"/>
    <w:rsid w:val="003357EE"/>
    <w:rsid w:val="00336B39"/>
    <w:rsid w:val="0033709F"/>
    <w:rsid w:val="00337368"/>
    <w:rsid w:val="00337B4D"/>
    <w:rsid w:val="003407A9"/>
    <w:rsid w:val="00340BA3"/>
    <w:rsid w:val="00340BAF"/>
    <w:rsid w:val="00340C2B"/>
    <w:rsid w:val="00340F9A"/>
    <w:rsid w:val="00341018"/>
    <w:rsid w:val="003420D9"/>
    <w:rsid w:val="003423E0"/>
    <w:rsid w:val="0034301A"/>
    <w:rsid w:val="003432CA"/>
    <w:rsid w:val="003435FF"/>
    <w:rsid w:val="00343D76"/>
    <w:rsid w:val="00344DFD"/>
    <w:rsid w:val="003451D3"/>
    <w:rsid w:val="00346631"/>
    <w:rsid w:val="00346AAD"/>
    <w:rsid w:val="00346D96"/>
    <w:rsid w:val="0034736A"/>
    <w:rsid w:val="0034747C"/>
    <w:rsid w:val="00347B31"/>
    <w:rsid w:val="00347B6C"/>
    <w:rsid w:val="0035151C"/>
    <w:rsid w:val="00352254"/>
    <w:rsid w:val="003522A3"/>
    <w:rsid w:val="003534B5"/>
    <w:rsid w:val="00353929"/>
    <w:rsid w:val="00353F9E"/>
    <w:rsid w:val="003540D1"/>
    <w:rsid w:val="003545BF"/>
    <w:rsid w:val="0035586A"/>
    <w:rsid w:val="0035611A"/>
    <w:rsid w:val="00356C3D"/>
    <w:rsid w:val="003571D5"/>
    <w:rsid w:val="00360B75"/>
    <w:rsid w:val="00360F3E"/>
    <w:rsid w:val="0036151C"/>
    <w:rsid w:val="0036172A"/>
    <w:rsid w:val="00361A9B"/>
    <w:rsid w:val="00362CCF"/>
    <w:rsid w:val="003631DB"/>
    <w:rsid w:val="00364524"/>
    <w:rsid w:val="0036513A"/>
    <w:rsid w:val="00365237"/>
    <w:rsid w:val="0036559C"/>
    <w:rsid w:val="0036587E"/>
    <w:rsid w:val="003660CD"/>
    <w:rsid w:val="00366AC2"/>
    <w:rsid w:val="00366B08"/>
    <w:rsid w:val="00367496"/>
    <w:rsid w:val="0036751E"/>
    <w:rsid w:val="003678BE"/>
    <w:rsid w:val="003700F8"/>
    <w:rsid w:val="00370949"/>
    <w:rsid w:val="00371012"/>
    <w:rsid w:val="0037243B"/>
    <w:rsid w:val="0037251C"/>
    <w:rsid w:val="0037272C"/>
    <w:rsid w:val="00372B9A"/>
    <w:rsid w:val="003731BF"/>
    <w:rsid w:val="0037347C"/>
    <w:rsid w:val="00375287"/>
    <w:rsid w:val="00375791"/>
    <w:rsid w:val="00375826"/>
    <w:rsid w:val="00375994"/>
    <w:rsid w:val="00375C59"/>
    <w:rsid w:val="00375E05"/>
    <w:rsid w:val="00376026"/>
    <w:rsid w:val="00376BB7"/>
    <w:rsid w:val="00376EEE"/>
    <w:rsid w:val="00377BA1"/>
    <w:rsid w:val="00377FF0"/>
    <w:rsid w:val="00380616"/>
    <w:rsid w:val="00381022"/>
    <w:rsid w:val="003814B8"/>
    <w:rsid w:val="00382909"/>
    <w:rsid w:val="00382EE1"/>
    <w:rsid w:val="0038397E"/>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68AF"/>
    <w:rsid w:val="00397955"/>
    <w:rsid w:val="00397A28"/>
    <w:rsid w:val="00397E94"/>
    <w:rsid w:val="00397F05"/>
    <w:rsid w:val="003A0442"/>
    <w:rsid w:val="003A0899"/>
    <w:rsid w:val="003A1512"/>
    <w:rsid w:val="003A1EB7"/>
    <w:rsid w:val="003A208A"/>
    <w:rsid w:val="003A23F3"/>
    <w:rsid w:val="003A2B3F"/>
    <w:rsid w:val="003A2D82"/>
    <w:rsid w:val="003A3335"/>
    <w:rsid w:val="003A337C"/>
    <w:rsid w:val="003A36DA"/>
    <w:rsid w:val="003A38F1"/>
    <w:rsid w:val="003A3D1B"/>
    <w:rsid w:val="003A3F39"/>
    <w:rsid w:val="003A4296"/>
    <w:rsid w:val="003A4549"/>
    <w:rsid w:val="003A49B3"/>
    <w:rsid w:val="003A4A71"/>
    <w:rsid w:val="003A55B4"/>
    <w:rsid w:val="003A61B6"/>
    <w:rsid w:val="003A623F"/>
    <w:rsid w:val="003A70C6"/>
    <w:rsid w:val="003A71AD"/>
    <w:rsid w:val="003A78F4"/>
    <w:rsid w:val="003A7D1D"/>
    <w:rsid w:val="003B1688"/>
    <w:rsid w:val="003B1FA4"/>
    <w:rsid w:val="003B1FE6"/>
    <w:rsid w:val="003B3106"/>
    <w:rsid w:val="003B3974"/>
    <w:rsid w:val="003B39E0"/>
    <w:rsid w:val="003B3DAB"/>
    <w:rsid w:val="003B404D"/>
    <w:rsid w:val="003B4699"/>
    <w:rsid w:val="003B4B34"/>
    <w:rsid w:val="003B4CDA"/>
    <w:rsid w:val="003B4F2D"/>
    <w:rsid w:val="003B5BC8"/>
    <w:rsid w:val="003B5BD9"/>
    <w:rsid w:val="003B64A3"/>
    <w:rsid w:val="003B6DB8"/>
    <w:rsid w:val="003B72B9"/>
    <w:rsid w:val="003C0887"/>
    <w:rsid w:val="003C08AF"/>
    <w:rsid w:val="003C2EDD"/>
    <w:rsid w:val="003C3220"/>
    <w:rsid w:val="003C3485"/>
    <w:rsid w:val="003C3A47"/>
    <w:rsid w:val="003C3A79"/>
    <w:rsid w:val="003C3FB8"/>
    <w:rsid w:val="003C48F2"/>
    <w:rsid w:val="003C5177"/>
    <w:rsid w:val="003C52B0"/>
    <w:rsid w:val="003C54BE"/>
    <w:rsid w:val="003C5911"/>
    <w:rsid w:val="003C5CDB"/>
    <w:rsid w:val="003C6465"/>
    <w:rsid w:val="003C65E4"/>
    <w:rsid w:val="003C7712"/>
    <w:rsid w:val="003C7862"/>
    <w:rsid w:val="003C7ECD"/>
    <w:rsid w:val="003D007D"/>
    <w:rsid w:val="003D01A1"/>
    <w:rsid w:val="003D04D6"/>
    <w:rsid w:val="003D04F6"/>
    <w:rsid w:val="003D1131"/>
    <w:rsid w:val="003D1431"/>
    <w:rsid w:val="003D18CC"/>
    <w:rsid w:val="003D3583"/>
    <w:rsid w:val="003D391E"/>
    <w:rsid w:val="003D3B6F"/>
    <w:rsid w:val="003D40E8"/>
    <w:rsid w:val="003D455E"/>
    <w:rsid w:val="003D51A6"/>
    <w:rsid w:val="003D5785"/>
    <w:rsid w:val="003D5A2B"/>
    <w:rsid w:val="003D5A2D"/>
    <w:rsid w:val="003D5A9D"/>
    <w:rsid w:val="003D62C0"/>
    <w:rsid w:val="003D65F6"/>
    <w:rsid w:val="003D6911"/>
    <w:rsid w:val="003D7E4B"/>
    <w:rsid w:val="003D7E81"/>
    <w:rsid w:val="003E0035"/>
    <w:rsid w:val="003E01F5"/>
    <w:rsid w:val="003E0747"/>
    <w:rsid w:val="003E0C14"/>
    <w:rsid w:val="003E0D6F"/>
    <w:rsid w:val="003E1591"/>
    <w:rsid w:val="003E1ACF"/>
    <w:rsid w:val="003E216C"/>
    <w:rsid w:val="003E236E"/>
    <w:rsid w:val="003E259D"/>
    <w:rsid w:val="003E26BA"/>
    <w:rsid w:val="003E2906"/>
    <w:rsid w:val="003E2969"/>
    <w:rsid w:val="003E2B3F"/>
    <w:rsid w:val="003E2C1A"/>
    <w:rsid w:val="003E330F"/>
    <w:rsid w:val="003E3478"/>
    <w:rsid w:val="003E4E74"/>
    <w:rsid w:val="003E51E6"/>
    <w:rsid w:val="003E5F7D"/>
    <w:rsid w:val="003E6520"/>
    <w:rsid w:val="003E67E7"/>
    <w:rsid w:val="003E6B3C"/>
    <w:rsid w:val="003E6B95"/>
    <w:rsid w:val="003E70FF"/>
    <w:rsid w:val="003E7BFD"/>
    <w:rsid w:val="003E7F1B"/>
    <w:rsid w:val="003F0B41"/>
    <w:rsid w:val="003F1E39"/>
    <w:rsid w:val="003F229A"/>
    <w:rsid w:val="003F229D"/>
    <w:rsid w:val="003F25F0"/>
    <w:rsid w:val="003F2B7D"/>
    <w:rsid w:val="003F2D5B"/>
    <w:rsid w:val="003F4EB3"/>
    <w:rsid w:val="003F5AD2"/>
    <w:rsid w:val="003F5CA4"/>
    <w:rsid w:val="003F668B"/>
    <w:rsid w:val="003F6D50"/>
    <w:rsid w:val="003F7006"/>
    <w:rsid w:val="003F7507"/>
    <w:rsid w:val="003F7B99"/>
    <w:rsid w:val="003F7C72"/>
    <w:rsid w:val="003F7D10"/>
    <w:rsid w:val="00400186"/>
    <w:rsid w:val="00401000"/>
    <w:rsid w:val="00401348"/>
    <w:rsid w:val="004016C6"/>
    <w:rsid w:val="0040179A"/>
    <w:rsid w:val="00401856"/>
    <w:rsid w:val="004022C2"/>
    <w:rsid w:val="004023AA"/>
    <w:rsid w:val="004028A2"/>
    <w:rsid w:val="00402FEB"/>
    <w:rsid w:val="00403344"/>
    <w:rsid w:val="00403C82"/>
    <w:rsid w:val="00404C44"/>
    <w:rsid w:val="00404EE8"/>
    <w:rsid w:val="0040510D"/>
    <w:rsid w:val="0040512D"/>
    <w:rsid w:val="0040602F"/>
    <w:rsid w:val="00406AFB"/>
    <w:rsid w:val="00406CC5"/>
    <w:rsid w:val="00407382"/>
    <w:rsid w:val="0040791B"/>
    <w:rsid w:val="00410402"/>
    <w:rsid w:val="00411958"/>
    <w:rsid w:val="00411B2A"/>
    <w:rsid w:val="00412973"/>
    <w:rsid w:val="00412D42"/>
    <w:rsid w:val="00412DA4"/>
    <w:rsid w:val="00412EB6"/>
    <w:rsid w:val="00413478"/>
    <w:rsid w:val="0041351F"/>
    <w:rsid w:val="004137C8"/>
    <w:rsid w:val="00413BF9"/>
    <w:rsid w:val="00413C25"/>
    <w:rsid w:val="00414B61"/>
    <w:rsid w:val="00415531"/>
    <w:rsid w:val="00416330"/>
    <w:rsid w:val="00416CD7"/>
    <w:rsid w:val="004176C7"/>
    <w:rsid w:val="00417877"/>
    <w:rsid w:val="00417D9F"/>
    <w:rsid w:val="004200EC"/>
    <w:rsid w:val="00420229"/>
    <w:rsid w:val="00420DBA"/>
    <w:rsid w:val="00421311"/>
    <w:rsid w:val="00422E13"/>
    <w:rsid w:val="0042350F"/>
    <w:rsid w:val="00423599"/>
    <w:rsid w:val="0042384C"/>
    <w:rsid w:val="00423893"/>
    <w:rsid w:val="00423BC9"/>
    <w:rsid w:val="00423CF8"/>
    <w:rsid w:val="004255B4"/>
    <w:rsid w:val="00426766"/>
    <w:rsid w:val="004267D0"/>
    <w:rsid w:val="004271DD"/>
    <w:rsid w:val="004279CA"/>
    <w:rsid w:val="00427A82"/>
    <w:rsid w:val="00427EA2"/>
    <w:rsid w:val="00430115"/>
    <w:rsid w:val="00430A4B"/>
    <w:rsid w:val="00431BB1"/>
    <w:rsid w:val="00431C46"/>
    <w:rsid w:val="004327E6"/>
    <w:rsid w:val="004329DC"/>
    <w:rsid w:val="00432AC6"/>
    <w:rsid w:val="00434C5E"/>
    <w:rsid w:val="00435765"/>
    <w:rsid w:val="004360B6"/>
    <w:rsid w:val="004362E5"/>
    <w:rsid w:val="00436356"/>
    <w:rsid w:val="004376D5"/>
    <w:rsid w:val="00440722"/>
    <w:rsid w:val="004425D9"/>
    <w:rsid w:val="00443244"/>
    <w:rsid w:val="00443C86"/>
    <w:rsid w:val="00444AF6"/>
    <w:rsid w:val="0044519D"/>
    <w:rsid w:val="00445544"/>
    <w:rsid w:val="00445C0B"/>
    <w:rsid w:val="00446195"/>
    <w:rsid w:val="00447CD0"/>
    <w:rsid w:val="00447E42"/>
    <w:rsid w:val="00447FC2"/>
    <w:rsid w:val="004502F4"/>
    <w:rsid w:val="004506F4"/>
    <w:rsid w:val="004509D1"/>
    <w:rsid w:val="00450A42"/>
    <w:rsid w:val="00450D06"/>
    <w:rsid w:val="004513A5"/>
    <w:rsid w:val="00451D50"/>
    <w:rsid w:val="00452EC4"/>
    <w:rsid w:val="00453146"/>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60A"/>
    <w:rsid w:val="00466739"/>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21A"/>
    <w:rsid w:val="00481FD7"/>
    <w:rsid w:val="00482DE5"/>
    <w:rsid w:val="00483266"/>
    <w:rsid w:val="0048352E"/>
    <w:rsid w:val="004836A9"/>
    <w:rsid w:val="00483B23"/>
    <w:rsid w:val="004840D7"/>
    <w:rsid w:val="004846F4"/>
    <w:rsid w:val="00485C26"/>
    <w:rsid w:val="00485EC0"/>
    <w:rsid w:val="004875E1"/>
    <w:rsid w:val="00487B37"/>
    <w:rsid w:val="00490636"/>
    <w:rsid w:val="00490A20"/>
    <w:rsid w:val="00490FF0"/>
    <w:rsid w:val="004910FE"/>
    <w:rsid w:val="00491198"/>
    <w:rsid w:val="004917E0"/>
    <w:rsid w:val="00491BF6"/>
    <w:rsid w:val="00491FED"/>
    <w:rsid w:val="00492F82"/>
    <w:rsid w:val="004936B1"/>
    <w:rsid w:val="00493C39"/>
    <w:rsid w:val="004943C2"/>
    <w:rsid w:val="00494918"/>
    <w:rsid w:val="00494C65"/>
    <w:rsid w:val="00494F0C"/>
    <w:rsid w:val="00495557"/>
    <w:rsid w:val="0049618D"/>
    <w:rsid w:val="004965EF"/>
    <w:rsid w:val="0049719D"/>
    <w:rsid w:val="00497FCD"/>
    <w:rsid w:val="004A0388"/>
    <w:rsid w:val="004A0D1E"/>
    <w:rsid w:val="004A0E66"/>
    <w:rsid w:val="004A0EEC"/>
    <w:rsid w:val="004A130F"/>
    <w:rsid w:val="004A17A0"/>
    <w:rsid w:val="004A17EF"/>
    <w:rsid w:val="004A1A8B"/>
    <w:rsid w:val="004A1BDA"/>
    <w:rsid w:val="004A22DA"/>
    <w:rsid w:val="004A25A8"/>
    <w:rsid w:val="004A2700"/>
    <w:rsid w:val="004A36C8"/>
    <w:rsid w:val="004A3721"/>
    <w:rsid w:val="004A3742"/>
    <w:rsid w:val="004A37B8"/>
    <w:rsid w:val="004A3ED3"/>
    <w:rsid w:val="004A47BC"/>
    <w:rsid w:val="004A4AC6"/>
    <w:rsid w:val="004A4DDE"/>
    <w:rsid w:val="004B1199"/>
    <w:rsid w:val="004B16C4"/>
    <w:rsid w:val="004B1867"/>
    <w:rsid w:val="004B2A64"/>
    <w:rsid w:val="004B2C75"/>
    <w:rsid w:val="004B3F7C"/>
    <w:rsid w:val="004B41DA"/>
    <w:rsid w:val="004B470D"/>
    <w:rsid w:val="004B4764"/>
    <w:rsid w:val="004B4846"/>
    <w:rsid w:val="004B4FA9"/>
    <w:rsid w:val="004B5394"/>
    <w:rsid w:val="004B5A33"/>
    <w:rsid w:val="004B5BDD"/>
    <w:rsid w:val="004B6E9E"/>
    <w:rsid w:val="004B6F83"/>
    <w:rsid w:val="004B7C29"/>
    <w:rsid w:val="004C06E5"/>
    <w:rsid w:val="004C1B7D"/>
    <w:rsid w:val="004C1C61"/>
    <w:rsid w:val="004C1E3C"/>
    <w:rsid w:val="004C25F0"/>
    <w:rsid w:val="004C26DD"/>
    <w:rsid w:val="004C2B5D"/>
    <w:rsid w:val="004C2D68"/>
    <w:rsid w:val="004C2F56"/>
    <w:rsid w:val="004C339D"/>
    <w:rsid w:val="004C33E8"/>
    <w:rsid w:val="004C42CC"/>
    <w:rsid w:val="004C4307"/>
    <w:rsid w:val="004C4309"/>
    <w:rsid w:val="004C49E3"/>
    <w:rsid w:val="004C4E8A"/>
    <w:rsid w:val="004C514A"/>
    <w:rsid w:val="004C6572"/>
    <w:rsid w:val="004C6D4F"/>
    <w:rsid w:val="004C7541"/>
    <w:rsid w:val="004D1E71"/>
    <w:rsid w:val="004D2139"/>
    <w:rsid w:val="004D2441"/>
    <w:rsid w:val="004D2CDF"/>
    <w:rsid w:val="004D33CE"/>
    <w:rsid w:val="004D4AAE"/>
    <w:rsid w:val="004D56E9"/>
    <w:rsid w:val="004D6424"/>
    <w:rsid w:val="004D7C86"/>
    <w:rsid w:val="004E0197"/>
    <w:rsid w:val="004E1122"/>
    <w:rsid w:val="004E1409"/>
    <w:rsid w:val="004E1A87"/>
    <w:rsid w:val="004E1BB0"/>
    <w:rsid w:val="004E2839"/>
    <w:rsid w:val="004E3030"/>
    <w:rsid w:val="004E3311"/>
    <w:rsid w:val="004E38EC"/>
    <w:rsid w:val="004E3933"/>
    <w:rsid w:val="004E3B7A"/>
    <w:rsid w:val="004E4549"/>
    <w:rsid w:val="004E4C83"/>
    <w:rsid w:val="004E4D53"/>
    <w:rsid w:val="004E4D84"/>
    <w:rsid w:val="004E4EBC"/>
    <w:rsid w:val="004E5104"/>
    <w:rsid w:val="004E5B06"/>
    <w:rsid w:val="004E5FA8"/>
    <w:rsid w:val="004E640B"/>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3754"/>
    <w:rsid w:val="00505696"/>
    <w:rsid w:val="00506083"/>
    <w:rsid w:val="005068D6"/>
    <w:rsid w:val="00506B86"/>
    <w:rsid w:val="00506EEC"/>
    <w:rsid w:val="00506FD4"/>
    <w:rsid w:val="005107FF"/>
    <w:rsid w:val="00510CBC"/>
    <w:rsid w:val="0051102D"/>
    <w:rsid w:val="005112A5"/>
    <w:rsid w:val="00511F48"/>
    <w:rsid w:val="00512448"/>
    <w:rsid w:val="0051253A"/>
    <w:rsid w:val="0051266C"/>
    <w:rsid w:val="00513B72"/>
    <w:rsid w:val="00515277"/>
    <w:rsid w:val="00515684"/>
    <w:rsid w:val="005158C2"/>
    <w:rsid w:val="005169DE"/>
    <w:rsid w:val="0051754D"/>
    <w:rsid w:val="0051785D"/>
    <w:rsid w:val="00517913"/>
    <w:rsid w:val="0052005F"/>
    <w:rsid w:val="00520200"/>
    <w:rsid w:val="00520E2D"/>
    <w:rsid w:val="00520F04"/>
    <w:rsid w:val="00521717"/>
    <w:rsid w:val="0052177C"/>
    <w:rsid w:val="0052224E"/>
    <w:rsid w:val="005224B2"/>
    <w:rsid w:val="00523B23"/>
    <w:rsid w:val="00523DFA"/>
    <w:rsid w:val="005254BC"/>
    <w:rsid w:val="005256FC"/>
    <w:rsid w:val="005261C9"/>
    <w:rsid w:val="00526C27"/>
    <w:rsid w:val="00526DFF"/>
    <w:rsid w:val="00527168"/>
    <w:rsid w:val="00527473"/>
    <w:rsid w:val="00527EF9"/>
    <w:rsid w:val="005305FF"/>
    <w:rsid w:val="00530C9B"/>
    <w:rsid w:val="00532158"/>
    <w:rsid w:val="00532334"/>
    <w:rsid w:val="005324AF"/>
    <w:rsid w:val="00532605"/>
    <w:rsid w:val="0053402C"/>
    <w:rsid w:val="00534090"/>
    <w:rsid w:val="00534ABA"/>
    <w:rsid w:val="0053595E"/>
    <w:rsid w:val="00535FFF"/>
    <w:rsid w:val="0053616F"/>
    <w:rsid w:val="005368AD"/>
    <w:rsid w:val="005370BC"/>
    <w:rsid w:val="00537B35"/>
    <w:rsid w:val="00537CD7"/>
    <w:rsid w:val="00537DE7"/>
    <w:rsid w:val="00537EC4"/>
    <w:rsid w:val="00537FE4"/>
    <w:rsid w:val="0054027D"/>
    <w:rsid w:val="00541222"/>
    <w:rsid w:val="00541A8D"/>
    <w:rsid w:val="005438BC"/>
    <w:rsid w:val="00544DA0"/>
    <w:rsid w:val="005454BD"/>
    <w:rsid w:val="005457E4"/>
    <w:rsid w:val="00546618"/>
    <w:rsid w:val="00546C49"/>
    <w:rsid w:val="00546D01"/>
    <w:rsid w:val="0054706C"/>
    <w:rsid w:val="0055010B"/>
    <w:rsid w:val="00550D59"/>
    <w:rsid w:val="0055110D"/>
    <w:rsid w:val="00551F81"/>
    <w:rsid w:val="0055210F"/>
    <w:rsid w:val="00552CD7"/>
    <w:rsid w:val="00552EAF"/>
    <w:rsid w:val="005532C3"/>
    <w:rsid w:val="005533BE"/>
    <w:rsid w:val="00554B30"/>
    <w:rsid w:val="00554FFB"/>
    <w:rsid w:val="005568DE"/>
    <w:rsid w:val="00557C50"/>
    <w:rsid w:val="005606B6"/>
    <w:rsid w:val="005608D6"/>
    <w:rsid w:val="00560F19"/>
    <w:rsid w:val="0056198A"/>
    <w:rsid w:val="00561DFB"/>
    <w:rsid w:val="00561E6B"/>
    <w:rsid w:val="005621D2"/>
    <w:rsid w:val="005621E0"/>
    <w:rsid w:val="00562D90"/>
    <w:rsid w:val="00563121"/>
    <w:rsid w:val="00563A23"/>
    <w:rsid w:val="00563A5A"/>
    <w:rsid w:val="00563C61"/>
    <w:rsid w:val="00563ECB"/>
    <w:rsid w:val="00563F47"/>
    <w:rsid w:val="005640BB"/>
    <w:rsid w:val="00564C23"/>
    <w:rsid w:val="00565406"/>
    <w:rsid w:val="00565570"/>
    <w:rsid w:val="005657DD"/>
    <w:rsid w:val="00565B29"/>
    <w:rsid w:val="00565BF3"/>
    <w:rsid w:val="005664CC"/>
    <w:rsid w:val="0056664B"/>
    <w:rsid w:val="00566E15"/>
    <w:rsid w:val="00567588"/>
    <w:rsid w:val="00567992"/>
    <w:rsid w:val="00567C3C"/>
    <w:rsid w:val="005702F8"/>
    <w:rsid w:val="00571231"/>
    <w:rsid w:val="0057151B"/>
    <w:rsid w:val="00571767"/>
    <w:rsid w:val="00571E44"/>
    <w:rsid w:val="00573E61"/>
    <w:rsid w:val="0057411B"/>
    <w:rsid w:val="00574525"/>
    <w:rsid w:val="00574778"/>
    <w:rsid w:val="005748A1"/>
    <w:rsid w:val="0057498F"/>
    <w:rsid w:val="00574DE9"/>
    <w:rsid w:val="00575DF4"/>
    <w:rsid w:val="0057765D"/>
    <w:rsid w:val="005777FC"/>
    <w:rsid w:val="005808EB"/>
    <w:rsid w:val="00580D37"/>
    <w:rsid w:val="00581FA0"/>
    <w:rsid w:val="00582B90"/>
    <w:rsid w:val="005831A7"/>
    <w:rsid w:val="00583321"/>
    <w:rsid w:val="0058341E"/>
    <w:rsid w:val="00583E5D"/>
    <w:rsid w:val="00583F4E"/>
    <w:rsid w:val="0058473F"/>
    <w:rsid w:val="00584F3A"/>
    <w:rsid w:val="005853AB"/>
    <w:rsid w:val="00585748"/>
    <w:rsid w:val="005859C5"/>
    <w:rsid w:val="00585C79"/>
    <w:rsid w:val="00586144"/>
    <w:rsid w:val="00587785"/>
    <w:rsid w:val="0058788D"/>
    <w:rsid w:val="005878B5"/>
    <w:rsid w:val="00587E29"/>
    <w:rsid w:val="00587FE6"/>
    <w:rsid w:val="00591698"/>
    <w:rsid w:val="00593B87"/>
    <w:rsid w:val="00593C1C"/>
    <w:rsid w:val="00593E94"/>
    <w:rsid w:val="00594143"/>
    <w:rsid w:val="005943FE"/>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2DBF"/>
    <w:rsid w:val="005B3737"/>
    <w:rsid w:val="005B3A42"/>
    <w:rsid w:val="005B498A"/>
    <w:rsid w:val="005B4D88"/>
    <w:rsid w:val="005B5D40"/>
    <w:rsid w:val="005B5E88"/>
    <w:rsid w:val="005B5EFC"/>
    <w:rsid w:val="005B6412"/>
    <w:rsid w:val="005B6698"/>
    <w:rsid w:val="005B68A7"/>
    <w:rsid w:val="005B6AC3"/>
    <w:rsid w:val="005C055E"/>
    <w:rsid w:val="005C0FA1"/>
    <w:rsid w:val="005C117A"/>
    <w:rsid w:val="005C1615"/>
    <w:rsid w:val="005C1D98"/>
    <w:rsid w:val="005C1DA5"/>
    <w:rsid w:val="005C2559"/>
    <w:rsid w:val="005C2873"/>
    <w:rsid w:val="005C34FC"/>
    <w:rsid w:val="005C3B5C"/>
    <w:rsid w:val="005C3C7F"/>
    <w:rsid w:val="005C5143"/>
    <w:rsid w:val="005C5639"/>
    <w:rsid w:val="005C5742"/>
    <w:rsid w:val="005C760E"/>
    <w:rsid w:val="005C7E9E"/>
    <w:rsid w:val="005D05BD"/>
    <w:rsid w:val="005D18C9"/>
    <w:rsid w:val="005D1B72"/>
    <w:rsid w:val="005D2471"/>
    <w:rsid w:val="005D25A3"/>
    <w:rsid w:val="005D2779"/>
    <w:rsid w:val="005D3242"/>
    <w:rsid w:val="005D34D6"/>
    <w:rsid w:val="005D4B74"/>
    <w:rsid w:val="005D610C"/>
    <w:rsid w:val="005D63EA"/>
    <w:rsid w:val="005D74E7"/>
    <w:rsid w:val="005D7F7B"/>
    <w:rsid w:val="005E3714"/>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6CA6"/>
    <w:rsid w:val="005F77B5"/>
    <w:rsid w:val="005F79AA"/>
    <w:rsid w:val="0060044B"/>
    <w:rsid w:val="00600C71"/>
    <w:rsid w:val="006013D7"/>
    <w:rsid w:val="006014DB"/>
    <w:rsid w:val="00601587"/>
    <w:rsid w:val="00601648"/>
    <w:rsid w:val="00602079"/>
    <w:rsid w:val="006022F3"/>
    <w:rsid w:val="00602579"/>
    <w:rsid w:val="00602BA4"/>
    <w:rsid w:val="00602DA2"/>
    <w:rsid w:val="00602FF4"/>
    <w:rsid w:val="00603228"/>
    <w:rsid w:val="00604ACD"/>
    <w:rsid w:val="00604C15"/>
    <w:rsid w:val="00604DC2"/>
    <w:rsid w:val="006060C4"/>
    <w:rsid w:val="00606121"/>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17310"/>
    <w:rsid w:val="00620309"/>
    <w:rsid w:val="00620BA0"/>
    <w:rsid w:val="0062159D"/>
    <w:rsid w:val="00621680"/>
    <w:rsid w:val="00621EC5"/>
    <w:rsid w:val="006223E0"/>
    <w:rsid w:val="006224D0"/>
    <w:rsid w:val="00622BCE"/>
    <w:rsid w:val="00622E29"/>
    <w:rsid w:val="00623643"/>
    <w:rsid w:val="00624018"/>
    <w:rsid w:val="006240C4"/>
    <w:rsid w:val="00625304"/>
    <w:rsid w:val="0062581B"/>
    <w:rsid w:val="006261F4"/>
    <w:rsid w:val="006276F0"/>
    <w:rsid w:val="0063007D"/>
    <w:rsid w:val="0063164E"/>
    <w:rsid w:val="0063191D"/>
    <w:rsid w:val="00633488"/>
    <w:rsid w:val="00633581"/>
    <w:rsid w:val="006339AF"/>
    <w:rsid w:val="00633C47"/>
    <w:rsid w:val="006348F7"/>
    <w:rsid w:val="0063512D"/>
    <w:rsid w:val="006358FB"/>
    <w:rsid w:val="00635AE2"/>
    <w:rsid w:val="00635E1E"/>
    <w:rsid w:val="006363E6"/>
    <w:rsid w:val="0063677C"/>
    <w:rsid w:val="00636972"/>
    <w:rsid w:val="00636B69"/>
    <w:rsid w:val="00636BC2"/>
    <w:rsid w:val="00636CB4"/>
    <w:rsid w:val="006404B1"/>
    <w:rsid w:val="006404D1"/>
    <w:rsid w:val="00640F43"/>
    <w:rsid w:val="006412CA"/>
    <w:rsid w:val="006420DA"/>
    <w:rsid w:val="00642A0A"/>
    <w:rsid w:val="00643AC1"/>
    <w:rsid w:val="00643D62"/>
    <w:rsid w:val="00643E8C"/>
    <w:rsid w:val="00644A5E"/>
    <w:rsid w:val="00644A6C"/>
    <w:rsid w:val="00644D69"/>
    <w:rsid w:val="006457A8"/>
    <w:rsid w:val="00645EA0"/>
    <w:rsid w:val="00645F76"/>
    <w:rsid w:val="00646EB0"/>
    <w:rsid w:val="0064714D"/>
    <w:rsid w:val="0064727D"/>
    <w:rsid w:val="006473D6"/>
    <w:rsid w:val="00647B32"/>
    <w:rsid w:val="00647C27"/>
    <w:rsid w:val="006519E6"/>
    <w:rsid w:val="00651CDE"/>
    <w:rsid w:val="00652326"/>
    <w:rsid w:val="00652907"/>
    <w:rsid w:val="00652E06"/>
    <w:rsid w:val="00653FC4"/>
    <w:rsid w:val="00654BFE"/>
    <w:rsid w:val="00654F91"/>
    <w:rsid w:val="00655361"/>
    <w:rsid w:val="00656253"/>
    <w:rsid w:val="00656799"/>
    <w:rsid w:val="00656B77"/>
    <w:rsid w:val="00656E72"/>
    <w:rsid w:val="006578A1"/>
    <w:rsid w:val="00657ABB"/>
    <w:rsid w:val="0066137B"/>
    <w:rsid w:val="0066174E"/>
    <w:rsid w:val="00661BBB"/>
    <w:rsid w:val="00661E57"/>
    <w:rsid w:val="00661FB0"/>
    <w:rsid w:val="006629E4"/>
    <w:rsid w:val="00663783"/>
    <w:rsid w:val="00663A25"/>
    <w:rsid w:val="00663E47"/>
    <w:rsid w:val="006644A7"/>
    <w:rsid w:val="00664BDE"/>
    <w:rsid w:val="00664C61"/>
    <w:rsid w:val="0066565B"/>
    <w:rsid w:val="00665C44"/>
    <w:rsid w:val="00666284"/>
    <w:rsid w:val="006667F3"/>
    <w:rsid w:val="006679E7"/>
    <w:rsid w:val="00667AEA"/>
    <w:rsid w:val="006704FA"/>
    <w:rsid w:val="00670687"/>
    <w:rsid w:val="00670DC5"/>
    <w:rsid w:val="00671652"/>
    <w:rsid w:val="00671FAA"/>
    <w:rsid w:val="00673A76"/>
    <w:rsid w:val="00673FB9"/>
    <w:rsid w:val="00675DA5"/>
    <w:rsid w:val="00680482"/>
    <w:rsid w:val="006808DC"/>
    <w:rsid w:val="00681642"/>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6EE2"/>
    <w:rsid w:val="006871D0"/>
    <w:rsid w:val="0068751F"/>
    <w:rsid w:val="006900D1"/>
    <w:rsid w:val="00690297"/>
    <w:rsid w:val="00690925"/>
    <w:rsid w:val="0069115A"/>
    <w:rsid w:val="006912F1"/>
    <w:rsid w:val="00691387"/>
    <w:rsid w:val="006927F2"/>
    <w:rsid w:val="00692A75"/>
    <w:rsid w:val="006931E1"/>
    <w:rsid w:val="006935D4"/>
    <w:rsid w:val="00693F19"/>
    <w:rsid w:val="00694310"/>
    <w:rsid w:val="00694700"/>
    <w:rsid w:val="00694803"/>
    <w:rsid w:val="00694CE8"/>
    <w:rsid w:val="0069569E"/>
    <w:rsid w:val="006956C6"/>
    <w:rsid w:val="00695F48"/>
    <w:rsid w:val="00696C60"/>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4DC0"/>
    <w:rsid w:val="006B555F"/>
    <w:rsid w:val="006B6242"/>
    <w:rsid w:val="006B6C7C"/>
    <w:rsid w:val="006B6EA4"/>
    <w:rsid w:val="006B77B6"/>
    <w:rsid w:val="006B77BB"/>
    <w:rsid w:val="006B7F8F"/>
    <w:rsid w:val="006B7FC5"/>
    <w:rsid w:val="006C055E"/>
    <w:rsid w:val="006C0D13"/>
    <w:rsid w:val="006C187F"/>
    <w:rsid w:val="006C19BC"/>
    <w:rsid w:val="006C19D5"/>
    <w:rsid w:val="006C1B44"/>
    <w:rsid w:val="006C1F08"/>
    <w:rsid w:val="006C1F77"/>
    <w:rsid w:val="006C2211"/>
    <w:rsid w:val="006C3031"/>
    <w:rsid w:val="006C34D9"/>
    <w:rsid w:val="006C3607"/>
    <w:rsid w:val="006C3990"/>
    <w:rsid w:val="006C3ED2"/>
    <w:rsid w:val="006C4233"/>
    <w:rsid w:val="006C42E7"/>
    <w:rsid w:val="006C4422"/>
    <w:rsid w:val="006C59B8"/>
    <w:rsid w:val="006C5CCA"/>
    <w:rsid w:val="006C625F"/>
    <w:rsid w:val="006C78A6"/>
    <w:rsid w:val="006C7AB4"/>
    <w:rsid w:val="006D006B"/>
    <w:rsid w:val="006D0373"/>
    <w:rsid w:val="006D105C"/>
    <w:rsid w:val="006D1D15"/>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3E5F"/>
    <w:rsid w:val="006E5DAA"/>
    <w:rsid w:val="006E6C8C"/>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43B"/>
    <w:rsid w:val="0070167E"/>
    <w:rsid w:val="00701E1B"/>
    <w:rsid w:val="00702ED0"/>
    <w:rsid w:val="00703C09"/>
    <w:rsid w:val="0070434A"/>
    <w:rsid w:val="007048C4"/>
    <w:rsid w:val="00704CC4"/>
    <w:rsid w:val="00705345"/>
    <w:rsid w:val="0070638D"/>
    <w:rsid w:val="00706DBF"/>
    <w:rsid w:val="00707A59"/>
    <w:rsid w:val="00707E59"/>
    <w:rsid w:val="0071046B"/>
    <w:rsid w:val="00710AC6"/>
    <w:rsid w:val="00710C1D"/>
    <w:rsid w:val="007110A3"/>
    <w:rsid w:val="00711108"/>
    <w:rsid w:val="00711213"/>
    <w:rsid w:val="007112A1"/>
    <w:rsid w:val="00711996"/>
    <w:rsid w:val="00711B3B"/>
    <w:rsid w:val="00711BA3"/>
    <w:rsid w:val="00711C9D"/>
    <w:rsid w:val="00712488"/>
    <w:rsid w:val="007128E1"/>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279D7"/>
    <w:rsid w:val="00730E2C"/>
    <w:rsid w:val="00730EA6"/>
    <w:rsid w:val="00731950"/>
    <w:rsid w:val="00731C15"/>
    <w:rsid w:val="00732045"/>
    <w:rsid w:val="007322A0"/>
    <w:rsid w:val="00732854"/>
    <w:rsid w:val="00732C1A"/>
    <w:rsid w:val="00733352"/>
    <w:rsid w:val="0073385B"/>
    <w:rsid w:val="00733CDC"/>
    <w:rsid w:val="007341C0"/>
    <w:rsid w:val="00734B9A"/>
    <w:rsid w:val="00735695"/>
    <w:rsid w:val="007360CB"/>
    <w:rsid w:val="00737566"/>
    <w:rsid w:val="0074056E"/>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2B3"/>
    <w:rsid w:val="007504E1"/>
    <w:rsid w:val="00750544"/>
    <w:rsid w:val="00750804"/>
    <w:rsid w:val="007509AB"/>
    <w:rsid w:val="00751689"/>
    <w:rsid w:val="007524AA"/>
    <w:rsid w:val="00753744"/>
    <w:rsid w:val="00753A93"/>
    <w:rsid w:val="00755663"/>
    <w:rsid w:val="00755AF0"/>
    <w:rsid w:val="00756386"/>
    <w:rsid w:val="00756603"/>
    <w:rsid w:val="007575C0"/>
    <w:rsid w:val="00757D2F"/>
    <w:rsid w:val="0076000E"/>
    <w:rsid w:val="00760B02"/>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2AA"/>
    <w:rsid w:val="007736E8"/>
    <w:rsid w:val="00774A81"/>
    <w:rsid w:val="00774ACE"/>
    <w:rsid w:val="00775823"/>
    <w:rsid w:val="00775F57"/>
    <w:rsid w:val="00776584"/>
    <w:rsid w:val="007769EF"/>
    <w:rsid w:val="00776D4F"/>
    <w:rsid w:val="00776DDC"/>
    <w:rsid w:val="007770F9"/>
    <w:rsid w:val="00777179"/>
    <w:rsid w:val="00777945"/>
    <w:rsid w:val="00777C8F"/>
    <w:rsid w:val="00777D40"/>
    <w:rsid w:val="00780B8D"/>
    <w:rsid w:val="00780B8E"/>
    <w:rsid w:val="00781649"/>
    <w:rsid w:val="00781FCC"/>
    <w:rsid w:val="007823D6"/>
    <w:rsid w:val="0078254E"/>
    <w:rsid w:val="00782628"/>
    <w:rsid w:val="007826AB"/>
    <w:rsid w:val="0078380C"/>
    <w:rsid w:val="007840E2"/>
    <w:rsid w:val="0078569F"/>
    <w:rsid w:val="00785803"/>
    <w:rsid w:val="00785EB4"/>
    <w:rsid w:val="0078609A"/>
    <w:rsid w:val="00786F85"/>
    <w:rsid w:val="0078731A"/>
    <w:rsid w:val="00787487"/>
    <w:rsid w:val="00787903"/>
    <w:rsid w:val="00790176"/>
    <w:rsid w:val="007906F1"/>
    <w:rsid w:val="00790EDA"/>
    <w:rsid w:val="00791349"/>
    <w:rsid w:val="00791D85"/>
    <w:rsid w:val="00791DAF"/>
    <w:rsid w:val="007924CA"/>
    <w:rsid w:val="00794CBF"/>
    <w:rsid w:val="00795365"/>
    <w:rsid w:val="0079567E"/>
    <w:rsid w:val="007961D5"/>
    <w:rsid w:val="00796A6F"/>
    <w:rsid w:val="00796C5D"/>
    <w:rsid w:val="00796C75"/>
    <w:rsid w:val="00797AC1"/>
    <w:rsid w:val="00797B06"/>
    <w:rsid w:val="00797B9C"/>
    <w:rsid w:val="007A0483"/>
    <w:rsid w:val="007A1065"/>
    <w:rsid w:val="007A1D86"/>
    <w:rsid w:val="007A2A97"/>
    <w:rsid w:val="007A2CDC"/>
    <w:rsid w:val="007A371B"/>
    <w:rsid w:val="007A3832"/>
    <w:rsid w:val="007A3A0F"/>
    <w:rsid w:val="007A3DE9"/>
    <w:rsid w:val="007A3E60"/>
    <w:rsid w:val="007A407D"/>
    <w:rsid w:val="007A464F"/>
    <w:rsid w:val="007A51B1"/>
    <w:rsid w:val="007A6196"/>
    <w:rsid w:val="007A63D5"/>
    <w:rsid w:val="007A689A"/>
    <w:rsid w:val="007A68EA"/>
    <w:rsid w:val="007A6B7D"/>
    <w:rsid w:val="007A702F"/>
    <w:rsid w:val="007A7629"/>
    <w:rsid w:val="007A7C46"/>
    <w:rsid w:val="007B1027"/>
    <w:rsid w:val="007B1691"/>
    <w:rsid w:val="007B174F"/>
    <w:rsid w:val="007B1863"/>
    <w:rsid w:val="007B22E0"/>
    <w:rsid w:val="007B28CA"/>
    <w:rsid w:val="007B358D"/>
    <w:rsid w:val="007B4B5C"/>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46FB"/>
    <w:rsid w:val="007C4EEE"/>
    <w:rsid w:val="007C5A8F"/>
    <w:rsid w:val="007C5B38"/>
    <w:rsid w:val="007C639F"/>
    <w:rsid w:val="007C760F"/>
    <w:rsid w:val="007C76E8"/>
    <w:rsid w:val="007D01E6"/>
    <w:rsid w:val="007D035E"/>
    <w:rsid w:val="007D0396"/>
    <w:rsid w:val="007D0644"/>
    <w:rsid w:val="007D0CF8"/>
    <w:rsid w:val="007D1801"/>
    <w:rsid w:val="007D1FE0"/>
    <w:rsid w:val="007D20BB"/>
    <w:rsid w:val="007D261E"/>
    <w:rsid w:val="007D2F61"/>
    <w:rsid w:val="007D3004"/>
    <w:rsid w:val="007D33B4"/>
    <w:rsid w:val="007D3D0E"/>
    <w:rsid w:val="007D3D33"/>
    <w:rsid w:val="007D41C2"/>
    <w:rsid w:val="007D497C"/>
    <w:rsid w:val="007D4F02"/>
    <w:rsid w:val="007D654F"/>
    <w:rsid w:val="007D674C"/>
    <w:rsid w:val="007D6B7B"/>
    <w:rsid w:val="007D6CF1"/>
    <w:rsid w:val="007D7131"/>
    <w:rsid w:val="007D7BEC"/>
    <w:rsid w:val="007D7CE3"/>
    <w:rsid w:val="007E051A"/>
    <w:rsid w:val="007E0798"/>
    <w:rsid w:val="007E195F"/>
    <w:rsid w:val="007E1B72"/>
    <w:rsid w:val="007E3EE3"/>
    <w:rsid w:val="007E57DE"/>
    <w:rsid w:val="007E5902"/>
    <w:rsid w:val="007E6719"/>
    <w:rsid w:val="007E68ED"/>
    <w:rsid w:val="007E69ED"/>
    <w:rsid w:val="007E7B2D"/>
    <w:rsid w:val="007F0221"/>
    <w:rsid w:val="007F034B"/>
    <w:rsid w:val="007F07B9"/>
    <w:rsid w:val="007F0928"/>
    <w:rsid w:val="007F0A3B"/>
    <w:rsid w:val="007F15CE"/>
    <w:rsid w:val="007F1E88"/>
    <w:rsid w:val="007F2CD7"/>
    <w:rsid w:val="007F3568"/>
    <w:rsid w:val="007F422D"/>
    <w:rsid w:val="007F4DBA"/>
    <w:rsid w:val="007F519C"/>
    <w:rsid w:val="007F534D"/>
    <w:rsid w:val="007F54A2"/>
    <w:rsid w:val="007F54FE"/>
    <w:rsid w:val="007F5535"/>
    <w:rsid w:val="007F5D32"/>
    <w:rsid w:val="007F60FC"/>
    <w:rsid w:val="007F72DC"/>
    <w:rsid w:val="007F795F"/>
    <w:rsid w:val="0080069C"/>
    <w:rsid w:val="008006FD"/>
    <w:rsid w:val="00801006"/>
    <w:rsid w:val="0080148D"/>
    <w:rsid w:val="0080156B"/>
    <w:rsid w:val="00801A3A"/>
    <w:rsid w:val="00804114"/>
    <w:rsid w:val="00804634"/>
    <w:rsid w:val="008047E8"/>
    <w:rsid w:val="0080531E"/>
    <w:rsid w:val="00805332"/>
    <w:rsid w:val="00805C3D"/>
    <w:rsid w:val="00806F1D"/>
    <w:rsid w:val="008077ED"/>
    <w:rsid w:val="00807B6F"/>
    <w:rsid w:val="00807E93"/>
    <w:rsid w:val="00810172"/>
    <w:rsid w:val="00810762"/>
    <w:rsid w:val="00810858"/>
    <w:rsid w:val="00810EFF"/>
    <w:rsid w:val="00811314"/>
    <w:rsid w:val="00811A39"/>
    <w:rsid w:val="00811C8B"/>
    <w:rsid w:val="0081291B"/>
    <w:rsid w:val="00813622"/>
    <w:rsid w:val="00813DCF"/>
    <w:rsid w:val="00813FAB"/>
    <w:rsid w:val="0081498C"/>
    <w:rsid w:val="00814AE1"/>
    <w:rsid w:val="00815D31"/>
    <w:rsid w:val="0081601F"/>
    <w:rsid w:val="00816064"/>
    <w:rsid w:val="008174B2"/>
    <w:rsid w:val="00817CFF"/>
    <w:rsid w:val="0082000D"/>
    <w:rsid w:val="00820122"/>
    <w:rsid w:val="0082033A"/>
    <w:rsid w:val="0082037E"/>
    <w:rsid w:val="00820C9C"/>
    <w:rsid w:val="00820E02"/>
    <w:rsid w:val="00820F55"/>
    <w:rsid w:val="00821572"/>
    <w:rsid w:val="00822310"/>
    <w:rsid w:val="00823794"/>
    <w:rsid w:val="008237F4"/>
    <w:rsid w:val="00823F67"/>
    <w:rsid w:val="00824022"/>
    <w:rsid w:val="0082483A"/>
    <w:rsid w:val="00824842"/>
    <w:rsid w:val="00824A81"/>
    <w:rsid w:val="008257B8"/>
    <w:rsid w:val="008260ED"/>
    <w:rsid w:val="0082699D"/>
    <w:rsid w:val="00826E6B"/>
    <w:rsid w:val="008275FD"/>
    <w:rsid w:val="00830BA1"/>
    <w:rsid w:val="00830EB2"/>
    <w:rsid w:val="00831652"/>
    <w:rsid w:val="0083202E"/>
    <w:rsid w:val="00832C2E"/>
    <w:rsid w:val="0083304F"/>
    <w:rsid w:val="008334C9"/>
    <w:rsid w:val="00833573"/>
    <w:rsid w:val="00834122"/>
    <w:rsid w:val="008343A0"/>
    <w:rsid w:val="008352C5"/>
    <w:rsid w:val="008358A6"/>
    <w:rsid w:val="008359FB"/>
    <w:rsid w:val="00835C56"/>
    <w:rsid w:val="00835E07"/>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EF"/>
    <w:rsid w:val="00845FF5"/>
    <w:rsid w:val="00846001"/>
    <w:rsid w:val="0084615D"/>
    <w:rsid w:val="0084642A"/>
    <w:rsid w:val="008465C4"/>
    <w:rsid w:val="00846710"/>
    <w:rsid w:val="008478ED"/>
    <w:rsid w:val="008502A6"/>
    <w:rsid w:val="00851728"/>
    <w:rsid w:val="00851DFF"/>
    <w:rsid w:val="00853084"/>
    <w:rsid w:val="00853142"/>
    <w:rsid w:val="00853F63"/>
    <w:rsid w:val="008540A6"/>
    <w:rsid w:val="00854420"/>
    <w:rsid w:val="00854481"/>
    <w:rsid w:val="00857591"/>
    <w:rsid w:val="00857E88"/>
    <w:rsid w:val="00860862"/>
    <w:rsid w:val="008612DB"/>
    <w:rsid w:val="00861B57"/>
    <w:rsid w:val="00862AC4"/>
    <w:rsid w:val="008633AC"/>
    <w:rsid w:val="008634E3"/>
    <w:rsid w:val="00863F44"/>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03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0B8"/>
    <w:rsid w:val="00885285"/>
    <w:rsid w:val="00885985"/>
    <w:rsid w:val="00886699"/>
    <w:rsid w:val="0088709A"/>
    <w:rsid w:val="0089199F"/>
    <w:rsid w:val="00891C32"/>
    <w:rsid w:val="00891D7F"/>
    <w:rsid w:val="00892265"/>
    <w:rsid w:val="0089233E"/>
    <w:rsid w:val="0089330E"/>
    <w:rsid w:val="00893A8E"/>
    <w:rsid w:val="00893E27"/>
    <w:rsid w:val="00893F59"/>
    <w:rsid w:val="008945F7"/>
    <w:rsid w:val="0089463D"/>
    <w:rsid w:val="0089481D"/>
    <w:rsid w:val="00894975"/>
    <w:rsid w:val="0089554F"/>
    <w:rsid w:val="008955E6"/>
    <w:rsid w:val="00895B5F"/>
    <w:rsid w:val="0089637C"/>
    <w:rsid w:val="00896712"/>
    <w:rsid w:val="00896870"/>
    <w:rsid w:val="008969BD"/>
    <w:rsid w:val="008A0850"/>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D68"/>
    <w:rsid w:val="008A720F"/>
    <w:rsid w:val="008A7C72"/>
    <w:rsid w:val="008B04F2"/>
    <w:rsid w:val="008B0D0E"/>
    <w:rsid w:val="008B12BB"/>
    <w:rsid w:val="008B1411"/>
    <w:rsid w:val="008B17A2"/>
    <w:rsid w:val="008B243D"/>
    <w:rsid w:val="008B25F2"/>
    <w:rsid w:val="008B2643"/>
    <w:rsid w:val="008B2FAE"/>
    <w:rsid w:val="008B3317"/>
    <w:rsid w:val="008B3B9C"/>
    <w:rsid w:val="008B414B"/>
    <w:rsid w:val="008B4E0E"/>
    <w:rsid w:val="008B4FB9"/>
    <w:rsid w:val="008B50EF"/>
    <w:rsid w:val="008B5715"/>
    <w:rsid w:val="008B5A2D"/>
    <w:rsid w:val="008B5BC2"/>
    <w:rsid w:val="008B60BB"/>
    <w:rsid w:val="008B6732"/>
    <w:rsid w:val="008B68EC"/>
    <w:rsid w:val="008B6CB1"/>
    <w:rsid w:val="008B711E"/>
    <w:rsid w:val="008B7ACB"/>
    <w:rsid w:val="008C042F"/>
    <w:rsid w:val="008C057B"/>
    <w:rsid w:val="008C0CAC"/>
    <w:rsid w:val="008C13B4"/>
    <w:rsid w:val="008C1557"/>
    <w:rsid w:val="008C1B8C"/>
    <w:rsid w:val="008C2306"/>
    <w:rsid w:val="008C26D1"/>
    <w:rsid w:val="008C2B7F"/>
    <w:rsid w:val="008C2C7B"/>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4D2"/>
    <w:rsid w:val="008D5657"/>
    <w:rsid w:val="008D5FE9"/>
    <w:rsid w:val="008D6752"/>
    <w:rsid w:val="008D69E7"/>
    <w:rsid w:val="008D6FC1"/>
    <w:rsid w:val="008E0140"/>
    <w:rsid w:val="008E0688"/>
    <w:rsid w:val="008E0BEF"/>
    <w:rsid w:val="008E266D"/>
    <w:rsid w:val="008E2F0C"/>
    <w:rsid w:val="008E3E23"/>
    <w:rsid w:val="008E547B"/>
    <w:rsid w:val="008E5791"/>
    <w:rsid w:val="008E5DF8"/>
    <w:rsid w:val="008E6047"/>
    <w:rsid w:val="008E6C11"/>
    <w:rsid w:val="008F0250"/>
    <w:rsid w:val="008F11F4"/>
    <w:rsid w:val="008F1952"/>
    <w:rsid w:val="008F254D"/>
    <w:rsid w:val="008F310B"/>
    <w:rsid w:val="008F322B"/>
    <w:rsid w:val="008F34CB"/>
    <w:rsid w:val="008F3519"/>
    <w:rsid w:val="008F375B"/>
    <w:rsid w:val="008F3AD3"/>
    <w:rsid w:val="008F3CA7"/>
    <w:rsid w:val="008F40C6"/>
    <w:rsid w:val="008F42F3"/>
    <w:rsid w:val="008F443F"/>
    <w:rsid w:val="008F4E16"/>
    <w:rsid w:val="008F5DE5"/>
    <w:rsid w:val="008F5E42"/>
    <w:rsid w:val="008F63B1"/>
    <w:rsid w:val="008F6973"/>
    <w:rsid w:val="008F6E6A"/>
    <w:rsid w:val="008F7AA7"/>
    <w:rsid w:val="00900947"/>
    <w:rsid w:val="00900EB8"/>
    <w:rsid w:val="00900FBA"/>
    <w:rsid w:val="00901911"/>
    <w:rsid w:val="009027A9"/>
    <w:rsid w:val="00902E5B"/>
    <w:rsid w:val="0090360C"/>
    <w:rsid w:val="00903FD9"/>
    <w:rsid w:val="00904CF5"/>
    <w:rsid w:val="00905259"/>
    <w:rsid w:val="0090556C"/>
    <w:rsid w:val="00905633"/>
    <w:rsid w:val="00905BD4"/>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9A3"/>
    <w:rsid w:val="00916C47"/>
    <w:rsid w:val="009171AD"/>
    <w:rsid w:val="00917569"/>
    <w:rsid w:val="00920174"/>
    <w:rsid w:val="009219D2"/>
    <w:rsid w:val="00921A4E"/>
    <w:rsid w:val="00921B98"/>
    <w:rsid w:val="00921E37"/>
    <w:rsid w:val="00921FED"/>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5BEF"/>
    <w:rsid w:val="00936405"/>
    <w:rsid w:val="00936B64"/>
    <w:rsid w:val="009379C4"/>
    <w:rsid w:val="0094041A"/>
    <w:rsid w:val="00940D32"/>
    <w:rsid w:val="0094190D"/>
    <w:rsid w:val="00942354"/>
    <w:rsid w:val="00942681"/>
    <w:rsid w:val="00943A7E"/>
    <w:rsid w:val="00943E42"/>
    <w:rsid w:val="00943E5D"/>
    <w:rsid w:val="00944728"/>
    <w:rsid w:val="00944DFE"/>
    <w:rsid w:val="009453E8"/>
    <w:rsid w:val="00945664"/>
    <w:rsid w:val="00945AD1"/>
    <w:rsid w:val="00946ECB"/>
    <w:rsid w:val="00947268"/>
    <w:rsid w:val="0094750E"/>
    <w:rsid w:val="00947C94"/>
    <w:rsid w:val="009507C8"/>
    <w:rsid w:val="00950ED1"/>
    <w:rsid w:val="0095115E"/>
    <w:rsid w:val="0095118A"/>
    <w:rsid w:val="00952468"/>
    <w:rsid w:val="00954767"/>
    <w:rsid w:val="0095487A"/>
    <w:rsid w:val="009548FB"/>
    <w:rsid w:val="0095538B"/>
    <w:rsid w:val="009559A7"/>
    <w:rsid w:val="00957AE7"/>
    <w:rsid w:val="00957AF7"/>
    <w:rsid w:val="00960ACA"/>
    <w:rsid w:val="00960C4F"/>
    <w:rsid w:val="0096217C"/>
    <w:rsid w:val="00962441"/>
    <w:rsid w:val="00963277"/>
    <w:rsid w:val="00964469"/>
    <w:rsid w:val="00964B53"/>
    <w:rsid w:val="00964C3F"/>
    <w:rsid w:val="00964C6C"/>
    <w:rsid w:val="00965176"/>
    <w:rsid w:val="00965240"/>
    <w:rsid w:val="009656D9"/>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6EF3"/>
    <w:rsid w:val="00977CDF"/>
    <w:rsid w:val="0098043F"/>
    <w:rsid w:val="00981038"/>
    <w:rsid w:val="0098106E"/>
    <w:rsid w:val="00981511"/>
    <w:rsid w:val="00981D1C"/>
    <w:rsid w:val="00981E1C"/>
    <w:rsid w:val="00982118"/>
    <w:rsid w:val="00982C62"/>
    <w:rsid w:val="00982C91"/>
    <w:rsid w:val="00982F76"/>
    <w:rsid w:val="00982FA3"/>
    <w:rsid w:val="009831A5"/>
    <w:rsid w:val="009840FD"/>
    <w:rsid w:val="00984701"/>
    <w:rsid w:val="00984847"/>
    <w:rsid w:val="00984BEC"/>
    <w:rsid w:val="0098565C"/>
    <w:rsid w:val="00985A76"/>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432"/>
    <w:rsid w:val="0099479E"/>
    <w:rsid w:val="009951D8"/>
    <w:rsid w:val="00995355"/>
    <w:rsid w:val="0099586F"/>
    <w:rsid w:val="00996CB5"/>
    <w:rsid w:val="0099719E"/>
    <w:rsid w:val="009A0169"/>
    <w:rsid w:val="009A1B56"/>
    <w:rsid w:val="009A38D9"/>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2E91"/>
    <w:rsid w:val="009B3D08"/>
    <w:rsid w:val="009B42B6"/>
    <w:rsid w:val="009B42CC"/>
    <w:rsid w:val="009B43D6"/>
    <w:rsid w:val="009B5081"/>
    <w:rsid w:val="009B6985"/>
    <w:rsid w:val="009B69B3"/>
    <w:rsid w:val="009B7011"/>
    <w:rsid w:val="009B71E4"/>
    <w:rsid w:val="009C04EE"/>
    <w:rsid w:val="009C0CD4"/>
    <w:rsid w:val="009C1215"/>
    <w:rsid w:val="009C15E7"/>
    <w:rsid w:val="009C17C8"/>
    <w:rsid w:val="009C385B"/>
    <w:rsid w:val="009C3E3C"/>
    <w:rsid w:val="009C3F51"/>
    <w:rsid w:val="009C4353"/>
    <w:rsid w:val="009C49C2"/>
    <w:rsid w:val="009C4E2D"/>
    <w:rsid w:val="009C4F17"/>
    <w:rsid w:val="009C62C0"/>
    <w:rsid w:val="009C6A88"/>
    <w:rsid w:val="009C765D"/>
    <w:rsid w:val="009C7ADA"/>
    <w:rsid w:val="009D000A"/>
    <w:rsid w:val="009D00E2"/>
    <w:rsid w:val="009D0993"/>
    <w:rsid w:val="009D1A86"/>
    <w:rsid w:val="009D1E12"/>
    <w:rsid w:val="009D297D"/>
    <w:rsid w:val="009D2DA9"/>
    <w:rsid w:val="009D2E93"/>
    <w:rsid w:val="009D2EA9"/>
    <w:rsid w:val="009D3038"/>
    <w:rsid w:val="009D34C0"/>
    <w:rsid w:val="009D35FB"/>
    <w:rsid w:val="009D44C6"/>
    <w:rsid w:val="009D4BBE"/>
    <w:rsid w:val="009D4E16"/>
    <w:rsid w:val="009D5893"/>
    <w:rsid w:val="009D6620"/>
    <w:rsid w:val="009D6C54"/>
    <w:rsid w:val="009D72B0"/>
    <w:rsid w:val="009D77CE"/>
    <w:rsid w:val="009D7DE3"/>
    <w:rsid w:val="009E004A"/>
    <w:rsid w:val="009E066B"/>
    <w:rsid w:val="009E126F"/>
    <w:rsid w:val="009E1515"/>
    <w:rsid w:val="009E16C3"/>
    <w:rsid w:val="009E1BAE"/>
    <w:rsid w:val="009E1CFF"/>
    <w:rsid w:val="009E1FEE"/>
    <w:rsid w:val="009E23EA"/>
    <w:rsid w:val="009E2D24"/>
    <w:rsid w:val="009E2E81"/>
    <w:rsid w:val="009E2EA0"/>
    <w:rsid w:val="009E305F"/>
    <w:rsid w:val="009E36FF"/>
    <w:rsid w:val="009E37D3"/>
    <w:rsid w:val="009E5028"/>
    <w:rsid w:val="009E50FB"/>
    <w:rsid w:val="009E5280"/>
    <w:rsid w:val="009E5386"/>
    <w:rsid w:val="009E5DD1"/>
    <w:rsid w:val="009E60AD"/>
    <w:rsid w:val="009E68C8"/>
    <w:rsid w:val="009E6A21"/>
    <w:rsid w:val="009E6AB5"/>
    <w:rsid w:val="009E6DAB"/>
    <w:rsid w:val="009E6F4B"/>
    <w:rsid w:val="009E703C"/>
    <w:rsid w:val="009E7E4C"/>
    <w:rsid w:val="009F08F5"/>
    <w:rsid w:val="009F0956"/>
    <w:rsid w:val="009F0EE5"/>
    <w:rsid w:val="009F1264"/>
    <w:rsid w:val="009F1397"/>
    <w:rsid w:val="009F1F0C"/>
    <w:rsid w:val="009F245B"/>
    <w:rsid w:val="009F25E6"/>
    <w:rsid w:val="009F2BE8"/>
    <w:rsid w:val="009F2F09"/>
    <w:rsid w:val="009F39A7"/>
    <w:rsid w:val="009F40B7"/>
    <w:rsid w:val="009F4188"/>
    <w:rsid w:val="009F4302"/>
    <w:rsid w:val="009F4393"/>
    <w:rsid w:val="009F46F2"/>
    <w:rsid w:val="009F4BE9"/>
    <w:rsid w:val="009F62D3"/>
    <w:rsid w:val="00A00112"/>
    <w:rsid w:val="00A008B5"/>
    <w:rsid w:val="00A017B4"/>
    <w:rsid w:val="00A01C53"/>
    <w:rsid w:val="00A01D38"/>
    <w:rsid w:val="00A02343"/>
    <w:rsid w:val="00A02414"/>
    <w:rsid w:val="00A025B9"/>
    <w:rsid w:val="00A0355C"/>
    <w:rsid w:val="00A03A13"/>
    <w:rsid w:val="00A040CD"/>
    <w:rsid w:val="00A04429"/>
    <w:rsid w:val="00A049FA"/>
    <w:rsid w:val="00A06446"/>
    <w:rsid w:val="00A06697"/>
    <w:rsid w:val="00A06C40"/>
    <w:rsid w:val="00A075DE"/>
    <w:rsid w:val="00A078B2"/>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3D4B"/>
    <w:rsid w:val="00A14652"/>
    <w:rsid w:val="00A14DC2"/>
    <w:rsid w:val="00A14DD6"/>
    <w:rsid w:val="00A15D5E"/>
    <w:rsid w:val="00A161F8"/>
    <w:rsid w:val="00A169FA"/>
    <w:rsid w:val="00A1766A"/>
    <w:rsid w:val="00A200F4"/>
    <w:rsid w:val="00A206C9"/>
    <w:rsid w:val="00A20C27"/>
    <w:rsid w:val="00A20E7D"/>
    <w:rsid w:val="00A21552"/>
    <w:rsid w:val="00A216BC"/>
    <w:rsid w:val="00A22C2E"/>
    <w:rsid w:val="00A237E9"/>
    <w:rsid w:val="00A23931"/>
    <w:rsid w:val="00A23FD6"/>
    <w:rsid w:val="00A25317"/>
    <w:rsid w:val="00A25706"/>
    <w:rsid w:val="00A25D84"/>
    <w:rsid w:val="00A26029"/>
    <w:rsid w:val="00A262E4"/>
    <w:rsid w:val="00A268EA"/>
    <w:rsid w:val="00A310AA"/>
    <w:rsid w:val="00A3148B"/>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2DD5"/>
    <w:rsid w:val="00A432D1"/>
    <w:rsid w:val="00A43716"/>
    <w:rsid w:val="00A43D41"/>
    <w:rsid w:val="00A442C5"/>
    <w:rsid w:val="00A44712"/>
    <w:rsid w:val="00A44AF5"/>
    <w:rsid w:val="00A44B8B"/>
    <w:rsid w:val="00A4559D"/>
    <w:rsid w:val="00A45EC4"/>
    <w:rsid w:val="00A47212"/>
    <w:rsid w:val="00A474EA"/>
    <w:rsid w:val="00A501B2"/>
    <w:rsid w:val="00A5034A"/>
    <w:rsid w:val="00A50FFA"/>
    <w:rsid w:val="00A539D1"/>
    <w:rsid w:val="00A54DAE"/>
    <w:rsid w:val="00A56D3B"/>
    <w:rsid w:val="00A57450"/>
    <w:rsid w:val="00A57479"/>
    <w:rsid w:val="00A57C08"/>
    <w:rsid w:val="00A600D9"/>
    <w:rsid w:val="00A60246"/>
    <w:rsid w:val="00A604CD"/>
    <w:rsid w:val="00A637A0"/>
    <w:rsid w:val="00A63ECD"/>
    <w:rsid w:val="00A64093"/>
    <w:rsid w:val="00A640EB"/>
    <w:rsid w:val="00A64815"/>
    <w:rsid w:val="00A65043"/>
    <w:rsid w:val="00A66DF9"/>
    <w:rsid w:val="00A67A6E"/>
    <w:rsid w:val="00A704E4"/>
    <w:rsid w:val="00A7136A"/>
    <w:rsid w:val="00A718FA"/>
    <w:rsid w:val="00A71C44"/>
    <w:rsid w:val="00A72296"/>
    <w:rsid w:val="00A7388E"/>
    <w:rsid w:val="00A74132"/>
    <w:rsid w:val="00A744DA"/>
    <w:rsid w:val="00A74544"/>
    <w:rsid w:val="00A74548"/>
    <w:rsid w:val="00A74DF2"/>
    <w:rsid w:val="00A74E4D"/>
    <w:rsid w:val="00A75412"/>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87008"/>
    <w:rsid w:val="00A9065F"/>
    <w:rsid w:val="00A90B0E"/>
    <w:rsid w:val="00A91AA1"/>
    <w:rsid w:val="00A91C8C"/>
    <w:rsid w:val="00A91F0D"/>
    <w:rsid w:val="00A9235A"/>
    <w:rsid w:val="00A92FF7"/>
    <w:rsid w:val="00A93069"/>
    <w:rsid w:val="00A9426B"/>
    <w:rsid w:val="00A9468F"/>
    <w:rsid w:val="00A9498D"/>
    <w:rsid w:val="00A95335"/>
    <w:rsid w:val="00A9566B"/>
    <w:rsid w:val="00A9657F"/>
    <w:rsid w:val="00A9797D"/>
    <w:rsid w:val="00AA015F"/>
    <w:rsid w:val="00AA0C3A"/>
    <w:rsid w:val="00AA1723"/>
    <w:rsid w:val="00AA190D"/>
    <w:rsid w:val="00AA1FDD"/>
    <w:rsid w:val="00AA22C3"/>
    <w:rsid w:val="00AA230D"/>
    <w:rsid w:val="00AA2DD1"/>
    <w:rsid w:val="00AA2E1B"/>
    <w:rsid w:val="00AA2EBD"/>
    <w:rsid w:val="00AA4941"/>
    <w:rsid w:val="00AA49E9"/>
    <w:rsid w:val="00AA5475"/>
    <w:rsid w:val="00AA5876"/>
    <w:rsid w:val="00AA6A8A"/>
    <w:rsid w:val="00AA6DD8"/>
    <w:rsid w:val="00AA6FA3"/>
    <w:rsid w:val="00AA70BB"/>
    <w:rsid w:val="00AA757C"/>
    <w:rsid w:val="00AA7F10"/>
    <w:rsid w:val="00AB0391"/>
    <w:rsid w:val="00AB07F3"/>
    <w:rsid w:val="00AB10AE"/>
    <w:rsid w:val="00AB19D8"/>
    <w:rsid w:val="00AB2151"/>
    <w:rsid w:val="00AB2C59"/>
    <w:rsid w:val="00AB2C8A"/>
    <w:rsid w:val="00AB42B6"/>
    <w:rsid w:val="00AB43FD"/>
    <w:rsid w:val="00AB4D67"/>
    <w:rsid w:val="00AB502A"/>
    <w:rsid w:val="00AB545D"/>
    <w:rsid w:val="00AB54D7"/>
    <w:rsid w:val="00AB57D3"/>
    <w:rsid w:val="00AB5B89"/>
    <w:rsid w:val="00AB6886"/>
    <w:rsid w:val="00AB6AE4"/>
    <w:rsid w:val="00AB6E00"/>
    <w:rsid w:val="00AB6F37"/>
    <w:rsid w:val="00AB769E"/>
    <w:rsid w:val="00AB7D55"/>
    <w:rsid w:val="00AB7E3E"/>
    <w:rsid w:val="00AC040D"/>
    <w:rsid w:val="00AC0681"/>
    <w:rsid w:val="00AC154B"/>
    <w:rsid w:val="00AC1B72"/>
    <w:rsid w:val="00AC26FE"/>
    <w:rsid w:val="00AC350D"/>
    <w:rsid w:val="00AC3568"/>
    <w:rsid w:val="00AC3CF2"/>
    <w:rsid w:val="00AC47EC"/>
    <w:rsid w:val="00AC4E5D"/>
    <w:rsid w:val="00AC6C53"/>
    <w:rsid w:val="00AC6E85"/>
    <w:rsid w:val="00AC7284"/>
    <w:rsid w:val="00AC7985"/>
    <w:rsid w:val="00AC7CE6"/>
    <w:rsid w:val="00AC7D02"/>
    <w:rsid w:val="00AD0828"/>
    <w:rsid w:val="00AD0B13"/>
    <w:rsid w:val="00AD0E69"/>
    <w:rsid w:val="00AD103D"/>
    <w:rsid w:val="00AD159C"/>
    <w:rsid w:val="00AD17FA"/>
    <w:rsid w:val="00AD19EC"/>
    <w:rsid w:val="00AD2717"/>
    <w:rsid w:val="00AD32BD"/>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2A4"/>
    <w:rsid w:val="00AE6C3C"/>
    <w:rsid w:val="00AE702E"/>
    <w:rsid w:val="00AE73E0"/>
    <w:rsid w:val="00AE7E0A"/>
    <w:rsid w:val="00AF03C0"/>
    <w:rsid w:val="00AF166F"/>
    <w:rsid w:val="00AF1C03"/>
    <w:rsid w:val="00AF1C74"/>
    <w:rsid w:val="00AF2079"/>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5E4"/>
    <w:rsid w:val="00B00830"/>
    <w:rsid w:val="00B00AB5"/>
    <w:rsid w:val="00B00CC0"/>
    <w:rsid w:val="00B00F5C"/>
    <w:rsid w:val="00B019C1"/>
    <w:rsid w:val="00B0236E"/>
    <w:rsid w:val="00B02506"/>
    <w:rsid w:val="00B028AA"/>
    <w:rsid w:val="00B02ACE"/>
    <w:rsid w:val="00B03913"/>
    <w:rsid w:val="00B04CEA"/>
    <w:rsid w:val="00B05607"/>
    <w:rsid w:val="00B05A08"/>
    <w:rsid w:val="00B05F14"/>
    <w:rsid w:val="00B06737"/>
    <w:rsid w:val="00B06BE9"/>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5FDF"/>
    <w:rsid w:val="00B16198"/>
    <w:rsid w:val="00B16A2C"/>
    <w:rsid w:val="00B16FB6"/>
    <w:rsid w:val="00B17022"/>
    <w:rsid w:val="00B203FF"/>
    <w:rsid w:val="00B21736"/>
    <w:rsid w:val="00B218B1"/>
    <w:rsid w:val="00B21A33"/>
    <w:rsid w:val="00B224AA"/>
    <w:rsid w:val="00B22998"/>
    <w:rsid w:val="00B229FE"/>
    <w:rsid w:val="00B2302B"/>
    <w:rsid w:val="00B233BB"/>
    <w:rsid w:val="00B23BDC"/>
    <w:rsid w:val="00B24363"/>
    <w:rsid w:val="00B2456E"/>
    <w:rsid w:val="00B24979"/>
    <w:rsid w:val="00B250A5"/>
    <w:rsid w:val="00B25651"/>
    <w:rsid w:val="00B26937"/>
    <w:rsid w:val="00B26A46"/>
    <w:rsid w:val="00B27277"/>
    <w:rsid w:val="00B30243"/>
    <w:rsid w:val="00B30421"/>
    <w:rsid w:val="00B30DC8"/>
    <w:rsid w:val="00B315BB"/>
    <w:rsid w:val="00B31977"/>
    <w:rsid w:val="00B3235A"/>
    <w:rsid w:val="00B333FE"/>
    <w:rsid w:val="00B3382B"/>
    <w:rsid w:val="00B35094"/>
    <w:rsid w:val="00B350F0"/>
    <w:rsid w:val="00B357AC"/>
    <w:rsid w:val="00B35992"/>
    <w:rsid w:val="00B35CB8"/>
    <w:rsid w:val="00B35E4B"/>
    <w:rsid w:val="00B35FCC"/>
    <w:rsid w:val="00B36518"/>
    <w:rsid w:val="00B3715A"/>
    <w:rsid w:val="00B378CC"/>
    <w:rsid w:val="00B41615"/>
    <w:rsid w:val="00B41FD8"/>
    <w:rsid w:val="00B420DF"/>
    <w:rsid w:val="00B428E2"/>
    <w:rsid w:val="00B42A2C"/>
    <w:rsid w:val="00B42A5C"/>
    <w:rsid w:val="00B42A98"/>
    <w:rsid w:val="00B42C64"/>
    <w:rsid w:val="00B43204"/>
    <w:rsid w:val="00B4449E"/>
    <w:rsid w:val="00B448EF"/>
    <w:rsid w:val="00B4643C"/>
    <w:rsid w:val="00B47493"/>
    <w:rsid w:val="00B474C8"/>
    <w:rsid w:val="00B474DF"/>
    <w:rsid w:val="00B47915"/>
    <w:rsid w:val="00B50E18"/>
    <w:rsid w:val="00B510A6"/>
    <w:rsid w:val="00B513A9"/>
    <w:rsid w:val="00B51568"/>
    <w:rsid w:val="00B51610"/>
    <w:rsid w:val="00B5167B"/>
    <w:rsid w:val="00B520E3"/>
    <w:rsid w:val="00B52336"/>
    <w:rsid w:val="00B526E1"/>
    <w:rsid w:val="00B52FED"/>
    <w:rsid w:val="00B5388C"/>
    <w:rsid w:val="00B53908"/>
    <w:rsid w:val="00B55CED"/>
    <w:rsid w:val="00B55D57"/>
    <w:rsid w:val="00B55E9D"/>
    <w:rsid w:val="00B55F80"/>
    <w:rsid w:val="00B56480"/>
    <w:rsid w:val="00B565D6"/>
    <w:rsid w:val="00B57243"/>
    <w:rsid w:val="00B576A4"/>
    <w:rsid w:val="00B57998"/>
    <w:rsid w:val="00B57B46"/>
    <w:rsid w:val="00B57CD0"/>
    <w:rsid w:val="00B57DA9"/>
    <w:rsid w:val="00B60177"/>
    <w:rsid w:val="00B60639"/>
    <w:rsid w:val="00B62C13"/>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1965"/>
    <w:rsid w:val="00B7220D"/>
    <w:rsid w:val="00B72836"/>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530D"/>
    <w:rsid w:val="00B8756E"/>
    <w:rsid w:val="00B87DF9"/>
    <w:rsid w:val="00B91951"/>
    <w:rsid w:val="00B91A58"/>
    <w:rsid w:val="00B91EAD"/>
    <w:rsid w:val="00B920B9"/>
    <w:rsid w:val="00B930D2"/>
    <w:rsid w:val="00B937CD"/>
    <w:rsid w:val="00B938BC"/>
    <w:rsid w:val="00B93997"/>
    <w:rsid w:val="00B939CB"/>
    <w:rsid w:val="00B93C98"/>
    <w:rsid w:val="00B93D54"/>
    <w:rsid w:val="00B976BB"/>
    <w:rsid w:val="00BA01A7"/>
    <w:rsid w:val="00BA0224"/>
    <w:rsid w:val="00BA05C8"/>
    <w:rsid w:val="00BA09AA"/>
    <w:rsid w:val="00BA0AD5"/>
    <w:rsid w:val="00BA0CA0"/>
    <w:rsid w:val="00BA0E3C"/>
    <w:rsid w:val="00BA1F74"/>
    <w:rsid w:val="00BA1FE7"/>
    <w:rsid w:val="00BA2B1D"/>
    <w:rsid w:val="00BA3515"/>
    <w:rsid w:val="00BA3D14"/>
    <w:rsid w:val="00BA435A"/>
    <w:rsid w:val="00BA45C2"/>
    <w:rsid w:val="00BA54BA"/>
    <w:rsid w:val="00BA5603"/>
    <w:rsid w:val="00BA56D9"/>
    <w:rsid w:val="00BA6194"/>
    <w:rsid w:val="00BA7EEE"/>
    <w:rsid w:val="00BB19F7"/>
    <w:rsid w:val="00BB2008"/>
    <w:rsid w:val="00BB29DF"/>
    <w:rsid w:val="00BB2CFC"/>
    <w:rsid w:val="00BB34DC"/>
    <w:rsid w:val="00BB35D0"/>
    <w:rsid w:val="00BB3AC4"/>
    <w:rsid w:val="00BB4712"/>
    <w:rsid w:val="00BB4999"/>
    <w:rsid w:val="00BB4BCD"/>
    <w:rsid w:val="00BB4D62"/>
    <w:rsid w:val="00BB5126"/>
    <w:rsid w:val="00BB56C7"/>
    <w:rsid w:val="00BB5B62"/>
    <w:rsid w:val="00BB5D90"/>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0E36"/>
    <w:rsid w:val="00BD2668"/>
    <w:rsid w:val="00BD3924"/>
    <w:rsid w:val="00BD43F0"/>
    <w:rsid w:val="00BD450F"/>
    <w:rsid w:val="00BD4512"/>
    <w:rsid w:val="00BD4C18"/>
    <w:rsid w:val="00BD52AA"/>
    <w:rsid w:val="00BD52AB"/>
    <w:rsid w:val="00BE065D"/>
    <w:rsid w:val="00BE1061"/>
    <w:rsid w:val="00BE1321"/>
    <w:rsid w:val="00BE1917"/>
    <w:rsid w:val="00BE1DD4"/>
    <w:rsid w:val="00BE22B2"/>
    <w:rsid w:val="00BE2893"/>
    <w:rsid w:val="00BE2EB4"/>
    <w:rsid w:val="00BE2F5A"/>
    <w:rsid w:val="00BE37D3"/>
    <w:rsid w:val="00BE522A"/>
    <w:rsid w:val="00BE57B5"/>
    <w:rsid w:val="00BE77DB"/>
    <w:rsid w:val="00BE7A7C"/>
    <w:rsid w:val="00BF0A44"/>
    <w:rsid w:val="00BF0CEC"/>
    <w:rsid w:val="00BF103B"/>
    <w:rsid w:val="00BF1A44"/>
    <w:rsid w:val="00BF1EDF"/>
    <w:rsid w:val="00BF4D3D"/>
    <w:rsid w:val="00BF5B8C"/>
    <w:rsid w:val="00BF66B7"/>
    <w:rsid w:val="00BF66C6"/>
    <w:rsid w:val="00BF6A68"/>
    <w:rsid w:val="00BF7152"/>
    <w:rsid w:val="00BF73F0"/>
    <w:rsid w:val="00BF75B1"/>
    <w:rsid w:val="00BF75C9"/>
    <w:rsid w:val="00BF7BD3"/>
    <w:rsid w:val="00C00352"/>
    <w:rsid w:val="00C007CE"/>
    <w:rsid w:val="00C00A22"/>
    <w:rsid w:val="00C00F18"/>
    <w:rsid w:val="00C01D39"/>
    <w:rsid w:val="00C0200C"/>
    <w:rsid w:val="00C020A8"/>
    <w:rsid w:val="00C028BE"/>
    <w:rsid w:val="00C02C92"/>
    <w:rsid w:val="00C034A4"/>
    <w:rsid w:val="00C03DD0"/>
    <w:rsid w:val="00C04445"/>
    <w:rsid w:val="00C04705"/>
    <w:rsid w:val="00C04A7F"/>
    <w:rsid w:val="00C04E2B"/>
    <w:rsid w:val="00C051AA"/>
    <w:rsid w:val="00C05D26"/>
    <w:rsid w:val="00C060A0"/>
    <w:rsid w:val="00C07187"/>
    <w:rsid w:val="00C075C9"/>
    <w:rsid w:val="00C07FAD"/>
    <w:rsid w:val="00C106C4"/>
    <w:rsid w:val="00C10711"/>
    <w:rsid w:val="00C111EA"/>
    <w:rsid w:val="00C115E4"/>
    <w:rsid w:val="00C119AD"/>
    <w:rsid w:val="00C1228D"/>
    <w:rsid w:val="00C13530"/>
    <w:rsid w:val="00C13FED"/>
    <w:rsid w:val="00C14E7D"/>
    <w:rsid w:val="00C15722"/>
    <w:rsid w:val="00C16897"/>
    <w:rsid w:val="00C200C9"/>
    <w:rsid w:val="00C21D8E"/>
    <w:rsid w:val="00C22133"/>
    <w:rsid w:val="00C22525"/>
    <w:rsid w:val="00C232F9"/>
    <w:rsid w:val="00C238F3"/>
    <w:rsid w:val="00C23DBB"/>
    <w:rsid w:val="00C23FE1"/>
    <w:rsid w:val="00C240C2"/>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5C3"/>
    <w:rsid w:val="00C326EE"/>
    <w:rsid w:val="00C327C8"/>
    <w:rsid w:val="00C32951"/>
    <w:rsid w:val="00C32C02"/>
    <w:rsid w:val="00C33235"/>
    <w:rsid w:val="00C33677"/>
    <w:rsid w:val="00C34137"/>
    <w:rsid w:val="00C3476B"/>
    <w:rsid w:val="00C35240"/>
    <w:rsid w:val="00C368B3"/>
    <w:rsid w:val="00C36F07"/>
    <w:rsid w:val="00C37214"/>
    <w:rsid w:val="00C372E8"/>
    <w:rsid w:val="00C374D3"/>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0F88"/>
    <w:rsid w:val="00C51426"/>
    <w:rsid w:val="00C51622"/>
    <w:rsid w:val="00C519E5"/>
    <w:rsid w:val="00C51FB3"/>
    <w:rsid w:val="00C5223C"/>
    <w:rsid w:val="00C52A35"/>
    <w:rsid w:val="00C53213"/>
    <w:rsid w:val="00C53796"/>
    <w:rsid w:val="00C53917"/>
    <w:rsid w:val="00C541DE"/>
    <w:rsid w:val="00C54C11"/>
    <w:rsid w:val="00C54C67"/>
    <w:rsid w:val="00C54E65"/>
    <w:rsid w:val="00C56324"/>
    <w:rsid w:val="00C5653B"/>
    <w:rsid w:val="00C565A3"/>
    <w:rsid w:val="00C57531"/>
    <w:rsid w:val="00C577F7"/>
    <w:rsid w:val="00C60667"/>
    <w:rsid w:val="00C61AB9"/>
    <w:rsid w:val="00C61F84"/>
    <w:rsid w:val="00C62FF7"/>
    <w:rsid w:val="00C63135"/>
    <w:rsid w:val="00C637DC"/>
    <w:rsid w:val="00C63B4B"/>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2C5E"/>
    <w:rsid w:val="00C73E67"/>
    <w:rsid w:val="00C73F55"/>
    <w:rsid w:val="00C73FAD"/>
    <w:rsid w:val="00C74AE1"/>
    <w:rsid w:val="00C757B8"/>
    <w:rsid w:val="00C75AF5"/>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50B"/>
    <w:rsid w:val="00C8773E"/>
    <w:rsid w:val="00C90601"/>
    <w:rsid w:val="00C90D16"/>
    <w:rsid w:val="00C9116A"/>
    <w:rsid w:val="00C9265D"/>
    <w:rsid w:val="00C92824"/>
    <w:rsid w:val="00C937BA"/>
    <w:rsid w:val="00C93AC1"/>
    <w:rsid w:val="00C949FC"/>
    <w:rsid w:val="00C94A0F"/>
    <w:rsid w:val="00C960CF"/>
    <w:rsid w:val="00C96672"/>
    <w:rsid w:val="00C96678"/>
    <w:rsid w:val="00C96772"/>
    <w:rsid w:val="00C96CFA"/>
    <w:rsid w:val="00C96E5A"/>
    <w:rsid w:val="00C96EB5"/>
    <w:rsid w:val="00CA0257"/>
    <w:rsid w:val="00CA0917"/>
    <w:rsid w:val="00CA102B"/>
    <w:rsid w:val="00CA283D"/>
    <w:rsid w:val="00CA29D1"/>
    <w:rsid w:val="00CA2DD6"/>
    <w:rsid w:val="00CA3036"/>
    <w:rsid w:val="00CA3247"/>
    <w:rsid w:val="00CA3752"/>
    <w:rsid w:val="00CA3999"/>
    <w:rsid w:val="00CA39C0"/>
    <w:rsid w:val="00CA4CC4"/>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3F2"/>
    <w:rsid w:val="00CC7A11"/>
    <w:rsid w:val="00CC7B6F"/>
    <w:rsid w:val="00CD0002"/>
    <w:rsid w:val="00CD04A8"/>
    <w:rsid w:val="00CD051B"/>
    <w:rsid w:val="00CD1DB1"/>
    <w:rsid w:val="00CD22B5"/>
    <w:rsid w:val="00CD22F4"/>
    <w:rsid w:val="00CD25E1"/>
    <w:rsid w:val="00CD2BE5"/>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9D1"/>
    <w:rsid w:val="00CE5BDE"/>
    <w:rsid w:val="00CE6A6D"/>
    <w:rsid w:val="00CE774C"/>
    <w:rsid w:val="00CF012E"/>
    <w:rsid w:val="00CF04D4"/>
    <w:rsid w:val="00CF0B4C"/>
    <w:rsid w:val="00CF13A6"/>
    <w:rsid w:val="00CF1680"/>
    <w:rsid w:val="00CF1BD7"/>
    <w:rsid w:val="00CF21A5"/>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782"/>
    <w:rsid w:val="00D06824"/>
    <w:rsid w:val="00D06C03"/>
    <w:rsid w:val="00D06C2B"/>
    <w:rsid w:val="00D1037A"/>
    <w:rsid w:val="00D10D09"/>
    <w:rsid w:val="00D1163E"/>
    <w:rsid w:val="00D12362"/>
    <w:rsid w:val="00D12A4F"/>
    <w:rsid w:val="00D132CC"/>
    <w:rsid w:val="00D14114"/>
    <w:rsid w:val="00D14C15"/>
    <w:rsid w:val="00D15CB3"/>
    <w:rsid w:val="00D15F51"/>
    <w:rsid w:val="00D16ED5"/>
    <w:rsid w:val="00D17124"/>
    <w:rsid w:val="00D202B1"/>
    <w:rsid w:val="00D20662"/>
    <w:rsid w:val="00D21291"/>
    <w:rsid w:val="00D21C8A"/>
    <w:rsid w:val="00D22646"/>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6FAB"/>
    <w:rsid w:val="00D373CD"/>
    <w:rsid w:val="00D373E9"/>
    <w:rsid w:val="00D37C61"/>
    <w:rsid w:val="00D403FF"/>
    <w:rsid w:val="00D404C4"/>
    <w:rsid w:val="00D40CE9"/>
    <w:rsid w:val="00D42115"/>
    <w:rsid w:val="00D42EFD"/>
    <w:rsid w:val="00D44D96"/>
    <w:rsid w:val="00D457D1"/>
    <w:rsid w:val="00D458AA"/>
    <w:rsid w:val="00D46338"/>
    <w:rsid w:val="00D46720"/>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5FDA"/>
    <w:rsid w:val="00D572B2"/>
    <w:rsid w:val="00D57F53"/>
    <w:rsid w:val="00D60311"/>
    <w:rsid w:val="00D60CAB"/>
    <w:rsid w:val="00D610FD"/>
    <w:rsid w:val="00D612AF"/>
    <w:rsid w:val="00D6188E"/>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34B8"/>
    <w:rsid w:val="00D73860"/>
    <w:rsid w:val="00D74160"/>
    <w:rsid w:val="00D75C04"/>
    <w:rsid w:val="00D75D22"/>
    <w:rsid w:val="00D75DA5"/>
    <w:rsid w:val="00D7630B"/>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038"/>
    <w:rsid w:val="00D907CB"/>
    <w:rsid w:val="00D91BF2"/>
    <w:rsid w:val="00D91FB8"/>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88D"/>
    <w:rsid w:val="00DC4D1D"/>
    <w:rsid w:val="00DC4D87"/>
    <w:rsid w:val="00DC54EB"/>
    <w:rsid w:val="00DC580A"/>
    <w:rsid w:val="00DC5B50"/>
    <w:rsid w:val="00DC66BC"/>
    <w:rsid w:val="00DC727F"/>
    <w:rsid w:val="00DC74A4"/>
    <w:rsid w:val="00DC7E78"/>
    <w:rsid w:val="00DD0493"/>
    <w:rsid w:val="00DD0924"/>
    <w:rsid w:val="00DD0ACC"/>
    <w:rsid w:val="00DD0CBF"/>
    <w:rsid w:val="00DD1071"/>
    <w:rsid w:val="00DD12FD"/>
    <w:rsid w:val="00DD1576"/>
    <w:rsid w:val="00DD2893"/>
    <w:rsid w:val="00DD4717"/>
    <w:rsid w:val="00DD4F74"/>
    <w:rsid w:val="00DD531F"/>
    <w:rsid w:val="00DD556C"/>
    <w:rsid w:val="00DD5737"/>
    <w:rsid w:val="00DD5E81"/>
    <w:rsid w:val="00DD6C46"/>
    <w:rsid w:val="00DD6C7A"/>
    <w:rsid w:val="00DD6D3A"/>
    <w:rsid w:val="00DD6F44"/>
    <w:rsid w:val="00DD7750"/>
    <w:rsid w:val="00DD7CCA"/>
    <w:rsid w:val="00DE0BDE"/>
    <w:rsid w:val="00DE0E33"/>
    <w:rsid w:val="00DE10CF"/>
    <w:rsid w:val="00DE1270"/>
    <w:rsid w:val="00DE1E1E"/>
    <w:rsid w:val="00DE223E"/>
    <w:rsid w:val="00DE2D33"/>
    <w:rsid w:val="00DE30A6"/>
    <w:rsid w:val="00DE34EB"/>
    <w:rsid w:val="00DE3592"/>
    <w:rsid w:val="00DE3E78"/>
    <w:rsid w:val="00DE41F8"/>
    <w:rsid w:val="00DE4B9D"/>
    <w:rsid w:val="00DE50EA"/>
    <w:rsid w:val="00DE545C"/>
    <w:rsid w:val="00DE576B"/>
    <w:rsid w:val="00DE5C9F"/>
    <w:rsid w:val="00DE734E"/>
    <w:rsid w:val="00DE7887"/>
    <w:rsid w:val="00DE7BF8"/>
    <w:rsid w:val="00DF0DC3"/>
    <w:rsid w:val="00DF101C"/>
    <w:rsid w:val="00DF14F9"/>
    <w:rsid w:val="00DF1C2D"/>
    <w:rsid w:val="00DF1FAE"/>
    <w:rsid w:val="00DF2AD9"/>
    <w:rsid w:val="00DF2C32"/>
    <w:rsid w:val="00DF54D0"/>
    <w:rsid w:val="00DF580C"/>
    <w:rsid w:val="00DF5C1A"/>
    <w:rsid w:val="00DF645E"/>
    <w:rsid w:val="00DF6BCB"/>
    <w:rsid w:val="00DF6D45"/>
    <w:rsid w:val="00DF7042"/>
    <w:rsid w:val="00DF78FD"/>
    <w:rsid w:val="00DF7EFE"/>
    <w:rsid w:val="00E004F9"/>
    <w:rsid w:val="00E00E15"/>
    <w:rsid w:val="00E00F63"/>
    <w:rsid w:val="00E01210"/>
    <w:rsid w:val="00E01D50"/>
    <w:rsid w:val="00E02664"/>
    <w:rsid w:val="00E02C4D"/>
    <w:rsid w:val="00E031A5"/>
    <w:rsid w:val="00E0341B"/>
    <w:rsid w:val="00E0348F"/>
    <w:rsid w:val="00E035A6"/>
    <w:rsid w:val="00E038F5"/>
    <w:rsid w:val="00E03D67"/>
    <w:rsid w:val="00E043E6"/>
    <w:rsid w:val="00E04510"/>
    <w:rsid w:val="00E04784"/>
    <w:rsid w:val="00E05420"/>
    <w:rsid w:val="00E05569"/>
    <w:rsid w:val="00E05A6C"/>
    <w:rsid w:val="00E05F59"/>
    <w:rsid w:val="00E0655D"/>
    <w:rsid w:val="00E1024A"/>
    <w:rsid w:val="00E10B17"/>
    <w:rsid w:val="00E10B67"/>
    <w:rsid w:val="00E12742"/>
    <w:rsid w:val="00E12AB9"/>
    <w:rsid w:val="00E12B67"/>
    <w:rsid w:val="00E13188"/>
    <w:rsid w:val="00E141D3"/>
    <w:rsid w:val="00E14941"/>
    <w:rsid w:val="00E150E3"/>
    <w:rsid w:val="00E1526B"/>
    <w:rsid w:val="00E1534B"/>
    <w:rsid w:val="00E15408"/>
    <w:rsid w:val="00E155FD"/>
    <w:rsid w:val="00E15743"/>
    <w:rsid w:val="00E15C52"/>
    <w:rsid w:val="00E15EDA"/>
    <w:rsid w:val="00E15F0B"/>
    <w:rsid w:val="00E160E8"/>
    <w:rsid w:val="00E16199"/>
    <w:rsid w:val="00E16311"/>
    <w:rsid w:val="00E1702C"/>
    <w:rsid w:val="00E1743C"/>
    <w:rsid w:val="00E20CC5"/>
    <w:rsid w:val="00E2130D"/>
    <w:rsid w:val="00E21ACA"/>
    <w:rsid w:val="00E22B80"/>
    <w:rsid w:val="00E22C0E"/>
    <w:rsid w:val="00E22CFF"/>
    <w:rsid w:val="00E231CD"/>
    <w:rsid w:val="00E231E1"/>
    <w:rsid w:val="00E23888"/>
    <w:rsid w:val="00E23B35"/>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A4B"/>
    <w:rsid w:val="00E31C2D"/>
    <w:rsid w:val="00E31FEC"/>
    <w:rsid w:val="00E32432"/>
    <w:rsid w:val="00E32D29"/>
    <w:rsid w:val="00E33B1E"/>
    <w:rsid w:val="00E34277"/>
    <w:rsid w:val="00E345FB"/>
    <w:rsid w:val="00E3621B"/>
    <w:rsid w:val="00E36942"/>
    <w:rsid w:val="00E36F43"/>
    <w:rsid w:val="00E37F0C"/>
    <w:rsid w:val="00E40ADF"/>
    <w:rsid w:val="00E418E3"/>
    <w:rsid w:val="00E423DE"/>
    <w:rsid w:val="00E42F07"/>
    <w:rsid w:val="00E4370F"/>
    <w:rsid w:val="00E4441D"/>
    <w:rsid w:val="00E453AB"/>
    <w:rsid w:val="00E4576D"/>
    <w:rsid w:val="00E462E6"/>
    <w:rsid w:val="00E463A0"/>
    <w:rsid w:val="00E47839"/>
    <w:rsid w:val="00E51CDE"/>
    <w:rsid w:val="00E5210B"/>
    <w:rsid w:val="00E53631"/>
    <w:rsid w:val="00E5388F"/>
    <w:rsid w:val="00E54239"/>
    <w:rsid w:val="00E54272"/>
    <w:rsid w:val="00E542BC"/>
    <w:rsid w:val="00E54521"/>
    <w:rsid w:val="00E54617"/>
    <w:rsid w:val="00E5484B"/>
    <w:rsid w:val="00E54B8D"/>
    <w:rsid w:val="00E54DA1"/>
    <w:rsid w:val="00E55F31"/>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A06"/>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6F3E"/>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2AA1"/>
    <w:rsid w:val="00EB31A3"/>
    <w:rsid w:val="00EB325B"/>
    <w:rsid w:val="00EB3E22"/>
    <w:rsid w:val="00EB693B"/>
    <w:rsid w:val="00EB718C"/>
    <w:rsid w:val="00EB74F8"/>
    <w:rsid w:val="00EB7BA9"/>
    <w:rsid w:val="00EB7D75"/>
    <w:rsid w:val="00EC0B20"/>
    <w:rsid w:val="00EC0EE7"/>
    <w:rsid w:val="00EC1C3A"/>
    <w:rsid w:val="00EC1F51"/>
    <w:rsid w:val="00EC2B1D"/>
    <w:rsid w:val="00EC3462"/>
    <w:rsid w:val="00EC4233"/>
    <w:rsid w:val="00EC4351"/>
    <w:rsid w:val="00EC4544"/>
    <w:rsid w:val="00EC4A85"/>
    <w:rsid w:val="00EC57B2"/>
    <w:rsid w:val="00EC58F4"/>
    <w:rsid w:val="00EC650B"/>
    <w:rsid w:val="00EC7808"/>
    <w:rsid w:val="00EC7BFA"/>
    <w:rsid w:val="00ED042E"/>
    <w:rsid w:val="00ED1295"/>
    <w:rsid w:val="00ED2725"/>
    <w:rsid w:val="00ED34D1"/>
    <w:rsid w:val="00ED367F"/>
    <w:rsid w:val="00ED37AE"/>
    <w:rsid w:val="00ED4206"/>
    <w:rsid w:val="00ED4240"/>
    <w:rsid w:val="00ED53D3"/>
    <w:rsid w:val="00ED58A2"/>
    <w:rsid w:val="00ED58C3"/>
    <w:rsid w:val="00ED5C71"/>
    <w:rsid w:val="00ED5DB5"/>
    <w:rsid w:val="00ED5EEE"/>
    <w:rsid w:val="00ED667C"/>
    <w:rsid w:val="00ED7966"/>
    <w:rsid w:val="00EE01CC"/>
    <w:rsid w:val="00EE04EE"/>
    <w:rsid w:val="00EE1760"/>
    <w:rsid w:val="00EE287D"/>
    <w:rsid w:val="00EE3B32"/>
    <w:rsid w:val="00EE3CFF"/>
    <w:rsid w:val="00EE3F39"/>
    <w:rsid w:val="00EE414C"/>
    <w:rsid w:val="00EE44FE"/>
    <w:rsid w:val="00EE521C"/>
    <w:rsid w:val="00EE5406"/>
    <w:rsid w:val="00EE5EF8"/>
    <w:rsid w:val="00EE62AF"/>
    <w:rsid w:val="00EE6964"/>
    <w:rsid w:val="00EE6A1D"/>
    <w:rsid w:val="00EE6D18"/>
    <w:rsid w:val="00EE7E7A"/>
    <w:rsid w:val="00EF074C"/>
    <w:rsid w:val="00EF1230"/>
    <w:rsid w:val="00EF12A1"/>
    <w:rsid w:val="00EF223B"/>
    <w:rsid w:val="00EF29DE"/>
    <w:rsid w:val="00EF3978"/>
    <w:rsid w:val="00EF3A19"/>
    <w:rsid w:val="00EF3AAC"/>
    <w:rsid w:val="00EF4D42"/>
    <w:rsid w:val="00EF4FD1"/>
    <w:rsid w:val="00EF5318"/>
    <w:rsid w:val="00EF708A"/>
    <w:rsid w:val="00EF72C3"/>
    <w:rsid w:val="00EF79CE"/>
    <w:rsid w:val="00F00152"/>
    <w:rsid w:val="00F00352"/>
    <w:rsid w:val="00F00989"/>
    <w:rsid w:val="00F00A83"/>
    <w:rsid w:val="00F00B1B"/>
    <w:rsid w:val="00F00E37"/>
    <w:rsid w:val="00F010EE"/>
    <w:rsid w:val="00F01383"/>
    <w:rsid w:val="00F0167D"/>
    <w:rsid w:val="00F0177A"/>
    <w:rsid w:val="00F019D5"/>
    <w:rsid w:val="00F02500"/>
    <w:rsid w:val="00F032E2"/>
    <w:rsid w:val="00F037E3"/>
    <w:rsid w:val="00F03FF2"/>
    <w:rsid w:val="00F04F9E"/>
    <w:rsid w:val="00F06A47"/>
    <w:rsid w:val="00F06FCD"/>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4BD8"/>
    <w:rsid w:val="00F15884"/>
    <w:rsid w:val="00F15B8E"/>
    <w:rsid w:val="00F16665"/>
    <w:rsid w:val="00F16FB0"/>
    <w:rsid w:val="00F1733B"/>
    <w:rsid w:val="00F17474"/>
    <w:rsid w:val="00F201CC"/>
    <w:rsid w:val="00F20421"/>
    <w:rsid w:val="00F20487"/>
    <w:rsid w:val="00F20F65"/>
    <w:rsid w:val="00F2106D"/>
    <w:rsid w:val="00F21D6F"/>
    <w:rsid w:val="00F22337"/>
    <w:rsid w:val="00F22D65"/>
    <w:rsid w:val="00F23175"/>
    <w:rsid w:val="00F23FB0"/>
    <w:rsid w:val="00F2456D"/>
    <w:rsid w:val="00F2480A"/>
    <w:rsid w:val="00F24891"/>
    <w:rsid w:val="00F24B9F"/>
    <w:rsid w:val="00F24CA6"/>
    <w:rsid w:val="00F256AE"/>
    <w:rsid w:val="00F25773"/>
    <w:rsid w:val="00F257FA"/>
    <w:rsid w:val="00F26004"/>
    <w:rsid w:val="00F270E8"/>
    <w:rsid w:val="00F27778"/>
    <w:rsid w:val="00F27EF5"/>
    <w:rsid w:val="00F27FDB"/>
    <w:rsid w:val="00F30251"/>
    <w:rsid w:val="00F305CC"/>
    <w:rsid w:val="00F3179A"/>
    <w:rsid w:val="00F31D54"/>
    <w:rsid w:val="00F32357"/>
    <w:rsid w:val="00F32C70"/>
    <w:rsid w:val="00F33B8C"/>
    <w:rsid w:val="00F34E02"/>
    <w:rsid w:val="00F3549E"/>
    <w:rsid w:val="00F35E38"/>
    <w:rsid w:val="00F365A7"/>
    <w:rsid w:val="00F3681C"/>
    <w:rsid w:val="00F3769D"/>
    <w:rsid w:val="00F404F4"/>
    <w:rsid w:val="00F4143E"/>
    <w:rsid w:val="00F41CC5"/>
    <w:rsid w:val="00F41D25"/>
    <w:rsid w:val="00F423C2"/>
    <w:rsid w:val="00F43268"/>
    <w:rsid w:val="00F433F8"/>
    <w:rsid w:val="00F433FE"/>
    <w:rsid w:val="00F43627"/>
    <w:rsid w:val="00F43781"/>
    <w:rsid w:val="00F4463C"/>
    <w:rsid w:val="00F473A5"/>
    <w:rsid w:val="00F473F3"/>
    <w:rsid w:val="00F474B8"/>
    <w:rsid w:val="00F478CA"/>
    <w:rsid w:val="00F47CE2"/>
    <w:rsid w:val="00F47DB7"/>
    <w:rsid w:val="00F501F3"/>
    <w:rsid w:val="00F50A98"/>
    <w:rsid w:val="00F50E5F"/>
    <w:rsid w:val="00F51460"/>
    <w:rsid w:val="00F51667"/>
    <w:rsid w:val="00F521DC"/>
    <w:rsid w:val="00F53199"/>
    <w:rsid w:val="00F537EA"/>
    <w:rsid w:val="00F53E11"/>
    <w:rsid w:val="00F541A1"/>
    <w:rsid w:val="00F541B6"/>
    <w:rsid w:val="00F54B09"/>
    <w:rsid w:val="00F54BEA"/>
    <w:rsid w:val="00F54E8A"/>
    <w:rsid w:val="00F559A8"/>
    <w:rsid w:val="00F55C21"/>
    <w:rsid w:val="00F55E5F"/>
    <w:rsid w:val="00F55F6D"/>
    <w:rsid w:val="00F568AC"/>
    <w:rsid w:val="00F5736B"/>
    <w:rsid w:val="00F57880"/>
    <w:rsid w:val="00F608AB"/>
    <w:rsid w:val="00F60BE7"/>
    <w:rsid w:val="00F614C5"/>
    <w:rsid w:val="00F6159C"/>
    <w:rsid w:val="00F61714"/>
    <w:rsid w:val="00F6238F"/>
    <w:rsid w:val="00F63E59"/>
    <w:rsid w:val="00F64BE0"/>
    <w:rsid w:val="00F65B68"/>
    <w:rsid w:val="00F65D9F"/>
    <w:rsid w:val="00F67846"/>
    <w:rsid w:val="00F67B42"/>
    <w:rsid w:val="00F70B72"/>
    <w:rsid w:val="00F70DEF"/>
    <w:rsid w:val="00F70EA3"/>
    <w:rsid w:val="00F71398"/>
    <w:rsid w:val="00F72579"/>
    <w:rsid w:val="00F7294C"/>
    <w:rsid w:val="00F72C5F"/>
    <w:rsid w:val="00F734C3"/>
    <w:rsid w:val="00F73549"/>
    <w:rsid w:val="00F75782"/>
    <w:rsid w:val="00F7706B"/>
    <w:rsid w:val="00F7780A"/>
    <w:rsid w:val="00F77BAC"/>
    <w:rsid w:val="00F80C1D"/>
    <w:rsid w:val="00F81130"/>
    <w:rsid w:val="00F81840"/>
    <w:rsid w:val="00F818F7"/>
    <w:rsid w:val="00F821FC"/>
    <w:rsid w:val="00F8325D"/>
    <w:rsid w:val="00F832A9"/>
    <w:rsid w:val="00F832B0"/>
    <w:rsid w:val="00F83307"/>
    <w:rsid w:val="00F833A5"/>
    <w:rsid w:val="00F844D3"/>
    <w:rsid w:val="00F84629"/>
    <w:rsid w:val="00F84B71"/>
    <w:rsid w:val="00F84F0E"/>
    <w:rsid w:val="00F8519E"/>
    <w:rsid w:val="00F85FF5"/>
    <w:rsid w:val="00F86BB4"/>
    <w:rsid w:val="00F870F5"/>
    <w:rsid w:val="00F8779A"/>
    <w:rsid w:val="00F902D2"/>
    <w:rsid w:val="00F90B12"/>
    <w:rsid w:val="00F90CBD"/>
    <w:rsid w:val="00F9109E"/>
    <w:rsid w:val="00F9177E"/>
    <w:rsid w:val="00F91E4F"/>
    <w:rsid w:val="00F91FDF"/>
    <w:rsid w:val="00F92AA1"/>
    <w:rsid w:val="00F92D83"/>
    <w:rsid w:val="00F92FDC"/>
    <w:rsid w:val="00F931D2"/>
    <w:rsid w:val="00F93431"/>
    <w:rsid w:val="00F93441"/>
    <w:rsid w:val="00F93A4A"/>
    <w:rsid w:val="00F93AD4"/>
    <w:rsid w:val="00F93D27"/>
    <w:rsid w:val="00F9560C"/>
    <w:rsid w:val="00F95DD6"/>
    <w:rsid w:val="00F96370"/>
    <w:rsid w:val="00F97940"/>
    <w:rsid w:val="00F97BA3"/>
    <w:rsid w:val="00F97EA2"/>
    <w:rsid w:val="00F97F0D"/>
    <w:rsid w:val="00FA0B0A"/>
    <w:rsid w:val="00FA11E8"/>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921"/>
    <w:rsid w:val="00FB5F3A"/>
    <w:rsid w:val="00FB613D"/>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4D1"/>
    <w:rsid w:val="00FC5661"/>
    <w:rsid w:val="00FC5675"/>
    <w:rsid w:val="00FC5876"/>
    <w:rsid w:val="00FC62F5"/>
    <w:rsid w:val="00FC731E"/>
    <w:rsid w:val="00FC7752"/>
    <w:rsid w:val="00FD035A"/>
    <w:rsid w:val="00FD19F1"/>
    <w:rsid w:val="00FD1A7E"/>
    <w:rsid w:val="00FD2CC3"/>
    <w:rsid w:val="00FD31BF"/>
    <w:rsid w:val="00FD37CA"/>
    <w:rsid w:val="00FD3CC7"/>
    <w:rsid w:val="00FD4148"/>
    <w:rsid w:val="00FD4D5B"/>
    <w:rsid w:val="00FD621D"/>
    <w:rsid w:val="00FD6453"/>
    <w:rsid w:val="00FD67FD"/>
    <w:rsid w:val="00FD7CB2"/>
    <w:rsid w:val="00FD7D46"/>
    <w:rsid w:val="00FD7D8B"/>
    <w:rsid w:val="00FE0AF2"/>
    <w:rsid w:val="00FE1C47"/>
    <w:rsid w:val="00FE22DD"/>
    <w:rsid w:val="00FE2CFB"/>
    <w:rsid w:val="00FE2D15"/>
    <w:rsid w:val="00FE41D8"/>
    <w:rsid w:val="00FE4A60"/>
    <w:rsid w:val="00FE54E0"/>
    <w:rsid w:val="00FE55F0"/>
    <w:rsid w:val="00FE5BA6"/>
    <w:rsid w:val="00FE6331"/>
    <w:rsid w:val="00FE685B"/>
    <w:rsid w:val="00FE6C12"/>
    <w:rsid w:val="00FE748A"/>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5C65"/>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C8B704F"/>
  <w14:defaultImageDpi w14:val="330"/>
  <w15:docId w15:val="{0343E434-DBC2-4105-BF9B-69C63977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0"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83F4E"/>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503754"/>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503754"/>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tabs>
        <w:tab w:val="left" w:pos="794"/>
      </w:tabs>
      <w:spacing w:before="0"/>
      <w:jc w:val="left"/>
    </w:pPr>
  </w:style>
  <w:style w:type="paragraph" w:customStyle="1" w:styleId="Figureheading">
    <w:name w:val="Figure heading"/>
    <w:basedOn w:val="Normal"/>
    <w:next w:val="BodyText"/>
    <w:uiPriority w:val="1"/>
    <w:qFormat/>
    <w:rsid w:val="00EA64B4"/>
    <w:pPr>
      <w:keepNext/>
      <w:ind w:left="1134" w:hanging="1134"/>
      <w:jc w:val="left"/>
    </w:pPr>
    <w:rPr>
      <w:b/>
      <w:sz w:val="20"/>
    </w:rPr>
  </w:style>
  <w:style w:type="character" w:styleId="FootnoteReference">
    <w:name w:val="footnote reference"/>
    <w:uiPriority w:val="99"/>
    <w:rsid w:val="00C05D26"/>
    <w:rPr>
      <w:bCs/>
      <w:vertAlign w:val="superscript"/>
    </w:rPr>
  </w:style>
  <w:style w:type="paragraph" w:styleId="FootnoteText">
    <w:name w:val="footnote text"/>
    <w:basedOn w:val="Normal"/>
    <w:link w:val="FootnoteTextChar"/>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4A4DDE"/>
    <w:pPr>
      <w:spacing w:before="60" w:after="60" w:line="240" w:lineRule="auto"/>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table" w:customStyle="1" w:styleId="TableGrid2">
    <w:name w:val="Table Grid2"/>
    <w:basedOn w:val="TableNormal"/>
    <w:next w:val="TableGrid"/>
    <w:uiPriority w:val="39"/>
    <w:rsid w:val="00A078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character" w:customStyle="1" w:styleId="UnresolvedMention1">
    <w:name w:val="Unresolved Mention1"/>
    <w:basedOn w:val="DefaultParagraphFont"/>
    <w:uiPriority w:val="99"/>
    <w:semiHidden/>
    <w:unhideWhenUsed/>
    <w:rsid w:val="00043782"/>
    <w:rPr>
      <w:color w:val="605E5C"/>
      <w:shd w:val="clear" w:color="auto" w:fill="E1DFDD"/>
    </w:rPr>
  </w:style>
  <w:style w:type="table" w:customStyle="1" w:styleId="TableGrid3">
    <w:name w:val="Table Grid3"/>
    <w:basedOn w:val="TableNormal"/>
    <w:next w:val="TableGrid"/>
    <w:uiPriority w:val="39"/>
    <w:rsid w:val="009027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qFormat/>
    <w:rsid w:val="00D75C04"/>
    <w:pPr>
      <w:numPr>
        <w:numId w:val="32"/>
      </w:numPr>
      <w:spacing w:before="0" w:after="0" w:line="240" w:lineRule="auto"/>
      <w:jc w:val="left"/>
    </w:pPr>
    <w:rPr>
      <w:rFonts w:ascii="Arial" w:eastAsia="Times New Roman" w:hAnsi="Arial" w:cs="Times New Roman"/>
      <w:sz w:val="20"/>
      <w:szCs w:val="20"/>
      <w:lang w:eastAsia="en-US"/>
    </w:rPr>
  </w:style>
  <w:style w:type="table" w:customStyle="1" w:styleId="TableGrid4">
    <w:name w:val="Table Grid4"/>
    <w:basedOn w:val="TableNormal"/>
    <w:next w:val="TableGrid"/>
    <w:uiPriority w:val="39"/>
    <w:rsid w:val="008B6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797AC1"/>
    <w:pPr>
      <w:spacing w:line="240" w:lineRule="auto"/>
    </w:pPr>
    <w:rPr>
      <w:sz w:val="20"/>
      <w:szCs w:val="20"/>
    </w:rPr>
  </w:style>
  <w:style w:type="character" w:customStyle="1" w:styleId="CommentTextChar">
    <w:name w:val="Comment Text Char"/>
    <w:basedOn w:val="DefaultParagraphFont"/>
    <w:link w:val="CommentText"/>
    <w:uiPriority w:val="99"/>
    <w:semiHidden/>
    <w:rsid w:val="00797AC1"/>
    <w:rPr>
      <w:rFonts w:ascii="Calibri" w:eastAsiaTheme="minorEastAsia" w:hAnsi="Calibri"/>
      <w:sz w:val="20"/>
      <w:szCs w:val="20"/>
      <w:lang w:eastAsia="en-NZ"/>
    </w:rPr>
  </w:style>
  <w:style w:type="character" w:styleId="UnresolvedMention">
    <w:name w:val="Unresolved Mention"/>
    <w:basedOn w:val="DefaultParagraphFont"/>
    <w:uiPriority w:val="99"/>
    <w:semiHidden/>
    <w:unhideWhenUsed/>
    <w:rsid w:val="00824842"/>
    <w:rPr>
      <w:color w:val="605E5C"/>
      <w:shd w:val="clear" w:color="auto" w:fill="E1DFDD"/>
    </w:rPr>
  </w:style>
  <w:style w:type="paragraph" w:styleId="ListParagraph">
    <w:name w:val="List Paragraph"/>
    <w:basedOn w:val="Normal"/>
    <w:uiPriority w:val="34"/>
    <w:qFormat/>
    <w:rsid w:val="00F21D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mpi.govt.nz/news-and-resources/publications/"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s://ntt.tiaer.tarleton.edu/welcomes/new?locale=en"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wenviron.govt.nz" TargetMode="External"/><Relationship Id="rId31"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pce.parliament.nz/publications/overseer-and-regulatory-oversight-models-uncertainty-and-cleaning-up-our-waterways" TargetMode="External"/><Relationship Id="rId30" Type="http://schemas.openxmlformats.org/officeDocument/2006/relationships/image" Target="media/image4.png"/><Relationship Id="rId35"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overseer.org.nz/" TargetMode="External"/><Relationship Id="rId2" Type="http://schemas.openxmlformats.org/officeDocument/2006/relationships/hyperlink" Target="http://www.pce.parliament.nz/publications/overseer-and-regulatory-oversight-models-uncertainty-and-cleaning-up-our-waterways" TargetMode="External"/><Relationship Id="rId1" Type="http://schemas.openxmlformats.org/officeDocument/2006/relationships/hyperlink" Target="https://www.pce.parliament.nz/publications/overseer-and-regulatory-oversight-models-uncertainty-and-cleaning-up-our-waterways" TargetMode="External"/><Relationship Id="rId4" Type="http://schemas.openxmlformats.org/officeDocument/2006/relationships/hyperlink" Target="http://www.apsim.inf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B3040EF6AD7E1E4181048FB724A750B7" ma:contentTypeVersion="6" ma:contentTypeDescription="Create a new Word Document" ma:contentTypeScope="" ma:versionID="becd6f2e200ebe0ce483bed6cee9faba">
  <xsd:schema xmlns:xsd="http://www.w3.org/2001/XMLSchema" xmlns:xs="http://www.w3.org/2001/XMLSchema" xmlns:p="http://schemas.microsoft.com/office/2006/metadata/properties" xmlns:ns3="01be4277-2979-4a68-876d-b92b25fceece" xmlns:ns4="72cc37d4-5d09-4cfd-a3cb-d7e1855b79a7" xmlns:ns5="http://schemas.microsoft.com/sharepoint/v4" targetNamespace="http://schemas.microsoft.com/office/2006/metadata/properties" ma:root="true" ma:fieldsID="1977b0c1ad876d0ce3ff742da1e05538" ns3:_="" ns4:_="" ns5:_="">
    <xsd:import namespace="01be4277-2979-4a68-876d-b92b25fceece"/>
    <xsd:import namespace="72cc37d4-5d09-4cfd-a3cb-d7e1855b79a7"/>
    <xsd:import namespace="http://schemas.microsoft.com/sharepoint/v4"/>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n34b2a1472b34485af6d1097f3437ddb" minOccurs="0"/>
                <xsd:element ref="ns4:_dlc_DocId" minOccurs="0"/>
                <xsd:element ref="ns4:_dlc_DocIdUrl" minOccurs="0"/>
                <xsd:element ref="ns4:_dlc_DocIdPersistId" minOccurs="0"/>
                <xsd:element ref="ns4:SharedWithUser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readOnly="false" ma:default="" ma:fieldId="{6a3fe89f-a6dd-4490-a9c1-3ef38d67b8c7}" ma:sspId="3bfd400a-bb0f-42a8-a885-98b592a0f767" ma:termSetId="3a592a89-6bc1-4c8c-80ff-f37625b7c14c" ma:anchorId="48e8ea45-a8a8-4207-b7a2-9a3eb6d34a6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cc37d4-5d09-4cfd-a3cb-d7e1855b79a7"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3bfd400a-bb0f-42a8-a885-98b592a0f76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769e10b-31c0-4092-9f1a-77a4913209d0}" ma:internalName="TaxCatchAll" ma:showField="CatchAllData"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769e10b-31c0-4092-9f1a-77a4913209d0}" ma:internalName="TaxCatchAllLabel" ma:readOnly="true" ma:showField="CatchAllDataLabel" ma:web="72cc37d4-5d09-4cfd-a3cb-d7e1855b79a7">
      <xsd:complexType>
        <xsd:complexContent>
          <xsd:extension base="dms:MultiChoiceLookup">
            <xsd:sequence>
              <xsd:element name="Value" type="dms:Lookup" maxOccurs="unbounded" minOccurs="0" nillable="true"/>
            </xsd:sequence>
          </xsd:extension>
        </xsd:complexContent>
      </xsd:complexType>
    </xsd:element>
    <xsd:element name="n34b2a1472b34485af6d1097f3437ddb" ma:index="14" nillable="true" ma:taxonomy="true" ma:internalName="n34b2a1472b34485af6d1097f3437ddb" ma:taxonomyFieldName="MPISecurityClassification" ma:displayName="Security Classification" ma:readOnly="false" ma:default="1;#None|cf402fa0-b6a8-49a7-a22e-a95b6152c608" ma:fieldId="{734b2a14-72b3-4485-af6d-1097f3437ddb}" ma:sspId="3bfd400a-bb0f-42a8-a885-98b592a0f767" ma:termSetId="0585e480-f249-45e9-9d9a-827200d7ed08" ma:anchorId="00000000-0000-0000-0000-000000000000" ma:open="false" ma:isKeyword="false">
      <xsd:complexType>
        <xsd:sequence>
          <xsd:element ref="pc:Terms" minOccurs="0" maxOccurs="1"/>
        </xsd:sequence>
      </xsd:complex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IconOverlay xmlns="http://schemas.microsoft.com/sharepoint/v4" xsi:nil="true"/>
    <TaxCatchAll xmlns="72cc37d4-5d09-4cfd-a3cb-d7e1855b79a7">
      <Value>1</Value>
    </TaxCatchAll>
    <n34b2a1472b34485af6d1097f3437ddb xmlns="72cc37d4-5d09-4cfd-a3cb-d7e1855b79a7">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cf402fa0-b6a8-49a7-a22e-a95b6152c608</TermId>
        </TermInfo>
      </Terms>
    </n34b2a1472b34485af6d1097f3437ddb>
    <TaxKeywordTaxHTField xmlns="72cc37d4-5d09-4cfd-a3cb-d7e1855b79a7">
      <Terms xmlns="http://schemas.microsoft.com/office/infopath/2007/PartnerControls"/>
    </TaxKeywordTaxHTField>
    <_dlc_DocId xmlns="72cc37d4-5d09-4cfd-a3cb-d7e1855b79a7">PROJECTS-1042366052-739</_dlc_DocId>
    <_dlc_DocIdUrl xmlns="72cc37d4-5d09-4cfd-a3cb-d7e1855b79a7">
      <Url>https://piritahi.cohesion.net.nz/Sites/PRO/OP/_layouts/15/DocIdRedir.aspx?ID=PROJECTS-1042366052-739</Url>
      <Description>PROJECTS-1042366052-739</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781E44-A8C1-428D-8FB8-976D072E75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72cc37d4-5d09-4cfd-a3cb-d7e1855b79a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4BDDB1-99EC-4918-8776-EF3C6926A35F}">
  <ds:schemaRefs>
    <ds:schemaRef ds:uri="http://schemas.microsoft.com/office/2006/metadata/properties"/>
    <ds:schemaRef ds:uri="http://schemas.microsoft.com/office/infopath/2007/PartnerControls"/>
    <ds:schemaRef ds:uri="01be4277-2979-4a68-876d-b92b25fceece"/>
    <ds:schemaRef ds:uri="http://schemas.microsoft.com/sharepoint/v4"/>
    <ds:schemaRef ds:uri="72cc37d4-5d09-4cfd-a3cb-d7e1855b79a7"/>
  </ds:schemaRefs>
</ds:datastoreItem>
</file>

<file path=customXml/itemProps3.xml><?xml version="1.0" encoding="utf-8"?>
<ds:datastoreItem xmlns:ds="http://schemas.openxmlformats.org/officeDocument/2006/customXml" ds:itemID="{5DECB155-5630-478A-A6A5-D577D73B2610}">
  <ds:schemaRefs>
    <ds:schemaRef ds:uri="http://schemas.openxmlformats.org/officeDocument/2006/bibliography"/>
  </ds:schemaRefs>
</ds:datastoreItem>
</file>

<file path=customXml/itemProps4.xml><?xml version="1.0" encoding="utf-8"?>
<ds:datastoreItem xmlns:ds="http://schemas.openxmlformats.org/officeDocument/2006/customXml" ds:itemID="{0183EC79-CD89-4345-BECC-1156492FDE5B}">
  <ds:schemaRefs>
    <ds:schemaRef ds:uri="http://schemas.microsoft.com/sharepoint/v3/contenttype/forms"/>
  </ds:schemaRefs>
</ds:datastoreItem>
</file>

<file path=customXml/itemProps5.xml><?xml version="1.0" encoding="utf-8"?>
<ds:datastoreItem xmlns:ds="http://schemas.openxmlformats.org/officeDocument/2006/customXml" ds:itemID="{143868E4-7559-40AD-80C3-97529DC48EC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report template</Template>
  <TotalTime>0</TotalTime>
  <Pages>36</Pages>
  <Words>12222</Words>
  <Characters>69668</Characters>
  <Application>Microsoft Office Word</Application>
  <DocSecurity>4</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Jenny</dc:creator>
  <cp:keywords/>
  <cp:lastModifiedBy>Gemma Freeman</cp:lastModifiedBy>
  <cp:revision>2</cp:revision>
  <cp:lastPrinted>2021-08-05T01:31:00Z</cp:lastPrinted>
  <dcterms:created xsi:type="dcterms:W3CDTF">2021-08-10T01:50:00Z</dcterms:created>
  <dcterms:modified xsi:type="dcterms:W3CDTF">2021-08-10T01:50:00Z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2021-07-16T00:04:00Z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6d3e446f-e1a3-4e70-808e-424576e4ee42</vt:lpwstr>
  </property>
  <property fmtid="{D5CDD505-2E9C-101B-9397-08002B2CF9AE}" pid="8" name="MSIP_Label_52dda6cc-d61d-4fd2-bf18-9b3017d931cc_ContentBits">
    <vt:lpwstr>0</vt:lpwstr>
  </property>
  <property fmtid="{D5CDD505-2E9C-101B-9397-08002B2CF9AE}" pid="9" name="ContentTypeId">
    <vt:lpwstr>0x0101005496552013C0BA46BE88192D5C6EB20B00BC7B51C3C3DA487E91D1E0ED95F8C85C00B3040EF6AD7E1E4181048FB724A750B7</vt:lpwstr>
  </property>
  <property fmtid="{D5CDD505-2E9C-101B-9397-08002B2CF9AE}" pid="10" name="_dlc_DocIdItemGuid">
    <vt:lpwstr>d6bef0fa-4ece-4552-8ba8-d9dca1bb97eb</vt:lpwstr>
  </property>
  <property fmtid="{D5CDD505-2E9C-101B-9397-08002B2CF9AE}" pid="11" name="RecordPoint_WorkflowType">
    <vt:lpwstr>ActiveSubmitStub</vt:lpwstr>
  </property>
  <property fmtid="{D5CDD505-2E9C-101B-9397-08002B2CF9AE}" pid="12" name="RecordPoint_ActiveItemListId">
    <vt:lpwstr>{4f91393a-1f1b-4352-86af-dfea2625b657}</vt:lpwstr>
  </property>
  <property fmtid="{D5CDD505-2E9C-101B-9397-08002B2CF9AE}" pid="13" name="RecordPoint_ActiveItemUniqueId">
    <vt:lpwstr>{1f3d9dce-7dcb-4ab8-aa26-64d831ff8f76}</vt:lpwstr>
  </property>
  <property fmtid="{D5CDD505-2E9C-101B-9397-08002B2CF9AE}" pid="14" name="RecordPoint_ActiveItemWebId">
    <vt:lpwstr>{4cfaaedc-9b18-4979-86bf-4a5495b929a2}</vt:lpwstr>
  </property>
  <property fmtid="{D5CDD505-2E9C-101B-9397-08002B2CF9AE}" pid="15" name="RecordPoint_ActiveItemSiteId">
    <vt:lpwstr>{6ca9caab-e4f7-4b7b-aa1a-8b535e38f6e3}</vt:lpwstr>
  </property>
  <property fmtid="{D5CDD505-2E9C-101B-9397-08002B2CF9AE}" pid="16" name="TaxKeyword">
    <vt:lpwstr/>
  </property>
  <property fmtid="{D5CDD505-2E9C-101B-9397-08002B2CF9AE}" pid="17" name="MPISecurityClassification">
    <vt:lpwstr>1;#None|cf402fa0-b6a8-49a7-a22e-a95b6152c608</vt:lpwstr>
  </property>
  <property fmtid="{D5CDD505-2E9C-101B-9397-08002B2CF9AE}" pid="18" name="C3Topic">
    <vt:lpwstr/>
  </property>
</Properties>
</file>