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F7F8" w14:textId="3085CBB5" w:rsidR="0080531E" w:rsidRPr="00B302B7" w:rsidRDefault="00BA0177" w:rsidP="0003640E">
      <w:pPr>
        <w:pStyle w:val="BodyText"/>
        <w:rPr>
          <w:noProof/>
          <w:color w:val="FF0000"/>
        </w:rPr>
      </w:pPr>
      <w:r w:rsidRPr="00B302B7">
        <w:rPr>
          <w:noProof/>
          <w:color w:val="FF0000"/>
        </w:rPr>
        <w:drawing>
          <wp:anchor distT="0" distB="0" distL="114300" distR="114300" simplePos="0" relativeHeight="251658240" behindDoc="0" locked="0" layoutInCell="1" allowOverlap="1" wp14:anchorId="5711BA55" wp14:editId="37FE66E1">
            <wp:simplePos x="0" y="0"/>
            <wp:positionH relativeFrom="column">
              <wp:posOffset>-1112686</wp:posOffset>
            </wp:positionH>
            <wp:positionV relativeFrom="paragraph">
              <wp:posOffset>-3624201</wp:posOffset>
            </wp:positionV>
            <wp:extent cx="7572401" cy="10711543"/>
            <wp:effectExtent l="0" t="0" r="0" b="0"/>
            <wp:wrapNone/>
            <wp:docPr id="2" name="Picture 2" descr="Gender and ethnic pay gaps action plan. July 2022 to June 2024. Cover image shows a sunset over Kāpiti i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nder and ethnic pay gaps action plan. July 2022 to June 2024. Cover image shows a sunset over Kāpiti island. "/>
                    <pic:cNvPicPr/>
                  </pic:nvPicPr>
                  <pic:blipFill>
                    <a:blip r:embed="rId12"/>
                    <a:stretch>
                      <a:fillRect/>
                    </a:stretch>
                  </pic:blipFill>
                  <pic:spPr>
                    <a:xfrm>
                      <a:off x="0" y="0"/>
                      <a:ext cx="7601101" cy="10752140"/>
                    </a:xfrm>
                    <a:prstGeom prst="rect">
                      <a:avLst/>
                    </a:prstGeom>
                  </pic:spPr>
                </pic:pic>
              </a:graphicData>
            </a:graphic>
            <wp14:sizeRelH relativeFrom="page">
              <wp14:pctWidth>0</wp14:pctWidth>
            </wp14:sizeRelH>
            <wp14:sizeRelV relativeFrom="page">
              <wp14:pctHeight>0</wp14:pctHeight>
            </wp14:sizeRelV>
          </wp:anchor>
        </w:drawing>
      </w:r>
      <w:r w:rsidR="00B36AD0" w:rsidRPr="00C444E9">
        <w:rPr>
          <w:noProof/>
          <w:color w:val="FF0000"/>
        </w:rPr>
        <w:t>fgpg</w:t>
      </w:r>
    </w:p>
    <w:p w14:paraId="3878C423" w14:textId="77777777" w:rsidR="00B36AD0" w:rsidRPr="00B302B7" w:rsidRDefault="00B36AD0" w:rsidP="0003640E">
      <w:pPr>
        <w:pStyle w:val="BodyText"/>
      </w:pPr>
    </w:p>
    <w:p w14:paraId="0B94AFE0" w14:textId="77777777" w:rsidR="0003640E" w:rsidRPr="00B302B7" w:rsidRDefault="0003640E" w:rsidP="0003640E">
      <w:pPr>
        <w:pStyle w:val="BodyText"/>
      </w:pPr>
    </w:p>
    <w:p w14:paraId="622BE27D" w14:textId="57771A8F" w:rsidR="0003640E" w:rsidRPr="00B302B7" w:rsidRDefault="0003640E" w:rsidP="0080531E">
      <w:pPr>
        <w:jc w:val="left"/>
        <w:rPr>
          <w:color w:val="FF0000"/>
        </w:rPr>
        <w:sectPr w:rsidR="0003640E" w:rsidRPr="00B302B7" w:rsidSect="00B86F2A">
          <w:headerReference w:type="even" r:id="rId13"/>
          <w:headerReference w:type="default" r:id="rId14"/>
          <w:footerReference w:type="even" r:id="rId15"/>
          <w:footerReference w:type="default" r:id="rId16"/>
          <w:headerReference w:type="first" r:id="rId17"/>
          <w:footerReference w:type="first" r:id="rId18"/>
          <w:pgSz w:w="11907" w:h="16840" w:code="9"/>
          <w:pgMar w:top="5670" w:right="1701" w:bottom="1701" w:left="1701" w:header="567" w:footer="1134" w:gutter="0"/>
          <w:cols w:space="720"/>
        </w:sectPr>
      </w:pPr>
    </w:p>
    <w:p w14:paraId="489CC581" w14:textId="77777777" w:rsidR="00452EC4" w:rsidRPr="00B302B7" w:rsidRDefault="00452EC4" w:rsidP="00775F57">
      <w:pPr>
        <w:pStyle w:val="Imprint"/>
        <w:spacing w:before="0" w:after="0"/>
        <w:rPr>
          <w:b/>
        </w:rPr>
      </w:pPr>
      <w:r w:rsidRPr="00B302B7">
        <w:rPr>
          <w:b/>
        </w:rPr>
        <w:lastRenderedPageBreak/>
        <w:t>Disclaimer</w:t>
      </w:r>
    </w:p>
    <w:p w14:paraId="24400C4C" w14:textId="7B97E1CD" w:rsidR="00622557" w:rsidRPr="00B302B7" w:rsidRDefault="00622557" w:rsidP="00622557">
      <w:pPr>
        <w:pStyle w:val="Imprint"/>
      </w:pPr>
      <w:r w:rsidRPr="00B302B7">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4824916E" w14:textId="4DFE6771" w:rsidR="00622557" w:rsidRPr="00B302B7" w:rsidRDefault="00622557" w:rsidP="00622557">
      <w:pPr>
        <w:pStyle w:val="Bullet"/>
      </w:pPr>
      <w:r w:rsidRPr="00B302B7">
        <w:t xml:space="preserve">the information does not alter the laws of New Zealand, other official guidelines, or requirements </w:t>
      </w:r>
    </w:p>
    <w:p w14:paraId="3DEC104A" w14:textId="33D3456D" w:rsidR="00622557" w:rsidRPr="00B302B7" w:rsidRDefault="00622557" w:rsidP="00622557">
      <w:pPr>
        <w:pStyle w:val="Bullet"/>
      </w:pPr>
      <w:r w:rsidRPr="00B302B7">
        <w:t xml:space="preserve">it does not constitute legal advice, and users should take specific advice from qualified professionals before taking any action based on information in this publication </w:t>
      </w:r>
    </w:p>
    <w:p w14:paraId="2439ACDE" w14:textId="4B1B253D" w:rsidR="00622557" w:rsidRPr="00B302B7" w:rsidRDefault="00622557" w:rsidP="00622557">
      <w:pPr>
        <w:pStyle w:val="Bullet"/>
      </w:pPr>
      <w:r w:rsidRPr="00B302B7">
        <w:t xml:space="preserve">the Ministry does not accept any responsibility or liability whatsoever whether in contract, tort, equity, or otherwise for any action taken </w:t>
      </w:r>
      <w:proofErr w:type="gramStart"/>
      <w:r w:rsidRPr="00B302B7">
        <w:t>as a result of</w:t>
      </w:r>
      <w:proofErr w:type="gramEnd"/>
      <w:r w:rsidRPr="00B302B7">
        <w:t xml:space="preserve"> reading, or reliance placed on this publication because of having read any part, or all, of the information in this publication or for any error, or inadequacy, deficiency, flaw in, or omission from the information in this publication </w:t>
      </w:r>
    </w:p>
    <w:p w14:paraId="76AD3FA6" w14:textId="47F64694" w:rsidR="00452EC4" w:rsidRPr="00B302B7" w:rsidRDefault="00622557" w:rsidP="00622557">
      <w:pPr>
        <w:pStyle w:val="Bullet"/>
      </w:pPr>
      <w:r w:rsidRPr="00B302B7">
        <w:t xml:space="preserve">all references to websites, </w:t>
      </w:r>
      <w:proofErr w:type="gramStart"/>
      <w:r w:rsidRPr="00B302B7">
        <w:t>organisations</w:t>
      </w:r>
      <w:proofErr w:type="gramEnd"/>
      <w:r w:rsidRPr="00B302B7">
        <w:t xml:space="preserve"> or people not within the Ministry are for convenience only and should not be taken as endorsement of those websites or information contained in those websites nor of organisations or people referred to.</w:t>
      </w:r>
    </w:p>
    <w:p w14:paraId="0343B26B" w14:textId="77777777" w:rsidR="00452EC4" w:rsidRPr="00B302B7" w:rsidRDefault="00452EC4" w:rsidP="00452EC4">
      <w:pPr>
        <w:pStyle w:val="Imprint"/>
      </w:pPr>
    </w:p>
    <w:p w14:paraId="57205D21" w14:textId="145695F8" w:rsidR="00452EC4" w:rsidRPr="00B302B7" w:rsidRDefault="00452EC4" w:rsidP="00452EC4">
      <w:pPr>
        <w:pStyle w:val="Imprint"/>
      </w:pPr>
      <w:r w:rsidRPr="00B302B7">
        <w:t xml:space="preserve">This </w:t>
      </w:r>
      <w:r w:rsidR="00775F57" w:rsidRPr="00B302B7">
        <w:t>document</w:t>
      </w:r>
      <w:r w:rsidRPr="00B302B7">
        <w:t xml:space="preserve"> may be cited as:</w:t>
      </w:r>
      <w:r w:rsidR="00775F57" w:rsidRPr="00B302B7">
        <w:t xml:space="preserve"> Ministry for the Environment. </w:t>
      </w:r>
      <w:r w:rsidR="00B47DB8" w:rsidRPr="00B302B7">
        <w:t>2022</w:t>
      </w:r>
      <w:r w:rsidR="00775F57" w:rsidRPr="00B302B7">
        <w:t xml:space="preserve">. </w:t>
      </w:r>
      <w:r w:rsidR="00B47DB8" w:rsidRPr="00B302B7">
        <w:rPr>
          <w:i/>
        </w:rPr>
        <w:t>Gender and ethnic pay gaps action plan: July 2022 – June 2024</w:t>
      </w:r>
      <w:r w:rsidR="00775F57" w:rsidRPr="00B302B7">
        <w:t>. Wellington: Ministry for the Environment.</w:t>
      </w:r>
    </w:p>
    <w:p w14:paraId="0FA1A5EB" w14:textId="77777777" w:rsidR="0080531E" w:rsidRPr="00B302B7" w:rsidRDefault="0080531E" w:rsidP="0080531E">
      <w:pPr>
        <w:pStyle w:val="Imprint"/>
      </w:pPr>
    </w:p>
    <w:p w14:paraId="4766D434" w14:textId="77777777" w:rsidR="0080531E" w:rsidRPr="00B302B7" w:rsidRDefault="0080531E" w:rsidP="0080531E">
      <w:pPr>
        <w:pStyle w:val="Imprint"/>
      </w:pPr>
    </w:p>
    <w:p w14:paraId="4EE7B2B2" w14:textId="77777777" w:rsidR="0080531E" w:rsidRPr="00B302B7" w:rsidRDefault="0080531E" w:rsidP="0080531E">
      <w:pPr>
        <w:pStyle w:val="Imprint"/>
      </w:pPr>
    </w:p>
    <w:p w14:paraId="29BF2E68" w14:textId="77777777" w:rsidR="0080531E" w:rsidRPr="00B302B7" w:rsidRDefault="0080531E" w:rsidP="0080531E">
      <w:pPr>
        <w:pStyle w:val="Imprint"/>
      </w:pPr>
    </w:p>
    <w:p w14:paraId="26641A28" w14:textId="77777777" w:rsidR="0080531E" w:rsidRPr="00B302B7" w:rsidRDefault="0080531E" w:rsidP="0080531E">
      <w:pPr>
        <w:pStyle w:val="Imprint"/>
      </w:pPr>
    </w:p>
    <w:p w14:paraId="694C4A38" w14:textId="77777777" w:rsidR="0080531E" w:rsidRPr="00B302B7" w:rsidRDefault="0080531E" w:rsidP="0080531E">
      <w:pPr>
        <w:pStyle w:val="Imprint"/>
      </w:pPr>
    </w:p>
    <w:p w14:paraId="2EC83072" w14:textId="77777777" w:rsidR="0080531E" w:rsidRPr="00B302B7" w:rsidRDefault="0080531E" w:rsidP="0080531E">
      <w:pPr>
        <w:pStyle w:val="Imprint"/>
      </w:pPr>
    </w:p>
    <w:p w14:paraId="1FA79085" w14:textId="77777777" w:rsidR="00760C00" w:rsidRPr="00B302B7" w:rsidRDefault="00760C00" w:rsidP="0080531E">
      <w:pPr>
        <w:pStyle w:val="Imprint"/>
      </w:pPr>
    </w:p>
    <w:p w14:paraId="38F5C08A" w14:textId="20808DB1" w:rsidR="001632AE" w:rsidRPr="00B302B7" w:rsidRDefault="001632AE" w:rsidP="0080531E">
      <w:pPr>
        <w:pStyle w:val="Imprint"/>
      </w:pPr>
      <w:r w:rsidRPr="00B302B7">
        <w:t>First p</w:t>
      </w:r>
      <w:r w:rsidR="0080531E" w:rsidRPr="00B302B7">
        <w:t xml:space="preserve">ublished in </w:t>
      </w:r>
      <w:r w:rsidR="00B47DB8" w:rsidRPr="00B302B7">
        <w:t>November</w:t>
      </w:r>
      <w:r w:rsidR="00775F57" w:rsidRPr="00B302B7">
        <w:t xml:space="preserve"> </w:t>
      </w:r>
      <w:r w:rsidR="00B47DB8" w:rsidRPr="00B302B7">
        <w:t>2022</w:t>
      </w:r>
      <w:r w:rsidRPr="00B302B7">
        <w:t>. Updated version published in December 2023.</w:t>
      </w:r>
    </w:p>
    <w:p w14:paraId="2B6ADE01" w14:textId="7A7DAD22" w:rsidR="0080531E" w:rsidRPr="00B302B7" w:rsidRDefault="001632AE" w:rsidP="0080531E">
      <w:pPr>
        <w:pStyle w:val="Imprint"/>
      </w:pPr>
      <w:r w:rsidRPr="00B302B7">
        <w:t>Published</w:t>
      </w:r>
      <w:r w:rsidR="00B47DB8" w:rsidRPr="00B302B7">
        <w:t xml:space="preserve"> </w:t>
      </w:r>
      <w:r w:rsidR="0080531E" w:rsidRPr="00B302B7">
        <w:t>by the</w:t>
      </w:r>
      <w:r w:rsidR="0080531E" w:rsidRPr="00B302B7">
        <w:br/>
        <w:t xml:space="preserve">Ministry for the Environment </w:t>
      </w:r>
      <w:r w:rsidR="0080531E" w:rsidRPr="00B302B7">
        <w:br/>
        <w:t>Manatū Mō Te Taiao</w:t>
      </w:r>
      <w:r w:rsidR="0080531E" w:rsidRPr="00B302B7">
        <w:br/>
        <w:t>PO Box 10362, Wellington 6143, New Zealand</w:t>
      </w:r>
    </w:p>
    <w:p w14:paraId="3ECC4505" w14:textId="3D809A9F" w:rsidR="00622557" w:rsidRPr="00B302B7" w:rsidRDefault="0080531E" w:rsidP="00622557">
      <w:pPr>
        <w:spacing w:before="0" w:after="0" w:line="240" w:lineRule="auto"/>
        <w:jc w:val="left"/>
        <w:rPr>
          <w:rFonts w:eastAsia="Times New Roman" w:cs="Calibri"/>
        </w:rPr>
      </w:pPr>
      <w:r w:rsidRPr="00B302B7">
        <w:t xml:space="preserve">ISBN: </w:t>
      </w:r>
      <w:r w:rsidR="00622557" w:rsidRPr="00B302B7">
        <w:rPr>
          <w:rFonts w:eastAsia="Times New Roman" w:cs="Calibri"/>
        </w:rPr>
        <w:t>978-1-99-102584-5</w:t>
      </w:r>
    </w:p>
    <w:p w14:paraId="795464D0" w14:textId="11B47DCB" w:rsidR="0080531E" w:rsidRPr="00B302B7" w:rsidRDefault="0080531E" w:rsidP="00B47DB8">
      <w:pPr>
        <w:pStyle w:val="Imprint"/>
        <w:tabs>
          <w:tab w:val="left" w:pos="0"/>
        </w:tabs>
      </w:pPr>
      <w:r w:rsidRPr="00B302B7">
        <w:t xml:space="preserve">Publication number: </w:t>
      </w:r>
      <w:r w:rsidR="00622557" w:rsidRPr="00B302B7">
        <w:t>ME 1694</w:t>
      </w:r>
    </w:p>
    <w:p w14:paraId="35AC77E6" w14:textId="7EC88CB3" w:rsidR="0080531E" w:rsidRPr="00B302B7" w:rsidRDefault="0080531E" w:rsidP="00593E94">
      <w:pPr>
        <w:pStyle w:val="Imprint"/>
        <w:spacing w:after="80"/>
      </w:pPr>
      <w:r w:rsidRPr="00B302B7">
        <w:t xml:space="preserve">© Crown copyright New Zealand </w:t>
      </w:r>
      <w:r w:rsidR="00B47DB8" w:rsidRPr="00B302B7">
        <w:t>202</w:t>
      </w:r>
      <w:r w:rsidR="001632AE" w:rsidRPr="00B302B7">
        <w:t>3</w:t>
      </w:r>
    </w:p>
    <w:p w14:paraId="3480819B" w14:textId="4D462AD3" w:rsidR="00A84FE1" w:rsidRPr="00B302B7" w:rsidRDefault="0080531E" w:rsidP="00A84FE1">
      <w:pPr>
        <w:pStyle w:val="Imprint"/>
        <w:spacing w:before="240" w:after="0"/>
      </w:pPr>
      <w:r w:rsidRPr="00B302B7">
        <w:t>This document is available on the Ministry for</w:t>
      </w:r>
      <w:r w:rsidR="004C4E8A" w:rsidRPr="00B302B7">
        <w:t xml:space="preserve"> the Environment </w:t>
      </w:r>
      <w:r w:rsidR="00CB557F" w:rsidRPr="00B302B7">
        <w:t>website</w:t>
      </w:r>
      <w:r w:rsidRPr="00B302B7">
        <w:t xml:space="preserve">: </w:t>
      </w:r>
      <w:hyperlink r:id="rId19" w:history="1">
        <w:r w:rsidR="00563317" w:rsidRPr="00B302B7">
          <w:rPr>
            <w:rStyle w:val="Hyperlink"/>
          </w:rPr>
          <w:t>environment.govt.nz</w:t>
        </w:r>
      </w:hyperlink>
      <w:r w:rsidR="00B51610" w:rsidRPr="00B302B7">
        <w:rPr>
          <w:rStyle w:val="Hyperlink"/>
          <w:color w:val="auto"/>
        </w:rPr>
        <w:t>.</w:t>
      </w:r>
    </w:p>
    <w:p w14:paraId="40F8E2FD" w14:textId="77777777" w:rsidR="0080531E" w:rsidRPr="00B302B7" w:rsidRDefault="0080531E" w:rsidP="00A84FE1">
      <w:pPr>
        <w:sectPr w:rsidR="0080531E" w:rsidRPr="00B302B7" w:rsidSect="008A7498">
          <w:headerReference w:type="even" r:id="rId20"/>
          <w:headerReference w:type="default" r:id="rId21"/>
          <w:footerReference w:type="even" r:id="rId22"/>
          <w:footerReference w:type="default" r:id="rId23"/>
          <w:pgSz w:w="11907" w:h="16840" w:code="9"/>
          <w:pgMar w:top="1134" w:right="1701" w:bottom="1134" w:left="1701" w:header="567" w:footer="567" w:gutter="0"/>
          <w:pgNumType w:fmt="lowerRoman"/>
          <w:cols w:space="720"/>
        </w:sectPr>
      </w:pPr>
    </w:p>
    <w:p w14:paraId="2728C8EC" w14:textId="77777777" w:rsidR="0080531E" w:rsidRPr="00B302B7" w:rsidRDefault="0080531E" w:rsidP="00585FD0">
      <w:pPr>
        <w:pStyle w:val="Heading"/>
      </w:pPr>
      <w:r w:rsidRPr="00B302B7">
        <w:lastRenderedPageBreak/>
        <w:t>Contents</w:t>
      </w:r>
    </w:p>
    <w:p w14:paraId="3B3C0B70" w14:textId="41950DE2" w:rsidR="00673757" w:rsidRDefault="00775F57">
      <w:pPr>
        <w:pStyle w:val="TOC1"/>
        <w:rPr>
          <w:rFonts w:asciiTheme="minorHAnsi" w:hAnsiTheme="minorHAnsi"/>
          <w:noProof/>
          <w:kern w:val="2"/>
          <w14:ligatures w14:val="standardContextual"/>
        </w:rPr>
      </w:pPr>
      <w:r w:rsidRPr="00B302B7">
        <w:rPr>
          <w:color w:val="0092CF"/>
        </w:rPr>
        <w:fldChar w:fldCharType="begin"/>
      </w:r>
      <w:r w:rsidRPr="00B302B7">
        <w:rPr>
          <w:color w:val="0092CF"/>
        </w:rPr>
        <w:instrText xml:space="preserve"> TOC \h \z \t "Heading 1,1,Heading 2,2" </w:instrText>
      </w:r>
      <w:r w:rsidRPr="00B302B7">
        <w:rPr>
          <w:color w:val="0092CF"/>
        </w:rPr>
        <w:fldChar w:fldCharType="separate"/>
      </w:r>
      <w:hyperlink w:anchor="_Toc153181750" w:history="1">
        <w:r w:rsidR="00673757" w:rsidRPr="00241205">
          <w:rPr>
            <w:rStyle w:val="Hyperlink"/>
            <w:noProof/>
          </w:rPr>
          <w:t>Introduction</w:t>
        </w:r>
        <w:r w:rsidR="00673757">
          <w:rPr>
            <w:noProof/>
            <w:webHidden/>
          </w:rPr>
          <w:tab/>
        </w:r>
        <w:r w:rsidR="00673757">
          <w:rPr>
            <w:noProof/>
            <w:webHidden/>
          </w:rPr>
          <w:fldChar w:fldCharType="begin"/>
        </w:r>
        <w:r w:rsidR="00673757">
          <w:rPr>
            <w:noProof/>
            <w:webHidden/>
          </w:rPr>
          <w:instrText xml:space="preserve"> PAGEREF _Toc153181750 \h </w:instrText>
        </w:r>
        <w:r w:rsidR="00673757">
          <w:rPr>
            <w:noProof/>
            <w:webHidden/>
          </w:rPr>
        </w:r>
        <w:r w:rsidR="00673757">
          <w:rPr>
            <w:noProof/>
            <w:webHidden/>
          </w:rPr>
          <w:fldChar w:fldCharType="separate"/>
        </w:r>
        <w:r w:rsidR="001B25D7">
          <w:rPr>
            <w:noProof/>
            <w:webHidden/>
          </w:rPr>
          <w:t>4</w:t>
        </w:r>
        <w:r w:rsidR="00673757">
          <w:rPr>
            <w:noProof/>
            <w:webHidden/>
          </w:rPr>
          <w:fldChar w:fldCharType="end"/>
        </w:r>
      </w:hyperlink>
    </w:p>
    <w:p w14:paraId="098FA20E" w14:textId="76F5A198" w:rsidR="00673757" w:rsidRDefault="00673757">
      <w:pPr>
        <w:pStyle w:val="TOC1"/>
        <w:rPr>
          <w:rFonts w:asciiTheme="minorHAnsi" w:hAnsiTheme="minorHAnsi"/>
          <w:noProof/>
          <w:kern w:val="2"/>
          <w14:ligatures w14:val="standardContextual"/>
        </w:rPr>
      </w:pPr>
      <w:hyperlink w:anchor="_Toc153181751" w:history="1">
        <w:r w:rsidRPr="00241205">
          <w:rPr>
            <w:rStyle w:val="Hyperlink"/>
            <w:noProof/>
            <w:lang w:val="en-US"/>
          </w:rPr>
          <w:t>Acknowledging the drivers of pay gaps</w:t>
        </w:r>
        <w:r>
          <w:rPr>
            <w:noProof/>
            <w:webHidden/>
          </w:rPr>
          <w:tab/>
        </w:r>
        <w:r>
          <w:rPr>
            <w:noProof/>
            <w:webHidden/>
          </w:rPr>
          <w:fldChar w:fldCharType="begin"/>
        </w:r>
        <w:r>
          <w:rPr>
            <w:noProof/>
            <w:webHidden/>
          </w:rPr>
          <w:instrText xml:space="preserve"> PAGEREF _Toc153181751 \h </w:instrText>
        </w:r>
        <w:r>
          <w:rPr>
            <w:noProof/>
            <w:webHidden/>
          </w:rPr>
        </w:r>
        <w:r>
          <w:rPr>
            <w:noProof/>
            <w:webHidden/>
          </w:rPr>
          <w:fldChar w:fldCharType="separate"/>
        </w:r>
        <w:r w:rsidR="001B25D7">
          <w:rPr>
            <w:noProof/>
            <w:webHidden/>
          </w:rPr>
          <w:t>5</w:t>
        </w:r>
        <w:r>
          <w:rPr>
            <w:noProof/>
            <w:webHidden/>
          </w:rPr>
          <w:fldChar w:fldCharType="end"/>
        </w:r>
      </w:hyperlink>
    </w:p>
    <w:p w14:paraId="6648A8CF" w14:textId="23E03AAC" w:rsidR="00673757" w:rsidRDefault="00673757">
      <w:pPr>
        <w:pStyle w:val="TOC1"/>
        <w:rPr>
          <w:rFonts w:asciiTheme="minorHAnsi" w:hAnsiTheme="minorHAnsi"/>
          <w:noProof/>
          <w:kern w:val="2"/>
          <w14:ligatures w14:val="standardContextual"/>
        </w:rPr>
      </w:pPr>
      <w:hyperlink w:anchor="_Toc153181752" w:history="1">
        <w:r w:rsidRPr="00241205">
          <w:rPr>
            <w:rStyle w:val="Hyperlink"/>
            <w:noProof/>
            <w:lang w:val="en-US"/>
          </w:rPr>
          <w:t>The Ministry’s gender and ethnic pay gaps – progress to date</w:t>
        </w:r>
        <w:r>
          <w:rPr>
            <w:noProof/>
            <w:webHidden/>
          </w:rPr>
          <w:tab/>
        </w:r>
        <w:r>
          <w:rPr>
            <w:noProof/>
            <w:webHidden/>
          </w:rPr>
          <w:fldChar w:fldCharType="begin"/>
        </w:r>
        <w:r>
          <w:rPr>
            <w:noProof/>
            <w:webHidden/>
          </w:rPr>
          <w:instrText xml:space="preserve"> PAGEREF _Toc153181752 \h </w:instrText>
        </w:r>
        <w:r>
          <w:rPr>
            <w:noProof/>
            <w:webHidden/>
          </w:rPr>
        </w:r>
        <w:r>
          <w:rPr>
            <w:noProof/>
            <w:webHidden/>
          </w:rPr>
          <w:fldChar w:fldCharType="separate"/>
        </w:r>
        <w:r w:rsidR="001B25D7">
          <w:rPr>
            <w:noProof/>
            <w:webHidden/>
          </w:rPr>
          <w:t>6</w:t>
        </w:r>
        <w:r>
          <w:rPr>
            <w:noProof/>
            <w:webHidden/>
          </w:rPr>
          <w:fldChar w:fldCharType="end"/>
        </w:r>
      </w:hyperlink>
    </w:p>
    <w:p w14:paraId="0C80F01C" w14:textId="2F2892AE" w:rsidR="00673757" w:rsidRDefault="00673757">
      <w:pPr>
        <w:pStyle w:val="TOC1"/>
        <w:rPr>
          <w:rFonts w:asciiTheme="minorHAnsi" w:hAnsiTheme="minorHAnsi"/>
          <w:noProof/>
          <w:kern w:val="2"/>
          <w14:ligatures w14:val="standardContextual"/>
        </w:rPr>
      </w:pPr>
      <w:hyperlink w:anchor="_Toc153181753" w:history="1">
        <w:r w:rsidRPr="00241205">
          <w:rPr>
            <w:rStyle w:val="Hyperlink"/>
            <w:noProof/>
          </w:rPr>
          <w:t>Workforce Data</w:t>
        </w:r>
        <w:r>
          <w:rPr>
            <w:noProof/>
            <w:webHidden/>
          </w:rPr>
          <w:tab/>
        </w:r>
        <w:r>
          <w:rPr>
            <w:noProof/>
            <w:webHidden/>
          </w:rPr>
          <w:fldChar w:fldCharType="begin"/>
        </w:r>
        <w:r>
          <w:rPr>
            <w:noProof/>
            <w:webHidden/>
          </w:rPr>
          <w:instrText xml:space="preserve"> PAGEREF _Toc153181753 \h </w:instrText>
        </w:r>
        <w:r>
          <w:rPr>
            <w:noProof/>
            <w:webHidden/>
          </w:rPr>
        </w:r>
        <w:r>
          <w:rPr>
            <w:noProof/>
            <w:webHidden/>
          </w:rPr>
          <w:fldChar w:fldCharType="separate"/>
        </w:r>
        <w:r w:rsidR="001B25D7">
          <w:rPr>
            <w:noProof/>
            <w:webHidden/>
          </w:rPr>
          <w:t>7</w:t>
        </w:r>
        <w:r>
          <w:rPr>
            <w:noProof/>
            <w:webHidden/>
          </w:rPr>
          <w:fldChar w:fldCharType="end"/>
        </w:r>
      </w:hyperlink>
    </w:p>
    <w:p w14:paraId="49880CA8" w14:textId="2633D459" w:rsidR="00673757" w:rsidRDefault="00673757">
      <w:pPr>
        <w:pStyle w:val="TOC2"/>
        <w:rPr>
          <w:rFonts w:asciiTheme="minorHAnsi" w:hAnsiTheme="minorHAnsi"/>
          <w:noProof/>
          <w:kern w:val="2"/>
          <w14:ligatures w14:val="standardContextual"/>
        </w:rPr>
      </w:pPr>
      <w:hyperlink w:anchor="_Toc153181754" w:history="1">
        <w:r w:rsidRPr="00241205">
          <w:rPr>
            <w:rStyle w:val="Hyperlink"/>
            <w:rFonts w:eastAsia="Times New Roman"/>
            <w:noProof/>
          </w:rPr>
          <w:t>Analysis</w:t>
        </w:r>
        <w:r>
          <w:rPr>
            <w:noProof/>
            <w:webHidden/>
          </w:rPr>
          <w:tab/>
        </w:r>
        <w:r>
          <w:rPr>
            <w:noProof/>
            <w:webHidden/>
          </w:rPr>
          <w:fldChar w:fldCharType="begin"/>
        </w:r>
        <w:r>
          <w:rPr>
            <w:noProof/>
            <w:webHidden/>
          </w:rPr>
          <w:instrText xml:space="preserve"> PAGEREF _Toc153181754 \h </w:instrText>
        </w:r>
        <w:r>
          <w:rPr>
            <w:noProof/>
            <w:webHidden/>
          </w:rPr>
        </w:r>
        <w:r>
          <w:rPr>
            <w:noProof/>
            <w:webHidden/>
          </w:rPr>
          <w:fldChar w:fldCharType="separate"/>
        </w:r>
        <w:r w:rsidR="001B25D7">
          <w:rPr>
            <w:noProof/>
            <w:webHidden/>
          </w:rPr>
          <w:t>10</w:t>
        </w:r>
        <w:r>
          <w:rPr>
            <w:noProof/>
            <w:webHidden/>
          </w:rPr>
          <w:fldChar w:fldCharType="end"/>
        </w:r>
      </w:hyperlink>
    </w:p>
    <w:p w14:paraId="035A6280" w14:textId="416B7602" w:rsidR="00673757" w:rsidRDefault="00673757">
      <w:pPr>
        <w:pStyle w:val="TOC1"/>
        <w:rPr>
          <w:rFonts w:asciiTheme="minorHAnsi" w:hAnsiTheme="minorHAnsi"/>
          <w:noProof/>
          <w:kern w:val="2"/>
          <w14:ligatures w14:val="standardContextual"/>
        </w:rPr>
      </w:pPr>
      <w:hyperlink w:anchor="_Toc153181755" w:history="1">
        <w:r w:rsidRPr="00241205">
          <w:rPr>
            <w:rStyle w:val="Hyperlink"/>
            <w:noProof/>
          </w:rPr>
          <w:t>Closing our pay gaps</w:t>
        </w:r>
        <w:r>
          <w:rPr>
            <w:noProof/>
            <w:webHidden/>
          </w:rPr>
          <w:tab/>
        </w:r>
        <w:r>
          <w:rPr>
            <w:noProof/>
            <w:webHidden/>
          </w:rPr>
          <w:fldChar w:fldCharType="begin"/>
        </w:r>
        <w:r>
          <w:rPr>
            <w:noProof/>
            <w:webHidden/>
          </w:rPr>
          <w:instrText xml:space="preserve"> PAGEREF _Toc153181755 \h </w:instrText>
        </w:r>
        <w:r>
          <w:rPr>
            <w:noProof/>
            <w:webHidden/>
          </w:rPr>
        </w:r>
        <w:r>
          <w:rPr>
            <w:noProof/>
            <w:webHidden/>
          </w:rPr>
          <w:fldChar w:fldCharType="separate"/>
        </w:r>
        <w:r w:rsidR="001B25D7">
          <w:rPr>
            <w:noProof/>
            <w:webHidden/>
          </w:rPr>
          <w:t>11</w:t>
        </w:r>
        <w:r>
          <w:rPr>
            <w:noProof/>
            <w:webHidden/>
          </w:rPr>
          <w:fldChar w:fldCharType="end"/>
        </w:r>
      </w:hyperlink>
    </w:p>
    <w:p w14:paraId="3D817755" w14:textId="1D30E133" w:rsidR="00673757" w:rsidRDefault="00673757">
      <w:pPr>
        <w:pStyle w:val="TOC2"/>
        <w:rPr>
          <w:rFonts w:asciiTheme="minorHAnsi" w:hAnsiTheme="minorHAnsi"/>
          <w:noProof/>
          <w:kern w:val="2"/>
          <w14:ligatures w14:val="standardContextual"/>
        </w:rPr>
      </w:pPr>
      <w:hyperlink w:anchor="_Toc153181756" w:history="1">
        <w:r w:rsidRPr="00241205">
          <w:rPr>
            <w:rStyle w:val="Hyperlink"/>
            <w:noProof/>
            <w:lang w:val="en-US"/>
          </w:rPr>
          <w:t>Approach</w:t>
        </w:r>
        <w:r>
          <w:rPr>
            <w:noProof/>
            <w:webHidden/>
          </w:rPr>
          <w:tab/>
        </w:r>
        <w:r>
          <w:rPr>
            <w:noProof/>
            <w:webHidden/>
          </w:rPr>
          <w:fldChar w:fldCharType="begin"/>
        </w:r>
        <w:r>
          <w:rPr>
            <w:noProof/>
            <w:webHidden/>
          </w:rPr>
          <w:instrText xml:space="preserve"> PAGEREF _Toc153181756 \h </w:instrText>
        </w:r>
        <w:r>
          <w:rPr>
            <w:noProof/>
            <w:webHidden/>
          </w:rPr>
        </w:r>
        <w:r>
          <w:rPr>
            <w:noProof/>
            <w:webHidden/>
          </w:rPr>
          <w:fldChar w:fldCharType="separate"/>
        </w:r>
        <w:r w:rsidR="001B25D7">
          <w:rPr>
            <w:noProof/>
            <w:webHidden/>
          </w:rPr>
          <w:t>11</w:t>
        </w:r>
        <w:r>
          <w:rPr>
            <w:noProof/>
            <w:webHidden/>
          </w:rPr>
          <w:fldChar w:fldCharType="end"/>
        </w:r>
      </w:hyperlink>
    </w:p>
    <w:p w14:paraId="2ACBBF83" w14:textId="589106EE" w:rsidR="00673757" w:rsidRDefault="00673757">
      <w:pPr>
        <w:pStyle w:val="TOC2"/>
        <w:rPr>
          <w:rFonts w:asciiTheme="minorHAnsi" w:hAnsiTheme="minorHAnsi"/>
          <w:noProof/>
          <w:kern w:val="2"/>
          <w14:ligatures w14:val="standardContextual"/>
        </w:rPr>
      </w:pPr>
      <w:hyperlink w:anchor="_Toc153181757" w:history="1">
        <w:r w:rsidRPr="00241205">
          <w:rPr>
            <w:rStyle w:val="Hyperlink"/>
            <w:noProof/>
            <w:lang w:val="en-US"/>
          </w:rPr>
          <w:t>Responsibilities</w:t>
        </w:r>
        <w:r>
          <w:rPr>
            <w:noProof/>
            <w:webHidden/>
          </w:rPr>
          <w:tab/>
        </w:r>
        <w:r>
          <w:rPr>
            <w:noProof/>
            <w:webHidden/>
          </w:rPr>
          <w:fldChar w:fldCharType="begin"/>
        </w:r>
        <w:r>
          <w:rPr>
            <w:noProof/>
            <w:webHidden/>
          </w:rPr>
          <w:instrText xml:space="preserve"> PAGEREF _Toc153181757 \h </w:instrText>
        </w:r>
        <w:r>
          <w:rPr>
            <w:noProof/>
            <w:webHidden/>
          </w:rPr>
        </w:r>
        <w:r>
          <w:rPr>
            <w:noProof/>
            <w:webHidden/>
          </w:rPr>
          <w:fldChar w:fldCharType="separate"/>
        </w:r>
        <w:r w:rsidR="001B25D7">
          <w:rPr>
            <w:noProof/>
            <w:webHidden/>
          </w:rPr>
          <w:t>11</w:t>
        </w:r>
        <w:r>
          <w:rPr>
            <w:noProof/>
            <w:webHidden/>
          </w:rPr>
          <w:fldChar w:fldCharType="end"/>
        </w:r>
      </w:hyperlink>
    </w:p>
    <w:p w14:paraId="657ED0F1" w14:textId="445708C0" w:rsidR="00673757" w:rsidRDefault="00673757">
      <w:pPr>
        <w:pStyle w:val="TOC2"/>
        <w:rPr>
          <w:rFonts w:asciiTheme="minorHAnsi" w:hAnsiTheme="minorHAnsi"/>
          <w:noProof/>
          <w:kern w:val="2"/>
          <w14:ligatures w14:val="standardContextual"/>
        </w:rPr>
      </w:pPr>
      <w:hyperlink w:anchor="_Toc153181758" w:history="1">
        <w:r w:rsidRPr="00241205">
          <w:rPr>
            <w:rStyle w:val="Hyperlink"/>
            <w:noProof/>
            <w:lang w:val="en-US"/>
          </w:rPr>
          <w:t>Action plan</w:t>
        </w:r>
        <w:r>
          <w:rPr>
            <w:noProof/>
            <w:webHidden/>
          </w:rPr>
          <w:tab/>
        </w:r>
        <w:r>
          <w:rPr>
            <w:noProof/>
            <w:webHidden/>
          </w:rPr>
          <w:fldChar w:fldCharType="begin"/>
        </w:r>
        <w:r>
          <w:rPr>
            <w:noProof/>
            <w:webHidden/>
          </w:rPr>
          <w:instrText xml:space="preserve"> PAGEREF _Toc153181758 \h </w:instrText>
        </w:r>
        <w:r>
          <w:rPr>
            <w:noProof/>
            <w:webHidden/>
          </w:rPr>
        </w:r>
        <w:r>
          <w:rPr>
            <w:noProof/>
            <w:webHidden/>
          </w:rPr>
          <w:fldChar w:fldCharType="separate"/>
        </w:r>
        <w:r w:rsidR="001B25D7">
          <w:rPr>
            <w:noProof/>
            <w:webHidden/>
          </w:rPr>
          <w:t>11</w:t>
        </w:r>
        <w:r>
          <w:rPr>
            <w:noProof/>
            <w:webHidden/>
          </w:rPr>
          <w:fldChar w:fldCharType="end"/>
        </w:r>
      </w:hyperlink>
    </w:p>
    <w:p w14:paraId="4D228AE9" w14:textId="059B5A3E" w:rsidR="00673757" w:rsidRDefault="00673757">
      <w:pPr>
        <w:pStyle w:val="TOC1"/>
        <w:rPr>
          <w:rFonts w:asciiTheme="minorHAnsi" w:hAnsiTheme="minorHAnsi"/>
          <w:noProof/>
          <w:kern w:val="2"/>
          <w14:ligatures w14:val="standardContextual"/>
        </w:rPr>
      </w:pPr>
      <w:hyperlink w:anchor="_Toc153181759" w:history="1">
        <w:r w:rsidRPr="00241205">
          <w:rPr>
            <w:rStyle w:val="Hyperlink"/>
            <w:noProof/>
          </w:rPr>
          <w:t>Appendix I: Workforce data at 31 October 2023</w:t>
        </w:r>
        <w:r>
          <w:rPr>
            <w:noProof/>
            <w:webHidden/>
          </w:rPr>
          <w:tab/>
        </w:r>
        <w:r>
          <w:rPr>
            <w:noProof/>
            <w:webHidden/>
          </w:rPr>
          <w:fldChar w:fldCharType="begin"/>
        </w:r>
        <w:r>
          <w:rPr>
            <w:noProof/>
            <w:webHidden/>
          </w:rPr>
          <w:instrText xml:space="preserve"> PAGEREF _Toc153181759 \h </w:instrText>
        </w:r>
        <w:r>
          <w:rPr>
            <w:noProof/>
            <w:webHidden/>
          </w:rPr>
        </w:r>
        <w:r>
          <w:rPr>
            <w:noProof/>
            <w:webHidden/>
          </w:rPr>
          <w:fldChar w:fldCharType="separate"/>
        </w:r>
        <w:r w:rsidR="001B25D7">
          <w:rPr>
            <w:noProof/>
            <w:webHidden/>
          </w:rPr>
          <w:t>18</w:t>
        </w:r>
        <w:r>
          <w:rPr>
            <w:noProof/>
            <w:webHidden/>
          </w:rPr>
          <w:fldChar w:fldCharType="end"/>
        </w:r>
      </w:hyperlink>
    </w:p>
    <w:p w14:paraId="4137F2EC" w14:textId="73384C88" w:rsidR="00673757" w:rsidRDefault="00673757">
      <w:pPr>
        <w:pStyle w:val="TOC1"/>
        <w:rPr>
          <w:rFonts w:asciiTheme="minorHAnsi" w:hAnsiTheme="minorHAnsi"/>
          <w:noProof/>
          <w:kern w:val="2"/>
          <w14:ligatures w14:val="standardContextual"/>
        </w:rPr>
      </w:pPr>
      <w:hyperlink w:anchor="_Toc153181760" w:history="1">
        <w:r w:rsidRPr="00241205">
          <w:rPr>
            <w:rStyle w:val="Hyperlink"/>
            <w:noProof/>
          </w:rPr>
          <w:t>Appendix II: Summary of insights</w:t>
        </w:r>
        <w:r>
          <w:rPr>
            <w:noProof/>
            <w:webHidden/>
          </w:rPr>
          <w:tab/>
        </w:r>
        <w:r>
          <w:rPr>
            <w:noProof/>
            <w:webHidden/>
          </w:rPr>
          <w:fldChar w:fldCharType="begin"/>
        </w:r>
        <w:r>
          <w:rPr>
            <w:noProof/>
            <w:webHidden/>
          </w:rPr>
          <w:instrText xml:space="preserve"> PAGEREF _Toc153181760 \h </w:instrText>
        </w:r>
        <w:r>
          <w:rPr>
            <w:noProof/>
            <w:webHidden/>
          </w:rPr>
        </w:r>
        <w:r>
          <w:rPr>
            <w:noProof/>
            <w:webHidden/>
          </w:rPr>
          <w:fldChar w:fldCharType="separate"/>
        </w:r>
        <w:r w:rsidR="001B25D7">
          <w:rPr>
            <w:noProof/>
            <w:webHidden/>
          </w:rPr>
          <w:t>22</w:t>
        </w:r>
        <w:r>
          <w:rPr>
            <w:noProof/>
            <w:webHidden/>
          </w:rPr>
          <w:fldChar w:fldCharType="end"/>
        </w:r>
      </w:hyperlink>
    </w:p>
    <w:p w14:paraId="567F052F" w14:textId="260B5AA5" w:rsidR="00673757" w:rsidRDefault="00673757">
      <w:pPr>
        <w:pStyle w:val="TOC1"/>
        <w:rPr>
          <w:rFonts w:asciiTheme="minorHAnsi" w:hAnsiTheme="minorHAnsi"/>
          <w:noProof/>
          <w:kern w:val="2"/>
          <w14:ligatures w14:val="standardContextual"/>
        </w:rPr>
      </w:pPr>
      <w:hyperlink w:anchor="_Toc153181764" w:history="1">
        <w:r w:rsidRPr="00241205">
          <w:rPr>
            <w:rStyle w:val="Hyperlink"/>
            <w:noProof/>
          </w:rPr>
          <w:t>Appendix III: Mid-report progress highlights</w:t>
        </w:r>
        <w:r>
          <w:rPr>
            <w:noProof/>
            <w:webHidden/>
          </w:rPr>
          <w:tab/>
        </w:r>
        <w:r>
          <w:rPr>
            <w:noProof/>
            <w:webHidden/>
          </w:rPr>
          <w:fldChar w:fldCharType="begin"/>
        </w:r>
        <w:r>
          <w:rPr>
            <w:noProof/>
            <w:webHidden/>
          </w:rPr>
          <w:instrText xml:space="preserve"> PAGEREF _Toc153181764 \h </w:instrText>
        </w:r>
        <w:r>
          <w:rPr>
            <w:noProof/>
            <w:webHidden/>
          </w:rPr>
        </w:r>
        <w:r>
          <w:rPr>
            <w:noProof/>
            <w:webHidden/>
          </w:rPr>
          <w:fldChar w:fldCharType="separate"/>
        </w:r>
        <w:r w:rsidR="001B25D7">
          <w:rPr>
            <w:noProof/>
            <w:webHidden/>
          </w:rPr>
          <w:t>24</w:t>
        </w:r>
        <w:r>
          <w:rPr>
            <w:noProof/>
            <w:webHidden/>
          </w:rPr>
          <w:fldChar w:fldCharType="end"/>
        </w:r>
      </w:hyperlink>
    </w:p>
    <w:p w14:paraId="7A7D97C3" w14:textId="61F6C845" w:rsidR="0080531E" w:rsidRPr="00B302B7" w:rsidRDefault="00775F57" w:rsidP="002B4778">
      <w:pPr>
        <w:pStyle w:val="Glossary"/>
      </w:pPr>
      <w:r w:rsidRPr="00B302B7">
        <w:rPr>
          <w:color w:val="0092CF"/>
        </w:rPr>
        <w:fldChar w:fldCharType="end"/>
      </w:r>
    </w:p>
    <w:p w14:paraId="3F34050F" w14:textId="77777777" w:rsidR="00796A6F" w:rsidRPr="00B302B7" w:rsidRDefault="00796A6F" w:rsidP="00554B30">
      <w:r w:rsidRPr="00B302B7">
        <w:br w:type="page"/>
      </w:r>
    </w:p>
    <w:p w14:paraId="2CEEDBE2" w14:textId="63BD67B7" w:rsidR="0080531E" w:rsidRPr="00B302B7" w:rsidRDefault="00B47DB8" w:rsidP="00DC3CFC">
      <w:pPr>
        <w:pStyle w:val="Heading1"/>
        <w:rPr>
          <w:rStyle w:val="Heading1Char"/>
          <w:b/>
          <w:bCs/>
        </w:rPr>
      </w:pPr>
      <w:bookmarkStart w:id="0" w:name="_Toc345760336"/>
      <w:bookmarkStart w:id="1" w:name="_Toc153181750"/>
      <w:r w:rsidRPr="00B302B7">
        <w:rPr>
          <w:rStyle w:val="Heading1Char"/>
          <w:b/>
          <w:bCs/>
        </w:rPr>
        <w:lastRenderedPageBreak/>
        <w:t>Introduction</w:t>
      </w:r>
      <w:bookmarkEnd w:id="1"/>
    </w:p>
    <w:p w14:paraId="298918DD" w14:textId="7B542454" w:rsidR="00B47DB8" w:rsidRPr="00B302B7" w:rsidRDefault="657463B2" w:rsidP="00B47DB8">
      <w:pPr>
        <w:pStyle w:val="BodyText"/>
      </w:pPr>
      <w:r w:rsidRPr="00B302B7">
        <w:t xml:space="preserve">Gender and </w:t>
      </w:r>
      <w:r w:rsidR="22C0B0C3" w:rsidRPr="00B302B7">
        <w:t>e</w:t>
      </w:r>
      <w:r w:rsidRPr="00B302B7">
        <w:t>thnic pay gaps are a measurable outcome of ingrained inequalities in the workplace</w:t>
      </w:r>
      <w:r w:rsidR="002470C6" w:rsidRPr="00B302B7">
        <w:t xml:space="preserve"> and bro</w:t>
      </w:r>
      <w:r w:rsidR="003E6BF5" w:rsidRPr="00B302B7">
        <w:t>ader society</w:t>
      </w:r>
      <w:r w:rsidR="22C0B0C3" w:rsidRPr="00B302B7">
        <w:t>.</w:t>
      </w:r>
      <w:r w:rsidRPr="00B302B7">
        <w:t xml:space="preserve"> </w:t>
      </w:r>
      <w:r w:rsidR="22C0B0C3" w:rsidRPr="00B302B7">
        <w:t xml:space="preserve">They are </w:t>
      </w:r>
      <w:r w:rsidRPr="00B302B7">
        <w:t xml:space="preserve">driven by deeply embedded views, </w:t>
      </w:r>
      <w:proofErr w:type="gramStart"/>
      <w:r w:rsidRPr="00B302B7">
        <w:t>norms</w:t>
      </w:r>
      <w:proofErr w:type="gramEnd"/>
      <w:r w:rsidRPr="00B302B7">
        <w:t xml:space="preserve"> and values. </w:t>
      </w:r>
    </w:p>
    <w:p w14:paraId="05B7A96C" w14:textId="632E757A" w:rsidR="00B47DB8" w:rsidRPr="00B302B7" w:rsidRDefault="00535799" w:rsidP="00B47DB8">
      <w:pPr>
        <w:pStyle w:val="BodyText"/>
      </w:pPr>
      <w:r w:rsidRPr="00B302B7">
        <w:t xml:space="preserve">The Ministry for the Environment (the Ministry) </w:t>
      </w:r>
      <w:r w:rsidR="00B47DB8" w:rsidRPr="00B302B7">
        <w:t xml:space="preserve">is committed to addressing the root causes of ethnic and gender pay gaps that exist within our organisation. Taking guidance from </w:t>
      </w:r>
      <w:hyperlink r:id="rId24" w:history="1">
        <w:r w:rsidR="00B47DB8" w:rsidRPr="00B302B7">
          <w:rPr>
            <w:rStyle w:val="Hyperlink"/>
          </w:rPr>
          <w:t xml:space="preserve">Kia </w:t>
        </w:r>
        <w:proofErr w:type="spellStart"/>
        <w:r w:rsidR="00B47DB8" w:rsidRPr="00B302B7">
          <w:rPr>
            <w:rStyle w:val="Hyperlink"/>
          </w:rPr>
          <w:t>Toip</w:t>
        </w:r>
        <w:bookmarkStart w:id="2" w:name="_Hlt152924279"/>
        <w:r w:rsidR="00B47DB8" w:rsidRPr="00B302B7">
          <w:rPr>
            <w:rStyle w:val="Hyperlink"/>
          </w:rPr>
          <w:t>o</w:t>
        </w:r>
        <w:bookmarkEnd w:id="2"/>
        <w:r w:rsidR="00B47DB8" w:rsidRPr="00B302B7">
          <w:rPr>
            <w:rStyle w:val="Hyperlink"/>
          </w:rPr>
          <w:t>to</w:t>
        </w:r>
        <w:proofErr w:type="spellEnd"/>
      </w:hyperlink>
      <w:r w:rsidR="00B47DB8" w:rsidRPr="00B302B7">
        <w:t xml:space="preserve">, the Public Service Pay Gaps Action Plan, our plan </w:t>
      </w:r>
      <w:r w:rsidRPr="00B302B7">
        <w:t xml:space="preserve">has three </w:t>
      </w:r>
      <w:r w:rsidR="00B47DB8" w:rsidRPr="00B302B7">
        <w:t xml:space="preserve">goals: </w:t>
      </w:r>
    </w:p>
    <w:p w14:paraId="71EB37AC" w14:textId="0E00A53A" w:rsidR="00B47DB8" w:rsidRPr="00B302B7" w:rsidRDefault="00B47DB8" w:rsidP="00573FBF">
      <w:pPr>
        <w:pStyle w:val="Bullet"/>
      </w:pPr>
      <w:r w:rsidRPr="00B302B7">
        <w:t>make substantial progress towards closing gender, Māori, Pacific, and ethnic pay gaps</w:t>
      </w:r>
    </w:p>
    <w:p w14:paraId="67C3BE76" w14:textId="64DA596D" w:rsidR="00B47DB8" w:rsidRPr="00B302B7" w:rsidRDefault="00B47DB8" w:rsidP="00573FBF">
      <w:pPr>
        <w:pStyle w:val="Bullet"/>
      </w:pPr>
      <w:r w:rsidRPr="00B302B7">
        <w:t xml:space="preserve">accelerate progress for </w:t>
      </w:r>
      <w:proofErr w:type="spellStart"/>
      <w:r w:rsidRPr="00B302B7">
        <w:t>wāhine</w:t>
      </w:r>
      <w:proofErr w:type="spellEnd"/>
      <w:r w:rsidRPr="00B302B7">
        <w:t xml:space="preserve"> Māori, Pacific women, and women from ethnic communities</w:t>
      </w:r>
    </w:p>
    <w:p w14:paraId="5B6EB42B" w14:textId="0A79C0B6" w:rsidR="00B47DB8" w:rsidRPr="00B302B7" w:rsidRDefault="00B47DB8" w:rsidP="00573FBF">
      <w:pPr>
        <w:pStyle w:val="Bullet"/>
      </w:pPr>
      <w:r w:rsidRPr="00B302B7">
        <w:t>create fairer workplaces for all, including disabled people and members of rainbow communities.</w:t>
      </w:r>
    </w:p>
    <w:p w14:paraId="22900B52" w14:textId="6003ABAD" w:rsidR="00B47DB8" w:rsidRPr="00B302B7" w:rsidRDefault="00B47DB8" w:rsidP="00B47DB8">
      <w:pPr>
        <w:pStyle w:val="BodyText"/>
      </w:pPr>
      <w:r w:rsidRPr="00B302B7">
        <w:t xml:space="preserve">Our plan builds on the foundations achieved </w:t>
      </w:r>
      <w:r w:rsidR="00C70DB4" w:rsidRPr="00B302B7">
        <w:t xml:space="preserve">through </w:t>
      </w:r>
      <w:r w:rsidRPr="00B302B7">
        <w:t>previous pay gaps action plans</w:t>
      </w:r>
      <w:r w:rsidR="00535799" w:rsidRPr="00B302B7">
        <w:t xml:space="preserve">; </w:t>
      </w:r>
      <w:r w:rsidR="3FA66450" w:rsidRPr="00B302B7">
        <w:t xml:space="preserve">Tui </w:t>
      </w:r>
      <w:proofErr w:type="spellStart"/>
      <w:r w:rsidR="3FA66450" w:rsidRPr="00B302B7">
        <w:t>Raumata</w:t>
      </w:r>
      <w:proofErr w:type="spellEnd"/>
      <w:r w:rsidR="3FA66450" w:rsidRPr="00B302B7">
        <w:t xml:space="preserve"> -</w:t>
      </w:r>
      <w:r w:rsidR="00535799" w:rsidRPr="00B302B7">
        <w:t xml:space="preserve"> </w:t>
      </w:r>
      <w:r w:rsidRPr="00B302B7">
        <w:t xml:space="preserve">our Diversity, </w:t>
      </w:r>
      <w:proofErr w:type="gramStart"/>
      <w:r w:rsidRPr="00B302B7">
        <w:t>Equity</w:t>
      </w:r>
      <w:proofErr w:type="gramEnd"/>
      <w:r w:rsidRPr="00B302B7">
        <w:t xml:space="preserve"> and Inclusion Strategy</w:t>
      </w:r>
      <w:r w:rsidR="00535799" w:rsidRPr="00B302B7">
        <w:t xml:space="preserve">; </w:t>
      </w:r>
      <w:r w:rsidRPr="00B302B7">
        <w:t xml:space="preserve">and </w:t>
      </w:r>
      <w:proofErr w:type="spellStart"/>
      <w:r w:rsidR="3E2F3F44" w:rsidRPr="00B302B7">
        <w:t>Tangata</w:t>
      </w:r>
      <w:proofErr w:type="spellEnd"/>
      <w:r w:rsidR="3E2F3F44" w:rsidRPr="00B302B7">
        <w:t xml:space="preserve"> Ora - </w:t>
      </w:r>
      <w:r w:rsidRPr="00B302B7">
        <w:t xml:space="preserve">our People Strategy. </w:t>
      </w:r>
    </w:p>
    <w:p w14:paraId="1894E6B5" w14:textId="270B8D1F" w:rsidR="003A41A6" w:rsidRPr="00B302B7" w:rsidRDefault="00B47DB8" w:rsidP="00316676">
      <w:pPr>
        <w:pStyle w:val="BodyText"/>
        <w:rPr>
          <w:lang w:val="en-US"/>
        </w:rPr>
      </w:pPr>
      <w:r w:rsidRPr="00B302B7">
        <w:t xml:space="preserve">It is designed in </w:t>
      </w:r>
      <w:r w:rsidR="00C70DB4" w:rsidRPr="00B302B7">
        <w:t xml:space="preserve">consultation </w:t>
      </w:r>
      <w:r w:rsidRPr="00B302B7">
        <w:t xml:space="preserve">with representatives from our </w:t>
      </w:r>
      <w:r w:rsidR="00816A72" w:rsidRPr="00B302B7">
        <w:t>employee</w:t>
      </w:r>
      <w:r w:rsidRPr="00B302B7">
        <w:t>-</w:t>
      </w:r>
      <w:r w:rsidR="00816A72" w:rsidRPr="00B302B7">
        <w:t>led networks</w:t>
      </w:r>
      <w:r w:rsidRPr="00B302B7">
        <w:t>, the P</w:t>
      </w:r>
      <w:r w:rsidR="00816A72" w:rsidRPr="00B302B7">
        <w:t xml:space="preserve">ublic </w:t>
      </w:r>
      <w:r w:rsidRPr="00B302B7">
        <w:t>S</w:t>
      </w:r>
      <w:r w:rsidR="00816A72" w:rsidRPr="00B302B7">
        <w:t xml:space="preserve">ervice </w:t>
      </w:r>
      <w:r w:rsidRPr="00B302B7">
        <w:t>A</w:t>
      </w:r>
      <w:r w:rsidR="00816A72" w:rsidRPr="00B302B7">
        <w:t>ssociation (PSA)</w:t>
      </w:r>
      <w:r w:rsidRPr="00B302B7">
        <w:t xml:space="preserve">, and </w:t>
      </w:r>
      <w:r w:rsidR="00C70DB4" w:rsidRPr="00B302B7">
        <w:t xml:space="preserve">The Ministry’s Leadership Team. </w:t>
      </w:r>
    </w:p>
    <w:p w14:paraId="47F83088" w14:textId="17FF81C5" w:rsidR="00D054D4" w:rsidRPr="00B302B7" w:rsidRDefault="00F73DC6" w:rsidP="00C369AE">
      <w:pPr>
        <w:pStyle w:val="BodyText"/>
        <w:rPr>
          <w:lang w:val="en-US"/>
        </w:rPr>
      </w:pPr>
      <w:r w:rsidRPr="00316676">
        <w:rPr>
          <w:lang w:val="en-US"/>
        </w:rPr>
        <w:t xml:space="preserve">This plan was updated in December 2023. </w:t>
      </w:r>
      <w:r w:rsidR="00D054D4" w:rsidRPr="00316676">
        <w:rPr>
          <w:lang w:val="en-US"/>
        </w:rPr>
        <w:t xml:space="preserve">We have </w:t>
      </w:r>
      <w:r w:rsidRPr="00316676">
        <w:rPr>
          <w:lang w:val="en-US"/>
        </w:rPr>
        <w:t xml:space="preserve">added </w:t>
      </w:r>
      <w:r w:rsidR="00ED356F" w:rsidRPr="00316676">
        <w:rPr>
          <w:lang w:val="en-US"/>
        </w:rPr>
        <w:t>appendices that</w:t>
      </w:r>
      <w:r w:rsidR="00D054D4" w:rsidRPr="00316676">
        <w:rPr>
          <w:lang w:val="en-US"/>
        </w:rPr>
        <w:t xml:space="preserve"> provide a mid</w:t>
      </w:r>
      <w:r w:rsidR="00917749" w:rsidRPr="00316676">
        <w:rPr>
          <w:lang w:val="en-US"/>
        </w:rPr>
        <w:t>-</w:t>
      </w:r>
      <w:r w:rsidR="00D054D4" w:rsidRPr="00316676">
        <w:rPr>
          <w:lang w:val="en-US"/>
        </w:rPr>
        <w:t xml:space="preserve">plan review. </w:t>
      </w:r>
      <w:r w:rsidR="00ED356F" w:rsidRPr="00316676">
        <w:rPr>
          <w:lang w:val="en-US"/>
        </w:rPr>
        <w:t xml:space="preserve">These </w:t>
      </w:r>
      <w:r w:rsidR="00D054D4" w:rsidRPr="00B302B7">
        <w:rPr>
          <w:lang w:val="en-US"/>
        </w:rPr>
        <w:t xml:space="preserve">include </w:t>
      </w:r>
      <w:r w:rsidR="00C369AE" w:rsidRPr="00316676">
        <w:rPr>
          <w:lang w:val="en-US"/>
        </w:rPr>
        <w:t>updated workforce data</w:t>
      </w:r>
      <w:r w:rsidR="00D054D4" w:rsidRPr="00B302B7">
        <w:rPr>
          <w:lang w:val="en-US"/>
        </w:rPr>
        <w:t xml:space="preserve">, </w:t>
      </w:r>
      <w:r w:rsidR="00603AE6" w:rsidRPr="00B302B7">
        <w:rPr>
          <w:lang w:val="en-US"/>
        </w:rPr>
        <w:t xml:space="preserve">a </w:t>
      </w:r>
      <w:r w:rsidR="00C369AE" w:rsidRPr="00316676">
        <w:rPr>
          <w:lang w:val="en-US"/>
        </w:rPr>
        <w:t>summary of insights</w:t>
      </w:r>
      <w:r w:rsidR="00FF0549" w:rsidRPr="00B302B7">
        <w:rPr>
          <w:lang w:val="en-US"/>
        </w:rPr>
        <w:t xml:space="preserve"> and a </w:t>
      </w:r>
      <w:r w:rsidR="00C369AE" w:rsidRPr="00316676">
        <w:rPr>
          <w:lang w:val="en-US"/>
        </w:rPr>
        <w:t>progress update</w:t>
      </w:r>
      <w:r w:rsidR="00D054D4" w:rsidRPr="00B302B7">
        <w:rPr>
          <w:lang w:val="en-US"/>
        </w:rPr>
        <w:t xml:space="preserve"> </w:t>
      </w:r>
      <w:r w:rsidR="00917749" w:rsidRPr="00B302B7">
        <w:rPr>
          <w:lang w:val="en-US"/>
        </w:rPr>
        <w:t xml:space="preserve">on </w:t>
      </w:r>
      <w:r w:rsidR="00570AC3" w:rsidRPr="00B302B7">
        <w:rPr>
          <w:lang w:val="en-US"/>
        </w:rPr>
        <w:t>our delive</w:t>
      </w:r>
      <w:r w:rsidR="003304DA" w:rsidRPr="00B302B7">
        <w:rPr>
          <w:lang w:val="en-US"/>
        </w:rPr>
        <w:t>rables.</w:t>
      </w:r>
    </w:p>
    <w:p w14:paraId="17DC390B" w14:textId="4ECC8EF3" w:rsidR="009030E9" w:rsidRPr="00B302B7" w:rsidRDefault="009030E9">
      <w:pPr>
        <w:spacing w:before="0" w:after="200" w:line="276" w:lineRule="auto"/>
        <w:jc w:val="left"/>
        <w:rPr>
          <w:color w:val="FF0000"/>
          <w:lang w:val="en-US"/>
        </w:rPr>
      </w:pPr>
      <w:r w:rsidRPr="00B302B7">
        <w:rPr>
          <w:lang w:val="en-US"/>
        </w:rPr>
        <w:br w:type="page"/>
      </w:r>
    </w:p>
    <w:p w14:paraId="34351853" w14:textId="37867CFE" w:rsidR="00B47DB8" w:rsidRPr="00B302B7" w:rsidRDefault="00B47DB8" w:rsidP="00B47DB8">
      <w:pPr>
        <w:pStyle w:val="Heading1"/>
      </w:pPr>
      <w:bookmarkStart w:id="3" w:name="_Toc153181751"/>
      <w:r w:rsidRPr="00B302B7">
        <w:rPr>
          <w:lang w:val="en-US"/>
        </w:rPr>
        <w:lastRenderedPageBreak/>
        <w:t xml:space="preserve">Acknowledging the drivers of pay </w:t>
      </w:r>
      <w:proofErr w:type="gramStart"/>
      <w:r w:rsidRPr="00B302B7">
        <w:rPr>
          <w:lang w:val="en-US"/>
        </w:rPr>
        <w:t>gaps</w:t>
      </w:r>
      <w:bookmarkEnd w:id="3"/>
      <w:proofErr w:type="gramEnd"/>
    </w:p>
    <w:p w14:paraId="6C9C5323" w14:textId="0DDF2371" w:rsidR="00B47DB8" w:rsidRPr="00B302B7" w:rsidRDefault="00B47DB8" w:rsidP="00B47DB8">
      <w:pPr>
        <w:pStyle w:val="BodyText"/>
      </w:pPr>
      <w:r w:rsidRPr="00B302B7">
        <w:t xml:space="preserve">Pay </w:t>
      </w:r>
      <w:r w:rsidR="00816A72" w:rsidRPr="00B302B7">
        <w:t>g</w:t>
      </w:r>
      <w:r w:rsidRPr="00B302B7">
        <w:t>aps are the product of a complex set of interrelated factors</w:t>
      </w:r>
      <w:r w:rsidR="00816A72" w:rsidRPr="00B302B7">
        <w:t>, including</w:t>
      </w:r>
      <w:r w:rsidRPr="00B302B7">
        <w:t>:</w:t>
      </w:r>
    </w:p>
    <w:p w14:paraId="5D10C469" w14:textId="4A751903" w:rsidR="00B47DB8" w:rsidRPr="00B302B7" w:rsidRDefault="00F32DC6" w:rsidP="00573FBF">
      <w:pPr>
        <w:pStyle w:val="Bullet"/>
      </w:pPr>
      <w:r w:rsidRPr="00B302B7">
        <w:rPr>
          <w:b/>
          <w:bCs/>
        </w:rPr>
        <w:t>c</w:t>
      </w:r>
      <w:r w:rsidR="00B47DB8" w:rsidRPr="00B302B7">
        <w:rPr>
          <w:b/>
          <w:bCs/>
        </w:rPr>
        <w:t>onscious or unconscious bias or discrimination</w:t>
      </w:r>
      <w:r w:rsidR="00B47DB8" w:rsidRPr="00B302B7">
        <w:t xml:space="preserve"> </w:t>
      </w:r>
      <w:r w:rsidRPr="00B302B7">
        <w:t xml:space="preserve">– </w:t>
      </w:r>
      <w:r w:rsidR="00B47DB8" w:rsidRPr="00B302B7">
        <w:t xml:space="preserve">the deeply held beliefs we hold about gender, ethnicity, </w:t>
      </w:r>
      <w:proofErr w:type="gramStart"/>
      <w:r w:rsidR="00B47DB8" w:rsidRPr="00B302B7">
        <w:t>work</w:t>
      </w:r>
      <w:proofErr w:type="gramEnd"/>
      <w:r w:rsidR="00B47DB8" w:rsidRPr="00B302B7">
        <w:t xml:space="preserve"> and family. This underpins many other factors </w:t>
      </w:r>
    </w:p>
    <w:p w14:paraId="674BCFD3" w14:textId="6F061F05" w:rsidR="00B47DB8" w:rsidRPr="00B302B7" w:rsidRDefault="00F32DC6" w:rsidP="00573FBF">
      <w:pPr>
        <w:pStyle w:val="Bullet"/>
      </w:pPr>
      <w:r w:rsidRPr="00B302B7">
        <w:rPr>
          <w:b/>
        </w:rPr>
        <w:t>t</w:t>
      </w:r>
      <w:r w:rsidR="00B47DB8" w:rsidRPr="00B302B7">
        <w:rPr>
          <w:b/>
        </w:rPr>
        <w:t>he jobs women, Māori, Pacific and people of other minority ethnicities do</w:t>
      </w:r>
      <w:r w:rsidR="00B47DB8" w:rsidRPr="00B302B7">
        <w:t xml:space="preserve"> </w:t>
      </w:r>
      <w:r w:rsidRPr="00B302B7">
        <w:t>–</w:t>
      </w:r>
      <w:r w:rsidR="00B47DB8" w:rsidRPr="00B302B7">
        <w:t xml:space="preserve"> Māori and Pacific women, for instance, are more likely to be employed in a narrow range of occupations at the bottom or middle of an organisation. European men are generally better represented than women in senior roles</w:t>
      </w:r>
    </w:p>
    <w:p w14:paraId="1CED7335" w14:textId="6C58DC93" w:rsidR="00B47DB8" w:rsidRPr="00B302B7" w:rsidRDefault="00B47DB8" w:rsidP="00573FBF">
      <w:pPr>
        <w:pStyle w:val="Bullet"/>
      </w:pPr>
      <w:r w:rsidRPr="00B302B7">
        <w:rPr>
          <w:b/>
        </w:rPr>
        <w:t xml:space="preserve">the value placed on jobs </w:t>
      </w:r>
      <w:r w:rsidR="00F32DC6" w:rsidRPr="00B302B7">
        <w:rPr>
          <w:b/>
        </w:rPr>
        <w:t>identified</w:t>
      </w:r>
      <w:r w:rsidR="00F32DC6" w:rsidRPr="00B302B7">
        <w:rPr>
          <w:b/>
          <w:bCs/>
        </w:rPr>
        <w:t xml:space="preserve"> </w:t>
      </w:r>
      <w:r w:rsidRPr="00B302B7">
        <w:rPr>
          <w:b/>
        </w:rPr>
        <w:t>as ‘women’s work’</w:t>
      </w:r>
      <w:r w:rsidRPr="00B302B7">
        <w:t xml:space="preserve"> </w:t>
      </w:r>
      <w:r w:rsidR="00F32DC6" w:rsidRPr="00B302B7">
        <w:t>–</w:t>
      </w:r>
      <w:r w:rsidRPr="00B302B7">
        <w:t xml:space="preserve"> the skills, capabilities and responsibilities required in female-dominated occupations are not valued as highly as those in male-dominated occupations, generally speaking</w:t>
      </w:r>
    </w:p>
    <w:p w14:paraId="55FA3836" w14:textId="43F57113" w:rsidR="00B47DB8" w:rsidRPr="00B302B7" w:rsidRDefault="00B47DB8" w:rsidP="00573FBF">
      <w:pPr>
        <w:pStyle w:val="Bullet"/>
      </w:pPr>
      <w:r w:rsidRPr="00B302B7">
        <w:rPr>
          <w:b/>
        </w:rPr>
        <w:t>work arrangements and caring</w:t>
      </w:r>
      <w:r w:rsidR="00F32DC6" w:rsidRPr="00B302B7">
        <w:rPr>
          <w:b/>
          <w:bCs/>
        </w:rPr>
        <w:t xml:space="preserve"> </w:t>
      </w:r>
      <w:r w:rsidRPr="00B302B7">
        <w:rPr>
          <w:b/>
        </w:rPr>
        <w:t>responsibilities</w:t>
      </w:r>
      <w:r w:rsidRPr="00B302B7">
        <w:t xml:space="preserve"> </w:t>
      </w:r>
      <w:r w:rsidR="00F32DC6" w:rsidRPr="00B302B7">
        <w:t>–</w:t>
      </w:r>
      <w:r w:rsidRPr="00B302B7">
        <w:t xml:space="preserve"> women in all ethnic groups take on most of the caring responsibilities, whether for children, </w:t>
      </w:r>
      <w:proofErr w:type="gramStart"/>
      <w:r w:rsidRPr="00B302B7">
        <w:t>parents</w:t>
      </w:r>
      <w:proofErr w:type="gramEnd"/>
      <w:r w:rsidRPr="00B302B7">
        <w:t xml:space="preserve"> or extended whanau. Part-time or flexible work</w:t>
      </w:r>
      <w:r w:rsidR="00F32DC6" w:rsidRPr="00B302B7">
        <w:t>,</w:t>
      </w:r>
      <w:r w:rsidRPr="00B302B7">
        <w:t xml:space="preserve"> which allows </w:t>
      </w:r>
      <w:r w:rsidR="000632FF" w:rsidRPr="00B302B7">
        <w:t>people to integrate these responsibilities into the</w:t>
      </w:r>
      <w:r w:rsidR="00B6022D" w:rsidRPr="00B302B7">
        <w:t>ir work lives</w:t>
      </w:r>
      <w:r w:rsidR="00F32DC6" w:rsidRPr="00B302B7">
        <w:t>,</w:t>
      </w:r>
      <w:r w:rsidRPr="00B302B7">
        <w:t xml:space="preserve"> tend</w:t>
      </w:r>
      <w:r w:rsidR="00F32DC6" w:rsidRPr="00B302B7">
        <w:t>s</w:t>
      </w:r>
      <w:r w:rsidRPr="00B302B7">
        <w:t xml:space="preserve"> to be more available in lower-paid occupations. In addition, women are more likely than men to take parental leave, which also reduces the rate at which they can progress their careers</w:t>
      </w:r>
      <w:r w:rsidR="00F32DC6" w:rsidRPr="00B302B7">
        <w:t>,</w:t>
      </w:r>
      <w:r w:rsidRPr="00B302B7">
        <w:t xml:space="preserve"> and impacts on lifetime earnings</w:t>
      </w:r>
    </w:p>
    <w:p w14:paraId="16950DE8" w14:textId="7317B9FE" w:rsidR="00B47DB8" w:rsidRPr="00B302B7" w:rsidRDefault="00F32DC6" w:rsidP="00573FBF">
      <w:pPr>
        <w:pStyle w:val="Bullet"/>
      </w:pPr>
      <w:r w:rsidRPr="00B302B7">
        <w:rPr>
          <w:b/>
        </w:rPr>
        <w:t>l</w:t>
      </w:r>
      <w:r w:rsidR="00B47DB8" w:rsidRPr="00B302B7">
        <w:rPr>
          <w:b/>
        </w:rPr>
        <w:t>ack of women, Māori and Pacific People, and people of other minority ethnicities in leadership</w:t>
      </w:r>
      <w:r w:rsidR="00B47DB8" w:rsidRPr="00B302B7">
        <w:t xml:space="preserve"> </w:t>
      </w:r>
      <w:r w:rsidRPr="00B302B7">
        <w:t>–</w:t>
      </w:r>
      <w:r w:rsidR="00B47DB8" w:rsidRPr="00B302B7">
        <w:t xml:space="preserve"> Women, Māori and Pacific People are less likely to hold leadership roles, which partly reflects the engrained belief that men, particularly European men, are more suited to leadership</w:t>
      </w:r>
    </w:p>
    <w:p w14:paraId="000E5004" w14:textId="6597A5AB" w:rsidR="00B47DB8" w:rsidRPr="00B302B7" w:rsidRDefault="00F32DC6" w:rsidP="00573FBF">
      <w:pPr>
        <w:pStyle w:val="Bullet"/>
      </w:pPr>
      <w:r w:rsidRPr="00B302B7">
        <w:rPr>
          <w:b/>
        </w:rPr>
        <w:t>c</w:t>
      </w:r>
      <w:r w:rsidR="00B47DB8" w:rsidRPr="00B302B7">
        <w:rPr>
          <w:b/>
        </w:rPr>
        <w:t>ultural and gender differences</w:t>
      </w:r>
      <w:r w:rsidR="00B47DB8" w:rsidRPr="00B302B7">
        <w:t xml:space="preserve"> – cultural and gender differences around, for example, the willingness to negotiate a higher salary or put oneself forward for a promotion contribute to pay gaps and career progression</w:t>
      </w:r>
    </w:p>
    <w:p w14:paraId="7F1ECC9A" w14:textId="1B2B123A" w:rsidR="00B60F48" w:rsidRPr="00B302B7" w:rsidRDefault="00F32DC6" w:rsidP="00B60F48">
      <w:pPr>
        <w:pStyle w:val="Bullet"/>
      </w:pPr>
      <w:r w:rsidRPr="00B302B7">
        <w:rPr>
          <w:b/>
        </w:rPr>
        <w:t>e</w:t>
      </w:r>
      <w:r w:rsidR="00B47DB8" w:rsidRPr="00B302B7">
        <w:rPr>
          <w:b/>
        </w:rPr>
        <w:t>ducational attainment</w:t>
      </w:r>
      <w:r w:rsidR="00B47DB8" w:rsidRPr="00B302B7">
        <w:t xml:space="preserve"> – of the main ethnic groupings, Asians are most likely to be tertiary qualified, followed by Europeans, followed by Māori, followed by Pacific Peoples. The reasons for these differences are also varied, complex and interrelated</w:t>
      </w:r>
      <w:r w:rsidRPr="00B302B7">
        <w:t>.</w:t>
      </w:r>
    </w:p>
    <w:p w14:paraId="056B9CED" w14:textId="77777777" w:rsidR="00B60F48" w:rsidRPr="00B302B7" w:rsidRDefault="00B60F48" w:rsidP="00316676">
      <w:pPr>
        <w:pStyle w:val="Bullet"/>
        <w:numPr>
          <w:ilvl w:val="0"/>
          <w:numId w:val="0"/>
        </w:numPr>
        <w:ind w:left="397"/>
      </w:pPr>
    </w:p>
    <w:p w14:paraId="75EBADEE" w14:textId="2D5CF564" w:rsidR="00C8580F" w:rsidRPr="00B302B7" w:rsidRDefault="00E14103" w:rsidP="00B47DB8">
      <w:pPr>
        <w:pStyle w:val="BodyText"/>
        <w:rPr>
          <w:rStyle w:val="Hyperlink"/>
          <w:color w:val="auto"/>
        </w:rPr>
      </w:pPr>
      <w:r w:rsidRPr="00B302B7">
        <w:rPr>
          <w:rStyle w:val="Hyperlink"/>
          <w:color w:val="auto"/>
        </w:rPr>
        <w:t>Source:</w:t>
      </w:r>
      <w:r w:rsidR="004057E8" w:rsidRPr="00B302B7">
        <w:rPr>
          <w:rStyle w:val="Hyperlink"/>
          <w:color w:val="auto"/>
        </w:rPr>
        <w:t xml:space="preserve"> Te Kawa </w:t>
      </w:r>
      <w:proofErr w:type="spellStart"/>
      <w:r w:rsidR="004057E8" w:rsidRPr="00B302B7">
        <w:rPr>
          <w:rStyle w:val="Hyperlink"/>
          <w:color w:val="auto"/>
        </w:rPr>
        <w:t>Mataaho</w:t>
      </w:r>
      <w:proofErr w:type="spellEnd"/>
      <w:r w:rsidR="004057E8" w:rsidRPr="00B302B7">
        <w:rPr>
          <w:rStyle w:val="Hyperlink"/>
          <w:color w:val="auto"/>
        </w:rPr>
        <w:t xml:space="preserve"> Public Service Commission. 2022. </w:t>
      </w:r>
      <w:hyperlink r:id="rId25" w:history="1">
        <w:r w:rsidR="00A91F73" w:rsidRPr="00B302B7">
          <w:rPr>
            <w:rStyle w:val="Hyperlink"/>
          </w:rPr>
          <w:t>Pay gap</w:t>
        </w:r>
        <w:bookmarkStart w:id="4" w:name="_Hlt152924291"/>
        <w:bookmarkStart w:id="5" w:name="_Hlt152924292"/>
        <w:r w:rsidR="00A91F73" w:rsidRPr="00B302B7">
          <w:rPr>
            <w:rStyle w:val="Hyperlink"/>
          </w:rPr>
          <w:t>s</w:t>
        </w:r>
        <w:bookmarkEnd w:id="4"/>
        <w:bookmarkEnd w:id="5"/>
        <w:r w:rsidR="00A91F73" w:rsidRPr="00B302B7">
          <w:rPr>
            <w:rStyle w:val="Hyperlink"/>
          </w:rPr>
          <w:t xml:space="preserve"> and pay equity</w:t>
        </w:r>
      </w:hyperlink>
      <w:r w:rsidR="00A91F73" w:rsidRPr="00B302B7">
        <w:rPr>
          <w:rStyle w:val="Hyperlink"/>
          <w:color w:val="auto"/>
        </w:rPr>
        <w:t>. Accessed 31 October 2022.</w:t>
      </w:r>
      <w:r w:rsidR="00C8580F" w:rsidRPr="00B302B7">
        <w:rPr>
          <w:rStyle w:val="Hyperlink"/>
          <w:color w:val="auto"/>
        </w:rPr>
        <w:t xml:space="preserve"> </w:t>
      </w:r>
    </w:p>
    <w:p w14:paraId="1BAA592C" w14:textId="77777777" w:rsidR="00E34EC5" w:rsidRPr="00B302B7" w:rsidRDefault="00E34EC5" w:rsidP="00B47DB8">
      <w:pPr>
        <w:pStyle w:val="BodyText"/>
        <w:rPr>
          <w:rStyle w:val="Hyperlink"/>
          <w:color w:val="auto"/>
        </w:rPr>
      </w:pPr>
    </w:p>
    <w:p w14:paraId="78D2D867" w14:textId="44D0B969" w:rsidR="00E34EC5" w:rsidRPr="00B302B7" w:rsidRDefault="00E34EC5" w:rsidP="00E34EC5">
      <w:pPr>
        <w:pStyle w:val="Bullet"/>
        <w:numPr>
          <w:ilvl w:val="0"/>
          <w:numId w:val="0"/>
        </w:numPr>
      </w:pPr>
      <w:r w:rsidRPr="00B302B7">
        <w:t xml:space="preserve">The Ministry’s pay gaps action plan seeks to address the way that these factors impact on our workforce </w:t>
      </w:r>
      <w:proofErr w:type="gramStart"/>
      <w:r w:rsidRPr="00B302B7">
        <w:t>in order to</w:t>
      </w:r>
      <w:proofErr w:type="gramEnd"/>
      <w:r w:rsidRPr="00B302B7">
        <w:t xml:space="preserve"> progress towards a more diverse</w:t>
      </w:r>
      <w:r w:rsidR="006A1B5A" w:rsidRPr="00B302B7">
        <w:t xml:space="preserve"> organisation at all levels</w:t>
      </w:r>
      <w:r w:rsidRPr="00B302B7">
        <w:t>,</w:t>
      </w:r>
      <w:r w:rsidR="006A1B5A" w:rsidRPr="00B302B7">
        <w:t xml:space="preserve"> and more</w:t>
      </w:r>
      <w:r w:rsidRPr="00B302B7">
        <w:t xml:space="preserve"> equitable </w:t>
      </w:r>
      <w:r w:rsidR="000B1D2B" w:rsidRPr="00B302B7">
        <w:t xml:space="preserve">outcomes </w:t>
      </w:r>
      <w:r w:rsidRPr="00B302B7">
        <w:t xml:space="preserve">for our people.  </w:t>
      </w:r>
    </w:p>
    <w:p w14:paraId="722C4A55" w14:textId="77777777" w:rsidR="00E34EC5" w:rsidRPr="00B302B7" w:rsidRDefault="00E34EC5" w:rsidP="00B47DB8">
      <w:pPr>
        <w:pStyle w:val="BodyText"/>
        <w:rPr>
          <w:rStyle w:val="Hyperlink"/>
        </w:rPr>
      </w:pPr>
    </w:p>
    <w:p w14:paraId="6BDEEEBA" w14:textId="77777777" w:rsidR="009030E9" w:rsidRPr="00B302B7" w:rsidRDefault="009030E9">
      <w:pPr>
        <w:spacing w:before="0" w:after="200" w:line="276" w:lineRule="auto"/>
        <w:jc w:val="left"/>
        <w:rPr>
          <w:rFonts w:ascii="Georgia" w:eastAsiaTheme="majorEastAsia" w:hAnsi="Georgia" w:cstheme="majorBidi"/>
          <w:b/>
          <w:bCs/>
          <w:color w:val="1B556B"/>
          <w:sz w:val="36"/>
          <w:szCs w:val="26"/>
          <w:lang w:val="en-US"/>
        </w:rPr>
      </w:pPr>
      <w:r w:rsidRPr="00B302B7">
        <w:rPr>
          <w:lang w:val="en-US"/>
        </w:rPr>
        <w:br w:type="page"/>
      </w:r>
    </w:p>
    <w:p w14:paraId="7975E3DC" w14:textId="7468C10F" w:rsidR="00B47DB8" w:rsidRPr="00B302B7" w:rsidRDefault="005158A6" w:rsidP="009030E9">
      <w:pPr>
        <w:pStyle w:val="Heading1"/>
        <w:rPr>
          <w:lang w:val="en-US"/>
        </w:rPr>
      </w:pPr>
      <w:bookmarkStart w:id="6" w:name="_Toc153181752"/>
      <w:r w:rsidRPr="00B302B7">
        <w:rPr>
          <w:lang w:val="en-US"/>
        </w:rPr>
        <w:lastRenderedPageBreak/>
        <w:t>The Ministry’s g</w:t>
      </w:r>
      <w:r w:rsidR="00B47DB8" w:rsidRPr="00B302B7">
        <w:rPr>
          <w:lang w:val="en-US"/>
        </w:rPr>
        <w:t xml:space="preserve">ender and </w:t>
      </w:r>
      <w:r w:rsidRPr="00B302B7">
        <w:rPr>
          <w:lang w:val="en-US"/>
        </w:rPr>
        <w:t>e</w:t>
      </w:r>
      <w:r w:rsidR="00B47DB8" w:rsidRPr="00B302B7">
        <w:rPr>
          <w:lang w:val="en-US"/>
        </w:rPr>
        <w:t xml:space="preserve">thnic </w:t>
      </w:r>
      <w:r w:rsidRPr="00B302B7">
        <w:rPr>
          <w:lang w:val="en-US"/>
        </w:rPr>
        <w:t>p</w:t>
      </w:r>
      <w:r w:rsidR="00B47DB8" w:rsidRPr="00B302B7">
        <w:rPr>
          <w:lang w:val="en-US"/>
        </w:rPr>
        <w:t xml:space="preserve">ay </w:t>
      </w:r>
      <w:r w:rsidRPr="00B302B7">
        <w:rPr>
          <w:lang w:val="en-US"/>
        </w:rPr>
        <w:t>g</w:t>
      </w:r>
      <w:r w:rsidR="00B47DB8" w:rsidRPr="00B302B7">
        <w:rPr>
          <w:lang w:val="en-US"/>
        </w:rPr>
        <w:t>aps – progress to date</w:t>
      </w:r>
      <w:bookmarkEnd w:id="6"/>
    </w:p>
    <w:p w14:paraId="32222729" w14:textId="113ECB20" w:rsidR="00B47DB8" w:rsidRPr="00B302B7" w:rsidRDefault="00B47DB8" w:rsidP="00B47DB8">
      <w:pPr>
        <w:pStyle w:val="BodyText"/>
        <w:rPr>
          <w:lang w:val="en-US"/>
        </w:rPr>
      </w:pPr>
      <w:r w:rsidRPr="00B302B7">
        <w:rPr>
          <w:lang w:val="en-US"/>
        </w:rPr>
        <w:t>A focused effort since the introduction of a pay gaps action plan in 2020 has resulted in a reduction of the average gender pay gap at the Ministry, and progress against some of our ethnic pay gaps</w:t>
      </w:r>
      <w:r w:rsidR="005158A6" w:rsidRPr="00B302B7">
        <w:rPr>
          <w:lang w:val="en-US"/>
        </w:rPr>
        <w:t>.</w:t>
      </w:r>
      <w:r w:rsidRPr="00B302B7">
        <w:rPr>
          <w:lang w:val="en-US"/>
        </w:rPr>
        <w:t xml:space="preserve"> </w:t>
      </w:r>
      <w:r w:rsidR="005158A6" w:rsidRPr="00B302B7">
        <w:rPr>
          <w:lang w:val="en-US"/>
        </w:rPr>
        <w:t xml:space="preserve">However, </w:t>
      </w:r>
      <w:r w:rsidRPr="00B302B7">
        <w:rPr>
          <w:lang w:val="en-US"/>
        </w:rPr>
        <w:t xml:space="preserve">we have more work to do to embed these shifts and drive consistency. </w:t>
      </w:r>
    </w:p>
    <w:p w14:paraId="77B72E03" w14:textId="752D55BB" w:rsidR="00B47DB8" w:rsidRPr="00B302B7" w:rsidRDefault="00B47DB8" w:rsidP="00B47DB8">
      <w:pPr>
        <w:pStyle w:val="BodyText"/>
        <w:rPr>
          <w:lang w:val="en-US"/>
        </w:rPr>
      </w:pPr>
      <w:r w:rsidRPr="00B302B7">
        <w:rPr>
          <w:lang w:val="en-US"/>
        </w:rPr>
        <w:t>Over the last two years we have delivered:</w:t>
      </w:r>
    </w:p>
    <w:p w14:paraId="45AFF1B5" w14:textId="72DE22E1" w:rsidR="00B47DB8" w:rsidRPr="00B302B7" w:rsidRDefault="005158A6" w:rsidP="00573FBF">
      <w:pPr>
        <w:pStyle w:val="Bullet"/>
        <w:rPr>
          <w:lang w:val="en-US"/>
        </w:rPr>
      </w:pPr>
      <w:r w:rsidRPr="00B302B7">
        <w:rPr>
          <w:b/>
          <w:lang w:val="en-US"/>
        </w:rPr>
        <w:t>c</w:t>
      </w:r>
      <w:r w:rsidR="00B47DB8" w:rsidRPr="00B302B7">
        <w:rPr>
          <w:b/>
          <w:lang w:val="en-US"/>
        </w:rPr>
        <w:t>ontinued enhancements in our recruitment practices</w:t>
      </w:r>
      <w:r w:rsidR="00B47DB8" w:rsidRPr="00B302B7">
        <w:rPr>
          <w:lang w:val="en-US"/>
        </w:rPr>
        <w:t>, including using gender-neutral language</w:t>
      </w:r>
      <w:r w:rsidRPr="00B302B7">
        <w:rPr>
          <w:lang w:val="en-US"/>
        </w:rPr>
        <w:t>,</w:t>
      </w:r>
      <w:r w:rsidR="00B47DB8" w:rsidRPr="00B302B7">
        <w:rPr>
          <w:lang w:val="en-US"/>
        </w:rPr>
        <w:t xml:space="preserve"> advertising jobs with te </w:t>
      </w:r>
      <w:proofErr w:type="spellStart"/>
      <w:r w:rsidR="00B47DB8" w:rsidRPr="00B302B7">
        <w:rPr>
          <w:lang w:val="en-US"/>
        </w:rPr>
        <w:t>reo</w:t>
      </w:r>
      <w:proofErr w:type="spellEnd"/>
      <w:r w:rsidR="00B47DB8" w:rsidRPr="00B302B7">
        <w:rPr>
          <w:lang w:val="en-US"/>
        </w:rPr>
        <w:t xml:space="preserve"> and a </w:t>
      </w:r>
      <w:r w:rsidRPr="00B302B7">
        <w:rPr>
          <w:lang w:val="en-US"/>
        </w:rPr>
        <w:t>flexible-by-</w:t>
      </w:r>
      <w:r w:rsidR="00B47DB8" w:rsidRPr="00B302B7">
        <w:rPr>
          <w:lang w:val="en-US"/>
        </w:rPr>
        <w:t>default location, and advertis</w:t>
      </w:r>
      <w:r w:rsidRPr="00B302B7">
        <w:rPr>
          <w:lang w:val="en-US"/>
        </w:rPr>
        <w:t>ing</w:t>
      </w:r>
      <w:r w:rsidR="00B47DB8" w:rsidRPr="00B302B7">
        <w:rPr>
          <w:lang w:val="en-US"/>
        </w:rPr>
        <w:t xml:space="preserve"> all roles with transparent salary ranges</w:t>
      </w:r>
      <w:r w:rsidR="0065284F" w:rsidRPr="00B302B7">
        <w:rPr>
          <w:lang w:val="en-US"/>
        </w:rPr>
        <w:t xml:space="preserve">. In addition, we promote the use of </w:t>
      </w:r>
      <w:r w:rsidR="00414316" w:rsidRPr="00B302B7">
        <w:rPr>
          <w:lang w:val="en-US"/>
        </w:rPr>
        <w:t>diverse interview panels and the provision of interview questions</w:t>
      </w:r>
      <w:r w:rsidR="000E74EE" w:rsidRPr="00B302B7">
        <w:rPr>
          <w:lang w:val="en-US"/>
        </w:rPr>
        <w:t xml:space="preserve"> to candidates prior to interview. </w:t>
      </w:r>
      <w:r w:rsidR="00B47DB8" w:rsidRPr="00B302B7">
        <w:rPr>
          <w:lang w:val="en-US"/>
        </w:rPr>
        <w:t xml:space="preserve"> </w:t>
      </w:r>
    </w:p>
    <w:p w14:paraId="09D873CA" w14:textId="0AFD1904" w:rsidR="00B47DB8" w:rsidRPr="00B302B7" w:rsidRDefault="005158A6" w:rsidP="00573FBF">
      <w:pPr>
        <w:pStyle w:val="Bullet"/>
        <w:rPr>
          <w:lang w:val="en-US"/>
        </w:rPr>
      </w:pPr>
      <w:r w:rsidRPr="00B302B7">
        <w:rPr>
          <w:b/>
          <w:bCs/>
          <w:lang w:val="en-US"/>
        </w:rPr>
        <w:t>s</w:t>
      </w:r>
      <w:r w:rsidR="00B47DB8" w:rsidRPr="00B302B7">
        <w:rPr>
          <w:b/>
          <w:bCs/>
          <w:lang w:val="en-US"/>
        </w:rPr>
        <w:t xml:space="preserve">ector-leading </w:t>
      </w:r>
      <w:r w:rsidRPr="00B302B7">
        <w:rPr>
          <w:b/>
          <w:bCs/>
          <w:lang w:val="en-US"/>
        </w:rPr>
        <w:t>‘f</w:t>
      </w:r>
      <w:r w:rsidR="00B47DB8" w:rsidRPr="00B302B7">
        <w:rPr>
          <w:b/>
          <w:bCs/>
          <w:lang w:val="en-US"/>
        </w:rPr>
        <w:t>lexible by default</w:t>
      </w:r>
      <w:r w:rsidRPr="00B302B7">
        <w:rPr>
          <w:b/>
          <w:bCs/>
          <w:lang w:val="en-US"/>
        </w:rPr>
        <w:t xml:space="preserve">’ </w:t>
      </w:r>
      <w:r w:rsidR="00B47DB8" w:rsidRPr="00B302B7">
        <w:rPr>
          <w:b/>
          <w:bCs/>
          <w:lang w:val="en-US"/>
        </w:rPr>
        <w:t>way of working</w:t>
      </w:r>
      <w:r w:rsidRPr="00B302B7">
        <w:rPr>
          <w:lang w:val="en-US"/>
        </w:rPr>
        <w:t xml:space="preserve"> </w:t>
      </w:r>
      <w:proofErr w:type="gramStart"/>
      <w:r w:rsidRPr="00B302B7">
        <w:rPr>
          <w:lang w:val="en-US"/>
        </w:rPr>
        <w:t>have</w:t>
      </w:r>
      <w:proofErr w:type="gramEnd"/>
      <w:r w:rsidRPr="00B302B7">
        <w:rPr>
          <w:lang w:val="en-US"/>
        </w:rPr>
        <w:t xml:space="preserve"> </w:t>
      </w:r>
      <w:r w:rsidR="00B47DB8" w:rsidRPr="00B302B7">
        <w:rPr>
          <w:lang w:val="en-US"/>
        </w:rPr>
        <w:t xml:space="preserve">embedded and </w:t>
      </w:r>
      <w:proofErr w:type="spellStart"/>
      <w:r w:rsidR="00B47DB8" w:rsidRPr="00B302B7">
        <w:rPr>
          <w:lang w:val="en-US"/>
        </w:rPr>
        <w:t>normalised</w:t>
      </w:r>
      <w:proofErr w:type="spellEnd"/>
      <w:r w:rsidR="00B47DB8" w:rsidRPr="00B302B7">
        <w:rPr>
          <w:lang w:val="en-US"/>
        </w:rPr>
        <w:t xml:space="preserve"> flexible working at the Ministry</w:t>
      </w:r>
      <w:r w:rsidR="000E74EE" w:rsidRPr="00B302B7">
        <w:rPr>
          <w:lang w:val="en-US"/>
        </w:rPr>
        <w:t xml:space="preserve">, and have </w:t>
      </w:r>
      <w:r w:rsidR="00D16936" w:rsidRPr="00B302B7">
        <w:rPr>
          <w:lang w:val="en-US"/>
        </w:rPr>
        <w:t>helped to</w:t>
      </w:r>
      <w:r w:rsidR="000E74EE" w:rsidRPr="00B302B7">
        <w:rPr>
          <w:lang w:val="en-US"/>
        </w:rPr>
        <w:t xml:space="preserve"> increase our diversity as an </w:t>
      </w:r>
      <w:proofErr w:type="spellStart"/>
      <w:r w:rsidR="000E74EE" w:rsidRPr="00B302B7">
        <w:rPr>
          <w:lang w:val="en-US"/>
        </w:rPr>
        <w:t>organisation</w:t>
      </w:r>
      <w:proofErr w:type="spellEnd"/>
      <w:r w:rsidR="000E74EE" w:rsidRPr="00B302B7">
        <w:rPr>
          <w:lang w:val="en-US"/>
        </w:rPr>
        <w:t xml:space="preserve"> by </w:t>
      </w:r>
      <w:r w:rsidR="00D16936" w:rsidRPr="00B302B7">
        <w:rPr>
          <w:lang w:val="en-US"/>
        </w:rPr>
        <w:t xml:space="preserve">allowing us to </w:t>
      </w:r>
      <w:r w:rsidR="000E74EE" w:rsidRPr="00B302B7">
        <w:rPr>
          <w:lang w:val="en-US"/>
        </w:rPr>
        <w:t xml:space="preserve">tap into </w:t>
      </w:r>
      <w:r w:rsidR="004C668C" w:rsidRPr="00B302B7">
        <w:rPr>
          <w:lang w:val="en-US"/>
        </w:rPr>
        <w:t xml:space="preserve">candidate pools anywhere across Aotearoa, and </w:t>
      </w:r>
      <w:r w:rsidR="009020A6" w:rsidRPr="00B302B7">
        <w:rPr>
          <w:lang w:val="en-US"/>
        </w:rPr>
        <w:t xml:space="preserve">reduce barriers to entry for </w:t>
      </w:r>
      <w:r w:rsidR="004C668C" w:rsidRPr="00B302B7">
        <w:rPr>
          <w:lang w:val="en-US"/>
        </w:rPr>
        <w:t xml:space="preserve">those who </w:t>
      </w:r>
      <w:r w:rsidR="009020A6" w:rsidRPr="00B302B7">
        <w:rPr>
          <w:lang w:val="en-US"/>
        </w:rPr>
        <w:t>have care responsibilities</w:t>
      </w:r>
      <w:r w:rsidR="00B47DB8" w:rsidRPr="00B302B7">
        <w:rPr>
          <w:lang w:val="en-US"/>
        </w:rPr>
        <w:t xml:space="preserve">. </w:t>
      </w:r>
      <w:r w:rsidR="008D5E59" w:rsidRPr="00B302B7">
        <w:rPr>
          <w:lang w:val="en-US"/>
        </w:rPr>
        <w:t>Our</w:t>
      </w:r>
      <w:r w:rsidR="00B47DB8" w:rsidRPr="00B302B7">
        <w:rPr>
          <w:lang w:val="en-US"/>
        </w:rPr>
        <w:t xml:space="preserve"> trust-based system is modelled by leaders and highly valued by our workforce</w:t>
      </w:r>
      <w:r w:rsidRPr="00B302B7">
        <w:rPr>
          <w:lang w:val="en-US"/>
        </w:rPr>
        <w:t xml:space="preserve">. It </w:t>
      </w:r>
      <w:r w:rsidR="00B47DB8" w:rsidRPr="00B302B7">
        <w:rPr>
          <w:lang w:val="en-US"/>
        </w:rPr>
        <w:t xml:space="preserve">allows people outside of the urban </w:t>
      </w:r>
      <w:proofErr w:type="spellStart"/>
      <w:r w:rsidR="00B47DB8" w:rsidRPr="00B302B7">
        <w:rPr>
          <w:lang w:val="en-US"/>
        </w:rPr>
        <w:t>centres</w:t>
      </w:r>
      <w:proofErr w:type="spellEnd"/>
      <w:r w:rsidR="00B47DB8" w:rsidRPr="00B302B7">
        <w:rPr>
          <w:lang w:val="en-US"/>
        </w:rPr>
        <w:t xml:space="preserve"> to access opportunities to work at </w:t>
      </w:r>
      <w:r w:rsidRPr="00B302B7">
        <w:rPr>
          <w:lang w:val="en-US"/>
        </w:rPr>
        <w:t xml:space="preserve">the </w:t>
      </w:r>
      <w:proofErr w:type="gramStart"/>
      <w:r w:rsidRPr="00B302B7">
        <w:rPr>
          <w:lang w:val="en-US"/>
        </w:rPr>
        <w:t>Ministry</w:t>
      </w:r>
      <w:proofErr w:type="gramEnd"/>
      <w:r w:rsidR="5BCC33CF" w:rsidRPr="00B302B7">
        <w:rPr>
          <w:lang w:val="en-US"/>
        </w:rPr>
        <w:t xml:space="preserve"> </w:t>
      </w:r>
    </w:p>
    <w:p w14:paraId="4FDEC75A" w14:textId="1971FA3E" w:rsidR="00B47DB8" w:rsidRPr="00B302B7" w:rsidRDefault="005158A6" w:rsidP="00573FBF">
      <w:pPr>
        <w:pStyle w:val="Bullet"/>
        <w:rPr>
          <w:lang w:val="en-US"/>
        </w:rPr>
      </w:pPr>
      <w:r w:rsidRPr="00B302B7">
        <w:rPr>
          <w:b/>
          <w:lang w:val="en-US"/>
        </w:rPr>
        <w:t>r</w:t>
      </w:r>
      <w:r w:rsidR="00B47DB8" w:rsidRPr="00B302B7">
        <w:rPr>
          <w:b/>
          <w:lang w:val="en-US"/>
        </w:rPr>
        <w:t>egular ‘deep dive’ reporting</w:t>
      </w:r>
      <w:r w:rsidR="00B47DB8" w:rsidRPr="00B302B7">
        <w:rPr>
          <w:lang w:val="en-US"/>
        </w:rPr>
        <w:t xml:space="preserve"> </w:t>
      </w:r>
      <w:r w:rsidR="00B47DB8" w:rsidRPr="00B302B7">
        <w:rPr>
          <w:b/>
          <w:lang w:val="en-US"/>
        </w:rPr>
        <w:t xml:space="preserve">into our diversity </w:t>
      </w:r>
      <w:r w:rsidRPr="00B302B7">
        <w:rPr>
          <w:b/>
          <w:lang w:val="en-US"/>
        </w:rPr>
        <w:t xml:space="preserve">and </w:t>
      </w:r>
      <w:r w:rsidR="00B47DB8" w:rsidRPr="00B302B7">
        <w:rPr>
          <w:b/>
          <w:lang w:val="en-US"/>
        </w:rPr>
        <w:t>inclusion landscape</w:t>
      </w:r>
      <w:r w:rsidR="00B47DB8" w:rsidRPr="00B302B7">
        <w:rPr>
          <w:lang w:val="en-US"/>
        </w:rPr>
        <w:t xml:space="preserve">, including pay gaps. Sharing this information with our leaders has helped to build awareness of our current state and reinforced our focus on building a workplace free from bias and </w:t>
      </w:r>
      <w:proofErr w:type="gramStart"/>
      <w:r w:rsidR="00B47DB8" w:rsidRPr="00B302B7">
        <w:rPr>
          <w:lang w:val="en-US"/>
        </w:rPr>
        <w:t>discrimination</w:t>
      </w:r>
      <w:proofErr w:type="gramEnd"/>
    </w:p>
    <w:p w14:paraId="673EE423" w14:textId="0C75EEA0" w:rsidR="00B47DB8" w:rsidRPr="00B302B7" w:rsidRDefault="005158A6" w:rsidP="00573FBF">
      <w:pPr>
        <w:pStyle w:val="Bullet"/>
        <w:rPr>
          <w:lang w:val="en-US"/>
        </w:rPr>
      </w:pPr>
      <w:r w:rsidRPr="00B302B7">
        <w:rPr>
          <w:b/>
          <w:bCs/>
          <w:lang w:val="en-US"/>
        </w:rPr>
        <w:t>c</w:t>
      </w:r>
      <w:r w:rsidR="00B47DB8" w:rsidRPr="00B302B7">
        <w:rPr>
          <w:b/>
          <w:bCs/>
          <w:lang w:val="en-US"/>
        </w:rPr>
        <w:t xml:space="preserve">ontinued progress against our Diversity, Equity </w:t>
      </w:r>
      <w:r w:rsidRPr="00B302B7">
        <w:rPr>
          <w:b/>
          <w:bCs/>
          <w:lang w:val="en-US"/>
        </w:rPr>
        <w:t xml:space="preserve">and </w:t>
      </w:r>
      <w:r w:rsidR="00B47DB8" w:rsidRPr="00B302B7">
        <w:rPr>
          <w:b/>
          <w:bCs/>
          <w:lang w:val="en-US"/>
        </w:rPr>
        <w:t>Inclusion Strategy</w:t>
      </w:r>
      <w:r w:rsidRPr="00B302B7">
        <w:rPr>
          <w:b/>
          <w:bCs/>
          <w:lang w:val="en-US"/>
        </w:rPr>
        <w:t xml:space="preserve"> – </w:t>
      </w:r>
      <w:r w:rsidR="00B47DB8" w:rsidRPr="00B302B7">
        <w:rPr>
          <w:b/>
          <w:bCs/>
          <w:lang w:val="en-US"/>
        </w:rPr>
        <w:t xml:space="preserve">Tui </w:t>
      </w:r>
      <w:proofErr w:type="spellStart"/>
      <w:r w:rsidR="00B47DB8" w:rsidRPr="00B302B7">
        <w:rPr>
          <w:b/>
          <w:bCs/>
          <w:lang w:val="en-US"/>
        </w:rPr>
        <w:t>Raumata</w:t>
      </w:r>
      <w:proofErr w:type="spellEnd"/>
      <w:r w:rsidR="00B47DB8" w:rsidRPr="00B302B7">
        <w:rPr>
          <w:b/>
          <w:bCs/>
          <w:lang w:val="en-US"/>
        </w:rPr>
        <w:t>, and our People Strategy</w:t>
      </w:r>
      <w:r w:rsidRPr="00B302B7">
        <w:rPr>
          <w:b/>
          <w:bCs/>
          <w:lang w:val="en-US"/>
        </w:rPr>
        <w:t xml:space="preserve"> – </w:t>
      </w:r>
      <w:proofErr w:type="spellStart"/>
      <w:r w:rsidR="00B47DB8" w:rsidRPr="00B302B7">
        <w:rPr>
          <w:b/>
          <w:bCs/>
          <w:lang w:val="en-US"/>
        </w:rPr>
        <w:t>Tangata</w:t>
      </w:r>
      <w:proofErr w:type="spellEnd"/>
      <w:r w:rsidR="00B47DB8" w:rsidRPr="00B302B7">
        <w:rPr>
          <w:b/>
          <w:bCs/>
          <w:lang w:val="en-US"/>
        </w:rPr>
        <w:t xml:space="preserve"> Ora</w:t>
      </w:r>
      <w:r w:rsidR="00B47DB8" w:rsidRPr="00B302B7">
        <w:rPr>
          <w:lang w:val="en-US"/>
        </w:rPr>
        <w:t>, including participating in external accreditation</w:t>
      </w:r>
      <w:r w:rsidR="0079306A" w:rsidRPr="00B302B7">
        <w:rPr>
          <w:lang w:val="en-US"/>
        </w:rPr>
        <w:t xml:space="preserve"> processes to ensure </w:t>
      </w:r>
      <w:r w:rsidR="0004280C" w:rsidRPr="00B302B7">
        <w:rPr>
          <w:lang w:val="en-US"/>
        </w:rPr>
        <w:t>continuous improvements to our practices and systems</w:t>
      </w:r>
      <w:r w:rsidR="00B47DB8" w:rsidRPr="00B302B7">
        <w:rPr>
          <w:lang w:val="en-US"/>
        </w:rPr>
        <w:t xml:space="preserve">, strengthening support for employee-led networks, delivery of cultural capability uplift for leaders and teams, and building the foundations of a career development </w:t>
      </w:r>
      <w:proofErr w:type="gramStart"/>
      <w:r w:rsidR="00B47DB8" w:rsidRPr="00B302B7">
        <w:rPr>
          <w:lang w:val="en-US"/>
        </w:rPr>
        <w:t>framework</w:t>
      </w:r>
      <w:proofErr w:type="gramEnd"/>
    </w:p>
    <w:p w14:paraId="70C3B9BF" w14:textId="77777777" w:rsidR="000B1126" w:rsidRPr="00B302B7" w:rsidRDefault="000B1126">
      <w:pPr>
        <w:spacing w:before="0" w:after="200" w:line="276" w:lineRule="auto"/>
        <w:jc w:val="left"/>
        <w:rPr>
          <w:rFonts w:cs="Times New Roman"/>
          <w:b/>
          <w:bCs/>
          <w:szCs w:val="20"/>
        </w:rPr>
      </w:pPr>
      <w:r w:rsidRPr="00B302B7">
        <w:rPr>
          <w:rFonts w:cs="Times New Roman"/>
          <w:szCs w:val="20"/>
        </w:rPr>
        <w:br w:type="page"/>
      </w:r>
    </w:p>
    <w:p w14:paraId="4870812B" w14:textId="582A6E96" w:rsidR="00B47DB8" w:rsidRPr="00B302B7" w:rsidRDefault="00B51053" w:rsidP="00EC293E">
      <w:pPr>
        <w:pStyle w:val="Heading1"/>
      </w:pPr>
      <w:bookmarkStart w:id="7" w:name="_Toc153181753"/>
      <w:r w:rsidRPr="00B302B7">
        <w:lastRenderedPageBreak/>
        <w:t>Workforce Data</w:t>
      </w:r>
      <w:bookmarkEnd w:id="7"/>
      <w:r w:rsidR="00162B05" w:rsidRPr="00B302B7">
        <w:t xml:space="preserve"> </w:t>
      </w:r>
    </w:p>
    <w:p w14:paraId="24A11DFC" w14:textId="77777777" w:rsidR="003B5994" w:rsidRPr="00B302B7" w:rsidRDefault="00C646C4" w:rsidP="58BDDB90">
      <w:pPr>
        <w:pStyle w:val="BodyText"/>
      </w:pPr>
      <w:r w:rsidRPr="00B302B7">
        <w:t xml:space="preserve">This section provides an overview of the key </w:t>
      </w:r>
      <w:r w:rsidR="000E7116" w:rsidRPr="00B302B7">
        <w:t>workforce data</w:t>
      </w:r>
      <w:r w:rsidRPr="00B302B7">
        <w:t xml:space="preserve"> relating to our gender and ethnic pay gaps, including the pay gaps themselves</w:t>
      </w:r>
      <w:r w:rsidR="00DA5746" w:rsidRPr="00B302B7">
        <w:t xml:space="preserve">, </w:t>
      </w:r>
      <w:r w:rsidR="00AB7E15" w:rsidRPr="00B302B7">
        <w:t>and</w:t>
      </w:r>
      <w:r w:rsidR="00DA5746" w:rsidRPr="00B302B7">
        <w:t xml:space="preserve"> how different genders and ethnicities are distributed across our workforce. </w:t>
      </w:r>
    </w:p>
    <w:p w14:paraId="6F7A5B9B" w14:textId="6E53EC67" w:rsidR="00C646C4" w:rsidRPr="00B302B7" w:rsidRDefault="00DA5746" w:rsidP="58BDDB90">
      <w:pPr>
        <w:pStyle w:val="BodyText"/>
      </w:pPr>
      <w:r w:rsidRPr="00B302B7">
        <w:t xml:space="preserve">All data is </w:t>
      </w:r>
      <w:proofErr w:type="gramStart"/>
      <w:r w:rsidRPr="00B302B7">
        <w:t>at</w:t>
      </w:r>
      <w:proofErr w:type="gramEnd"/>
      <w:r w:rsidRPr="00B302B7">
        <w:t xml:space="preserve"> 30 June 2022. </w:t>
      </w:r>
    </w:p>
    <w:p w14:paraId="5D114E9B" w14:textId="77777777" w:rsidR="00D666C6" w:rsidRPr="00B302B7" w:rsidRDefault="00D666C6" w:rsidP="00D666C6">
      <w:pPr>
        <w:pStyle w:val="BodyText"/>
      </w:pPr>
    </w:p>
    <w:p w14:paraId="349227B1" w14:textId="36914771" w:rsidR="00136CA0" w:rsidRPr="00B302B7" w:rsidRDefault="00136CA0" w:rsidP="00995958">
      <w:pPr>
        <w:pStyle w:val="Tableheading"/>
      </w:pPr>
      <w:bookmarkStart w:id="8" w:name="_Toc118454233"/>
      <w:r w:rsidRPr="00B302B7">
        <w:t xml:space="preserve">Table 1: </w:t>
      </w:r>
      <w:r w:rsidRPr="00B302B7">
        <w:tab/>
        <w:t xml:space="preserve">Workforce and leadership representation </w:t>
      </w:r>
      <w:r w:rsidR="000B0C86" w:rsidRPr="00B302B7">
        <w:t>by</w:t>
      </w:r>
      <w:r w:rsidRPr="00B302B7">
        <w:t xml:space="preserve"> gender and ethnicit</w:t>
      </w:r>
      <w:r w:rsidR="000B0C86" w:rsidRPr="00B302B7">
        <w:t>y</w:t>
      </w:r>
      <w:bookmarkEnd w:id="8"/>
      <w:r w:rsidRPr="00B302B7">
        <w:t xml:space="preserve"> </w:t>
      </w:r>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127"/>
        <w:gridCol w:w="2126"/>
        <w:gridCol w:w="2126"/>
        <w:gridCol w:w="2126"/>
      </w:tblGrid>
      <w:tr w:rsidR="00CD200F" w:rsidRPr="00B302B7" w14:paraId="6E3DC921" w14:textId="44F49A78" w:rsidTr="00CD200F">
        <w:trPr>
          <w:tblHeader/>
        </w:trPr>
        <w:tc>
          <w:tcPr>
            <w:tcW w:w="1250" w:type="pct"/>
            <w:shd w:val="clear" w:color="auto" w:fill="1B556B"/>
          </w:tcPr>
          <w:p w14:paraId="240CC6A2" w14:textId="3776B5EA" w:rsidR="00CD200F" w:rsidRPr="00B302B7" w:rsidRDefault="00CD200F">
            <w:pPr>
              <w:pStyle w:val="TableTextbold"/>
              <w:rPr>
                <w:color w:val="FFFFFF" w:themeColor="background1"/>
              </w:rPr>
            </w:pPr>
          </w:p>
        </w:tc>
        <w:tc>
          <w:tcPr>
            <w:tcW w:w="1250" w:type="pct"/>
            <w:shd w:val="clear" w:color="auto" w:fill="1B556B"/>
          </w:tcPr>
          <w:p w14:paraId="192CFEF5" w14:textId="33F93844" w:rsidR="00CD200F" w:rsidRPr="00B302B7" w:rsidRDefault="00AC74EE">
            <w:pPr>
              <w:pStyle w:val="TableTextbold"/>
              <w:rPr>
                <w:color w:val="FFFFFF" w:themeColor="background1"/>
              </w:rPr>
            </w:pPr>
            <w:r w:rsidRPr="00B302B7">
              <w:rPr>
                <w:color w:val="FFFFFF" w:themeColor="background1"/>
              </w:rPr>
              <w:t>Workforce representation</w:t>
            </w:r>
          </w:p>
        </w:tc>
        <w:tc>
          <w:tcPr>
            <w:tcW w:w="1250" w:type="pct"/>
            <w:shd w:val="clear" w:color="auto" w:fill="1B556B"/>
          </w:tcPr>
          <w:p w14:paraId="10075C29" w14:textId="4BF27F98" w:rsidR="00CD200F" w:rsidRPr="00B302B7" w:rsidRDefault="00AC74EE">
            <w:pPr>
              <w:pStyle w:val="TableTextbold"/>
              <w:rPr>
                <w:color w:val="FFFFFF" w:themeColor="background1"/>
              </w:rPr>
            </w:pPr>
            <w:r w:rsidRPr="00B302B7">
              <w:rPr>
                <w:color w:val="FFFFFF" w:themeColor="background1"/>
              </w:rPr>
              <w:t>All Managers</w:t>
            </w:r>
          </w:p>
        </w:tc>
        <w:tc>
          <w:tcPr>
            <w:tcW w:w="1250" w:type="pct"/>
            <w:shd w:val="clear" w:color="auto" w:fill="1B556B"/>
          </w:tcPr>
          <w:p w14:paraId="76D6B85F" w14:textId="39E7A1DD" w:rsidR="00CD200F" w:rsidRPr="00B302B7" w:rsidRDefault="00E61B51">
            <w:pPr>
              <w:pStyle w:val="TableTextbold"/>
              <w:rPr>
                <w:color w:val="FFFFFF" w:themeColor="background1"/>
              </w:rPr>
            </w:pPr>
            <w:r w:rsidRPr="00B302B7">
              <w:rPr>
                <w:color w:val="FFFFFF" w:themeColor="background1"/>
              </w:rPr>
              <w:t>Senior leaders</w:t>
            </w:r>
            <w:r w:rsidR="00440800" w:rsidRPr="00B302B7">
              <w:rPr>
                <w:color w:val="FFFFFF" w:themeColor="background1"/>
              </w:rPr>
              <w:t xml:space="preserve"> </w:t>
            </w:r>
            <w:r w:rsidR="00440800" w:rsidRPr="00B302B7">
              <w:rPr>
                <w:color w:val="FFFFFF" w:themeColor="background1"/>
              </w:rPr>
              <w:br/>
              <w:t>Tier 2-3</w:t>
            </w:r>
          </w:p>
        </w:tc>
      </w:tr>
      <w:tr w:rsidR="00BA23A5" w:rsidRPr="00B302B7" w14:paraId="3D2D5C21" w14:textId="77777777" w:rsidTr="00B2478D">
        <w:trPr>
          <w:tblHeader/>
        </w:trPr>
        <w:tc>
          <w:tcPr>
            <w:tcW w:w="1250" w:type="pct"/>
            <w:shd w:val="clear" w:color="auto" w:fill="D2DDE2"/>
          </w:tcPr>
          <w:p w14:paraId="69694FC1" w14:textId="7AF736BE" w:rsidR="00BA23A5" w:rsidRPr="00B302B7" w:rsidRDefault="00B2478D">
            <w:pPr>
              <w:pStyle w:val="TableTextbold"/>
              <w:rPr>
                <w:color w:val="FFFFFF" w:themeColor="background1"/>
              </w:rPr>
            </w:pPr>
            <w:r w:rsidRPr="00B302B7">
              <w:t>Gender</w:t>
            </w:r>
          </w:p>
        </w:tc>
        <w:tc>
          <w:tcPr>
            <w:tcW w:w="1250" w:type="pct"/>
            <w:shd w:val="clear" w:color="auto" w:fill="D2DDE2"/>
          </w:tcPr>
          <w:p w14:paraId="08259DD2" w14:textId="77777777" w:rsidR="00BA23A5" w:rsidRPr="00B302B7" w:rsidRDefault="00BA23A5">
            <w:pPr>
              <w:pStyle w:val="TableTextbold"/>
              <w:rPr>
                <w:color w:val="FFFFFF" w:themeColor="background1"/>
              </w:rPr>
            </w:pPr>
          </w:p>
        </w:tc>
        <w:tc>
          <w:tcPr>
            <w:tcW w:w="1250" w:type="pct"/>
            <w:shd w:val="clear" w:color="auto" w:fill="D2DDE2"/>
          </w:tcPr>
          <w:p w14:paraId="26243AB0" w14:textId="77777777" w:rsidR="00BA23A5" w:rsidRPr="00B302B7" w:rsidRDefault="00BA23A5">
            <w:pPr>
              <w:pStyle w:val="TableTextbold"/>
              <w:rPr>
                <w:color w:val="FFFFFF" w:themeColor="background1"/>
              </w:rPr>
            </w:pPr>
          </w:p>
        </w:tc>
        <w:tc>
          <w:tcPr>
            <w:tcW w:w="1250" w:type="pct"/>
            <w:shd w:val="clear" w:color="auto" w:fill="D2DDE2"/>
          </w:tcPr>
          <w:p w14:paraId="56EC2AA8" w14:textId="77777777" w:rsidR="00BA23A5" w:rsidRPr="00B302B7" w:rsidRDefault="00BA23A5">
            <w:pPr>
              <w:pStyle w:val="TableTextbold"/>
              <w:rPr>
                <w:color w:val="FFFFFF" w:themeColor="background1"/>
              </w:rPr>
            </w:pPr>
          </w:p>
        </w:tc>
      </w:tr>
      <w:tr w:rsidR="00BC1828" w:rsidRPr="00B302B7" w14:paraId="25B8B896" w14:textId="71C2BFE1">
        <w:tc>
          <w:tcPr>
            <w:tcW w:w="1250" w:type="pct"/>
            <w:shd w:val="clear" w:color="auto" w:fill="auto"/>
            <w:vAlign w:val="bottom"/>
          </w:tcPr>
          <w:p w14:paraId="5359E5CE" w14:textId="5988F0FB" w:rsidR="00BC1828" w:rsidRPr="00B302B7" w:rsidRDefault="00BC1828" w:rsidP="00BC1828">
            <w:pPr>
              <w:pStyle w:val="TableText"/>
            </w:pPr>
            <w:r w:rsidRPr="00B302B7">
              <w:rPr>
                <w:rFonts w:eastAsia="Times New Roman" w:cs="Calibri"/>
                <w:color w:val="000000"/>
              </w:rPr>
              <w:t>Female</w:t>
            </w:r>
          </w:p>
        </w:tc>
        <w:tc>
          <w:tcPr>
            <w:tcW w:w="1250" w:type="pct"/>
            <w:shd w:val="clear" w:color="auto" w:fill="auto"/>
            <w:vAlign w:val="bottom"/>
          </w:tcPr>
          <w:p w14:paraId="3AD2028D" w14:textId="5C4EA298" w:rsidR="00BC1828" w:rsidRPr="00B302B7" w:rsidRDefault="00BC1828" w:rsidP="00BC1828">
            <w:pPr>
              <w:pStyle w:val="TableText"/>
            </w:pPr>
            <w:r w:rsidRPr="00B302B7">
              <w:rPr>
                <w:rFonts w:eastAsia="Times New Roman" w:cs="Calibri"/>
                <w:color w:val="000000"/>
              </w:rPr>
              <w:t>68%</w:t>
            </w:r>
          </w:p>
        </w:tc>
        <w:tc>
          <w:tcPr>
            <w:tcW w:w="1250" w:type="pct"/>
            <w:vAlign w:val="bottom"/>
          </w:tcPr>
          <w:p w14:paraId="4D2E173E" w14:textId="4FC095CE" w:rsidR="00BC1828" w:rsidRPr="00B302B7" w:rsidRDefault="00BC1828" w:rsidP="00BC1828">
            <w:pPr>
              <w:pStyle w:val="TableText"/>
            </w:pPr>
            <w:r w:rsidRPr="00B302B7">
              <w:rPr>
                <w:rFonts w:eastAsia="Times New Roman" w:cs="Calibri"/>
                <w:color w:val="000000"/>
              </w:rPr>
              <w:t>67%</w:t>
            </w:r>
          </w:p>
        </w:tc>
        <w:tc>
          <w:tcPr>
            <w:tcW w:w="1250" w:type="pct"/>
            <w:vAlign w:val="bottom"/>
          </w:tcPr>
          <w:p w14:paraId="57481A0A" w14:textId="2A3FF1F4" w:rsidR="00BC1828" w:rsidRPr="00B302B7" w:rsidRDefault="00BC1828" w:rsidP="00BC1828">
            <w:pPr>
              <w:pStyle w:val="TableText"/>
            </w:pPr>
            <w:r w:rsidRPr="00B302B7">
              <w:rPr>
                <w:rFonts w:eastAsia="Times New Roman" w:cs="Calibri"/>
                <w:color w:val="000000"/>
              </w:rPr>
              <w:t>63%</w:t>
            </w:r>
          </w:p>
        </w:tc>
      </w:tr>
      <w:tr w:rsidR="00BC1828" w:rsidRPr="00B302B7" w14:paraId="776FFE71" w14:textId="26F7B1C4">
        <w:tc>
          <w:tcPr>
            <w:tcW w:w="1250" w:type="pct"/>
            <w:shd w:val="clear" w:color="auto" w:fill="auto"/>
            <w:vAlign w:val="bottom"/>
          </w:tcPr>
          <w:p w14:paraId="3A8E1268" w14:textId="390F88D0" w:rsidR="00BC1828" w:rsidRPr="00B302B7" w:rsidRDefault="00BC1828" w:rsidP="00BC1828">
            <w:pPr>
              <w:pStyle w:val="TableText"/>
            </w:pPr>
            <w:r w:rsidRPr="00B302B7">
              <w:rPr>
                <w:rFonts w:eastAsia="Times New Roman" w:cs="Calibri"/>
                <w:color w:val="000000"/>
              </w:rPr>
              <w:t>Another gender/Prefer not to say</w:t>
            </w:r>
          </w:p>
        </w:tc>
        <w:tc>
          <w:tcPr>
            <w:tcW w:w="1250" w:type="pct"/>
            <w:shd w:val="clear" w:color="auto" w:fill="auto"/>
            <w:vAlign w:val="bottom"/>
          </w:tcPr>
          <w:p w14:paraId="7764F74B" w14:textId="7231E99D" w:rsidR="00BC1828" w:rsidRPr="00B302B7" w:rsidRDefault="00BC1828" w:rsidP="00BC1828">
            <w:pPr>
              <w:pStyle w:val="TableText"/>
            </w:pPr>
            <w:r w:rsidRPr="00B302B7">
              <w:rPr>
                <w:rFonts w:eastAsia="Times New Roman" w:cs="Calibri"/>
                <w:color w:val="000000"/>
              </w:rPr>
              <w:t>1%</w:t>
            </w:r>
          </w:p>
        </w:tc>
        <w:tc>
          <w:tcPr>
            <w:tcW w:w="1250" w:type="pct"/>
            <w:vAlign w:val="bottom"/>
          </w:tcPr>
          <w:p w14:paraId="0031C8B7" w14:textId="7FDC3347" w:rsidR="00BC1828" w:rsidRPr="00B302B7" w:rsidRDefault="00BC1828" w:rsidP="00BC1828">
            <w:pPr>
              <w:pStyle w:val="TableText"/>
            </w:pPr>
            <w:r w:rsidRPr="00B302B7">
              <w:rPr>
                <w:rFonts w:eastAsia="Times New Roman" w:cs="Calibri"/>
                <w:color w:val="000000"/>
              </w:rPr>
              <w:t>1%</w:t>
            </w:r>
          </w:p>
        </w:tc>
        <w:tc>
          <w:tcPr>
            <w:tcW w:w="1250" w:type="pct"/>
            <w:vAlign w:val="bottom"/>
          </w:tcPr>
          <w:p w14:paraId="076B7C3B" w14:textId="3DA825C0" w:rsidR="00BC1828" w:rsidRPr="00B302B7" w:rsidRDefault="00BC1828" w:rsidP="00BC1828">
            <w:pPr>
              <w:pStyle w:val="TableText"/>
            </w:pPr>
            <w:r w:rsidRPr="00B302B7">
              <w:rPr>
                <w:rFonts w:eastAsia="Times New Roman" w:cs="Calibri"/>
                <w:color w:val="000000"/>
              </w:rPr>
              <w:t>3%</w:t>
            </w:r>
          </w:p>
        </w:tc>
      </w:tr>
      <w:tr w:rsidR="00BC1828" w:rsidRPr="00B302B7" w14:paraId="466247D4" w14:textId="4B036741">
        <w:tc>
          <w:tcPr>
            <w:tcW w:w="1250" w:type="pct"/>
            <w:vAlign w:val="bottom"/>
          </w:tcPr>
          <w:p w14:paraId="1E811B2E" w14:textId="6ED88D53" w:rsidR="00BC1828" w:rsidRPr="00B302B7" w:rsidRDefault="00BC1828" w:rsidP="00BC1828">
            <w:pPr>
              <w:pStyle w:val="TableText"/>
            </w:pPr>
            <w:r w:rsidRPr="00B302B7">
              <w:rPr>
                <w:rFonts w:eastAsia="Times New Roman" w:cs="Calibri"/>
                <w:color w:val="000000"/>
              </w:rPr>
              <w:t>Male</w:t>
            </w:r>
          </w:p>
        </w:tc>
        <w:tc>
          <w:tcPr>
            <w:tcW w:w="1250" w:type="pct"/>
            <w:vAlign w:val="bottom"/>
          </w:tcPr>
          <w:p w14:paraId="59FC7D5D" w14:textId="76BD136F" w:rsidR="00BC1828" w:rsidRPr="00B302B7" w:rsidRDefault="00BC1828" w:rsidP="00BC1828">
            <w:pPr>
              <w:pStyle w:val="TableText"/>
            </w:pPr>
            <w:r w:rsidRPr="00B302B7">
              <w:rPr>
                <w:rFonts w:eastAsia="Times New Roman" w:cs="Calibri"/>
                <w:color w:val="000000"/>
              </w:rPr>
              <w:t>31%</w:t>
            </w:r>
          </w:p>
        </w:tc>
        <w:tc>
          <w:tcPr>
            <w:tcW w:w="1250" w:type="pct"/>
            <w:vAlign w:val="bottom"/>
          </w:tcPr>
          <w:p w14:paraId="1F1120AC" w14:textId="4E9F7D9D" w:rsidR="00BC1828" w:rsidRPr="00B302B7" w:rsidRDefault="00BC1828" w:rsidP="00BC1828">
            <w:pPr>
              <w:pStyle w:val="TableText"/>
            </w:pPr>
            <w:r w:rsidRPr="00B302B7">
              <w:rPr>
                <w:rFonts w:eastAsia="Times New Roman" w:cs="Calibri"/>
                <w:color w:val="000000"/>
              </w:rPr>
              <w:t>32%</w:t>
            </w:r>
          </w:p>
        </w:tc>
        <w:tc>
          <w:tcPr>
            <w:tcW w:w="1250" w:type="pct"/>
            <w:vAlign w:val="bottom"/>
          </w:tcPr>
          <w:p w14:paraId="5C9CF557" w14:textId="57A2C647" w:rsidR="00BC1828" w:rsidRPr="00B302B7" w:rsidRDefault="00BC1828" w:rsidP="00BC1828">
            <w:pPr>
              <w:pStyle w:val="TableText"/>
            </w:pPr>
            <w:r w:rsidRPr="00B302B7">
              <w:rPr>
                <w:rFonts w:eastAsia="Times New Roman" w:cs="Calibri"/>
                <w:color w:val="000000"/>
              </w:rPr>
              <w:t>35%</w:t>
            </w:r>
          </w:p>
        </w:tc>
      </w:tr>
      <w:tr w:rsidR="00BC4750" w:rsidRPr="00B302B7" w14:paraId="3AE51263" w14:textId="77777777">
        <w:trPr>
          <w:tblHeader/>
        </w:trPr>
        <w:tc>
          <w:tcPr>
            <w:tcW w:w="1250" w:type="pct"/>
            <w:shd w:val="clear" w:color="auto" w:fill="1B556B"/>
          </w:tcPr>
          <w:p w14:paraId="0492E81D" w14:textId="042E00AC" w:rsidR="00BC4750" w:rsidRPr="00B302B7" w:rsidRDefault="00BC4750">
            <w:pPr>
              <w:pStyle w:val="TableTextbold"/>
              <w:rPr>
                <w:color w:val="FFFFFF" w:themeColor="background1"/>
              </w:rPr>
            </w:pPr>
          </w:p>
        </w:tc>
        <w:tc>
          <w:tcPr>
            <w:tcW w:w="1250" w:type="pct"/>
            <w:shd w:val="clear" w:color="auto" w:fill="1B556B"/>
          </w:tcPr>
          <w:p w14:paraId="12DF5211" w14:textId="77777777" w:rsidR="00BC4750" w:rsidRPr="00B302B7" w:rsidRDefault="00BC4750">
            <w:pPr>
              <w:pStyle w:val="TableTextbold"/>
              <w:rPr>
                <w:color w:val="FFFFFF" w:themeColor="background1"/>
              </w:rPr>
            </w:pPr>
            <w:r w:rsidRPr="00B302B7">
              <w:rPr>
                <w:color w:val="FFFFFF" w:themeColor="background1"/>
              </w:rPr>
              <w:t>Workforce representation</w:t>
            </w:r>
          </w:p>
        </w:tc>
        <w:tc>
          <w:tcPr>
            <w:tcW w:w="1250" w:type="pct"/>
            <w:shd w:val="clear" w:color="auto" w:fill="1B556B"/>
          </w:tcPr>
          <w:p w14:paraId="1C5C0C20" w14:textId="77777777" w:rsidR="00BC4750" w:rsidRPr="00B302B7" w:rsidRDefault="00BC4750">
            <w:pPr>
              <w:pStyle w:val="TableTextbold"/>
              <w:rPr>
                <w:color w:val="FFFFFF" w:themeColor="background1"/>
              </w:rPr>
            </w:pPr>
            <w:r w:rsidRPr="00B302B7">
              <w:rPr>
                <w:color w:val="FFFFFF" w:themeColor="background1"/>
              </w:rPr>
              <w:t>All Managers</w:t>
            </w:r>
          </w:p>
        </w:tc>
        <w:tc>
          <w:tcPr>
            <w:tcW w:w="1250" w:type="pct"/>
            <w:shd w:val="clear" w:color="auto" w:fill="1B556B"/>
          </w:tcPr>
          <w:p w14:paraId="1249F913" w14:textId="77777777" w:rsidR="00BC4750" w:rsidRPr="00B302B7" w:rsidRDefault="00BC4750">
            <w:pPr>
              <w:pStyle w:val="TableTextbold"/>
              <w:rPr>
                <w:color w:val="FFFFFF" w:themeColor="background1"/>
              </w:rPr>
            </w:pPr>
            <w:r w:rsidRPr="00B302B7">
              <w:rPr>
                <w:color w:val="FFFFFF" w:themeColor="background1"/>
              </w:rPr>
              <w:t xml:space="preserve">Senior leaders </w:t>
            </w:r>
            <w:r w:rsidRPr="00B302B7">
              <w:rPr>
                <w:color w:val="FFFFFF" w:themeColor="background1"/>
              </w:rPr>
              <w:br/>
              <w:t>Tier 2-3</w:t>
            </w:r>
          </w:p>
        </w:tc>
      </w:tr>
      <w:tr w:rsidR="00BA23A5" w:rsidRPr="00B302B7" w14:paraId="2EF83133" w14:textId="77777777" w:rsidTr="00B2478D">
        <w:trPr>
          <w:tblHeader/>
        </w:trPr>
        <w:tc>
          <w:tcPr>
            <w:tcW w:w="1250" w:type="pct"/>
            <w:shd w:val="clear" w:color="auto" w:fill="D2DDE2"/>
          </w:tcPr>
          <w:p w14:paraId="68490984" w14:textId="0265A1E0" w:rsidR="00BA23A5" w:rsidRPr="00B302B7" w:rsidRDefault="00B2478D">
            <w:pPr>
              <w:pStyle w:val="TableTextbold"/>
              <w:rPr>
                <w:color w:val="FFFFFF" w:themeColor="background1"/>
              </w:rPr>
            </w:pPr>
            <w:r w:rsidRPr="00B302B7">
              <w:t>Ethnicity</w:t>
            </w:r>
          </w:p>
        </w:tc>
        <w:tc>
          <w:tcPr>
            <w:tcW w:w="1250" w:type="pct"/>
            <w:shd w:val="clear" w:color="auto" w:fill="D2DDE2"/>
          </w:tcPr>
          <w:p w14:paraId="54FF02BD" w14:textId="77777777" w:rsidR="00BA23A5" w:rsidRPr="00B302B7" w:rsidRDefault="00BA23A5">
            <w:pPr>
              <w:pStyle w:val="TableTextbold"/>
              <w:rPr>
                <w:color w:val="FFFFFF" w:themeColor="background1"/>
              </w:rPr>
            </w:pPr>
          </w:p>
        </w:tc>
        <w:tc>
          <w:tcPr>
            <w:tcW w:w="1250" w:type="pct"/>
            <w:shd w:val="clear" w:color="auto" w:fill="D2DDE2"/>
          </w:tcPr>
          <w:p w14:paraId="5618FB2E" w14:textId="77777777" w:rsidR="00BA23A5" w:rsidRPr="00B302B7" w:rsidRDefault="00BA23A5">
            <w:pPr>
              <w:pStyle w:val="TableTextbold"/>
              <w:rPr>
                <w:color w:val="FFFFFF" w:themeColor="background1"/>
              </w:rPr>
            </w:pPr>
          </w:p>
        </w:tc>
        <w:tc>
          <w:tcPr>
            <w:tcW w:w="1250" w:type="pct"/>
            <w:shd w:val="clear" w:color="auto" w:fill="D2DDE2"/>
          </w:tcPr>
          <w:p w14:paraId="1768EA7B" w14:textId="77777777" w:rsidR="00BA23A5" w:rsidRPr="00B302B7" w:rsidRDefault="00BA23A5">
            <w:pPr>
              <w:pStyle w:val="TableTextbold"/>
              <w:rPr>
                <w:color w:val="FFFFFF" w:themeColor="background1"/>
              </w:rPr>
            </w:pPr>
          </w:p>
        </w:tc>
      </w:tr>
      <w:tr w:rsidR="00C94780" w:rsidRPr="00B302B7" w14:paraId="326F45A6" w14:textId="77777777">
        <w:tc>
          <w:tcPr>
            <w:tcW w:w="1250" w:type="pct"/>
            <w:vAlign w:val="bottom"/>
          </w:tcPr>
          <w:p w14:paraId="33957419" w14:textId="26A95E61" w:rsidR="00C94780" w:rsidRPr="00B302B7" w:rsidRDefault="00C94780" w:rsidP="00C94780">
            <w:pPr>
              <w:pStyle w:val="TableText"/>
              <w:rPr>
                <w:rFonts w:eastAsia="Times New Roman" w:cs="Calibri"/>
                <w:color w:val="000000"/>
              </w:rPr>
            </w:pPr>
            <w:r w:rsidRPr="00B302B7">
              <w:rPr>
                <w:rFonts w:eastAsia="Times New Roman" w:cs="Calibri"/>
                <w:color w:val="000000"/>
              </w:rPr>
              <w:t>European</w:t>
            </w:r>
          </w:p>
        </w:tc>
        <w:tc>
          <w:tcPr>
            <w:tcW w:w="1250" w:type="pct"/>
            <w:vAlign w:val="bottom"/>
          </w:tcPr>
          <w:p w14:paraId="0793A2DA" w14:textId="4A9688B4" w:rsidR="00C94780" w:rsidRPr="00B302B7" w:rsidRDefault="00C94780" w:rsidP="00C94780">
            <w:pPr>
              <w:pStyle w:val="TableText"/>
              <w:rPr>
                <w:rFonts w:eastAsia="Times New Roman" w:cs="Calibri"/>
                <w:color w:val="000000"/>
              </w:rPr>
            </w:pPr>
            <w:r w:rsidRPr="00B302B7">
              <w:rPr>
                <w:rFonts w:eastAsia="Times New Roman" w:cs="Calibri"/>
                <w:color w:val="000000"/>
              </w:rPr>
              <w:t>76%</w:t>
            </w:r>
          </w:p>
        </w:tc>
        <w:tc>
          <w:tcPr>
            <w:tcW w:w="1250" w:type="pct"/>
            <w:vAlign w:val="bottom"/>
          </w:tcPr>
          <w:p w14:paraId="45DB2869" w14:textId="0C073696" w:rsidR="00C94780" w:rsidRPr="00B302B7" w:rsidRDefault="00C94780" w:rsidP="00C94780">
            <w:pPr>
              <w:pStyle w:val="TableText"/>
              <w:rPr>
                <w:rFonts w:eastAsia="Times New Roman" w:cs="Calibri"/>
                <w:color w:val="000000"/>
              </w:rPr>
            </w:pPr>
            <w:r w:rsidRPr="00B302B7">
              <w:rPr>
                <w:rFonts w:eastAsia="Times New Roman" w:cs="Calibri"/>
                <w:color w:val="000000"/>
              </w:rPr>
              <w:t>82%</w:t>
            </w:r>
          </w:p>
        </w:tc>
        <w:tc>
          <w:tcPr>
            <w:tcW w:w="1250" w:type="pct"/>
            <w:vAlign w:val="bottom"/>
          </w:tcPr>
          <w:p w14:paraId="03AA2C39" w14:textId="0BC5E021" w:rsidR="00C94780" w:rsidRPr="00B302B7" w:rsidRDefault="00C94780" w:rsidP="00C94780">
            <w:pPr>
              <w:pStyle w:val="TableText"/>
              <w:rPr>
                <w:rFonts w:eastAsia="Times New Roman" w:cs="Calibri"/>
                <w:color w:val="000000"/>
              </w:rPr>
            </w:pPr>
            <w:r w:rsidRPr="00B302B7">
              <w:rPr>
                <w:rFonts w:eastAsia="Times New Roman" w:cs="Calibri"/>
                <w:color w:val="000000"/>
              </w:rPr>
              <w:t>75%</w:t>
            </w:r>
          </w:p>
        </w:tc>
      </w:tr>
      <w:tr w:rsidR="00C94780" w:rsidRPr="00B302B7" w14:paraId="4EF6EFA4" w14:textId="77777777">
        <w:tc>
          <w:tcPr>
            <w:tcW w:w="1250" w:type="pct"/>
            <w:vAlign w:val="bottom"/>
          </w:tcPr>
          <w:p w14:paraId="11B5CB0D" w14:textId="4133F7FA" w:rsidR="00C94780" w:rsidRPr="00B302B7" w:rsidRDefault="00C94780" w:rsidP="00C94780">
            <w:pPr>
              <w:pStyle w:val="TableText"/>
              <w:rPr>
                <w:rFonts w:eastAsia="Times New Roman" w:cs="Calibri"/>
                <w:color w:val="000000"/>
              </w:rPr>
            </w:pPr>
            <w:r w:rsidRPr="00B302B7">
              <w:rPr>
                <w:rFonts w:eastAsia="Times New Roman" w:cs="Calibri"/>
                <w:color w:val="000000"/>
              </w:rPr>
              <w:t>Māori</w:t>
            </w:r>
          </w:p>
        </w:tc>
        <w:tc>
          <w:tcPr>
            <w:tcW w:w="1250" w:type="pct"/>
            <w:vAlign w:val="bottom"/>
          </w:tcPr>
          <w:p w14:paraId="063B6BDF" w14:textId="01BD0F2F" w:rsidR="00C94780" w:rsidRPr="00B302B7" w:rsidRDefault="00C94780" w:rsidP="00C94780">
            <w:pPr>
              <w:pStyle w:val="TableText"/>
              <w:rPr>
                <w:rFonts w:eastAsia="Times New Roman" w:cs="Calibri"/>
                <w:color w:val="000000"/>
              </w:rPr>
            </w:pPr>
            <w:r w:rsidRPr="00B302B7">
              <w:rPr>
                <w:rFonts w:eastAsia="Times New Roman" w:cs="Calibri"/>
                <w:color w:val="000000"/>
              </w:rPr>
              <w:t>12%</w:t>
            </w:r>
          </w:p>
        </w:tc>
        <w:tc>
          <w:tcPr>
            <w:tcW w:w="1250" w:type="pct"/>
            <w:vAlign w:val="bottom"/>
          </w:tcPr>
          <w:p w14:paraId="30A5FBB1" w14:textId="4CFC3DFD" w:rsidR="00C94780" w:rsidRPr="00B302B7" w:rsidRDefault="00C94780" w:rsidP="00C94780">
            <w:pPr>
              <w:pStyle w:val="TableText"/>
              <w:rPr>
                <w:rFonts w:eastAsia="Times New Roman" w:cs="Calibri"/>
                <w:color w:val="000000"/>
              </w:rPr>
            </w:pPr>
            <w:r w:rsidRPr="00B302B7">
              <w:rPr>
                <w:rFonts w:eastAsia="Times New Roman" w:cs="Calibri"/>
                <w:color w:val="000000"/>
              </w:rPr>
              <w:t>16%</w:t>
            </w:r>
          </w:p>
        </w:tc>
        <w:tc>
          <w:tcPr>
            <w:tcW w:w="1250" w:type="pct"/>
            <w:vAlign w:val="bottom"/>
          </w:tcPr>
          <w:p w14:paraId="6AB5792F" w14:textId="03E2EA6F" w:rsidR="00C94780" w:rsidRPr="00B302B7" w:rsidRDefault="00C94780" w:rsidP="00C94780">
            <w:pPr>
              <w:pStyle w:val="TableText"/>
              <w:rPr>
                <w:rFonts w:eastAsia="Times New Roman" w:cs="Calibri"/>
                <w:color w:val="000000"/>
              </w:rPr>
            </w:pPr>
            <w:r w:rsidRPr="00B302B7">
              <w:rPr>
                <w:rFonts w:eastAsia="Times New Roman" w:cs="Calibri"/>
                <w:color w:val="000000"/>
              </w:rPr>
              <w:t>23%</w:t>
            </w:r>
          </w:p>
        </w:tc>
      </w:tr>
      <w:tr w:rsidR="00C94780" w:rsidRPr="00B302B7" w14:paraId="4C87E900" w14:textId="77777777">
        <w:tc>
          <w:tcPr>
            <w:tcW w:w="1250" w:type="pct"/>
            <w:vAlign w:val="bottom"/>
          </w:tcPr>
          <w:p w14:paraId="1D2AC018" w14:textId="33484E6F" w:rsidR="00C94780" w:rsidRPr="00B302B7" w:rsidRDefault="00C94780" w:rsidP="00C94780">
            <w:pPr>
              <w:pStyle w:val="TableText"/>
              <w:rPr>
                <w:rFonts w:eastAsia="Times New Roman" w:cs="Calibri"/>
                <w:color w:val="000000"/>
              </w:rPr>
            </w:pPr>
            <w:r w:rsidRPr="00B302B7">
              <w:rPr>
                <w:rFonts w:eastAsia="Times New Roman" w:cs="Calibri"/>
                <w:color w:val="000000"/>
              </w:rPr>
              <w:t>Pacific Peoples</w:t>
            </w:r>
          </w:p>
        </w:tc>
        <w:tc>
          <w:tcPr>
            <w:tcW w:w="1250" w:type="pct"/>
            <w:vAlign w:val="bottom"/>
          </w:tcPr>
          <w:p w14:paraId="0C181244" w14:textId="77F5D54F" w:rsidR="00C94780" w:rsidRPr="00B302B7" w:rsidRDefault="00C94780" w:rsidP="00C94780">
            <w:pPr>
              <w:pStyle w:val="TableText"/>
              <w:rPr>
                <w:rFonts w:eastAsia="Times New Roman" w:cs="Calibri"/>
                <w:color w:val="000000"/>
              </w:rPr>
            </w:pPr>
            <w:r w:rsidRPr="00B302B7">
              <w:rPr>
                <w:rFonts w:eastAsia="Times New Roman" w:cs="Calibri"/>
                <w:color w:val="000000"/>
              </w:rPr>
              <w:t>2%</w:t>
            </w:r>
          </w:p>
        </w:tc>
        <w:tc>
          <w:tcPr>
            <w:tcW w:w="1250" w:type="pct"/>
            <w:vAlign w:val="bottom"/>
          </w:tcPr>
          <w:p w14:paraId="1281815D" w14:textId="2D052180" w:rsidR="00C94780" w:rsidRPr="00B302B7" w:rsidRDefault="00C94780" w:rsidP="00C94780">
            <w:pPr>
              <w:pStyle w:val="TableText"/>
              <w:rPr>
                <w:rFonts w:eastAsia="Times New Roman" w:cs="Calibri"/>
                <w:color w:val="000000"/>
              </w:rPr>
            </w:pPr>
            <w:r w:rsidRPr="00B302B7">
              <w:rPr>
                <w:rFonts w:eastAsia="Times New Roman" w:cs="Calibri"/>
                <w:color w:val="000000"/>
              </w:rPr>
              <w:t>0%</w:t>
            </w:r>
          </w:p>
        </w:tc>
        <w:tc>
          <w:tcPr>
            <w:tcW w:w="1250" w:type="pct"/>
            <w:vAlign w:val="bottom"/>
          </w:tcPr>
          <w:p w14:paraId="0D4C8B47" w14:textId="38E2F142" w:rsidR="00C94780" w:rsidRPr="00B302B7" w:rsidRDefault="00C94780" w:rsidP="00C94780">
            <w:pPr>
              <w:pStyle w:val="TableText"/>
              <w:rPr>
                <w:rFonts w:eastAsia="Times New Roman" w:cs="Calibri"/>
                <w:color w:val="000000"/>
              </w:rPr>
            </w:pPr>
            <w:r w:rsidRPr="00B302B7">
              <w:rPr>
                <w:rFonts w:eastAsia="Times New Roman" w:cs="Calibri"/>
                <w:color w:val="000000"/>
              </w:rPr>
              <w:t>0%</w:t>
            </w:r>
          </w:p>
        </w:tc>
      </w:tr>
      <w:tr w:rsidR="00C94780" w:rsidRPr="00B302B7" w14:paraId="38D33C88" w14:textId="77777777">
        <w:tc>
          <w:tcPr>
            <w:tcW w:w="1250" w:type="pct"/>
            <w:vAlign w:val="bottom"/>
          </w:tcPr>
          <w:p w14:paraId="03037086" w14:textId="754E4EEF" w:rsidR="00C94780" w:rsidRPr="00B302B7" w:rsidRDefault="00C94780" w:rsidP="00C94780">
            <w:pPr>
              <w:pStyle w:val="TableText"/>
              <w:rPr>
                <w:rFonts w:eastAsia="Times New Roman" w:cs="Calibri"/>
                <w:color w:val="000000"/>
              </w:rPr>
            </w:pPr>
            <w:r w:rsidRPr="00B302B7">
              <w:rPr>
                <w:rFonts w:eastAsia="Times New Roman" w:cs="Calibri"/>
                <w:color w:val="000000"/>
              </w:rPr>
              <w:t>Asian</w:t>
            </w:r>
          </w:p>
        </w:tc>
        <w:tc>
          <w:tcPr>
            <w:tcW w:w="1250" w:type="pct"/>
            <w:vAlign w:val="bottom"/>
          </w:tcPr>
          <w:p w14:paraId="360089D7" w14:textId="58371E7C" w:rsidR="00C94780" w:rsidRPr="00B302B7" w:rsidRDefault="00C94780" w:rsidP="00C94780">
            <w:pPr>
              <w:pStyle w:val="TableText"/>
              <w:rPr>
                <w:rFonts w:eastAsia="Times New Roman" w:cs="Calibri"/>
                <w:color w:val="000000"/>
              </w:rPr>
            </w:pPr>
            <w:r w:rsidRPr="00B302B7">
              <w:rPr>
                <w:rFonts w:eastAsia="Times New Roman" w:cs="Calibri"/>
                <w:color w:val="000000"/>
              </w:rPr>
              <w:t>8%</w:t>
            </w:r>
          </w:p>
        </w:tc>
        <w:tc>
          <w:tcPr>
            <w:tcW w:w="1250" w:type="pct"/>
            <w:vAlign w:val="bottom"/>
          </w:tcPr>
          <w:p w14:paraId="4DB4C9AF" w14:textId="55995808" w:rsidR="00C94780" w:rsidRPr="00B302B7" w:rsidRDefault="00C94780" w:rsidP="00C94780">
            <w:pPr>
              <w:pStyle w:val="TableText"/>
              <w:rPr>
                <w:rFonts w:eastAsia="Times New Roman" w:cs="Calibri"/>
                <w:color w:val="000000"/>
              </w:rPr>
            </w:pPr>
            <w:r w:rsidRPr="00B302B7">
              <w:rPr>
                <w:rFonts w:eastAsia="Times New Roman" w:cs="Calibri"/>
                <w:color w:val="000000"/>
              </w:rPr>
              <w:t>3%</w:t>
            </w:r>
          </w:p>
        </w:tc>
        <w:tc>
          <w:tcPr>
            <w:tcW w:w="1250" w:type="pct"/>
            <w:vAlign w:val="bottom"/>
          </w:tcPr>
          <w:p w14:paraId="2BAA217B" w14:textId="76D314B4" w:rsidR="00C94780" w:rsidRPr="00B302B7" w:rsidRDefault="00C94780" w:rsidP="00C94780">
            <w:pPr>
              <w:pStyle w:val="TableText"/>
              <w:rPr>
                <w:rFonts w:eastAsia="Times New Roman" w:cs="Calibri"/>
                <w:color w:val="000000"/>
              </w:rPr>
            </w:pPr>
            <w:r w:rsidRPr="00B302B7">
              <w:rPr>
                <w:rFonts w:eastAsia="Times New Roman" w:cs="Calibri"/>
                <w:color w:val="000000"/>
              </w:rPr>
              <w:t>8%</w:t>
            </w:r>
          </w:p>
        </w:tc>
      </w:tr>
      <w:tr w:rsidR="00C94780" w:rsidRPr="00B302B7" w14:paraId="19436428" w14:textId="77777777">
        <w:tc>
          <w:tcPr>
            <w:tcW w:w="1250" w:type="pct"/>
            <w:vAlign w:val="bottom"/>
          </w:tcPr>
          <w:p w14:paraId="4CCA8F4F" w14:textId="1ACE2984" w:rsidR="00C94780" w:rsidRPr="00B302B7" w:rsidRDefault="00C94780" w:rsidP="00C94780">
            <w:pPr>
              <w:pStyle w:val="TableText"/>
              <w:rPr>
                <w:rFonts w:eastAsia="Times New Roman" w:cs="Calibri"/>
                <w:color w:val="000000"/>
              </w:rPr>
            </w:pPr>
            <w:r w:rsidRPr="00B302B7">
              <w:rPr>
                <w:rFonts w:eastAsia="Times New Roman" w:cs="Calibri"/>
                <w:color w:val="000000"/>
              </w:rPr>
              <w:t>MELAA</w:t>
            </w:r>
          </w:p>
        </w:tc>
        <w:tc>
          <w:tcPr>
            <w:tcW w:w="1250" w:type="pct"/>
            <w:vAlign w:val="bottom"/>
          </w:tcPr>
          <w:p w14:paraId="11E89A40" w14:textId="721B649F" w:rsidR="00C94780" w:rsidRPr="00B302B7" w:rsidRDefault="00C94780" w:rsidP="00C94780">
            <w:pPr>
              <w:pStyle w:val="TableText"/>
              <w:rPr>
                <w:rFonts w:eastAsia="Times New Roman" w:cs="Calibri"/>
                <w:color w:val="000000"/>
              </w:rPr>
            </w:pPr>
            <w:r w:rsidRPr="00B302B7">
              <w:rPr>
                <w:rFonts w:eastAsia="Times New Roman" w:cs="Calibri"/>
                <w:color w:val="000000"/>
              </w:rPr>
              <w:t>2%</w:t>
            </w:r>
          </w:p>
        </w:tc>
        <w:tc>
          <w:tcPr>
            <w:tcW w:w="1250" w:type="pct"/>
            <w:vAlign w:val="bottom"/>
          </w:tcPr>
          <w:p w14:paraId="237246D8" w14:textId="1FF02665" w:rsidR="00C94780" w:rsidRPr="00B302B7" w:rsidRDefault="00C94780" w:rsidP="00C94780">
            <w:pPr>
              <w:pStyle w:val="TableText"/>
              <w:rPr>
                <w:rFonts w:eastAsia="Times New Roman" w:cs="Calibri"/>
                <w:color w:val="000000"/>
              </w:rPr>
            </w:pPr>
            <w:r w:rsidRPr="00B302B7">
              <w:rPr>
                <w:rFonts w:eastAsia="Times New Roman" w:cs="Calibri"/>
                <w:color w:val="000000"/>
              </w:rPr>
              <w:t>0%</w:t>
            </w:r>
          </w:p>
        </w:tc>
        <w:tc>
          <w:tcPr>
            <w:tcW w:w="1250" w:type="pct"/>
            <w:vAlign w:val="bottom"/>
          </w:tcPr>
          <w:p w14:paraId="72148BC8" w14:textId="5AFDA344" w:rsidR="00C94780" w:rsidRPr="00B302B7" w:rsidRDefault="00C94780" w:rsidP="00C94780">
            <w:pPr>
              <w:pStyle w:val="TableText"/>
              <w:rPr>
                <w:rFonts w:eastAsia="Times New Roman" w:cs="Calibri"/>
                <w:color w:val="000000"/>
              </w:rPr>
            </w:pPr>
            <w:r w:rsidRPr="00B302B7">
              <w:rPr>
                <w:rFonts w:eastAsia="Times New Roman" w:cs="Calibri"/>
                <w:color w:val="000000"/>
              </w:rPr>
              <w:t>0%</w:t>
            </w:r>
          </w:p>
        </w:tc>
      </w:tr>
      <w:tr w:rsidR="00C94780" w:rsidRPr="00B302B7" w14:paraId="431DD983" w14:textId="77777777">
        <w:tc>
          <w:tcPr>
            <w:tcW w:w="1250" w:type="pct"/>
            <w:vAlign w:val="bottom"/>
          </w:tcPr>
          <w:p w14:paraId="72D0CEEE" w14:textId="4F6D58D8" w:rsidR="00C94780" w:rsidRPr="00B302B7" w:rsidRDefault="00C94780" w:rsidP="00C94780">
            <w:pPr>
              <w:pStyle w:val="TableText"/>
              <w:rPr>
                <w:rFonts w:eastAsia="Times New Roman" w:cs="Calibri"/>
                <w:color w:val="000000"/>
              </w:rPr>
            </w:pPr>
            <w:r w:rsidRPr="00B302B7">
              <w:rPr>
                <w:rFonts w:eastAsia="Times New Roman" w:cs="Calibri"/>
                <w:color w:val="000000"/>
              </w:rPr>
              <w:t>Other Ethnicity</w:t>
            </w:r>
          </w:p>
        </w:tc>
        <w:tc>
          <w:tcPr>
            <w:tcW w:w="1250" w:type="pct"/>
            <w:vAlign w:val="bottom"/>
          </w:tcPr>
          <w:p w14:paraId="4F9F6BC2" w14:textId="30F63AF3" w:rsidR="00C94780" w:rsidRPr="00B302B7" w:rsidRDefault="00C94780" w:rsidP="00C94780">
            <w:pPr>
              <w:pStyle w:val="TableText"/>
              <w:rPr>
                <w:rFonts w:eastAsia="Times New Roman" w:cs="Calibri"/>
                <w:color w:val="000000"/>
              </w:rPr>
            </w:pPr>
            <w:r w:rsidRPr="00B302B7">
              <w:rPr>
                <w:rFonts w:eastAsia="Times New Roman" w:cs="Calibri"/>
                <w:color w:val="000000"/>
              </w:rPr>
              <w:t>1%</w:t>
            </w:r>
          </w:p>
        </w:tc>
        <w:tc>
          <w:tcPr>
            <w:tcW w:w="1250" w:type="pct"/>
            <w:vAlign w:val="bottom"/>
          </w:tcPr>
          <w:p w14:paraId="31F5DB0D" w14:textId="71404601" w:rsidR="00C94780" w:rsidRPr="00B302B7" w:rsidRDefault="00C94780" w:rsidP="00C94780">
            <w:pPr>
              <w:pStyle w:val="TableText"/>
              <w:rPr>
                <w:rFonts w:eastAsia="Times New Roman" w:cs="Calibri"/>
                <w:color w:val="000000"/>
              </w:rPr>
            </w:pPr>
            <w:r w:rsidRPr="00B302B7">
              <w:rPr>
                <w:rFonts w:eastAsia="Times New Roman" w:cs="Calibri"/>
                <w:color w:val="000000"/>
              </w:rPr>
              <w:t>1%</w:t>
            </w:r>
          </w:p>
        </w:tc>
        <w:tc>
          <w:tcPr>
            <w:tcW w:w="1250" w:type="pct"/>
            <w:vAlign w:val="bottom"/>
          </w:tcPr>
          <w:p w14:paraId="3FE158F1" w14:textId="49CA8A60" w:rsidR="00C94780" w:rsidRPr="00B302B7" w:rsidRDefault="00C94780" w:rsidP="00C94780">
            <w:pPr>
              <w:pStyle w:val="TableText"/>
              <w:rPr>
                <w:rFonts w:eastAsia="Times New Roman" w:cs="Calibri"/>
                <w:color w:val="000000"/>
              </w:rPr>
            </w:pPr>
            <w:r w:rsidRPr="00B302B7">
              <w:rPr>
                <w:rFonts w:eastAsia="Times New Roman" w:cs="Calibri"/>
                <w:color w:val="000000"/>
              </w:rPr>
              <w:t>0%</w:t>
            </w:r>
          </w:p>
        </w:tc>
      </w:tr>
      <w:tr w:rsidR="00C94780" w:rsidRPr="00B302B7" w14:paraId="46717E47" w14:textId="77777777">
        <w:tc>
          <w:tcPr>
            <w:tcW w:w="1250" w:type="pct"/>
            <w:vAlign w:val="bottom"/>
          </w:tcPr>
          <w:p w14:paraId="6052E7D3" w14:textId="7A2B6202" w:rsidR="00C94780" w:rsidRPr="00B302B7" w:rsidRDefault="00C94780" w:rsidP="00C94780">
            <w:pPr>
              <w:pStyle w:val="TableText"/>
              <w:rPr>
                <w:rFonts w:eastAsia="Times New Roman" w:cs="Calibri"/>
                <w:color w:val="000000"/>
              </w:rPr>
            </w:pPr>
            <w:r w:rsidRPr="00B302B7">
              <w:rPr>
                <w:rFonts w:eastAsia="Times New Roman" w:cs="Calibri"/>
                <w:color w:val="000000"/>
              </w:rPr>
              <w:t>Not Declared</w:t>
            </w:r>
          </w:p>
        </w:tc>
        <w:tc>
          <w:tcPr>
            <w:tcW w:w="1250" w:type="pct"/>
            <w:vAlign w:val="bottom"/>
          </w:tcPr>
          <w:p w14:paraId="679463F0" w14:textId="6D5BDE76" w:rsidR="00C94780" w:rsidRPr="00B302B7" w:rsidRDefault="00C94780" w:rsidP="00C94780">
            <w:pPr>
              <w:pStyle w:val="TableText"/>
              <w:rPr>
                <w:rFonts w:eastAsia="Times New Roman" w:cs="Calibri"/>
                <w:color w:val="000000"/>
              </w:rPr>
            </w:pPr>
            <w:r w:rsidRPr="00B302B7">
              <w:rPr>
                <w:rFonts w:eastAsia="Times New Roman" w:cs="Calibri"/>
                <w:color w:val="000000"/>
              </w:rPr>
              <w:t>4%</w:t>
            </w:r>
          </w:p>
        </w:tc>
        <w:tc>
          <w:tcPr>
            <w:tcW w:w="1250" w:type="pct"/>
            <w:vAlign w:val="bottom"/>
          </w:tcPr>
          <w:p w14:paraId="42CAE9AB" w14:textId="787238E5" w:rsidR="00C94780" w:rsidRPr="00B302B7" w:rsidRDefault="00C94780" w:rsidP="00C94780">
            <w:pPr>
              <w:pStyle w:val="TableText"/>
              <w:rPr>
                <w:rFonts w:eastAsia="Times New Roman" w:cs="Calibri"/>
                <w:color w:val="000000"/>
              </w:rPr>
            </w:pPr>
            <w:r w:rsidRPr="00B302B7">
              <w:rPr>
                <w:rFonts w:eastAsia="Times New Roman" w:cs="Calibri"/>
                <w:color w:val="000000"/>
              </w:rPr>
              <w:t>1%</w:t>
            </w:r>
          </w:p>
        </w:tc>
        <w:tc>
          <w:tcPr>
            <w:tcW w:w="1250" w:type="pct"/>
            <w:vAlign w:val="bottom"/>
          </w:tcPr>
          <w:p w14:paraId="7D732C25" w14:textId="50FD95E9" w:rsidR="00C94780" w:rsidRPr="00B302B7" w:rsidRDefault="00C94780" w:rsidP="00C94780">
            <w:pPr>
              <w:pStyle w:val="TableText"/>
              <w:rPr>
                <w:rFonts w:eastAsia="Times New Roman" w:cs="Calibri"/>
                <w:color w:val="000000"/>
              </w:rPr>
            </w:pPr>
            <w:r w:rsidRPr="00B302B7">
              <w:rPr>
                <w:rFonts w:eastAsia="Times New Roman" w:cs="Calibri"/>
                <w:color w:val="000000"/>
              </w:rPr>
              <w:t>3%</w:t>
            </w:r>
          </w:p>
        </w:tc>
      </w:tr>
    </w:tbl>
    <w:p w14:paraId="24B2610F" w14:textId="06E2EDD2" w:rsidR="00CD200F" w:rsidRPr="00B302B7" w:rsidRDefault="00A74F11" w:rsidP="00F47C7D">
      <w:pPr>
        <w:pStyle w:val="Source"/>
        <w:rPr>
          <w:sz w:val="20"/>
        </w:rPr>
      </w:pPr>
      <w:r w:rsidRPr="00B302B7">
        <w:rPr>
          <w:rFonts w:eastAsia="Times New Roman"/>
        </w:rPr>
        <w:t>Ethnicity disclosure: 95.9% of all staff, 97.1% of Senior Leaders.</w:t>
      </w:r>
      <w:r w:rsidRPr="00B302B7">
        <w:rPr>
          <w:rFonts w:eastAsia="Times New Roman"/>
        </w:rPr>
        <w:br/>
        <w:t xml:space="preserve">Employees can declare up to </w:t>
      </w:r>
      <w:r w:rsidR="00C7063D" w:rsidRPr="00B302B7">
        <w:rPr>
          <w:rFonts w:eastAsia="Times New Roman"/>
        </w:rPr>
        <w:t xml:space="preserve">three </w:t>
      </w:r>
      <w:r w:rsidRPr="00B302B7">
        <w:rPr>
          <w:rFonts w:eastAsia="Times New Roman"/>
        </w:rPr>
        <w:t>ethnicities</w:t>
      </w:r>
      <w:r w:rsidR="00C7063D" w:rsidRPr="00B302B7">
        <w:rPr>
          <w:rFonts w:eastAsia="Times New Roman"/>
        </w:rPr>
        <w:t>,</w:t>
      </w:r>
      <w:r w:rsidRPr="00B302B7">
        <w:rPr>
          <w:rFonts w:eastAsia="Times New Roman"/>
        </w:rPr>
        <w:t xml:space="preserve"> </w:t>
      </w:r>
      <w:r w:rsidR="00C7063D" w:rsidRPr="00B302B7">
        <w:rPr>
          <w:rFonts w:eastAsia="Times New Roman"/>
        </w:rPr>
        <w:t xml:space="preserve">therefore the </w:t>
      </w:r>
      <w:r w:rsidRPr="00B302B7">
        <w:rPr>
          <w:rFonts w:eastAsia="Times New Roman"/>
        </w:rPr>
        <w:t>total can equal more than 100</w:t>
      </w:r>
      <w:r w:rsidR="009246D6" w:rsidRPr="00B302B7">
        <w:rPr>
          <w:rFonts w:eastAsia="Times New Roman"/>
        </w:rPr>
        <w:t xml:space="preserve"> per cent</w:t>
      </w:r>
      <w:r w:rsidRPr="00B302B7">
        <w:rPr>
          <w:rFonts w:eastAsia="Times New Roman"/>
        </w:rPr>
        <w:t xml:space="preserve">. </w:t>
      </w:r>
      <w:r w:rsidRPr="00B302B7">
        <w:rPr>
          <w:rFonts w:eastAsia="Times New Roman"/>
          <w:color w:val="000000" w:themeColor="text1"/>
        </w:rPr>
        <w:t>Representation percentages are rounded to the nearest whole number.</w:t>
      </w:r>
    </w:p>
    <w:p w14:paraId="6F700A71" w14:textId="77777777" w:rsidR="00D666C6" w:rsidRPr="00B302B7" w:rsidRDefault="00D666C6" w:rsidP="00184DBB">
      <w:pPr>
        <w:pStyle w:val="BodyText"/>
      </w:pPr>
    </w:p>
    <w:p w14:paraId="4800DDC3" w14:textId="3ABD6DD5" w:rsidR="00EC293E" w:rsidRPr="00B302B7" w:rsidRDefault="009030E9" w:rsidP="009030E9">
      <w:pPr>
        <w:pStyle w:val="Figureheading"/>
      </w:pPr>
      <w:bookmarkStart w:id="9" w:name="_Toc118454288"/>
      <w:r w:rsidRPr="00B302B7">
        <w:lastRenderedPageBreak/>
        <w:t>Figure 1:</w:t>
      </w:r>
      <w:r w:rsidR="00F3025E" w:rsidRPr="00B302B7">
        <w:tab/>
      </w:r>
      <w:r w:rsidR="003C6549" w:rsidRPr="00B302B7">
        <w:t>Overall</w:t>
      </w:r>
      <w:r w:rsidR="00EC293E" w:rsidRPr="00B302B7">
        <w:t xml:space="preserve"> </w:t>
      </w:r>
      <w:r w:rsidR="00952970" w:rsidRPr="00B302B7">
        <w:t>g</w:t>
      </w:r>
      <w:r w:rsidR="00EC293E" w:rsidRPr="00B302B7">
        <w:t xml:space="preserve">ender </w:t>
      </w:r>
      <w:r w:rsidR="00952970" w:rsidRPr="00B302B7">
        <w:t>p</w:t>
      </w:r>
      <w:r w:rsidR="00EC293E" w:rsidRPr="00B302B7">
        <w:t xml:space="preserve">ay </w:t>
      </w:r>
      <w:r w:rsidR="00952970" w:rsidRPr="00B302B7">
        <w:t>g</w:t>
      </w:r>
      <w:r w:rsidR="00EC293E" w:rsidRPr="00B302B7">
        <w:t>ap</w:t>
      </w:r>
      <w:bookmarkEnd w:id="9"/>
    </w:p>
    <w:p w14:paraId="6C47DDD7" w14:textId="716A7C2C" w:rsidR="00EC293E" w:rsidRPr="00B302B7" w:rsidRDefault="00A16A47" w:rsidP="00216AC3">
      <w:pPr>
        <w:jc w:val="left"/>
      </w:pPr>
      <w:r w:rsidRPr="00B302B7">
        <w:rPr>
          <w:noProof/>
        </w:rPr>
        <w:drawing>
          <wp:inline distT="0" distB="0" distL="0" distR="0" wp14:anchorId="63C33E60" wp14:editId="1BD7F2D6">
            <wp:extent cx="5400675" cy="3168244"/>
            <wp:effectExtent l="0" t="0" r="9525" b="13335"/>
            <wp:docPr id="11" name="Chart 11" descr="Line graph showing the Ministry's overall gender pay gap in comparison to the average across the whole of Aotearoa New Zealand's public service.">
              <a:extLst xmlns:a="http://schemas.openxmlformats.org/drawingml/2006/main">
                <a:ext uri="{FF2B5EF4-FFF2-40B4-BE49-F238E27FC236}">
                  <a16:creationId xmlns:a16="http://schemas.microsoft.com/office/drawing/2014/main" id="{79C526A3-6003-EBC8-5EFE-236178BA4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19A3BA" w14:textId="77777777" w:rsidR="00C369AE" w:rsidRPr="00B302B7" w:rsidRDefault="00C369AE" w:rsidP="00216AC3">
      <w:pPr>
        <w:jc w:val="left"/>
      </w:pPr>
    </w:p>
    <w:p w14:paraId="6EB9F3F4" w14:textId="3AC4DB44" w:rsidR="00EC293E" w:rsidRPr="00B302B7" w:rsidRDefault="00EC293E" w:rsidP="00573FBF">
      <w:pPr>
        <w:pStyle w:val="Bullet"/>
      </w:pPr>
      <w:r w:rsidRPr="00B302B7">
        <w:rPr>
          <w:rFonts w:eastAsiaTheme="minorEastAsia"/>
          <w:lang w:val="en-US"/>
        </w:rPr>
        <w:t xml:space="preserve">Gender </w:t>
      </w:r>
      <w:proofErr w:type="gramStart"/>
      <w:r w:rsidRPr="00B302B7">
        <w:rPr>
          <w:rFonts w:eastAsiaTheme="minorEastAsia"/>
          <w:lang w:val="en-US"/>
        </w:rPr>
        <w:t>pay</w:t>
      </w:r>
      <w:proofErr w:type="gramEnd"/>
      <w:r w:rsidRPr="00B302B7">
        <w:rPr>
          <w:rFonts w:eastAsiaTheme="minorEastAsia"/>
          <w:lang w:val="en-US"/>
        </w:rPr>
        <w:t xml:space="preserve"> gap (GPG) is measured by calculating the difference between the average salary </w:t>
      </w:r>
      <w:r w:rsidR="0E1A1EAF" w:rsidRPr="00B302B7">
        <w:rPr>
          <w:rFonts w:eastAsiaTheme="minorEastAsia"/>
          <w:lang w:val="en-US"/>
        </w:rPr>
        <w:t xml:space="preserve">of </w:t>
      </w:r>
      <w:r w:rsidRPr="00B302B7">
        <w:rPr>
          <w:rFonts w:eastAsiaTheme="minorEastAsia"/>
          <w:lang w:val="en-US"/>
        </w:rPr>
        <w:t>male and female</w:t>
      </w:r>
      <w:r w:rsidR="53F67522" w:rsidRPr="00B302B7">
        <w:rPr>
          <w:rFonts w:eastAsiaTheme="minorEastAsia"/>
          <w:lang w:val="en-US"/>
        </w:rPr>
        <w:t xml:space="preserve"> employees</w:t>
      </w:r>
      <w:r w:rsidR="00146B3B" w:rsidRPr="00B302B7">
        <w:rPr>
          <w:rFonts w:eastAsiaTheme="minorEastAsia"/>
          <w:lang w:val="en-US"/>
        </w:rPr>
        <w:t>.</w:t>
      </w:r>
      <w:r w:rsidRPr="00B302B7">
        <w:rPr>
          <w:rFonts w:eastAsiaTheme="minorEastAsia"/>
          <w:lang w:val="en-US"/>
        </w:rPr>
        <w:t xml:space="preserve"> </w:t>
      </w:r>
    </w:p>
    <w:p w14:paraId="6ED0DA8A" w14:textId="402228ED" w:rsidR="00EC293E" w:rsidRPr="00B302B7" w:rsidRDefault="00EC293E" w:rsidP="00573FBF">
      <w:pPr>
        <w:pStyle w:val="Bullet"/>
      </w:pPr>
      <w:r w:rsidRPr="00B302B7">
        <w:rPr>
          <w:rFonts w:eastAsiaTheme="minorEastAsia"/>
          <w:lang w:val="en-US"/>
        </w:rPr>
        <w:t xml:space="preserve">The GPG figure </w:t>
      </w:r>
      <w:r w:rsidRPr="00B302B7">
        <w:rPr>
          <w:rFonts w:eastAsiaTheme="minorEastAsia"/>
          <w:b/>
          <w:bCs/>
          <w:lang w:val="en-US"/>
        </w:rPr>
        <w:t>includes</w:t>
      </w:r>
      <w:r w:rsidRPr="00B302B7">
        <w:rPr>
          <w:rFonts w:eastAsiaTheme="minorEastAsia"/>
          <w:lang w:val="en-US"/>
        </w:rPr>
        <w:t xml:space="preserve"> permanent, fixed</w:t>
      </w:r>
      <w:r w:rsidR="00BD26FD" w:rsidRPr="00B302B7">
        <w:rPr>
          <w:rFonts w:eastAsiaTheme="minorEastAsia"/>
          <w:lang w:val="en-US"/>
        </w:rPr>
        <w:t>-</w:t>
      </w:r>
      <w:r w:rsidRPr="00B302B7">
        <w:rPr>
          <w:rFonts w:eastAsiaTheme="minorEastAsia"/>
          <w:lang w:val="en-US"/>
        </w:rPr>
        <w:t xml:space="preserve">term and staff </w:t>
      </w:r>
      <w:r w:rsidR="00146B3B" w:rsidRPr="00B302B7">
        <w:rPr>
          <w:rFonts w:eastAsiaTheme="minorEastAsia"/>
          <w:lang w:val="en-US"/>
        </w:rPr>
        <w:t>on secondment</w:t>
      </w:r>
      <w:r w:rsidR="00E0289C" w:rsidRPr="00B302B7">
        <w:rPr>
          <w:rFonts w:eastAsiaTheme="minorEastAsia"/>
          <w:lang w:val="en-US"/>
        </w:rPr>
        <w:t xml:space="preserve"> outside </w:t>
      </w:r>
      <w:r w:rsidR="00D94DEF" w:rsidRPr="00B302B7">
        <w:rPr>
          <w:rFonts w:eastAsiaTheme="minorEastAsia"/>
          <w:lang w:val="en-US"/>
        </w:rPr>
        <w:t>t</w:t>
      </w:r>
      <w:r w:rsidR="00E0289C" w:rsidRPr="00B302B7">
        <w:rPr>
          <w:rFonts w:eastAsiaTheme="minorEastAsia"/>
          <w:lang w:val="en-US"/>
        </w:rPr>
        <w:t>he Ministry</w:t>
      </w:r>
      <w:r w:rsidR="00146B3B" w:rsidRPr="00B302B7">
        <w:rPr>
          <w:rFonts w:eastAsiaTheme="minorEastAsia"/>
          <w:lang w:val="en-US"/>
        </w:rPr>
        <w:t>.</w:t>
      </w:r>
    </w:p>
    <w:p w14:paraId="3FC9FCF2" w14:textId="77777777" w:rsidR="00D32BB4" w:rsidRPr="00B302B7" w:rsidRDefault="00D32BB4" w:rsidP="00441711">
      <w:pPr>
        <w:pStyle w:val="Bullet"/>
        <w:numPr>
          <w:ilvl w:val="0"/>
          <w:numId w:val="0"/>
        </w:numPr>
        <w:ind w:left="397"/>
      </w:pPr>
    </w:p>
    <w:p w14:paraId="22BD73C4" w14:textId="5813585B" w:rsidR="00C84041" w:rsidRPr="00B302B7" w:rsidRDefault="00EB0792" w:rsidP="00EB6AE0">
      <w:pPr>
        <w:pStyle w:val="Figureheading"/>
      </w:pPr>
      <w:bookmarkStart w:id="10" w:name="_Toc118454289"/>
      <w:r w:rsidRPr="00B302B7">
        <w:t xml:space="preserve">Figure 2: </w:t>
      </w:r>
      <w:r w:rsidR="0090283D" w:rsidRPr="00B302B7">
        <w:tab/>
        <w:t xml:space="preserve">Average </w:t>
      </w:r>
      <w:r w:rsidR="001200F9" w:rsidRPr="00B302B7">
        <w:t xml:space="preserve">Ministry for the Environment </w:t>
      </w:r>
      <w:r w:rsidR="0090283D" w:rsidRPr="00B302B7">
        <w:t>salaries by gender and ethnicity</w:t>
      </w:r>
      <w:r w:rsidR="0090283D" w:rsidRPr="00B302B7">
        <w:rPr>
          <w:rFonts w:eastAsia="Times New Roman"/>
        </w:rPr>
        <w:t xml:space="preserve"> </w:t>
      </w:r>
      <w:bookmarkEnd w:id="10"/>
    </w:p>
    <w:p w14:paraId="4AA30EB6" w14:textId="4C81CDBD" w:rsidR="00C84041" w:rsidRPr="00B302B7" w:rsidRDefault="00CC117C" w:rsidP="00441711">
      <w:pPr>
        <w:pStyle w:val="BodyText"/>
      </w:pPr>
      <w:r w:rsidRPr="00B302B7">
        <w:rPr>
          <w:noProof/>
        </w:rPr>
        <w:drawing>
          <wp:inline distT="0" distB="0" distL="0" distR="0" wp14:anchorId="58DE68FD" wp14:editId="2DDBB5E0">
            <wp:extent cx="5400675" cy="2821802"/>
            <wp:effectExtent l="0" t="0" r="9525" b="17145"/>
            <wp:docPr id="1" name="Chart 1" descr="Bar graph showing average pay for Ministry employees by gender and ethnicity, where numbers allow, including European males and females, Māori males and females, Asian males and females, Pacific Peoples of all genders combined, and Middle Eastern/Latin American/Africans (MELAA) of all genders combined.">
              <a:extLst xmlns:a="http://schemas.openxmlformats.org/drawingml/2006/main">
                <a:ext uri="{FF2B5EF4-FFF2-40B4-BE49-F238E27FC236}">
                  <a16:creationId xmlns:a16="http://schemas.microsoft.com/office/drawing/2014/main" id="{4AB133D5-C208-4530-B71B-D427162964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3504CD" w14:textId="264034FD" w:rsidR="00764E38" w:rsidRPr="00B302B7" w:rsidRDefault="00BB0F4A" w:rsidP="007510D0">
      <w:pPr>
        <w:pStyle w:val="Source"/>
      </w:pPr>
      <w:r w:rsidRPr="00B302B7">
        <w:t>NB: Pacific Peoples and MELAA have not been split out by gender due to low numbers (</w:t>
      </w:r>
      <w:r w:rsidR="004606C8" w:rsidRPr="00B302B7">
        <w:t xml:space="preserve">2% </w:t>
      </w:r>
      <w:r w:rsidRPr="00B302B7">
        <w:t>share of workforce per group)</w:t>
      </w:r>
      <w:r w:rsidR="008F132A" w:rsidRPr="00B302B7">
        <w:t>.</w:t>
      </w:r>
    </w:p>
    <w:p w14:paraId="12858F19" w14:textId="77777777" w:rsidR="008A4D11" w:rsidRPr="00B302B7" w:rsidRDefault="008A4D11" w:rsidP="008A4D11">
      <w:pPr>
        <w:pStyle w:val="BodyText"/>
      </w:pPr>
    </w:p>
    <w:p w14:paraId="598DB0F6" w14:textId="3B3ED3C8" w:rsidR="008A4D11" w:rsidRPr="00B302B7" w:rsidRDefault="008A4D11" w:rsidP="00EB6AE0">
      <w:pPr>
        <w:pStyle w:val="Figureheading"/>
      </w:pPr>
      <w:bookmarkStart w:id="11" w:name="_Toc118454290"/>
      <w:r w:rsidRPr="00B302B7">
        <w:lastRenderedPageBreak/>
        <w:t xml:space="preserve">Figure 3: </w:t>
      </w:r>
      <w:r w:rsidRPr="00B302B7">
        <w:tab/>
        <w:t xml:space="preserve">Ethnic </w:t>
      </w:r>
      <w:r w:rsidR="00F269B5" w:rsidRPr="00B302B7">
        <w:t>p</w:t>
      </w:r>
      <w:r w:rsidRPr="00B302B7">
        <w:t>ay gaps compared to the public sector average</w:t>
      </w:r>
      <w:bookmarkEnd w:id="11"/>
      <w:r w:rsidRPr="00B302B7">
        <w:t xml:space="preserve"> </w:t>
      </w:r>
    </w:p>
    <w:p w14:paraId="72CE44EA" w14:textId="198A089A" w:rsidR="008A4D11" w:rsidRPr="00B302B7" w:rsidRDefault="008A4D11" w:rsidP="006460C4">
      <w:pPr>
        <w:pStyle w:val="BodyText"/>
      </w:pPr>
      <w:r w:rsidRPr="00B302B7">
        <w:rPr>
          <w:noProof/>
        </w:rPr>
        <w:drawing>
          <wp:inline distT="0" distB="0" distL="0" distR="0" wp14:anchorId="5F78C78C" wp14:editId="6CFB43DD">
            <wp:extent cx="5400675" cy="3176905"/>
            <wp:effectExtent l="0" t="0" r="9525" b="4445"/>
            <wp:docPr id="9" name="Chart 9" descr="Bar graph showing ethnic pay gaps in comparison to the average across the whole of Aotearoa New Zealand's public service, including Europeans, Māori, Asians, Pacific Peoples and MELAA.">
              <a:extLst xmlns:a="http://schemas.openxmlformats.org/drawingml/2006/main">
                <a:ext uri="{FF2B5EF4-FFF2-40B4-BE49-F238E27FC236}">
                  <a16:creationId xmlns:a16="http://schemas.microsoft.com/office/drawing/2014/main" id="{F7F13C6D-B9A2-EC45-09BB-655557CA8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090B41" w14:textId="07EA20BB" w:rsidR="00EC293E" w:rsidRPr="00B302B7" w:rsidRDefault="00EC293E" w:rsidP="00216AC3">
      <w:pPr>
        <w:jc w:val="left"/>
      </w:pPr>
    </w:p>
    <w:p w14:paraId="213EA224" w14:textId="4ADC329D" w:rsidR="006B5688" w:rsidRPr="00B302B7" w:rsidRDefault="005D4EA8" w:rsidP="006460C4">
      <w:pPr>
        <w:pStyle w:val="Bullet"/>
      </w:pPr>
      <w:r w:rsidRPr="00B302B7">
        <w:rPr>
          <w:rFonts w:eastAsiaTheme="minorEastAsia"/>
        </w:rPr>
        <w:t xml:space="preserve">Ethnic </w:t>
      </w:r>
      <w:r w:rsidR="006B5688" w:rsidRPr="00B302B7">
        <w:rPr>
          <w:rFonts w:eastAsiaTheme="minorEastAsia"/>
        </w:rPr>
        <w:t xml:space="preserve">pay </w:t>
      </w:r>
      <w:r w:rsidRPr="00B302B7">
        <w:rPr>
          <w:rFonts w:eastAsiaTheme="minorEastAsia"/>
        </w:rPr>
        <w:t>gaps</w:t>
      </w:r>
      <w:r w:rsidR="006B5688" w:rsidRPr="00B302B7">
        <w:rPr>
          <w:rFonts w:eastAsiaTheme="minorEastAsia"/>
        </w:rPr>
        <w:t xml:space="preserve"> (EPG) </w:t>
      </w:r>
      <w:r w:rsidR="008A64A8" w:rsidRPr="00B302B7">
        <w:rPr>
          <w:rFonts w:eastAsiaTheme="minorEastAsia"/>
        </w:rPr>
        <w:t>are</w:t>
      </w:r>
      <w:r w:rsidR="006B5688" w:rsidRPr="00B302B7">
        <w:rPr>
          <w:rFonts w:eastAsiaTheme="minorEastAsia"/>
        </w:rPr>
        <w:t xml:space="preserve"> measured by calculating the difference between the average salary </w:t>
      </w:r>
      <w:r w:rsidR="2503C0D3" w:rsidRPr="00B302B7">
        <w:rPr>
          <w:rFonts w:eastAsiaTheme="minorEastAsia"/>
        </w:rPr>
        <w:t xml:space="preserve">of </w:t>
      </w:r>
      <w:r w:rsidR="00CD1306" w:rsidRPr="00B302B7">
        <w:rPr>
          <w:rFonts w:eastAsiaTheme="minorEastAsia"/>
        </w:rPr>
        <w:t>European and non-</w:t>
      </w:r>
      <w:r w:rsidR="628A78D2" w:rsidRPr="00B302B7">
        <w:rPr>
          <w:rFonts w:eastAsiaTheme="minorEastAsia"/>
        </w:rPr>
        <w:t>European</w:t>
      </w:r>
      <w:r w:rsidR="77AD1878" w:rsidRPr="00B302B7">
        <w:rPr>
          <w:rFonts w:eastAsiaTheme="minorEastAsia"/>
        </w:rPr>
        <w:t xml:space="preserve"> employees</w:t>
      </w:r>
      <w:r w:rsidR="006B5688" w:rsidRPr="00B302B7">
        <w:rPr>
          <w:rFonts w:eastAsiaTheme="minorEastAsia"/>
        </w:rPr>
        <w:t xml:space="preserve">. </w:t>
      </w:r>
    </w:p>
    <w:p w14:paraId="5A88EF54" w14:textId="0C6F0A5F" w:rsidR="00BA778C" w:rsidRPr="00B302B7" w:rsidRDefault="00BA778C" w:rsidP="006460C4">
      <w:pPr>
        <w:pStyle w:val="Bullet"/>
      </w:pPr>
      <w:r w:rsidRPr="00B302B7">
        <w:t xml:space="preserve">The EPG is calculated using </w:t>
      </w:r>
      <w:r w:rsidR="00E52117" w:rsidRPr="00B302B7">
        <w:t xml:space="preserve">all </w:t>
      </w:r>
      <w:r w:rsidR="007A1483" w:rsidRPr="00B302B7">
        <w:t>ethnicities that an employee has declared (for example, if they have declared both Māori and European, they will</w:t>
      </w:r>
      <w:r w:rsidR="004B4C3A" w:rsidRPr="00B302B7">
        <w:t xml:space="preserve"> contribute to the average for both ethnicities)</w:t>
      </w:r>
      <w:r w:rsidRPr="00B302B7">
        <w:t>.</w:t>
      </w:r>
    </w:p>
    <w:p w14:paraId="7ADEF7F2" w14:textId="083D9B8A" w:rsidR="006B5688" w:rsidRPr="00B302B7" w:rsidRDefault="006B5688" w:rsidP="006460C4">
      <w:pPr>
        <w:pStyle w:val="Bullet"/>
      </w:pPr>
      <w:r w:rsidRPr="00B302B7">
        <w:rPr>
          <w:rFonts w:eastAsiaTheme="minorEastAsia"/>
        </w:rPr>
        <w:t xml:space="preserve">The </w:t>
      </w:r>
      <w:r w:rsidR="00D33EB2" w:rsidRPr="00B302B7">
        <w:rPr>
          <w:rFonts w:eastAsiaTheme="minorEastAsia"/>
        </w:rPr>
        <w:t xml:space="preserve">EPG </w:t>
      </w:r>
      <w:r w:rsidRPr="00B302B7">
        <w:rPr>
          <w:rFonts w:eastAsiaTheme="minorEastAsia"/>
        </w:rPr>
        <w:t>figure includes permanent, fixed</w:t>
      </w:r>
      <w:r w:rsidR="00BD26FD" w:rsidRPr="00B302B7">
        <w:rPr>
          <w:rFonts w:eastAsiaTheme="minorEastAsia"/>
        </w:rPr>
        <w:t>-</w:t>
      </w:r>
      <w:r w:rsidRPr="00B302B7">
        <w:rPr>
          <w:rFonts w:eastAsiaTheme="minorEastAsia"/>
        </w:rPr>
        <w:t xml:space="preserve">term and staff on secondment outside </w:t>
      </w:r>
      <w:r w:rsidR="00D94DEF" w:rsidRPr="00B302B7">
        <w:rPr>
          <w:rFonts w:eastAsiaTheme="minorEastAsia"/>
        </w:rPr>
        <w:t>t</w:t>
      </w:r>
      <w:r w:rsidRPr="00B302B7">
        <w:rPr>
          <w:rFonts w:eastAsiaTheme="minorEastAsia"/>
        </w:rPr>
        <w:t>he Ministry.</w:t>
      </w:r>
    </w:p>
    <w:p w14:paraId="193868C2" w14:textId="59047631" w:rsidR="0095108F" w:rsidRPr="00B302B7" w:rsidRDefault="007C555D" w:rsidP="006460C4">
      <w:pPr>
        <w:pStyle w:val="Bullet"/>
      </w:pPr>
      <w:r w:rsidRPr="00B302B7">
        <w:rPr>
          <w:rFonts w:eastAsiaTheme="minorEastAsia"/>
        </w:rPr>
        <w:t xml:space="preserve">For </w:t>
      </w:r>
      <w:r w:rsidR="00163FA3" w:rsidRPr="00B302B7">
        <w:rPr>
          <w:rFonts w:eastAsiaTheme="minorEastAsia"/>
        </w:rPr>
        <w:t xml:space="preserve">Pacific Peoples’ and MELAA </w:t>
      </w:r>
      <w:r w:rsidR="00CE2160" w:rsidRPr="00B302B7">
        <w:rPr>
          <w:rFonts w:eastAsiaTheme="minorEastAsia"/>
        </w:rPr>
        <w:t xml:space="preserve">figures </w:t>
      </w:r>
      <w:r w:rsidRPr="00B302B7">
        <w:rPr>
          <w:rFonts w:eastAsiaTheme="minorEastAsia"/>
        </w:rPr>
        <w:t>it should be noted that figures are based on low</w:t>
      </w:r>
      <w:r w:rsidR="00A71FD7" w:rsidRPr="00B302B7">
        <w:rPr>
          <w:rFonts w:eastAsiaTheme="minorEastAsia"/>
        </w:rPr>
        <w:t xml:space="preserve"> employee numbers</w:t>
      </w:r>
      <w:r w:rsidR="003223DE" w:rsidRPr="00B302B7">
        <w:rPr>
          <w:rFonts w:eastAsiaTheme="minorEastAsia"/>
        </w:rPr>
        <w:t>, and therefore are subject to</w:t>
      </w:r>
      <w:r w:rsidR="00237813" w:rsidRPr="00B302B7">
        <w:rPr>
          <w:rFonts w:eastAsiaTheme="minorEastAsia"/>
        </w:rPr>
        <w:t xml:space="preserve"> significant fluctuations based on individual movements</w:t>
      </w:r>
      <w:r w:rsidR="00230CA4" w:rsidRPr="00B302B7">
        <w:rPr>
          <w:rFonts w:eastAsiaTheme="minorEastAsia"/>
        </w:rPr>
        <w:t xml:space="preserve">. </w:t>
      </w:r>
    </w:p>
    <w:p w14:paraId="71537DB8" w14:textId="77777777" w:rsidR="005846B5" w:rsidRPr="00B302B7" w:rsidRDefault="005846B5">
      <w:pPr>
        <w:spacing w:before="0" w:after="200" w:line="276" w:lineRule="auto"/>
        <w:jc w:val="left"/>
      </w:pPr>
    </w:p>
    <w:p w14:paraId="700F8EE7" w14:textId="77777777" w:rsidR="00215E01" w:rsidRPr="00B302B7" w:rsidRDefault="00215E01" w:rsidP="009030E9">
      <w:pPr>
        <w:pStyle w:val="BodyText"/>
      </w:pPr>
    </w:p>
    <w:p w14:paraId="4A8C25D1" w14:textId="77777777" w:rsidR="00427E5C" w:rsidRPr="00B302B7" w:rsidRDefault="00427E5C">
      <w:pPr>
        <w:spacing w:before="0" w:after="200" w:line="276" w:lineRule="auto"/>
        <w:jc w:val="left"/>
        <w:rPr>
          <w:rFonts w:ascii="Georgia" w:eastAsiaTheme="majorEastAsia" w:hAnsi="Georgia" w:cstheme="majorBidi"/>
          <w:b/>
          <w:bCs/>
          <w:color w:val="1B556B"/>
          <w:sz w:val="36"/>
          <w:szCs w:val="26"/>
        </w:rPr>
      </w:pPr>
      <w:r w:rsidRPr="00B302B7">
        <w:br w:type="page"/>
      </w:r>
    </w:p>
    <w:p w14:paraId="4EBEBE04" w14:textId="5CE0FB57" w:rsidR="00B82E13" w:rsidRPr="00B302B7" w:rsidRDefault="00B82E13" w:rsidP="00B82E13">
      <w:pPr>
        <w:pStyle w:val="Heading2"/>
      </w:pPr>
      <w:bookmarkStart w:id="12" w:name="_Toc153181754"/>
      <w:r w:rsidRPr="00B302B7">
        <w:rPr>
          <w:rFonts w:eastAsia="Times New Roman"/>
        </w:rPr>
        <w:lastRenderedPageBreak/>
        <w:t>Analysis</w:t>
      </w:r>
      <w:bookmarkEnd w:id="12"/>
    </w:p>
    <w:p w14:paraId="068C85F5" w14:textId="77777777" w:rsidR="00B82E13" w:rsidRPr="00B302B7" w:rsidRDefault="00B82E13" w:rsidP="00B82E13">
      <w:pPr>
        <w:pStyle w:val="Bullet"/>
        <w:numPr>
          <w:ilvl w:val="0"/>
          <w:numId w:val="0"/>
        </w:numPr>
        <w:ind w:left="720"/>
      </w:pPr>
    </w:p>
    <w:p w14:paraId="57FBCE10" w14:textId="58B27AE6" w:rsidR="00B82E13" w:rsidRPr="00B302B7" w:rsidRDefault="00B82E13" w:rsidP="00533052">
      <w:pPr>
        <w:pStyle w:val="Bullet"/>
      </w:pPr>
      <w:r w:rsidRPr="00B302B7">
        <w:t xml:space="preserve">The Ministry’s </w:t>
      </w:r>
      <w:r w:rsidR="007040B5" w:rsidRPr="00B302B7">
        <w:t>g</w:t>
      </w:r>
      <w:r w:rsidRPr="00B302B7">
        <w:t xml:space="preserve">ender pay gap has had a small increase in recent months, after </w:t>
      </w:r>
      <w:r w:rsidR="007040B5" w:rsidRPr="00B302B7">
        <w:t xml:space="preserve">four </w:t>
      </w:r>
      <w:r w:rsidRPr="00B302B7">
        <w:t xml:space="preserve">consistent years below the public sector average. </w:t>
      </w:r>
    </w:p>
    <w:p w14:paraId="65358AD6" w14:textId="4FFF3F40" w:rsidR="00B82E13" w:rsidRPr="00B302B7" w:rsidRDefault="00B82E13" w:rsidP="00533052">
      <w:pPr>
        <w:pStyle w:val="Bullet"/>
        <w:rPr>
          <w:rFonts w:eastAsiaTheme="minorEastAsia"/>
          <w:lang w:val="en-US"/>
        </w:rPr>
      </w:pPr>
      <w:r w:rsidRPr="00B302B7">
        <w:rPr>
          <w:rFonts w:eastAsiaTheme="minorEastAsia"/>
          <w:lang w:val="en-US"/>
        </w:rPr>
        <w:t xml:space="preserve">The Ministry’s gender pay gap is largely driven by </w:t>
      </w:r>
      <w:r w:rsidR="00B02498" w:rsidRPr="00B302B7">
        <w:rPr>
          <w:rFonts w:eastAsiaTheme="minorEastAsia"/>
          <w:lang w:val="en-US"/>
        </w:rPr>
        <w:t>a higher proportion of females</w:t>
      </w:r>
      <w:r w:rsidR="009A5B41" w:rsidRPr="00B302B7">
        <w:rPr>
          <w:rFonts w:eastAsiaTheme="minorEastAsia"/>
          <w:lang w:val="en-US"/>
        </w:rPr>
        <w:t xml:space="preserve"> than males</w:t>
      </w:r>
      <w:r w:rsidR="00B02498" w:rsidRPr="00B302B7">
        <w:rPr>
          <w:rFonts w:eastAsiaTheme="minorEastAsia"/>
          <w:lang w:val="en-US"/>
        </w:rPr>
        <w:t xml:space="preserve"> in lower paid roles at the Ministry</w:t>
      </w:r>
      <w:r w:rsidRPr="00B302B7">
        <w:rPr>
          <w:rFonts w:eastAsiaTheme="minorEastAsia"/>
          <w:lang w:val="en-US"/>
        </w:rPr>
        <w:t xml:space="preserve">. </w:t>
      </w:r>
      <w:r w:rsidR="008304B9" w:rsidRPr="00B302B7">
        <w:rPr>
          <w:rFonts w:eastAsiaTheme="minorEastAsia"/>
          <w:lang w:val="en-US"/>
        </w:rPr>
        <w:t>T</w:t>
      </w:r>
      <w:r w:rsidRPr="00B302B7">
        <w:rPr>
          <w:rFonts w:eastAsiaTheme="minorEastAsia"/>
          <w:lang w:val="en-US"/>
        </w:rPr>
        <w:t>he Ministry has good female leadership representation at all levels</w:t>
      </w:r>
      <w:r w:rsidR="4A772F23" w:rsidRPr="00B302B7">
        <w:rPr>
          <w:rFonts w:eastAsiaTheme="minorEastAsia"/>
          <w:lang w:val="en-US"/>
        </w:rPr>
        <w:t>,</w:t>
      </w:r>
      <w:r w:rsidR="016ADE98" w:rsidRPr="00B302B7">
        <w:rPr>
          <w:rFonts w:eastAsiaTheme="minorEastAsia"/>
          <w:lang w:val="en-US"/>
        </w:rPr>
        <w:t xml:space="preserve"> </w:t>
      </w:r>
      <w:r w:rsidR="008304B9" w:rsidRPr="00B302B7">
        <w:rPr>
          <w:rFonts w:eastAsiaTheme="minorEastAsia"/>
          <w:lang w:val="en-US"/>
        </w:rPr>
        <w:t xml:space="preserve">and </w:t>
      </w:r>
      <w:r w:rsidR="0D1E56C0" w:rsidRPr="00B302B7">
        <w:rPr>
          <w:rFonts w:eastAsiaTheme="minorEastAsia"/>
          <w:lang w:val="en-US"/>
        </w:rPr>
        <w:t>t</w:t>
      </w:r>
      <w:r w:rsidR="1997CA10" w:rsidRPr="00B302B7">
        <w:rPr>
          <w:rFonts w:eastAsiaTheme="minorEastAsia"/>
          <w:lang w:val="en-US"/>
        </w:rPr>
        <w:t>his</w:t>
      </w:r>
      <w:r w:rsidRPr="00B302B7">
        <w:rPr>
          <w:rFonts w:eastAsiaTheme="minorEastAsia"/>
          <w:lang w:val="en-US"/>
        </w:rPr>
        <w:t xml:space="preserve"> is a likely advantage when it comes to attracting a strong female talent pool </w:t>
      </w:r>
      <w:r w:rsidR="00AC051E" w:rsidRPr="00B302B7">
        <w:rPr>
          <w:rFonts w:eastAsiaTheme="minorEastAsia"/>
          <w:lang w:val="en-US"/>
        </w:rPr>
        <w:t xml:space="preserve">to entry level roles. </w:t>
      </w:r>
      <w:r w:rsidRPr="00B302B7">
        <w:rPr>
          <w:rFonts w:eastAsiaTheme="minorEastAsia"/>
          <w:lang w:val="en-US"/>
        </w:rPr>
        <w:t>The higher representation of female</w:t>
      </w:r>
      <w:r w:rsidR="000929B8" w:rsidRPr="00B302B7">
        <w:rPr>
          <w:rFonts w:eastAsiaTheme="minorEastAsia"/>
          <w:lang w:val="en-US"/>
        </w:rPr>
        <w:t>s</w:t>
      </w:r>
      <w:r w:rsidRPr="00B302B7">
        <w:rPr>
          <w:rFonts w:eastAsiaTheme="minorEastAsia"/>
          <w:lang w:val="en-US"/>
        </w:rPr>
        <w:t xml:space="preserve"> at the entry level (Support, Advisor and Analyst roles) is a result of th</w:t>
      </w:r>
      <w:r w:rsidR="00D57075" w:rsidRPr="00B302B7">
        <w:rPr>
          <w:rFonts w:eastAsiaTheme="minorEastAsia"/>
          <w:lang w:val="en-US"/>
        </w:rPr>
        <w:t>is</w:t>
      </w:r>
      <w:r w:rsidRPr="00B302B7">
        <w:rPr>
          <w:rFonts w:eastAsiaTheme="minorEastAsia"/>
          <w:lang w:val="en-US"/>
        </w:rPr>
        <w:t xml:space="preserve"> strong female talent pool we attract. </w:t>
      </w:r>
    </w:p>
    <w:p w14:paraId="721D0F48" w14:textId="6FF0F1D9" w:rsidR="00B82E13" w:rsidRPr="00B302B7" w:rsidRDefault="00B82E13" w:rsidP="00533052">
      <w:pPr>
        <w:pStyle w:val="Bullet"/>
      </w:pPr>
      <w:r w:rsidRPr="00B302B7">
        <w:rPr>
          <w:rFonts w:eastAsiaTheme="minorEastAsia"/>
          <w:lang w:val="en-US"/>
        </w:rPr>
        <w:t xml:space="preserve">Continuing to build our development frameworks including identifying future-critical skills that the Ministry will need to achieve its organizational goals, mapping core capabilities and career pathways will help to ensure we are supporting female </w:t>
      </w:r>
      <w:r w:rsidR="6322BA55" w:rsidRPr="00B302B7">
        <w:rPr>
          <w:rFonts w:eastAsiaTheme="minorEastAsia"/>
          <w:lang w:val="en-US"/>
        </w:rPr>
        <w:t>employees</w:t>
      </w:r>
      <w:r w:rsidRPr="00B302B7">
        <w:rPr>
          <w:rFonts w:eastAsiaTheme="minorEastAsia"/>
          <w:lang w:val="en-US"/>
        </w:rPr>
        <w:t xml:space="preserve"> at the Support/Advisor/Analyst</w:t>
      </w:r>
      <w:r w:rsidR="00D05015" w:rsidRPr="00B302B7">
        <w:rPr>
          <w:rFonts w:eastAsiaTheme="minorEastAsia"/>
          <w:lang w:val="en-US"/>
        </w:rPr>
        <w:t xml:space="preserve"> </w:t>
      </w:r>
      <w:r w:rsidRPr="00B302B7">
        <w:rPr>
          <w:rFonts w:eastAsiaTheme="minorEastAsia"/>
          <w:lang w:val="en-US"/>
        </w:rPr>
        <w:t xml:space="preserve">levels to grow and progress their careers.  </w:t>
      </w:r>
    </w:p>
    <w:p w14:paraId="796F8A24" w14:textId="05127E1E" w:rsidR="005D0AD0" w:rsidRPr="00B302B7" w:rsidRDefault="00B82E13" w:rsidP="00533052">
      <w:pPr>
        <w:pStyle w:val="Bullet"/>
        <w:rPr>
          <w:rFonts w:asciiTheme="minorHAnsi" w:hAnsiTheme="minorHAnsi" w:cstheme="minorBidi"/>
        </w:rPr>
      </w:pPr>
      <w:r w:rsidRPr="00B302B7">
        <w:rPr>
          <w:rFonts w:eastAsiaTheme="minorEastAsia"/>
          <w:lang w:val="en-US"/>
        </w:rPr>
        <w:t xml:space="preserve">Within-band gender </w:t>
      </w:r>
      <w:r w:rsidR="00B8179D" w:rsidRPr="00B302B7">
        <w:rPr>
          <w:rFonts w:eastAsiaTheme="minorEastAsia"/>
          <w:lang w:val="en-US"/>
        </w:rPr>
        <w:t xml:space="preserve">and ethnic pay gaps </w:t>
      </w:r>
      <w:r w:rsidRPr="00B302B7">
        <w:rPr>
          <w:rFonts w:eastAsiaTheme="minorEastAsia"/>
          <w:lang w:val="en-US"/>
        </w:rPr>
        <w:t>are within tolerance (+/-4%) which indicates that male, female and gender diverse employees</w:t>
      </w:r>
      <w:r w:rsidR="0087035E" w:rsidRPr="00B302B7">
        <w:rPr>
          <w:rFonts w:eastAsiaTheme="minorEastAsia"/>
          <w:lang w:val="en-US"/>
        </w:rPr>
        <w:t>, and employees of different ethnicities,</w:t>
      </w:r>
      <w:r w:rsidRPr="00B302B7">
        <w:rPr>
          <w:rFonts w:eastAsiaTheme="minorEastAsia"/>
          <w:lang w:val="en-US"/>
        </w:rPr>
        <w:t xml:space="preserve"> are paid equally for roles of similar size and complexity. </w:t>
      </w:r>
      <w:r w:rsidR="005D0AD0" w:rsidRPr="00B302B7">
        <w:rPr>
          <w:rFonts w:asciiTheme="minorHAnsi" w:hAnsiTheme="minorHAnsi" w:cstheme="minorBidi"/>
        </w:rPr>
        <w:t xml:space="preserve">The Ministry has made </w:t>
      </w:r>
      <w:r w:rsidR="005125B7" w:rsidRPr="00B302B7">
        <w:rPr>
          <w:rFonts w:asciiTheme="minorHAnsi" w:hAnsiTheme="minorHAnsi" w:cstheme="minorBidi"/>
        </w:rPr>
        <w:t xml:space="preserve">good </w:t>
      </w:r>
      <w:r w:rsidR="52F147D1" w:rsidRPr="00B302B7">
        <w:rPr>
          <w:rFonts w:asciiTheme="minorHAnsi" w:hAnsiTheme="minorHAnsi" w:cstheme="minorBidi"/>
        </w:rPr>
        <w:t xml:space="preserve">progress </w:t>
      </w:r>
      <w:r w:rsidR="005125B7" w:rsidRPr="00B302B7">
        <w:rPr>
          <w:rFonts w:asciiTheme="minorHAnsi" w:hAnsiTheme="minorHAnsi" w:cstheme="minorBidi"/>
        </w:rPr>
        <w:t xml:space="preserve">in increasing Māori representation across all levels, and this is reflected in </w:t>
      </w:r>
      <w:r w:rsidR="00DC33C6" w:rsidRPr="00B302B7">
        <w:rPr>
          <w:rFonts w:asciiTheme="minorHAnsi" w:hAnsiTheme="minorHAnsi" w:cstheme="minorBidi"/>
        </w:rPr>
        <w:t xml:space="preserve">our </w:t>
      </w:r>
      <w:r w:rsidR="00640F35" w:rsidRPr="00B302B7">
        <w:rPr>
          <w:rFonts w:asciiTheme="minorHAnsi" w:hAnsiTheme="minorHAnsi" w:cstheme="minorBidi"/>
        </w:rPr>
        <w:t>Māori pay gap</w:t>
      </w:r>
      <w:r w:rsidR="005F1E0B" w:rsidRPr="00B302B7">
        <w:rPr>
          <w:rFonts w:asciiTheme="minorHAnsi" w:hAnsiTheme="minorHAnsi" w:cstheme="minorBidi"/>
        </w:rPr>
        <w:t xml:space="preserve"> data – showing that at an overall </w:t>
      </w:r>
      <w:r w:rsidR="00E56FA5" w:rsidRPr="00B302B7">
        <w:rPr>
          <w:rFonts w:asciiTheme="minorHAnsi" w:hAnsiTheme="minorHAnsi" w:cstheme="minorBidi"/>
        </w:rPr>
        <w:t>level</w:t>
      </w:r>
      <w:r w:rsidR="005F1E0B" w:rsidRPr="00B302B7">
        <w:rPr>
          <w:rFonts w:asciiTheme="minorHAnsi" w:hAnsiTheme="minorHAnsi" w:cstheme="minorBidi"/>
        </w:rPr>
        <w:t>, Māori are paid</w:t>
      </w:r>
      <w:r w:rsidR="00E56FA5" w:rsidRPr="00B302B7">
        <w:rPr>
          <w:rFonts w:asciiTheme="minorHAnsi" w:hAnsiTheme="minorHAnsi" w:cstheme="minorBidi"/>
        </w:rPr>
        <w:t xml:space="preserve"> slightly</w:t>
      </w:r>
      <w:r w:rsidR="005F1E0B" w:rsidRPr="00B302B7">
        <w:rPr>
          <w:rFonts w:asciiTheme="minorHAnsi" w:hAnsiTheme="minorHAnsi" w:cstheme="minorBidi"/>
        </w:rPr>
        <w:t xml:space="preserve"> more </w:t>
      </w:r>
      <w:r w:rsidR="00E56FA5" w:rsidRPr="00B302B7">
        <w:rPr>
          <w:rFonts w:asciiTheme="minorHAnsi" w:hAnsiTheme="minorHAnsi" w:cstheme="minorBidi"/>
        </w:rPr>
        <w:t>on average than Europeans</w:t>
      </w:r>
      <w:r w:rsidR="00BC35F1" w:rsidRPr="00B302B7">
        <w:rPr>
          <w:rFonts w:asciiTheme="minorHAnsi" w:hAnsiTheme="minorHAnsi" w:cstheme="minorBidi"/>
        </w:rPr>
        <w:t xml:space="preserve">. </w:t>
      </w:r>
    </w:p>
    <w:p w14:paraId="0337267A" w14:textId="7141821F" w:rsidR="00FF272E" w:rsidRPr="00B302B7" w:rsidRDefault="00FF272E" w:rsidP="00533052">
      <w:pPr>
        <w:pStyle w:val="Bullet"/>
        <w:rPr>
          <w:rFonts w:asciiTheme="minorHAnsi" w:hAnsiTheme="minorHAnsi"/>
        </w:rPr>
      </w:pPr>
      <w:r w:rsidRPr="00B302B7">
        <w:rPr>
          <w:rFonts w:asciiTheme="minorHAnsi" w:hAnsiTheme="minorHAnsi"/>
        </w:rPr>
        <w:t>The Ministry’s overall ethnic pay gap has reduced year-on-year for the last five years, and</w:t>
      </w:r>
      <w:r w:rsidR="00477A5B" w:rsidRPr="00B302B7">
        <w:rPr>
          <w:rFonts w:asciiTheme="minorHAnsi" w:hAnsiTheme="minorHAnsi"/>
        </w:rPr>
        <w:t xml:space="preserve"> </w:t>
      </w:r>
      <w:r w:rsidRPr="00B302B7">
        <w:rPr>
          <w:rFonts w:asciiTheme="minorHAnsi" w:hAnsiTheme="minorHAnsi"/>
        </w:rPr>
        <w:t>the European pay gap is smaller than the public service average</w:t>
      </w:r>
      <w:r w:rsidR="00BB5ACD" w:rsidRPr="00B302B7">
        <w:rPr>
          <w:rFonts w:asciiTheme="minorHAnsi" w:hAnsiTheme="minorHAnsi"/>
        </w:rPr>
        <w:t xml:space="preserve">, meaning that </w:t>
      </w:r>
      <w:r w:rsidR="00477A5B" w:rsidRPr="00B302B7">
        <w:rPr>
          <w:rFonts w:asciiTheme="minorHAnsi" w:hAnsiTheme="minorHAnsi"/>
        </w:rPr>
        <w:t>overall, the gap between Eur</w:t>
      </w:r>
      <w:r w:rsidR="002A2984" w:rsidRPr="00B302B7">
        <w:rPr>
          <w:rFonts w:asciiTheme="minorHAnsi" w:hAnsiTheme="minorHAnsi"/>
        </w:rPr>
        <w:t xml:space="preserve">opean and other non-European ethnicities combined is </w:t>
      </w:r>
      <w:r w:rsidR="00A80D3A" w:rsidRPr="00B302B7">
        <w:rPr>
          <w:rFonts w:asciiTheme="minorHAnsi" w:hAnsiTheme="minorHAnsi"/>
        </w:rPr>
        <w:t>smaller than for the public sector overall</w:t>
      </w:r>
      <w:r w:rsidR="002A2984" w:rsidRPr="00B302B7">
        <w:rPr>
          <w:rFonts w:asciiTheme="minorHAnsi" w:hAnsiTheme="minorHAnsi"/>
        </w:rPr>
        <w:t xml:space="preserve">.  </w:t>
      </w:r>
    </w:p>
    <w:p w14:paraId="0A75BA8C" w14:textId="7639107F" w:rsidR="00101CE6" w:rsidRPr="00B302B7" w:rsidRDefault="00DC33C6" w:rsidP="00533052">
      <w:pPr>
        <w:pStyle w:val="Bullet"/>
        <w:rPr>
          <w:rFonts w:asciiTheme="minorHAnsi" w:hAnsiTheme="minorHAnsi"/>
        </w:rPr>
      </w:pPr>
      <w:r w:rsidRPr="00B302B7">
        <w:rPr>
          <w:rFonts w:asciiTheme="minorHAnsi" w:hAnsiTheme="minorHAnsi"/>
        </w:rPr>
        <w:t xml:space="preserve">For </w:t>
      </w:r>
      <w:r w:rsidR="00B979DE" w:rsidRPr="00B302B7">
        <w:rPr>
          <w:rFonts w:asciiTheme="minorHAnsi" w:hAnsiTheme="minorHAnsi"/>
        </w:rPr>
        <w:t>Pacific Peoples</w:t>
      </w:r>
      <w:r w:rsidR="009F7253" w:rsidRPr="00B302B7">
        <w:rPr>
          <w:rFonts w:asciiTheme="minorHAnsi" w:hAnsiTheme="minorHAnsi"/>
        </w:rPr>
        <w:t xml:space="preserve"> and MELAA</w:t>
      </w:r>
      <w:r w:rsidR="08EDCCE4" w:rsidRPr="00B302B7">
        <w:rPr>
          <w:rFonts w:asciiTheme="minorHAnsi" w:hAnsiTheme="minorHAnsi"/>
        </w:rPr>
        <w:t xml:space="preserve"> employees</w:t>
      </w:r>
      <w:r w:rsidR="004E5755" w:rsidRPr="00B302B7">
        <w:rPr>
          <w:rFonts w:asciiTheme="minorHAnsi" w:hAnsiTheme="minorHAnsi"/>
        </w:rPr>
        <w:t xml:space="preserve">, occupational segregation </w:t>
      </w:r>
      <w:r w:rsidR="009F7253" w:rsidRPr="00B302B7">
        <w:rPr>
          <w:rFonts w:asciiTheme="minorHAnsi" w:hAnsiTheme="minorHAnsi"/>
        </w:rPr>
        <w:t>underpins the</w:t>
      </w:r>
      <w:r w:rsidR="000F557E" w:rsidRPr="00B302B7">
        <w:rPr>
          <w:rFonts w:asciiTheme="minorHAnsi" w:hAnsiTheme="minorHAnsi"/>
        </w:rPr>
        <w:t xml:space="preserve"> larger pay </w:t>
      </w:r>
      <w:proofErr w:type="gramStart"/>
      <w:r w:rsidR="000F557E" w:rsidRPr="00B302B7">
        <w:rPr>
          <w:rFonts w:asciiTheme="minorHAnsi" w:hAnsiTheme="minorHAnsi"/>
        </w:rPr>
        <w:t>gap</w:t>
      </w:r>
      <w:proofErr w:type="gramEnd"/>
      <w:r w:rsidR="000F557E" w:rsidRPr="00B302B7">
        <w:rPr>
          <w:rFonts w:asciiTheme="minorHAnsi" w:hAnsiTheme="minorHAnsi"/>
        </w:rPr>
        <w:t xml:space="preserve"> </w:t>
      </w:r>
      <w:r w:rsidR="005B4AB5" w:rsidRPr="00B302B7">
        <w:rPr>
          <w:rFonts w:asciiTheme="minorHAnsi" w:hAnsiTheme="minorHAnsi"/>
        </w:rPr>
        <w:t xml:space="preserve">and </w:t>
      </w:r>
      <w:r w:rsidR="000F557E" w:rsidRPr="00B302B7">
        <w:rPr>
          <w:rFonts w:asciiTheme="minorHAnsi" w:hAnsiTheme="minorHAnsi"/>
        </w:rPr>
        <w:t xml:space="preserve">it should be noted that </w:t>
      </w:r>
      <w:r w:rsidR="005B4AB5" w:rsidRPr="00B302B7">
        <w:rPr>
          <w:rFonts w:asciiTheme="minorHAnsi" w:hAnsiTheme="minorHAnsi"/>
        </w:rPr>
        <w:t xml:space="preserve">the data is volatile due to low </w:t>
      </w:r>
      <w:r w:rsidR="00101CE6" w:rsidRPr="00B302B7">
        <w:rPr>
          <w:rFonts w:asciiTheme="minorHAnsi" w:hAnsiTheme="minorHAnsi"/>
        </w:rPr>
        <w:t xml:space="preserve">numbers in these groupings. </w:t>
      </w:r>
    </w:p>
    <w:p w14:paraId="54A010E7" w14:textId="591AC89A" w:rsidR="00DC33C6" w:rsidRPr="00B302B7" w:rsidRDefault="005D7525" w:rsidP="00533052">
      <w:pPr>
        <w:pStyle w:val="Bullet"/>
        <w:rPr>
          <w:rFonts w:asciiTheme="minorHAnsi" w:hAnsiTheme="minorHAnsi"/>
        </w:rPr>
      </w:pPr>
      <w:r w:rsidRPr="00B302B7">
        <w:rPr>
          <w:rFonts w:asciiTheme="minorHAnsi" w:hAnsiTheme="minorHAnsi"/>
        </w:rPr>
        <w:t>Similarly, i</w:t>
      </w:r>
      <w:r w:rsidR="00101CE6" w:rsidRPr="00B302B7">
        <w:rPr>
          <w:rFonts w:asciiTheme="minorHAnsi" w:hAnsiTheme="minorHAnsi"/>
        </w:rPr>
        <w:t>n the case of the Asian pay gap, a lack of</w:t>
      </w:r>
      <w:r w:rsidR="000F557E" w:rsidRPr="00B302B7">
        <w:rPr>
          <w:rFonts w:asciiTheme="minorHAnsi" w:hAnsiTheme="minorHAnsi"/>
        </w:rPr>
        <w:t xml:space="preserve"> representation at </w:t>
      </w:r>
      <w:r w:rsidR="00101CE6" w:rsidRPr="00B302B7">
        <w:rPr>
          <w:rFonts w:asciiTheme="minorHAnsi" w:hAnsiTheme="minorHAnsi"/>
        </w:rPr>
        <w:t xml:space="preserve">leadership is also </w:t>
      </w:r>
      <w:r w:rsidR="564680A3" w:rsidRPr="00B302B7">
        <w:rPr>
          <w:rFonts w:asciiTheme="minorHAnsi" w:hAnsiTheme="minorHAnsi"/>
        </w:rPr>
        <w:t>an area for focus</w:t>
      </w:r>
      <w:r w:rsidR="008E7B10" w:rsidRPr="00B302B7">
        <w:rPr>
          <w:rFonts w:asciiTheme="minorHAnsi" w:hAnsiTheme="minorHAnsi"/>
        </w:rPr>
        <w:t xml:space="preserve">, though </w:t>
      </w:r>
      <w:r w:rsidR="1B1B4AA6" w:rsidRPr="00B302B7">
        <w:rPr>
          <w:rFonts w:asciiTheme="minorHAnsi" w:hAnsiTheme="minorHAnsi"/>
        </w:rPr>
        <w:t xml:space="preserve">the Ministry’s </w:t>
      </w:r>
      <w:r w:rsidR="008E7B10" w:rsidRPr="00B302B7">
        <w:rPr>
          <w:rFonts w:asciiTheme="minorHAnsi" w:hAnsiTheme="minorHAnsi"/>
        </w:rPr>
        <w:t>mid</w:t>
      </w:r>
      <w:r w:rsidR="00F458CA" w:rsidRPr="00B302B7">
        <w:rPr>
          <w:rFonts w:asciiTheme="minorHAnsi" w:hAnsiTheme="minorHAnsi"/>
        </w:rPr>
        <w:t xml:space="preserve"> and</w:t>
      </w:r>
      <w:r w:rsidR="00C0141B" w:rsidRPr="00B302B7">
        <w:rPr>
          <w:rFonts w:asciiTheme="minorHAnsi" w:hAnsiTheme="minorHAnsi"/>
        </w:rPr>
        <w:t xml:space="preserve"> </w:t>
      </w:r>
      <w:r w:rsidR="008E7B10" w:rsidRPr="00B302B7">
        <w:rPr>
          <w:rFonts w:asciiTheme="minorHAnsi" w:hAnsiTheme="minorHAnsi"/>
        </w:rPr>
        <w:t>senior</w:t>
      </w:r>
      <w:r w:rsidR="000F557E" w:rsidRPr="00B302B7">
        <w:rPr>
          <w:rFonts w:asciiTheme="minorHAnsi" w:hAnsiTheme="minorHAnsi"/>
        </w:rPr>
        <w:t xml:space="preserve"> levels</w:t>
      </w:r>
      <w:r w:rsidR="008E7B10" w:rsidRPr="00B302B7">
        <w:rPr>
          <w:rFonts w:asciiTheme="minorHAnsi" w:hAnsiTheme="minorHAnsi"/>
        </w:rPr>
        <w:t xml:space="preserve"> have </w:t>
      </w:r>
      <w:r w:rsidRPr="00B302B7">
        <w:rPr>
          <w:rFonts w:asciiTheme="minorHAnsi" w:hAnsiTheme="minorHAnsi"/>
        </w:rPr>
        <w:t xml:space="preserve">reasonably </w:t>
      </w:r>
      <w:r w:rsidR="008E7B10" w:rsidRPr="00B302B7">
        <w:rPr>
          <w:rFonts w:asciiTheme="minorHAnsi" w:hAnsiTheme="minorHAnsi"/>
        </w:rPr>
        <w:t>healt</w:t>
      </w:r>
      <w:r w:rsidRPr="00B302B7">
        <w:rPr>
          <w:rFonts w:asciiTheme="minorHAnsi" w:hAnsiTheme="minorHAnsi"/>
        </w:rPr>
        <w:t>hy</w:t>
      </w:r>
      <w:r w:rsidR="008E7B10" w:rsidRPr="00B302B7">
        <w:rPr>
          <w:rFonts w:asciiTheme="minorHAnsi" w:hAnsiTheme="minorHAnsi"/>
        </w:rPr>
        <w:t xml:space="preserve"> Asian representation</w:t>
      </w:r>
      <w:r w:rsidR="00BC35F1" w:rsidRPr="00B302B7">
        <w:rPr>
          <w:rFonts w:asciiTheme="minorHAnsi" w:hAnsiTheme="minorHAnsi"/>
        </w:rPr>
        <w:t xml:space="preserve">. </w:t>
      </w:r>
    </w:p>
    <w:p w14:paraId="10D18731" w14:textId="4775EED6" w:rsidR="00855C47" w:rsidRPr="00B302B7" w:rsidRDefault="00A81830" w:rsidP="00533052">
      <w:pPr>
        <w:pStyle w:val="Bullet"/>
        <w:rPr>
          <w:rFonts w:asciiTheme="minorHAnsi" w:hAnsiTheme="minorHAnsi" w:cstheme="minorHAnsi"/>
        </w:rPr>
      </w:pPr>
      <w:r w:rsidRPr="00B302B7">
        <w:rPr>
          <w:rFonts w:asciiTheme="minorHAnsi" w:hAnsiTheme="minorHAnsi" w:cstheme="minorHAnsi"/>
        </w:rPr>
        <w:t xml:space="preserve">In addition to </w:t>
      </w:r>
      <w:r w:rsidR="009C66A5" w:rsidRPr="00B302B7">
        <w:rPr>
          <w:rFonts w:asciiTheme="minorHAnsi" w:hAnsiTheme="minorHAnsi" w:cstheme="minorHAnsi"/>
        </w:rPr>
        <w:t xml:space="preserve">improving the diversity of our workforce across all levels </w:t>
      </w:r>
      <w:r w:rsidR="00B75AD0" w:rsidRPr="00B302B7">
        <w:rPr>
          <w:rFonts w:asciiTheme="minorHAnsi" w:hAnsiTheme="minorHAnsi" w:cstheme="minorHAnsi"/>
        </w:rPr>
        <w:t>through</w:t>
      </w:r>
      <w:r w:rsidR="009C66A5" w:rsidRPr="00B302B7">
        <w:rPr>
          <w:rFonts w:asciiTheme="minorHAnsi" w:hAnsiTheme="minorHAnsi" w:cstheme="minorHAnsi"/>
        </w:rPr>
        <w:t xml:space="preserve"> </w:t>
      </w:r>
      <w:r w:rsidR="00987C0B" w:rsidRPr="00B302B7">
        <w:rPr>
          <w:rFonts w:asciiTheme="minorHAnsi" w:hAnsiTheme="minorHAnsi" w:cstheme="minorHAnsi"/>
        </w:rPr>
        <w:t>hiring</w:t>
      </w:r>
      <w:r w:rsidR="00BD07B8" w:rsidRPr="00B302B7">
        <w:rPr>
          <w:rFonts w:asciiTheme="minorHAnsi" w:hAnsiTheme="minorHAnsi" w:cstheme="minorHAnsi"/>
        </w:rPr>
        <w:t>, the Ministry is focused on</w:t>
      </w:r>
      <w:r w:rsidR="00B75AD0" w:rsidRPr="00B302B7">
        <w:rPr>
          <w:rFonts w:asciiTheme="minorHAnsi" w:hAnsiTheme="minorHAnsi" w:cstheme="minorHAnsi"/>
        </w:rPr>
        <w:t xml:space="preserve"> supporting </w:t>
      </w:r>
      <w:r w:rsidR="0067636B" w:rsidRPr="00B302B7">
        <w:rPr>
          <w:rFonts w:asciiTheme="minorHAnsi" w:hAnsiTheme="minorHAnsi" w:cstheme="minorHAnsi"/>
        </w:rPr>
        <w:t xml:space="preserve">the career development of </w:t>
      </w:r>
      <w:r w:rsidR="00214031" w:rsidRPr="00B302B7">
        <w:rPr>
          <w:rFonts w:asciiTheme="minorHAnsi" w:hAnsiTheme="minorHAnsi" w:cstheme="minorHAnsi"/>
        </w:rPr>
        <w:t xml:space="preserve">an ethnically diverse talent </w:t>
      </w:r>
      <w:r w:rsidR="0067636B" w:rsidRPr="00B302B7">
        <w:rPr>
          <w:rFonts w:asciiTheme="minorHAnsi" w:hAnsiTheme="minorHAnsi" w:cstheme="minorHAnsi"/>
        </w:rPr>
        <w:t xml:space="preserve">pool internally, </w:t>
      </w:r>
      <w:r w:rsidR="00BD07B8" w:rsidRPr="00B302B7">
        <w:rPr>
          <w:rFonts w:asciiTheme="minorHAnsi" w:hAnsiTheme="minorHAnsi" w:cstheme="minorHAnsi"/>
        </w:rPr>
        <w:t>alongside</w:t>
      </w:r>
      <w:r w:rsidR="0067636B" w:rsidRPr="00B302B7">
        <w:rPr>
          <w:rFonts w:asciiTheme="minorHAnsi" w:hAnsiTheme="minorHAnsi" w:cstheme="minorHAnsi"/>
        </w:rPr>
        <w:t xml:space="preserve"> </w:t>
      </w:r>
      <w:r w:rsidR="00197413" w:rsidRPr="00B302B7">
        <w:rPr>
          <w:rFonts w:asciiTheme="minorHAnsi" w:hAnsiTheme="minorHAnsi" w:cstheme="minorHAnsi"/>
        </w:rPr>
        <w:t xml:space="preserve">building cultural capability and inclusive leadership to support a more diverse team. Actions </w:t>
      </w:r>
      <w:r w:rsidR="007E54B3" w:rsidRPr="00B302B7">
        <w:rPr>
          <w:rFonts w:asciiTheme="minorHAnsi" w:hAnsiTheme="minorHAnsi" w:cstheme="minorHAnsi"/>
        </w:rPr>
        <w:t>towards these goals</w:t>
      </w:r>
      <w:r w:rsidR="00197413" w:rsidRPr="00B302B7">
        <w:rPr>
          <w:rFonts w:asciiTheme="minorHAnsi" w:hAnsiTheme="minorHAnsi" w:cstheme="minorHAnsi"/>
        </w:rPr>
        <w:t xml:space="preserve"> are outlined in this plan and in </w:t>
      </w:r>
      <w:r w:rsidR="007E54B3" w:rsidRPr="00B302B7">
        <w:rPr>
          <w:rFonts w:asciiTheme="minorHAnsi" w:hAnsiTheme="minorHAnsi" w:cstheme="minorHAnsi"/>
        </w:rPr>
        <w:t xml:space="preserve">Tui </w:t>
      </w:r>
      <w:proofErr w:type="spellStart"/>
      <w:r w:rsidR="007E54B3" w:rsidRPr="00B302B7">
        <w:rPr>
          <w:rFonts w:asciiTheme="minorHAnsi" w:hAnsiTheme="minorHAnsi" w:cstheme="minorHAnsi"/>
        </w:rPr>
        <w:t>Raumata</w:t>
      </w:r>
      <w:proofErr w:type="spellEnd"/>
      <w:r w:rsidR="007E54B3" w:rsidRPr="00B302B7">
        <w:rPr>
          <w:rFonts w:asciiTheme="minorHAnsi" w:hAnsiTheme="minorHAnsi" w:cstheme="minorHAnsi"/>
        </w:rPr>
        <w:t xml:space="preserve">, </w:t>
      </w:r>
      <w:r w:rsidR="00197413" w:rsidRPr="00B302B7">
        <w:rPr>
          <w:rFonts w:asciiTheme="minorHAnsi" w:hAnsiTheme="minorHAnsi" w:cstheme="minorHAnsi"/>
        </w:rPr>
        <w:t xml:space="preserve">our Diversity, </w:t>
      </w:r>
      <w:proofErr w:type="gramStart"/>
      <w:r w:rsidR="00197413" w:rsidRPr="00B302B7">
        <w:rPr>
          <w:rFonts w:asciiTheme="minorHAnsi" w:hAnsiTheme="minorHAnsi" w:cstheme="minorHAnsi"/>
        </w:rPr>
        <w:t>Equity</w:t>
      </w:r>
      <w:proofErr w:type="gramEnd"/>
      <w:r w:rsidR="00197413" w:rsidRPr="00B302B7">
        <w:rPr>
          <w:rFonts w:asciiTheme="minorHAnsi" w:hAnsiTheme="minorHAnsi" w:cstheme="minorHAnsi"/>
        </w:rPr>
        <w:t xml:space="preserve"> and Inclusion strategy. </w:t>
      </w:r>
    </w:p>
    <w:p w14:paraId="6BFC36AD" w14:textId="753A1669" w:rsidR="005B208A" w:rsidRPr="00B302B7" w:rsidRDefault="005B208A">
      <w:pPr>
        <w:spacing w:before="0" w:after="200" w:line="276" w:lineRule="auto"/>
        <w:jc w:val="left"/>
        <w:rPr>
          <w:rFonts w:ascii="Georgia" w:eastAsiaTheme="majorEastAsia" w:hAnsi="Georgia" w:cstheme="majorBidi"/>
          <w:b/>
          <w:color w:val="1B556B"/>
          <w:sz w:val="36"/>
          <w:szCs w:val="26"/>
          <w:lang w:eastAsia="en-GB"/>
        </w:rPr>
      </w:pPr>
      <w:r w:rsidRPr="00B302B7" w:rsidDel="005D0AD0">
        <w:rPr>
          <w:rFonts w:ascii="Georgia" w:eastAsiaTheme="majorEastAsia" w:hAnsi="Georgia" w:cstheme="majorBidi"/>
          <w:b/>
          <w:color w:val="1B556B"/>
          <w:sz w:val="36"/>
          <w:szCs w:val="26"/>
        </w:rPr>
        <w:br w:type="page"/>
      </w:r>
    </w:p>
    <w:p w14:paraId="13CC7A37" w14:textId="2E4B7220" w:rsidR="00C30FA9" w:rsidRPr="00B302B7" w:rsidRDefault="00CF24B2" w:rsidP="00870C1D">
      <w:pPr>
        <w:pStyle w:val="Heading1"/>
      </w:pPr>
      <w:bookmarkStart w:id="13" w:name="_Toc153181755"/>
      <w:r w:rsidRPr="00B302B7">
        <w:lastRenderedPageBreak/>
        <w:t xml:space="preserve">Closing our </w:t>
      </w:r>
      <w:r w:rsidR="009B1725" w:rsidRPr="00B302B7">
        <w:t>p</w:t>
      </w:r>
      <w:r w:rsidRPr="00B302B7">
        <w:t xml:space="preserve">ay </w:t>
      </w:r>
      <w:r w:rsidR="009B1725" w:rsidRPr="00B302B7">
        <w:t>g</w:t>
      </w:r>
      <w:r w:rsidRPr="00B302B7">
        <w:t>aps</w:t>
      </w:r>
      <w:bookmarkEnd w:id="13"/>
    </w:p>
    <w:p w14:paraId="72196D8D" w14:textId="384EF745" w:rsidR="00C30FA9" w:rsidRPr="00B302B7" w:rsidRDefault="00C30FA9" w:rsidP="00C30FA9">
      <w:pPr>
        <w:pStyle w:val="BodyText"/>
      </w:pPr>
      <w:r w:rsidRPr="00B302B7">
        <w:t xml:space="preserve">We aim to significantly reduce </w:t>
      </w:r>
      <w:r w:rsidR="00BE2761" w:rsidRPr="00B302B7">
        <w:t xml:space="preserve">the </w:t>
      </w:r>
      <w:r w:rsidRPr="00B302B7">
        <w:t xml:space="preserve">pay gaps </w:t>
      </w:r>
      <w:r w:rsidR="00BE2761" w:rsidRPr="00B302B7">
        <w:t>reported above</w:t>
      </w:r>
      <w:r w:rsidRPr="00B302B7">
        <w:t xml:space="preserve"> over the lifecycle of this action plan. </w:t>
      </w:r>
    </w:p>
    <w:p w14:paraId="097E99E2" w14:textId="7FB3768A" w:rsidR="00360FA9" w:rsidRPr="00B302B7" w:rsidRDefault="00360FA9" w:rsidP="00A331F3">
      <w:pPr>
        <w:pStyle w:val="Heading2"/>
        <w:rPr>
          <w:lang w:val="en-US"/>
        </w:rPr>
      </w:pPr>
      <w:bookmarkStart w:id="14" w:name="_Toc153181756"/>
      <w:r w:rsidRPr="00B302B7">
        <w:rPr>
          <w:lang w:val="en-US"/>
        </w:rPr>
        <w:t>Approach</w:t>
      </w:r>
      <w:bookmarkEnd w:id="14"/>
    </w:p>
    <w:p w14:paraId="7971EECC" w14:textId="5F3312A8" w:rsidR="00360FA9" w:rsidRPr="00B302B7" w:rsidRDefault="00360FA9" w:rsidP="00360FA9">
      <w:pPr>
        <w:pStyle w:val="BodyText"/>
      </w:pPr>
      <w:r w:rsidRPr="00B302B7">
        <w:t xml:space="preserve">Following in the </w:t>
      </w:r>
      <w:r w:rsidR="003C5DAE" w:rsidRPr="00B302B7">
        <w:t>foot</w:t>
      </w:r>
      <w:r w:rsidRPr="00B302B7">
        <w:t xml:space="preserve">steps of Kia </w:t>
      </w:r>
      <w:proofErr w:type="spellStart"/>
      <w:r w:rsidRPr="00B302B7">
        <w:t>Toipoto</w:t>
      </w:r>
      <w:proofErr w:type="spellEnd"/>
      <w:r w:rsidRPr="00B302B7">
        <w:t xml:space="preserve">, we have developed a </w:t>
      </w:r>
      <w:r w:rsidR="007002C2" w:rsidRPr="00B302B7">
        <w:t>two</w:t>
      </w:r>
      <w:r w:rsidRPr="00B302B7">
        <w:t xml:space="preserve">-year action plan to address gender and ethnic pay gaps, </w:t>
      </w:r>
      <w:r w:rsidR="002613C9" w:rsidRPr="00B302B7">
        <w:t>with</w:t>
      </w:r>
      <w:r w:rsidRPr="00B302B7">
        <w:t xml:space="preserve"> </w:t>
      </w:r>
      <w:r w:rsidR="007002C2" w:rsidRPr="00B302B7">
        <w:t>six</w:t>
      </w:r>
      <w:r w:rsidRPr="00B302B7">
        <w:t xml:space="preserve">-monthly milestone check-in points to </w:t>
      </w:r>
      <w:r w:rsidR="007002C2" w:rsidRPr="00B302B7">
        <w:t xml:space="preserve">monitor </w:t>
      </w:r>
      <w:r w:rsidRPr="00B302B7">
        <w:t>progress. The plan will be updated and republished at the halfway point (November 2023) with a status update on pay gaps and a progress report against the plan.</w:t>
      </w:r>
    </w:p>
    <w:p w14:paraId="12267FBD" w14:textId="6DEE21E8" w:rsidR="0080531E" w:rsidRPr="00B302B7" w:rsidRDefault="00360FA9" w:rsidP="0050166C">
      <w:pPr>
        <w:pStyle w:val="Heading2"/>
        <w:rPr>
          <w:lang w:val="en-US"/>
        </w:rPr>
      </w:pPr>
      <w:bookmarkStart w:id="15" w:name="_Toc153181757"/>
      <w:r w:rsidRPr="00B302B7">
        <w:rPr>
          <w:lang w:val="en-US"/>
        </w:rPr>
        <w:t>Responsibilities</w:t>
      </w:r>
      <w:bookmarkEnd w:id="15"/>
    </w:p>
    <w:p w14:paraId="2711940D" w14:textId="0CC661B4" w:rsidR="00360FA9" w:rsidRPr="00B302B7" w:rsidRDefault="00360FA9" w:rsidP="00360FA9">
      <w:pPr>
        <w:pStyle w:val="BodyText"/>
      </w:pPr>
      <w:r w:rsidRPr="00B302B7">
        <w:t xml:space="preserve">People </w:t>
      </w:r>
      <w:r w:rsidR="00384AED" w:rsidRPr="00B302B7">
        <w:t xml:space="preserve">and </w:t>
      </w:r>
      <w:r w:rsidRPr="00B302B7">
        <w:t>Capabilit</w:t>
      </w:r>
      <w:r w:rsidR="355D629F" w:rsidRPr="00B302B7">
        <w:t>y</w:t>
      </w:r>
      <w:r w:rsidRPr="00B302B7">
        <w:t xml:space="preserve"> are </w:t>
      </w:r>
      <w:r w:rsidRPr="00B302B7">
        <w:rPr>
          <w:b/>
          <w:bCs/>
        </w:rPr>
        <w:t>responsible</w:t>
      </w:r>
      <w:r w:rsidRPr="00B302B7">
        <w:t xml:space="preserve"> for delivering against the plan, and our </w:t>
      </w:r>
      <w:r w:rsidR="00384AED" w:rsidRPr="00B302B7">
        <w:t xml:space="preserve">Chief Executive </w:t>
      </w:r>
      <w:r w:rsidRPr="00B302B7">
        <w:t xml:space="preserve">is </w:t>
      </w:r>
      <w:r w:rsidRPr="00B302B7">
        <w:rPr>
          <w:b/>
          <w:bCs/>
        </w:rPr>
        <w:t>accountable</w:t>
      </w:r>
      <w:r w:rsidRPr="00B302B7">
        <w:t xml:space="preserve">. </w:t>
      </w:r>
    </w:p>
    <w:p w14:paraId="68698745" w14:textId="1650756E" w:rsidR="00360FA9" w:rsidRPr="00B302B7" w:rsidRDefault="00360FA9" w:rsidP="00360FA9">
      <w:pPr>
        <w:pStyle w:val="BodyText"/>
      </w:pPr>
      <w:r w:rsidRPr="00B302B7">
        <w:t xml:space="preserve">Employees of </w:t>
      </w:r>
      <w:r w:rsidR="00384AED" w:rsidRPr="00B302B7">
        <w:t>the Ministry</w:t>
      </w:r>
      <w:r w:rsidRPr="00B302B7">
        <w:t xml:space="preserve">, </w:t>
      </w:r>
      <w:r w:rsidR="00D42445" w:rsidRPr="00B302B7">
        <w:t xml:space="preserve">through our </w:t>
      </w:r>
      <w:r w:rsidR="00384AED" w:rsidRPr="00B302B7">
        <w:t>employee</w:t>
      </w:r>
      <w:r w:rsidRPr="00B302B7">
        <w:t>-</w:t>
      </w:r>
      <w:r w:rsidR="00384AED" w:rsidRPr="00B302B7">
        <w:t>led n</w:t>
      </w:r>
      <w:r w:rsidRPr="00B302B7">
        <w:t>etworks</w:t>
      </w:r>
      <w:r w:rsidR="00D42445" w:rsidRPr="00B302B7">
        <w:t>,</w:t>
      </w:r>
      <w:r w:rsidRPr="00B302B7">
        <w:t xml:space="preserve"> and PSA representatives are </w:t>
      </w:r>
      <w:r w:rsidRPr="00B302B7">
        <w:rPr>
          <w:b/>
          <w:bCs/>
        </w:rPr>
        <w:t>consulted</w:t>
      </w:r>
      <w:r w:rsidRPr="00B302B7">
        <w:t xml:space="preserve"> in the development of the plan. </w:t>
      </w:r>
    </w:p>
    <w:p w14:paraId="33774606" w14:textId="77777777" w:rsidR="00360FA9" w:rsidRPr="00B302B7" w:rsidRDefault="00360FA9" w:rsidP="00360FA9">
      <w:pPr>
        <w:pStyle w:val="BodyText"/>
      </w:pPr>
      <w:r w:rsidRPr="00B302B7">
        <w:t xml:space="preserve">Everyone in the organisation is </w:t>
      </w:r>
      <w:r w:rsidRPr="00B302B7">
        <w:rPr>
          <w:b/>
          <w:bCs/>
        </w:rPr>
        <w:t>informed</w:t>
      </w:r>
      <w:r w:rsidRPr="00B302B7">
        <w:t xml:space="preserve">, with a particular focus on ensuring leaders are aware of, and actively contributing to, delivering on the plan. </w:t>
      </w:r>
    </w:p>
    <w:p w14:paraId="6397C407" w14:textId="7E884B9F" w:rsidR="00360FA9" w:rsidRPr="00B302B7" w:rsidRDefault="00360FA9" w:rsidP="00360FA9">
      <w:pPr>
        <w:pStyle w:val="BodyText"/>
      </w:pPr>
      <w:r w:rsidRPr="00B302B7">
        <w:t xml:space="preserve">The </w:t>
      </w:r>
      <w:r w:rsidR="00384AED" w:rsidRPr="00B302B7">
        <w:t xml:space="preserve">next section </w:t>
      </w:r>
      <w:r w:rsidRPr="00B302B7">
        <w:t>outline</w:t>
      </w:r>
      <w:r w:rsidR="00384AED" w:rsidRPr="00B302B7">
        <w:t>s</w:t>
      </w:r>
      <w:r w:rsidRPr="00B302B7">
        <w:t xml:space="preserve"> our progress so far against the key focus areas of Kia </w:t>
      </w:r>
      <w:proofErr w:type="spellStart"/>
      <w:r w:rsidRPr="00B302B7">
        <w:t>Toipoto</w:t>
      </w:r>
      <w:proofErr w:type="spellEnd"/>
      <w:r w:rsidRPr="00B302B7">
        <w:t>, and the deliverables the Ministry commits to over the coming two years, along with success measures.</w:t>
      </w:r>
    </w:p>
    <w:p w14:paraId="741C014B" w14:textId="63525EC5" w:rsidR="001A7F68" w:rsidRPr="00B302B7" w:rsidRDefault="00AA774D" w:rsidP="007F6625">
      <w:pPr>
        <w:pStyle w:val="Heading2"/>
        <w:rPr>
          <w:lang w:val="en-US"/>
        </w:rPr>
      </w:pPr>
      <w:bookmarkStart w:id="16" w:name="_Toc153181758"/>
      <w:r w:rsidRPr="00B302B7">
        <w:rPr>
          <w:lang w:val="en-US"/>
        </w:rPr>
        <w:t xml:space="preserve">Action </w:t>
      </w:r>
      <w:r w:rsidR="00F20A16" w:rsidRPr="00B302B7">
        <w:rPr>
          <w:lang w:val="en-US"/>
        </w:rPr>
        <w:t>p</w:t>
      </w:r>
      <w:r w:rsidRPr="00B302B7">
        <w:rPr>
          <w:lang w:val="en-US"/>
        </w:rPr>
        <w:t>lan</w:t>
      </w:r>
      <w:bookmarkEnd w:id="16"/>
      <w:r w:rsidRPr="00B302B7">
        <w:rPr>
          <w:lang w:val="en-US"/>
        </w:rPr>
        <w:t xml:space="preserve"> </w:t>
      </w:r>
    </w:p>
    <w:p w14:paraId="5EFDF9C7" w14:textId="582246E1" w:rsidR="00AA774D" w:rsidRPr="00B302B7" w:rsidRDefault="00AA774D" w:rsidP="00FC5041">
      <w:pPr>
        <w:pStyle w:val="BodyText"/>
        <w:rPr>
          <w:lang w:val="en-US"/>
        </w:rPr>
      </w:pPr>
      <w:r w:rsidRPr="00B302B7">
        <w:rPr>
          <w:lang w:val="en-US"/>
        </w:rPr>
        <w:t xml:space="preserve">The Ministry’s </w:t>
      </w:r>
      <w:r w:rsidR="00E25953" w:rsidRPr="00B302B7">
        <w:rPr>
          <w:lang w:val="en-US"/>
        </w:rPr>
        <w:t xml:space="preserve">gender and ethnic pay gaps action plan is </w:t>
      </w:r>
      <w:proofErr w:type="spellStart"/>
      <w:r w:rsidR="00C207BD" w:rsidRPr="00B302B7">
        <w:rPr>
          <w:lang w:val="en-US"/>
        </w:rPr>
        <w:t>organised</w:t>
      </w:r>
      <w:proofErr w:type="spellEnd"/>
      <w:r w:rsidR="00C207BD" w:rsidRPr="00B302B7">
        <w:rPr>
          <w:lang w:val="en-US"/>
        </w:rPr>
        <w:t xml:space="preserve"> according to the key focus areas set out under Kia </w:t>
      </w:r>
      <w:proofErr w:type="spellStart"/>
      <w:r w:rsidR="00C207BD" w:rsidRPr="00B302B7">
        <w:rPr>
          <w:lang w:val="en-US"/>
        </w:rPr>
        <w:t>Toipoto</w:t>
      </w:r>
      <w:proofErr w:type="spellEnd"/>
      <w:r w:rsidR="00CE0BC8" w:rsidRPr="00B302B7">
        <w:rPr>
          <w:lang w:val="en-US"/>
        </w:rPr>
        <w:t>. Deliverables</w:t>
      </w:r>
      <w:r w:rsidR="000F6CFC" w:rsidRPr="00B302B7">
        <w:rPr>
          <w:lang w:val="en-US"/>
        </w:rPr>
        <w:t xml:space="preserve"> are </w:t>
      </w:r>
      <w:proofErr w:type="spellStart"/>
      <w:r w:rsidR="00A226B4" w:rsidRPr="00B302B7">
        <w:rPr>
          <w:lang w:val="en-US"/>
        </w:rPr>
        <w:t>organised</w:t>
      </w:r>
      <w:proofErr w:type="spellEnd"/>
      <w:r w:rsidR="00A226B4" w:rsidRPr="00B302B7">
        <w:rPr>
          <w:lang w:val="en-US"/>
        </w:rPr>
        <w:t xml:space="preserve"> into year </w:t>
      </w:r>
      <w:r w:rsidR="002A7FBC" w:rsidRPr="00B302B7">
        <w:rPr>
          <w:lang w:val="en-US"/>
        </w:rPr>
        <w:t>one</w:t>
      </w:r>
      <w:r w:rsidR="00A226B4" w:rsidRPr="00B302B7">
        <w:rPr>
          <w:lang w:val="en-US"/>
        </w:rPr>
        <w:t xml:space="preserve"> (</w:t>
      </w:r>
      <w:r w:rsidR="00E27164" w:rsidRPr="00B302B7">
        <w:rPr>
          <w:lang w:val="en-US"/>
        </w:rPr>
        <w:t xml:space="preserve">by </w:t>
      </w:r>
      <w:r w:rsidR="00426F0F" w:rsidRPr="00B302B7">
        <w:rPr>
          <w:lang w:val="en-US"/>
        </w:rPr>
        <w:t>November</w:t>
      </w:r>
      <w:r w:rsidR="00E959B1" w:rsidRPr="00B302B7">
        <w:rPr>
          <w:lang w:val="en-US"/>
        </w:rPr>
        <w:t xml:space="preserve"> 2023</w:t>
      </w:r>
      <w:r w:rsidR="00EC4694" w:rsidRPr="00B302B7">
        <w:rPr>
          <w:lang w:val="en-US"/>
        </w:rPr>
        <w:t xml:space="preserve">) and </w:t>
      </w:r>
      <w:r w:rsidR="00F2385B" w:rsidRPr="00B302B7">
        <w:rPr>
          <w:lang w:val="en-US"/>
        </w:rPr>
        <w:t xml:space="preserve">year </w:t>
      </w:r>
      <w:r w:rsidR="002A7FBC" w:rsidRPr="00B302B7">
        <w:rPr>
          <w:lang w:val="en-US"/>
        </w:rPr>
        <w:t>two</w:t>
      </w:r>
      <w:r w:rsidR="00F2385B" w:rsidRPr="00B302B7">
        <w:rPr>
          <w:lang w:val="en-US"/>
        </w:rPr>
        <w:t xml:space="preserve"> (</w:t>
      </w:r>
      <w:r w:rsidR="00E27164" w:rsidRPr="00B302B7">
        <w:rPr>
          <w:lang w:val="en-US"/>
        </w:rPr>
        <w:t xml:space="preserve">by </w:t>
      </w:r>
      <w:r w:rsidR="00426F0F" w:rsidRPr="00B302B7">
        <w:rPr>
          <w:lang w:val="en-US"/>
        </w:rPr>
        <w:t>November</w:t>
      </w:r>
      <w:r w:rsidR="00F2385B" w:rsidRPr="00B302B7">
        <w:rPr>
          <w:lang w:val="en-US"/>
        </w:rPr>
        <w:t xml:space="preserve"> 2024) milestones. </w:t>
      </w:r>
      <w:r w:rsidR="00EB6B47" w:rsidRPr="00B302B7">
        <w:rPr>
          <w:lang w:val="en-US"/>
        </w:rPr>
        <w:t>The focus areas are:</w:t>
      </w:r>
    </w:p>
    <w:p w14:paraId="22A0B6F2" w14:textId="2A286E6A" w:rsidR="00EB6B47" w:rsidRPr="00B302B7" w:rsidRDefault="00F0146A" w:rsidP="00EB6B47">
      <w:pPr>
        <w:pStyle w:val="Bullet"/>
        <w:rPr>
          <w:rStyle w:val="Hyperlink"/>
          <w:lang w:val="en-US"/>
        </w:rPr>
      </w:pPr>
      <w:r w:rsidRPr="00B302B7">
        <w:rPr>
          <w:lang w:val="en-US"/>
        </w:rPr>
        <w:fldChar w:fldCharType="begin"/>
      </w:r>
      <w:r w:rsidRPr="00B302B7">
        <w:rPr>
          <w:lang w:val="en-US"/>
        </w:rPr>
        <w:instrText>HYPERLINK  \l "_Te_pono_–"</w:instrText>
      </w:r>
      <w:r w:rsidRPr="00B302B7">
        <w:rPr>
          <w:lang w:val="en-US"/>
        </w:rPr>
      </w:r>
      <w:r w:rsidRPr="00B302B7">
        <w:rPr>
          <w:lang w:val="en-US"/>
        </w:rPr>
        <w:fldChar w:fldCharType="separate"/>
      </w:r>
      <w:r w:rsidR="00EB6B47" w:rsidRPr="00B302B7">
        <w:rPr>
          <w:rStyle w:val="Hyperlink"/>
          <w:lang w:val="en-US"/>
        </w:rPr>
        <w:t xml:space="preserve">Te </w:t>
      </w:r>
      <w:bookmarkStart w:id="17" w:name="_Hlt152924271"/>
      <w:r w:rsidR="00EB6B47" w:rsidRPr="00B302B7">
        <w:rPr>
          <w:rStyle w:val="Hyperlink"/>
          <w:lang w:val="en-US"/>
        </w:rPr>
        <w:t>p</w:t>
      </w:r>
      <w:bookmarkEnd w:id="17"/>
      <w:r w:rsidR="00EB6B47" w:rsidRPr="00B302B7">
        <w:rPr>
          <w:rStyle w:val="Hyperlink"/>
          <w:lang w:val="en-US"/>
        </w:rPr>
        <w:t>ono – Transparen</w:t>
      </w:r>
      <w:bookmarkStart w:id="18" w:name="_Hlt152924307"/>
      <w:bookmarkStart w:id="19" w:name="_Hlt152924308"/>
      <w:r w:rsidR="00EB6B47" w:rsidRPr="00B302B7">
        <w:rPr>
          <w:rStyle w:val="Hyperlink"/>
          <w:lang w:val="en-US"/>
        </w:rPr>
        <w:t>c</w:t>
      </w:r>
      <w:bookmarkEnd w:id="18"/>
      <w:bookmarkEnd w:id="19"/>
      <w:r w:rsidR="00EB6B47" w:rsidRPr="00B302B7">
        <w:rPr>
          <w:rStyle w:val="Hyperlink"/>
          <w:lang w:val="en-US"/>
        </w:rPr>
        <w:t>y</w:t>
      </w:r>
    </w:p>
    <w:p w14:paraId="277B10AB" w14:textId="186CF58C" w:rsidR="00EB6B47" w:rsidRPr="00B302B7" w:rsidRDefault="00F0146A" w:rsidP="00EB6B47">
      <w:pPr>
        <w:pStyle w:val="Bullet"/>
        <w:rPr>
          <w:lang w:val="en-US"/>
        </w:rPr>
      </w:pPr>
      <w:r w:rsidRPr="00B302B7">
        <w:rPr>
          <w:lang w:val="en-US"/>
        </w:rPr>
        <w:fldChar w:fldCharType="end"/>
      </w:r>
      <w:hyperlink w:anchor="_Ngā_hua_tōkeke" w:history="1">
        <w:r w:rsidR="00EB6B47" w:rsidRPr="00B302B7">
          <w:rPr>
            <w:rStyle w:val="Hyperlink"/>
            <w:lang w:val="en-US"/>
          </w:rPr>
          <w:t>Ng</w:t>
        </w:r>
        <w:bookmarkStart w:id="20" w:name="_Hlt152924327"/>
        <w:r w:rsidR="00EB6B47" w:rsidRPr="00B302B7">
          <w:rPr>
            <w:rStyle w:val="Hyperlink"/>
            <w:lang w:val="en-US"/>
          </w:rPr>
          <w:t>ā</w:t>
        </w:r>
        <w:bookmarkEnd w:id="20"/>
        <w:r w:rsidR="00EB6B47" w:rsidRPr="00B302B7">
          <w:rPr>
            <w:rStyle w:val="Hyperlink"/>
            <w:lang w:val="en-US"/>
          </w:rPr>
          <w:t xml:space="preserve"> </w:t>
        </w:r>
        <w:proofErr w:type="spellStart"/>
        <w:r w:rsidR="00EB6B47" w:rsidRPr="00B302B7">
          <w:rPr>
            <w:rStyle w:val="Hyperlink"/>
            <w:lang w:val="en-US"/>
          </w:rPr>
          <w:t>hua</w:t>
        </w:r>
        <w:proofErr w:type="spellEnd"/>
        <w:r w:rsidR="00EB6B47" w:rsidRPr="00B302B7">
          <w:rPr>
            <w:rStyle w:val="Hyperlink"/>
            <w:lang w:val="en-US"/>
          </w:rPr>
          <w:t xml:space="preserve"> </w:t>
        </w:r>
        <w:proofErr w:type="spellStart"/>
        <w:r w:rsidR="00EB6B47" w:rsidRPr="00B302B7">
          <w:rPr>
            <w:rStyle w:val="Hyperlink"/>
            <w:lang w:val="en-US"/>
          </w:rPr>
          <w:t>tōkeke</w:t>
        </w:r>
        <w:proofErr w:type="spellEnd"/>
        <w:r w:rsidR="00EB6B47" w:rsidRPr="00B302B7">
          <w:rPr>
            <w:rStyle w:val="Hyperlink"/>
            <w:lang w:val="en-US"/>
          </w:rPr>
          <w:t xml:space="preserve"> mō te utu – Equitable pay outcomes</w:t>
        </w:r>
      </w:hyperlink>
    </w:p>
    <w:p w14:paraId="616E8153" w14:textId="00FDCC47" w:rsidR="00EB6B47" w:rsidRPr="00B302B7" w:rsidRDefault="00186C53" w:rsidP="00EB6B47">
      <w:pPr>
        <w:pStyle w:val="Bullet"/>
        <w:rPr>
          <w:lang w:val="en-US"/>
        </w:rPr>
      </w:pPr>
      <w:hyperlink w:anchor="_Te_whai_kanohi" w:history="1">
        <w:r w:rsidR="00EB6B47" w:rsidRPr="00B302B7">
          <w:rPr>
            <w:rStyle w:val="Hyperlink"/>
            <w:lang w:val="en-US"/>
          </w:rPr>
          <w:t xml:space="preserve">Te </w:t>
        </w:r>
        <w:proofErr w:type="spellStart"/>
        <w:r w:rsidR="00EB6B47" w:rsidRPr="00B302B7">
          <w:rPr>
            <w:rStyle w:val="Hyperlink"/>
            <w:lang w:val="en-US"/>
          </w:rPr>
          <w:t>whai</w:t>
        </w:r>
        <w:proofErr w:type="spellEnd"/>
        <w:r w:rsidR="00EB6B47" w:rsidRPr="00B302B7">
          <w:rPr>
            <w:rStyle w:val="Hyperlink"/>
            <w:lang w:val="en-US"/>
          </w:rPr>
          <w:t xml:space="preserve"> </w:t>
        </w:r>
        <w:bookmarkStart w:id="21" w:name="_Hlt152924332"/>
        <w:proofErr w:type="spellStart"/>
        <w:r w:rsidR="00EB6B47" w:rsidRPr="00B302B7">
          <w:rPr>
            <w:rStyle w:val="Hyperlink"/>
            <w:lang w:val="en-US"/>
          </w:rPr>
          <w:t>k</w:t>
        </w:r>
        <w:bookmarkEnd w:id="21"/>
        <w:r w:rsidR="00EB6B47" w:rsidRPr="00B302B7">
          <w:rPr>
            <w:rStyle w:val="Hyperlink"/>
            <w:lang w:val="en-US"/>
          </w:rPr>
          <w:t>anohi</w:t>
        </w:r>
        <w:proofErr w:type="spellEnd"/>
        <w:r w:rsidR="00EB6B47" w:rsidRPr="00B302B7">
          <w:rPr>
            <w:rStyle w:val="Hyperlink"/>
            <w:lang w:val="en-US"/>
          </w:rPr>
          <w:t xml:space="preserve"> </w:t>
        </w:r>
        <w:proofErr w:type="spellStart"/>
        <w:r w:rsidR="00EB6B47" w:rsidRPr="00B302B7">
          <w:rPr>
            <w:rStyle w:val="Hyperlink"/>
            <w:lang w:val="en-US"/>
          </w:rPr>
          <w:t>ngā</w:t>
        </w:r>
        <w:proofErr w:type="spellEnd"/>
        <w:r w:rsidR="00EB6B47" w:rsidRPr="00B302B7">
          <w:rPr>
            <w:rStyle w:val="Hyperlink"/>
            <w:lang w:val="en-US"/>
          </w:rPr>
          <w:t xml:space="preserve"> </w:t>
        </w:r>
        <w:proofErr w:type="spellStart"/>
        <w:r w:rsidR="00EB6B47" w:rsidRPr="00B302B7">
          <w:rPr>
            <w:rStyle w:val="Hyperlink"/>
            <w:lang w:val="en-US"/>
          </w:rPr>
          <w:t>taumata</w:t>
        </w:r>
        <w:proofErr w:type="spellEnd"/>
        <w:r w:rsidR="00EB6B47" w:rsidRPr="00B302B7">
          <w:rPr>
            <w:rStyle w:val="Hyperlink"/>
            <w:lang w:val="en-US"/>
          </w:rPr>
          <w:t xml:space="preserve"> </w:t>
        </w:r>
        <w:proofErr w:type="spellStart"/>
        <w:r w:rsidR="00EB6B47" w:rsidRPr="00B302B7">
          <w:rPr>
            <w:rStyle w:val="Hyperlink"/>
            <w:lang w:val="en-US"/>
          </w:rPr>
          <w:t>katoa</w:t>
        </w:r>
        <w:proofErr w:type="spellEnd"/>
        <w:r w:rsidR="00EB6B47" w:rsidRPr="00B302B7">
          <w:rPr>
            <w:rStyle w:val="Hyperlink"/>
            <w:lang w:val="en-US"/>
          </w:rPr>
          <w:t xml:space="preserve"> – Leadership and representation</w:t>
        </w:r>
      </w:hyperlink>
    </w:p>
    <w:p w14:paraId="58334875" w14:textId="0F30146D" w:rsidR="00EB6B47" w:rsidRPr="00B302B7" w:rsidRDefault="00186C53" w:rsidP="00EB6B47">
      <w:pPr>
        <w:pStyle w:val="Bullet"/>
        <w:rPr>
          <w:lang w:val="en-US"/>
        </w:rPr>
      </w:pPr>
      <w:hyperlink w:anchor="_Te_whakawhanaketanga_i" w:history="1">
        <w:r w:rsidR="00EB6B47" w:rsidRPr="00B302B7">
          <w:rPr>
            <w:rStyle w:val="Hyperlink"/>
          </w:rPr>
          <w:t xml:space="preserve">Te </w:t>
        </w:r>
        <w:proofErr w:type="spellStart"/>
        <w:r w:rsidR="00EB6B47" w:rsidRPr="00B302B7">
          <w:rPr>
            <w:rStyle w:val="Hyperlink"/>
          </w:rPr>
          <w:t>whakawh</w:t>
        </w:r>
        <w:bookmarkStart w:id="22" w:name="_Hlt152924339"/>
        <w:r w:rsidR="00EB6B47" w:rsidRPr="00B302B7">
          <w:rPr>
            <w:rStyle w:val="Hyperlink"/>
          </w:rPr>
          <w:t>a</w:t>
        </w:r>
        <w:bookmarkEnd w:id="22"/>
        <w:r w:rsidR="00EB6B47" w:rsidRPr="00B302B7">
          <w:rPr>
            <w:rStyle w:val="Hyperlink"/>
          </w:rPr>
          <w:t>naketanga</w:t>
        </w:r>
        <w:proofErr w:type="spellEnd"/>
        <w:r w:rsidR="00EB6B47" w:rsidRPr="00B302B7">
          <w:rPr>
            <w:rStyle w:val="Hyperlink"/>
          </w:rPr>
          <w:t xml:space="preserve"> </w:t>
        </w:r>
        <w:proofErr w:type="spellStart"/>
        <w:r w:rsidR="00EB6B47" w:rsidRPr="00B302B7">
          <w:rPr>
            <w:rStyle w:val="Hyperlink"/>
          </w:rPr>
          <w:t>i</w:t>
        </w:r>
        <w:proofErr w:type="spellEnd"/>
        <w:r w:rsidR="00EB6B47" w:rsidRPr="00B302B7">
          <w:rPr>
            <w:rStyle w:val="Hyperlink"/>
          </w:rPr>
          <w:t xml:space="preserve"> te </w:t>
        </w:r>
        <w:proofErr w:type="spellStart"/>
        <w:r w:rsidR="00EB6B47" w:rsidRPr="00B302B7">
          <w:rPr>
            <w:rStyle w:val="Hyperlink"/>
          </w:rPr>
          <w:t>aramahi</w:t>
        </w:r>
        <w:proofErr w:type="spellEnd"/>
        <w:r w:rsidR="00EB6B47" w:rsidRPr="00B302B7">
          <w:rPr>
            <w:rStyle w:val="Hyperlink"/>
          </w:rPr>
          <w:t xml:space="preserve"> – Effective career and leadership development</w:t>
        </w:r>
      </w:hyperlink>
    </w:p>
    <w:p w14:paraId="26B5277E" w14:textId="08C46BC4" w:rsidR="00EB6B47" w:rsidRPr="00B302B7" w:rsidRDefault="00186C53" w:rsidP="00251AED">
      <w:pPr>
        <w:pStyle w:val="Bullet"/>
        <w:rPr>
          <w:lang w:val="en-US"/>
        </w:rPr>
      </w:pPr>
      <w:hyperlink w:anchor="_Te_whakakore_i" w:history="1">
        <w:r w:rsidR="00EB6B47" w:rsidRPr="00B302B7">
          <w:rPr>
            <w:rStyle w:val="Hyperlink"/>
          </w:rPr>
          <w:t xml:space="preserve">Te </w:t>
        </w:r>
        <w:proofErr w:type="spellStart"/>
        <w:r w:rsidR="00EB6B47" w:rsidRPr="00B302B7">
          <w:rPr>
            <w:rStyle w:val="Hyperlink"/>
          </w:rPr>
          <w:t>whakak</w:t>
        </w:r>
        <w:bookmarkStart w:id="23" w:name="_Hlt152924260"/>
        <w:r w:rsidR="00EB6B47" w:rsidRPr="00B302B7">
          <w:rPr>
            <w:rStyle w:val="Hyperlink"/>
          </w:rPr>
          <w:t>o</w:t>
        </w:r>
        <w:bookmarkEnd w:id="23"/>
        <w:r w:rsidR="00EB6B47" w:rsidRPr="00B302B7">
          <w:rPr>
            <w:rStyle w:val="Hyperlink"/>
          </w:rPr>
          <w:t>re</w:t>
        </w:r>
        <w:proofErr w:type="spellEnd"/>
        <w:r w:rsidR="00EB6B47" w:rsidRPr="00B302B7">
          <w:rPr>
            <w:rStyle w:val="Hyperlink"/>
          </w:rPr>
          <w:t xml:space="preserve"> </w:t>
        </w:r>
        <w:proofErr w:type="spellStart"/>
        <w:r w:rsidR="00EB6B47" w:rsidRPr="00B302B7">
          <w:rPr>
            <w:rStyle w:val="Hyperlink"/>
          </w:rPr>
          <w:t>i</w:t>
        </w:r>
        <w:proofErr w:type="spellEnd"/>
        <w:r w:rsidR="00EB6B47" w:rsidRPr="00B302B7">
          <w:rPr>
            <w:rStyle w:val="Hyperlink"/>
          </w:rPr>
          <w:t xml:space="preserve"> te </w:t>
        </w:r>
        <w:proofErr w:type="spellStart"/>
        <w:r w:rsidR="00EB6B47" w:rsidRPr="00B302B7">
          <w:rPr>
            <w:rStyle w:val="Hyperlink"/>
          </w:rPr>
          <w:t>katoa</w:t>
        </w:r>
        <w:proofErr w:type="spellEnd"/>
        <w:r w:rsidR="00EB6B47" w:rsidRPr="00B302B7">
          <w:rPr>
            <w:rStyle w:val="Hyperlink"/>
          </w:rPr>
          <w:t xml:space="preserve"> o </w:t>
        </w:r>
        <w:proofErr w:type="spellStart"/>
        <w:r w:rsidR="00EB6B47" w:rsidRPr="00B302B7">
          <w:rPr>
            <w:rStyle w:val="Hyperlink"/>
          </w:rPr>
          <w:t>ngā</w:t>
        </w:r>
        <w:proofErr w:type="spellEnd"/>
        <w:r w:rsidR="00EB6B47" w:rsidRPr="00B302B7">
          <w:rPr>
            <w:rStyle w:val="Hyperlink"/>
          </w:rPr>
          <w:t xml:space="preserve"> </w:t>
        </w:r>
        <w:proofErr w:type="spellStart"/>
        <w:r w:rsidR="00EB6B47" w:rsidRPr="00B302B7">
          <w:rPr>
            <w:rStyle w:val="Hyperlink"/>
          </w:rPr>
          <w:t>momo</w:t>
        </w:r>
        <w:proofErr w:type="spellEnd"/>
        <w:r w:rsidR="00EB6B47" w:rsidRPr="00B302B7">
          <w:rPr>
            <w:rStyle w:val="Hyperlink"/>
          </w:rPr>
          <w:t xml:space="preserve"> </w:t>
        </w:r>
        <w:proofErr w:type="spellStart"/>
        <w:r w:rsidR="00EB6B47" w:rsidRPr="00B302B7">
          <w:rPr>
            <w:rStyle w:val="Hyperlink"/>
          </w:rPr>
          <w:t>whakatoihara</w:t>
        </w:r>
        <w:proofErr w:type="spellEnd"/>
        <w:r w:rsidR="00EB6B47" w:rsidRPr="00B302B7">
          <w:rPr>
            <w:rStyle w:val="Hyperlink"/>
          </w:rPr>
          <w:t xml:space="preserve">, </w:t>
        </w:r>
        <w:proofErr w:type="spellStart"/>
        <w:r w:rsidR="00EB6B47" w:rsidRPr="00B302B7">
          <w:rPr>
            <w:rStyle w:val="Hyperlink"/>
          </w:rPr>
          <w:t>haukume</w:t>
        </w:r>
        <w:proofErr w:type="spellEnd"/>
        <w:r w:rsidR="00EB6B47" w:rsidRPr="00B302B7">
          <w:rPr>
            <w:rStyle w:val="Hyperlink"/>
          </w:rPr>
          <w:t xml:space="preserve"> </w:t>
        </w:r>
        <w:proofErr w:type="spellStart"/>
        <w:r w:rsidR="00EB6B47" w:rsidRPr="00B302B7">
          <w:rPr>
            <w:rStyle w:val="Hyperlink"/>
          </w:rPr>
          <w:t>anō</w:t>
        </w:r>
        <w:proofErr w:type="spellEnd"/>
        <w:r w:rsidR="00EB6B47" w:rsidRPr="00B302B7">
          <w:rPr>
            <w:rStyle w:val="Hyperlink"/>
          </w:rPr>
          <w:t xml:space="preserve"> </w:t>
        </w:r>
        <w:proofErr w:type="spellStart"/>
        <w:r w:rsidR="00EB6B47" w:rsidRPr="00B302B7">
          <w:rPr>
            <w:rStyle w:val="Hyperlink"/>
          </w:rPr>
          <w:t>hoki</w:t>
        </w:r>
        <w:proofErr w:type="spellEnd"/>
        <w:r w:rsidR="00EB6B47" w:rsidRPr="00B302B7">
          <w:rPr>
            <w:rStyle w:val="Hyperlink"/>
          </w:rPr>
          <w:t xml:space="preserve"> </w:t>
        </w:r>
        <w:r w:rsidR="00EB6B47" w:rsidRPr="00B302B7">
          <w:rPr>
            <w:rStyle w:val="Hyperlink"/>
            <w:lang w:val="en-US"/>
          </w:rPr>
          <w:t>– Eliminating all forms of bias</w:t>
        </w:r>
      </w:hyperlink>
    </w:p>
    <w:p w14:paraId="3A9E4E2F" w14:textId="6F9CF33D" w:rsidR="00EB6B47" w:rsidRPr="00B302B7" w:rsidRDefault="00186C53" w:rsidP="00251AED">
      <w:pPr>
        <w:pStyle w:val="Bullet"/>
        <w:rPr>
          <w:lang w:val="en-US"/>
        </w:rPr>
      </w:pPr>
      <w:hyperlink w:anchor="_Te_taunoa_o" w:history="1">
        <w:r w:rsidR="00EB6B47" w:rsidRPr="00B302B7">
          <w:rPr>
            <w:rStyle w:val="Hyperlink"/>
            <w:lang w:val="en-US"/>
          </w:rPr>
          <w:t xml:space="preserve">Te </w:t>
        </w:r>
        <w:proofErr w:type="spellStart"/>
        <w:r w:rsidR="00EB6B47" w:rsidRPr="00B302B7">
          <w:rPr>
            <w:rStyle w:val="Hyperlink"/>
            <w:lang w:val="en-US"/>
          </w:rPr>
          <w:t>taunoa</w:t>
        </w:r>
        <w:proofErr w:type="spellEnd"/>
        <w:r w:rsidR="00EB6B47" w:rsidRPr="00B302B7">
          <w:rPr>
            <w:rStyle w:val="Hyperlink"/>
            <w:lang w:val="en-US"/>
          </w:rPr>
          <w:t xml:space="preserve"> o te </w:t>
        </w:r>
        <w:bookmarkStart w:id="24" w:name="_Hlt152924251"/>
        <w:bookmarkStart w:id="25" w:name="_Hlt152924252"/>
        <w:r w:rsidR="00EB6B47" w:rsidRPr="00B302B7">
          <w:rPr>
            <w:rStyle w:val="Hyperlink"/>
            <w:lang w:val="en-US"/>
          </w:rPr>
          <w:t>m</w:t>
        </w:r>
        <w:bookmarkEnd w:id="24"/>
        <w:bookmarkEnd w:id="25"/>
        <w:r w:rsidR="00EB6B47" w:rsidRPr="00B302B7">
          <w:rPr>
            <w:rStyle w:val="Hyperlink"/>
            <w:lang w:val="en-US"/>
          </w:rPr>
          <w:t xml:space="preserve">ahi </w:t>
        </w:r>
        <w:proofErr w:type="spellStart"/>
        <w:r w:rsidR="00EB6B47" w:rsidRPr="00B302B7">
          <w:rPr>
            <w:rStyle w:val="Hyperlink"/>
            <w:lang w:val="en-US"/>
          </w:rPr>
          <w:t>pīngore</w:t>
        </w:r>
        <w:proofErr w:type="spellEnd"/>
        <w:r w:rsidR="00EB6B47" w:rsidRPr="00B302B7">
          <w:rPr>
            <w:rStyle w:val="Hyperlink"/>
            <w:lang w:val="en-US"/>
          </w:rPr>
          <w:t xml:space="preserve"> – Flexible work by default</w:t>
        </w:r>
      </w:hyperlink>
      <w:r w:rsidR="00251AED" w:rsidRPr="00B302B7">
        <w:rPr>
          <w:lang w:val="en-US"/>
        </w:rPr>
        <w:t>.</w:t>
      </w:r>
    </w:p>
    <w:p w14:paraId="37F48749" w14:textId="77777777" w:rsidR="007F6625" w:rsidRPr="00B302B7" w:rsidRDefault="007F6625">
      <w:pPr>
        <w:spacing w:before="0" w:after="200" w:line="276" w:lineRule="auto"/>
        <w:jc w:val="left"/>
        <w:rPr>
          <w:lang w:val="en-US"/>
        </w:rPr>
      </w:pPr>
      <w:r w:rsidRPr="00B302B7">
        <w:rPr>
          <w:lang w:val="en-US"/>
        </w:rPr>
        <w:br w:type="page"/>
      </w:r>
    </w:p>
    <w:p w14:paraId="2B4446E8" w14:textId="07026384" w:rsidR="001A7F68" w:rsidRPr="00B302B7" w:rsidRDefault="001A7F68" w:rsidP="002A516B">
      <w:pPr>
        <w:pStyle w:val="Heading3"/>
        <w:rPr>
          <w:lang w:val="en-US"/>
        </w:rPr>
      </w:pPr>
      <w:bookmarkStart w:id="26" w:name="_Te_pono_–"/>
      <w:bookmarkEnd w:id="26"/>
      <w:r w:rsidRPr="00B302B7">
        <w:rPr>
          <w:lang w:val="en-US"/>
        </w:rPr>
        <w:lastRenderedPageBreak/>
        <w:t>Te</w:t>
      </w:r>
      <w:r w:rsidR="00F2385B" w:rsidRPr="00B302B7">
        <w:rPr>
          <w:lang w:val="en-US"/>
        </w:rPr>
        <w:t xml:space="preserve"> pono </w:t>
      </w:r>
      <w:r w:rsidRPr="00B302B7">
        <w:rPr>
          <w:lang w:val="en-US"/>
        </w:rPr>
        <w:t>– Transparency</w:t>
      </w:r>
    </w:p>
    <w:p w14:paraId="409C9565" w14:textId="77777777" w:rsidR="001A7F68" w:rsidRPr="00B302B7" w:rsidRDefault="001A7F68" w:rsidP="001A7F68">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0D1E1F" w:rsidRPr="00B302B7" w14:paraId="1917A10E" w14:textId="77777777" w:rsidTr="58BDDB90">
        <w:trPr>
          <w:tblHeader/>
        </w:trPr>
        <w:tc>
          <w:tcPr>
            <w:tcW w:w="8505" w:type="dxa"/>
            <w:gridSpan w:val="2"/>
            <w:shd w:val="clear" w:color="auto" w:fill="1B556B" w:themeFill="text2"/>
            <w:vAlign w:val="center"/>
          </w:tcPr>
          <w:p w14:paraId="45925019" w14:textId="6125B558" w:rsidR="000D1E1F" w:rsidRPr="00B302B7" w:rsidRDefault="000D1E1F">
            <w:pPr>
              <w:pStyle w:val="TableTextbold"/>
              <w:rPr>
                <w:color w:val="FFFFFF" w:themeColor="background1"/>
              </w:rPr>
            </w:pPr>
            <w:bookmarkStart w:id="27" w:name="_Hlk117769686"/>
            <w:r w:rsidRPr="00B302B7">
              <w:rPr>
                <w:color w:val="FFFFFF" w:themeColor="background1"/>
              </w:rPr>
              <w:t>Milestones</w:t>
            </w:r>
          </w:p>
        </w:tc>
      </w:tr>
      <w:bookmarkEnd w:id="27"/>
      <w:tr w:rsidR="000D1E1F" w:rsidRPr="00B302B7" w14:paraId="3FD302EB" w14:textId="77777777" w:rsidTr="00F20FB9">
        <w:tc>
          <w:tcPr>
            <w:tcW w:w="596" w:type="dxa"/>
            <w:shd w:val="clear" w:color="auto" w:fill="auto"/>
          </w:tcPr>
          <w:p w14:paraId="3A8A64FC" w14:textId="2A98D8EC" w:rsidR="000D1E1F" w:rsidRPr="00B302B7" w:rsidRDefault="000D1E1F" w:rsidP="001A7F68">
            <w:pPr>
              <w:pStyle w:val="TableText"/>
            </w:pPr>
          </w:p>
        </w:tc>
        <w:tc>
          <w:tcPr>
            <w:tcW w:w="7909" w:type="dxa"/>
            <w:shd w:val="clear" w:color="auto" w:fill="auto"/>
          </w:tcPr>
          <w:p w14:paraId="6A50FBA6" w14:textId="3D61DB4B" w:rsidR="000D1E1F" w:rsidRPr="00B302B7" w:rsidRDefault="001A7F68" w:rsidP="001A7F68">
            <w:pPr>
              <w:pStyle w:val="TableText"/>
            </w:pPr>
            <w:r w:rsidRPr="00B302B7">
              <w:rPr>
                <w:lang w:val="en-US"/>
              </w:rPr>
              <w:t>By 15 November 2022</w:t>
            </w:r>
            <w:r w:rsidR="00384AED" w:rsidRPr="00B302B7">
              <w:rPr>
                <w:lang w:val="en-US"/>
              </w:rPr>
              <w:t>,</w:t>
            </w:r>
            <w:r w:rsidRPr="00B302B7">
              <w:rPr>
                <w:b/>
                <w:bCs/>
                <w:lang w:val="en-US"/>
              </w:rPr>
              <w:t xml:space="preserve"> </w:t>
            </w:r>
            <w:r w:rsidRPr="00B302B7">
              <w:rPr>
                <w:lang w:val="en-US"/>
              </w:rPr>
              <w:t>agencies and entities publish annual action plans based on gender</w:t>
            </w:r>
            <w:r w:rsidR="00384AED" w:rsidRPr="00B302B7">
              <w:rPr>
                <w:lang w:val="en-US"/>
              </w:rPr>
              <w:t xml:space="preserve"> </w:t>
            </w:r>
            <w:r w:rsidRPr="00B302B7">
              <w:rPr>
                <w:lang w:val="en-US"/>
              </w:rPr>
              <w:t>and ethnicity data and union/employee feedback.</w:t>
            </w:r>
          </w:p>
        </w:tc>
      </w:tr>
      <w:tr w:rsidR="000D1E1F" w:rsidRPr="00B302B7" w14:paraId="2F7B7713" w14:textId="77777777" w:rsidTr="00F20FB9">
        <w:tc>
          <w:tcPr>
            <w:tcW w:w="596" w:type="dxa"/>
            <w:shd w:val="clear" w:color="auto" w:fill="auto"/>
          </w:tcPr>
          <w:p w14:paraId="1D23D5A1" w14:textId="536B0256" w:rsidR="000D1E1F" w:rsidRPr="00B302B7" w:rsidRDefault="000D1E1F" w:rsidP="001A7F68">
            <w:pPr>
              <w:pStyle w:val="TableText"/>
            </w:pPr>
          </w:p>
        </w:tc>
        <w:tc>
          <w:tcPr>
            <w:tcW w:w="7909" w:type="dxa"/>
            <w:shd w:val="clear" w:color="auto" w:fill="auto"/>
          </w:tcPr>
          <w:p w14:paraId="02C73651" w14:textId="06F74B03" w:rsidR="000D1E1F" w:rsidRPr="00B302B7" w:rsidRDefault="000D1E1F" w:rsidP="001A7F68">
            <w:pPr>
              <w:pStyle w:val="TableText"/>
            </w:pPr>
            <w:r w:rsidRPr="00B302B7">
              <w:rPr>
                <w:lang w:val="en-US"/>
              </w:rPr>
              <w:t>Agencies and entities ensure easy access to HR and remuneration policies, including salary bands.</w:t>
            </w:r>
          </w:p>
        </w:tc>
      </w:tr>
      <w:tr w:rsidR="000D1E1F" w:rsidRPr="00B302B7" w14:paraId="1DB65728" w14:textId="77777777" w:rsidTr="58BDDB90">
        <w:trPr>
          <w:tblHeader/>
        </w:trPr>
        <w:tc>
          <w:tcPr>
            <w:tcW w:w="8505" w:type="dxa"/>
            <w:gridSpan w:val="2"/>
            <w:shd w:val="clear" w:color="auto" w:fill="1B556B" w:themeFill="text2"/>
          </w:tcPr>
          <w:p w14:paraId="1520930F" w14:textId="1FCEC838" w:rsidR="000D1E1F" w:rsidRPr="00B302B7" w:rsidRDefault="00632049" w:rsidP="001A7F68">
            <w:pPr>
              <w:pStyle w:val="TableTextbold"/>
              <w:rPr>
                <w:color w:val="FFFFFF" w:themeColor="background1"/>
              </w:rPr>
            </w:pPr>
            <w:bookmarkStart w:id="28" w:name="_Hlk117769921"/>
            <w:r w:rsidRPr="00B302B7">
              <w:rPr>
                <w:color w:val="FFFFFF" w:themeColor="background1"/>
              </w:rPr>
              <w:t>Our</w:t>
            </w:r>
            <w:r w:rsidR="008A4024" w:rsidRPr="00B302B7">
              <w:rPr>
                <w:color w:val="FFFFFF" w:themeColor="background1"/>
              </w:rPr>
              <w:t xml:space="preserve"> </w:t>
            </w:r>
            <w:proofErr w:type="gramStart"/>
            <w:r w:rsidR="008A4024" w:rsidRPr="00B302B7">
              <w:rPr>
                <w:color w:val="FFFFFF" w:themeColor="background1"/>
              </w:rPr>
              <w:t>c</w:t>
            </w:r>
            <w:r w:rsidR="000D1E1F" w:rsidRPr="00B302B7">
              <w:rPr>
                <w:color w:val="FFFFFF" w:themeColor="background1"/>
              </w:rPr>
              <w:t xml:space="preserve">urrent </w:t>
            </w:r>
            <w:r w:rsidR="008A4024" w:rsidRPr="00B302B7">
              <w:rPr>
                <w:color w:val="FFFFFF" w:themeColor="background1"/>
              </w:rPr>
              <w:t>s</w:t>
            </w:r>
            <w:r w:rsidR="000D1E1F" w:rsidRPr="00B302B7">
              <w:rPr>
                <w:color w:val="FFFFFF" w:themeColor="background1"/>
              </w:rPr>
              <w:t>tatus</w:t>
            </w:r>
            <w:proofErr w:type="gramEnd"/>
            <w:r w:rsidR="000D1E1F" w:rsidRPr="00B302B7">
              <w:rPr>
                <w:color w:val="FFFFFF" w:themeColor="background1"/>
              </w:rPr>
              <w:t xml:space="preserve"> </w:t>
            </w:r>
          </w:p>
        </w:tc>
      </w:tr>
      <w:bookmarkEnd w:id="28"/>
      <w:tr w:rsidR="001A7F68" w:rsidRPr="00B302B7" w14:paraId="750E3B5F" w14:textId="77777777" w:rsidTr="00F20FB9">
        <w:tc>
          <w:tcPr>
            <w:tcW w:w="596" w:type="dxa"/>
          </w:tcPr>
          <w:p w14:paraId="58138FED" w14:textId="77777777" w:rsidR="001A7F68" w:rsidRPr="00B302B7" w:rsidRDefault="001A7F68" w:rsidP="001A7F68">
            <w:pPr>
              <w:pStyle w:val="TableText"/>
            </w:pPr>
          </w:p>
        </w:tc>
        <w:tc>
          <w:tcPr>
            <w:tcW w:w="7909" w:type="dxa"/>
          </w:tcPr>
          <w:p w14:paraId="01856206" w14:textId="702BF771" w:rsidR="001A7F68" w:rsidRPr="00B302B7" w:rsidRDefault="001A7F68" w:rsidP="001A7F68">
            <w:pPr>
              <w:pStyle w:val="TableText"/>
            </w:pPr>
            <w:r w:rsidRPr="00B302B7">
              <w:rPr>
                <w:lang w:val="en-US"/>
              </w:rPr>
              <w:t>We have published a pay gaps action plan for the last two years</w:t>
            </w:r>
            <w:r w:rsidR="008A4024" w:rsidRPr="00B302B7">
              <w:rPr>
                <w:lang w:val="en-US"/>
              </w:rPr>
              <w:t xml:space="preserve">. We included </w:t>
            </w:r>
            <w:r w:rsidRPr="00B302B7">
              <w:rPr>
                <w:lang w:val="en-US"/>
              </w:rPr>
              <w:t>ethnicity for the first time in the 2021/22 Plan</w:t>
            </w:r>
            <w:r w:rsidR="008A4024" w:rsidRPr="00B302B7">
              <w:rPr>
                <w:lang w:val="en-US"/>
              </w:rPr>
              <w:t>.</w:t>
            </w:r>
          </w:p>
        </w:tc>
      </w:tr>
      <w:tr w:rsidR="001A7F68" w:rsidRPr="00B302B7" w14:paraId="0E006213" w14:textId="77777777" w:rsidTr="00F20FB9">
        <w:tc>
          <w:tcPr>
            <w:tcW w:w="596" w:type="dxa"/>
          </w:tcPr>
          <w:p w14:paraId="00B94EBA" w14:textId="77777777" w:rsidR="001A7F68" w:rsidRPr="00B302B7" w:rsidRDefault="001A7F68" w:rsidP="001A7F68">
            <w:pPr>
              <w:pStyle w:val="TableText"/>
            </w:pPr>
          </w:p>
        </w:tc>
        <w:tc>
          <w:tcPr>
            <w:tcW w:w="7909" w:type="dxa"/>
          </w:tcPr>
          <w:p w14:paraId="600DD710" w14:textId="2A30B7AF" w:rsidR="001A7F68" w:rsidRPr="00B302B7" w:rsidRDefault="001A7F68" w:rsidP="001A7F68">
            <w:pPr>
              <w:pStyle w:val="TableText"/>
            </w:pPr>
            <w:r w:rsidRPr="00B302B7">
              <w:rPr>
                <w:lang w:val="en-US"/>
              </w:rPr>
              <w:t xml:space="preserve">Policy, </w:t>
            </w:r>
            <w:proofErr w:type="gramStart"/>
            <w:r w:rsidRPr="00B302B7">
              <w:rPr>
                <w:lang w:val="en-US"/>
              </w:rPr>
              <w:t>guidelines</w:t>
            </w:r>
            <w:proofErr w:type="gramEnd"/>
            <w:r w:rsidRPr="00B302B7">
              <w:rPr>
                <w:lang w:val="en-US"/>
              </w:rPr>
              <w:t xml:space="preserve"> and rem</w:t>
            </w:r>
            <w:r w:rsidR="008A4024" w:rsidRPr="00B302B7">
              <w:rPr>
                <w:lang w:val="en-US"/>
              </w:rPr>
              <w:t>uneration</w:t>
            </w:r>
            <w:r w:rsidRPr="00B302B7">
              <w:rPr>
                <w:lang w:val="en-US"/>
              </w:rPr>
              <w:t xml:space="preserve"> bands are published </w:t>
            </w:r>
            <w:r w:rsidR="008A4024" w:rsidRPr="00B302B7">
              <w:rPr>
                <w:lang w:val="en-US"/>
              </w:rPr>
              <w:t xml:space="preserve">on </w:t>
            </w:r>
            <w:r w:rsidRPr="00B302B7">
              <w:rPr>
                <w:lang w:val="en-US"/>
              </w:rPr>
              <w:t>our intranet, rem</w:t>
            </w:r>
            <w:r w:rsidR="008A4024" w:rsidRPr="00B302B7">
              <w:rPr>
                <w:lang w:val="en-US"/>
              </w:rPr>
              <w:t>uneration</w:t>
            </w:r>
            <w:r w:rsidRPr="00B302B7">
              <w:rPr>
                <w:lang w:val="en-US"/>
              </w:rPr>
              <w:t xml:space="preserve"> bands </w:t>
            </w:r>
            <w:r w:rsidR="008A4024" w:rsidRPr="00B302B7">
              <w:rPr>
                <w:lang w:val="en-US"/>
              </w:rPr>
              <w:t xml:space="preserve">are published </w:t>
            </w:r>
            <w:r w:rsidRPr="00B302B7">
              <w:rPr>
                <w:lang w:val="en-US"/>
              </w:rPr>
              <w:t xml:space="preserve">in </w:t>
            </w:r>
            <w:r w:rsidR="008A4024" w:rsidRPr="00B302B7">
              <w:rPr>
                <w:lang w:val="en-US"/>
              </w:rPr>
              <w:t xml:space="preserve">the </w:t>
            </w:r>
            <w:r w:rsidRPr="00B302B7">
              <w:rPr>
                <w:lang w:val="en-US"/>
              </w:rPr>
              <w:t>collective agreement, all advertised roles have transparent salary ranges</w:t>
            </w:r>
            <w:r w:rsidR="002E548E" w:rsidRPr="00B302B7">
              <w:rPr>
                <w:lang w:val="en-US"/>
              </w:rPr>
              <w:t>.</w:t>
            </w:r>
          </w:p>
        </w:tc>
      </w:tr>
      <w:tr w:rsidR="000D1E1F" w:rsidRPr="00B302B7" w14:paraId="10F63048" w14:textId="77777777" w:rsidTr="58BDDB90">
        <w:trPr>
          <w:tblHeader/>
        </w:trPr>
        <w:tc>
          <w:tcPr>
            <w:tcW w:w="8505" w:type="dxa"/>
            <w:gridSpan w:val="2"/>
            <w:shd w:val="clear" w:color="auto" w:fill="1B556B" w:themeFill="text2"/>
          </w:tcPr>
          <w:p w14:paraId="3BF068ED" w14:textId="51404DDA" w:rsidR="000D1E1F" w:rsidRPr="00B302B7" w:rsidRDefault="000D1E1F">
            <w:pPr>
              <w:pStyle w:val="TableTextbold"/>
              <w:rPr>
                <w:color w:val="FFFFFF" w:themeColor="background1"/>
              </w:rPr>
            </w:pPr>
            <w:bookmarkStart w:id="29" w:name="_Hlk117769979"/>
            <w:r w:rsidRPr="00B302B7">
              <w:rPr>
                <w:color w:val="FFFFFF" w:themeColor="background1"/>
              </w:rPr>
              <w:t>Deliverables by</w:t>
            </w:r>
            <w:r w:rsidR="00AB757F" w:rsidRPr="00B302B7">
              <w:rPr>
                <w:color w:val="FFFFFF" w:themeColor="background1"/>
              </w:rPr>
              <w:t xml:space="preserve"> November</w:t>
            </w:r>
            <w:r w:rsidRPr="00B302B7">
              <w:rPr>
                <w:color w:val="FFFFFF" w:themeColor="background1"/>
              </w:rPr>
              <w:t xml:space="preserve"> 2023</w:t>
            </w:r>
          </w:p>
        </w:tc>
      </w:tr>
      <w:bookmarkEnd w:id="29"/>
      <w:tr w:rsidR="001A7F68" w:rsidRPr="00B302B7" w14:paraId="481E582A" w14:textId="77777777" w:rsidTr="00F20FB9">
        <w:tc>
          <w:tcPr>
            <w:tcW w:w="596" w:type="dxa"/>
          </w:tcPr>
          <w:p w14:paraId="0D146FBF" w14:textId="77777777" w:rsidR="001A7F68" w:rsidRPr="00B302B7" w:rsidRDefault="001A7F68" w:rsidP="001A7F68">
            <w:pPr>
              <w:pStyle w:val="TableText"/>
            </w:pPr>
          </w:p>
        </w:tc>
        <w:tc>
          <w:tcPr>
            <w:tcW w:w="7909" w:type="dxa"/>
          </w:tcPr>
          <w:p w14:paraId="640FAAF5" w14:textId="3FA249C4" w:rsidR="001A7F68" w:rsidRPr="00B302B7" w:rsidRDefault="7EEB91A0" w:rsidP="000D1E1F">
            <w:pPr>
              <w:pStyle w:val="TableText"/>
              <w:rPr>
                <w:lang w:val="en-US"/>
              </w:rPr>
            </w:pPr>
            <w:r w:rsidRPr="00B302B7">
              <w:rPr>
                <w:lang w:val="en-US"/>
              </w:rPr>
              <w:t>Our pay gap data</w:t>
            </w:r>
            <w:r w:rsidR="00D94D37" w:rsidRPr="00B302B7">
              <w:rPr>
                <w:lang w:val="en-US"/>
              </w:rPr>
              <w:t xml:space="preserve"> and action plan are</w:t>
            </w:r>
            <w:r w:rsidRPr="00B302B7">
              <w:rPr>
                <w:lang w:val="en-US"/>
              </w:rPr>
              <w:t xml:space="preserve"> published externally</w:t>
            </w:r>
            <w:r w:rsidR="00D94D37" w:rsidRPr="00B302B7">
              <w:rPr>
                <w:lang w:val="en-US"/>
              </w:rPr>
              <w:t xml:space="preserve">. </w:t>
            </w:r>
          </w:p>
        </w:tc>
      </w:tr>
      <w:tr w:rsidR="001A7F68" w:rsidRPr="00B302B7" w14:paraId="2174B534" w14:textId="77777777" w:rsidTr="00F20FB9">
        <w:tc>
          <w:tcPr>
            <w:tcW w:w="596" w:type="dxa"/>
          </w:tcPr>
          <w:p w14:paraId="41AFD837" w14:textId="77777777" w:rsidR="001A7F68" w:rsidRPr="00B302B7" w:rsidRDefault="001A7F68" w:rsidP="001A7F68">
            <w:pPr>
              <w:pStyle w:val="TableText"/>
            </w:pPr>
          </w:p>
        </w:tc>
        <w:tc>
          <w:tcPr>
            <w:tcW w:w="7909" w:type="dxa"/>
          </w:tcPr>
          <w:p w14:paraId="12069451" w14:textId="48508027" w:rsidR="001A7F68" w:rsidRPr="00B302B7" w:rsidRDefault="4046AC6F" w:rsidP="001A7F68">
            <w:pPr>
              <w:pStyle w:val="TableText"/>
              <w:rPr>
                <w:lang w:val="en-US"/>
              </w:rPr>
            </w:pPr>
            <w:r w:rsidRPr="00B302B7">
              <w:rPr>
                <w:lang w:val="en-US"/>
              </w:rPr>
              <w:t xml:space="preserve">Our employee led networks </w:t>
            </w:r>
            <w:r w:rsidR="003363B9" w:rsidRPr="00B302B7">
              <w:rPr>
                <w:lang w:val="en-US"/>
              </w:rPr>
              <w:t xml:space="preserve">and Public Service Association </w:t>
            </w:r>
            <w:r w:rsidRPr="00B302B7">
              <w:rPr>
                <w:lang w:val="en-US"/>
              </w:rPr>
              <w:t>are engaged regularly on our plan</w:t>
            </w:r>
          </w:p>
        </w:tc>
      </w:tr>
      <w:tr w:rsidR="001A7F68" w:rsidRPr="00B302B7" w14:paraId="2C4B9CE5" w14:textId="77777777" w:rsidTr="00F20FB9">
        <w:tc>
          <w:tcPr>
            <w:tcW w:w="596" w:type="dxa"/>
          </w:tcPr>
          <w:p w14:paraId="1C7FB149" w14:textId="77777777" w:rsidR="001A7F68" w:rsidRPr="00B302B7" w:rsidRDefault="001A7F68" w:rsidP="001A7F68">
            <w:pPr>
              <w:pStyle w:val="TableText"/>
            </w:pPr>
          </w:p>
        </w:tc>
        <w:tc>
          <w:tcPr>
            <w:tcW w:w="7909" w:type="dxa"/>
          </w:tcPr>
          <w:p w14:paraId="69C100E1" w14:textId="12BD0372" w:rsidR="001A7F68" w:rsidRPr="00B302B7" w:rsidRDefault="001A7F68" w:rsidP="001A7F68">
            <w:pPr>
              <w:pStyle w:val="TableText"/>
            </w:pPr>
            <w:r w:rsidRPr="00B302B7">
              <w:rPr>
                <w:lang w:val="en-US"/>
              </w:rPr>
              <w:t xml:space="preserve">Review of remuneration policy information, </w:t>
            </w:r>
            <w:r w:rsidR="003363B9" w:rsidRPr="00B302B7">
              <w:rPr>
                <w:lang w:val="en-US"/>
              </w:rPr>
              <w:t>pay</w:t>
            </w:r>
            <w:r w:rsidRPr="00B302B7">
              <w:rPr>
                <w:lang w:val="en-US"/>
              </w:rPr>
              <w:t xml:space="preserve"> bands and benchmarking on internal intranet to ensure it is accessible and easy to understand</w:t>
            </w:r>
            <w:r w:rsidR="00FB2D25" w:rsidRPr="00B302B7">
              <w:rPr>
                <w:lang w:val="en-US"/>
              </w:rPr>
              <w:t>.</w:t>
            </w:r>
          </w:p>
        </w:tc>
      </w:tr>
      <w:tr w:rsidR="001A7F68" w:rsidRPr="00B302B7" w14:paraId="1926C1C4" w14:textId="77777777" w:rsidTr="00F20FB9">
        <w:tc>
          <w:tcPr>
            <w:tcW w:w="596" w:type="dxa"/>
          </w:tcPr>
          <w:p w14:paraId="1C62021C" w14:textId="77777777" w:rsidR="001A7F68" w:rsidRPr="00B302B7" w:rsidRDefault="001A7F68" w:rsidP="001A7F68">
            <w:pPr>
              <w:pStyle w:val="TableText"/>
            </w:pPr>
          </w:p>
        </w:tc>
        <w:tc>
          <w:tcPr>
            <w:tcW w:w="7909" w:type="dxa"/>
          </w:tcPr>
          <w:p w14:paraId="76F7BD51" w14:textId="2164E9C1" w:rsidR="001A7F68" w:rsidRPr="00B302B7" w:rsidRDefault="001A7F68" w:rsidP="001A7F68">
            <w:pPr>
              <w:pStyle w:val="TableText"/>
            </w:pPr>
            <w:r w:rsidRPr="00B302B7">
              <w:rPr>
                <w:lang w:val="en-US"/>
              </w:rPr>
              <w:t xml:space="preserve">Signpost guidance for addressing pay equity issues from </w:t>
            </w:r>
            <w:r w:rsidR="00855772" w:rsidRPr="00B302B7">
              <w:rPr>
                <w:lang w:val="en-US"/>
              </w:rPr>
              <w:t xml:space="preserve">PSC </w:t>
            </w:r>
            <w:r w:rsidRPr="00B302B7">
              <w:rPr>
                <w:lang w:val="en-US"/>
              </w:rPr>
              <w:t xml:space="preserve">on Te Taiao intranet </w:t>
            </w:r>
          </w:p>
        </w:tc>
      </w:tr>
      <w:tr w:rsidR="000D1E1F" w:rsidRPr="00B302B7" w14:paraId="7AA31620" w14:textId="77777777" w:rsidTr="58BDDB90">
        <w:trPr>
          <w:tblHeader/>
        </w:trPr>
        <w:tc>
          <w:tcPr>
            <w:tcW w:w="8505" w:type="dxa"/>
            <w:gridSpan w:val="2"/>
            <w:shd w:val="clear" w:color="auto" w:fill="1B556B" w:themeFill="text2"/>
          </w:tcPr>
          <w:p w14:paraId="225A3B56" w14:textId="6D80602C" w:rsidR="000D1E1F" w:rsidRPr="00B302B7" w:rsidRDefault="000D1E1F">
            <w:pPr>
              <w:pStyle w:val="TableTextbold"/>
              <w:rPr>
                <w:color w:val="FFFFFF" w:themeColor="background1"/>
              </w:rPr>
            </w:pPr>
            <w:r w:rsidRPr="00B302B7">
              <w:rPr>
                <w:color w:val="FFFFFF" w:themeColor="background1"/>
              </w:rPr>
              <w:t>Deliverables by</w:t>
            </w:r>
            <w:r w:rsidR="00AB757F" w:rsidRPr="00B302B7">
              <w:rPr>
                <w:color w:val="FFFFFF" w:themeColor="background1"/>
              </w:rPr>
              <w:t xml:space="preserve"> November </w:t>
            </w:r>
            <w:r w:rsidRPr="00B302B7">
              <w:rPr>
                <w:color w:val="FFFFFF" w:themeColor="background1"/>
              </w:rPr>
              <w:t>2024</w:t>
            </w:r>
          </w:p>
        </w:tc>
      </w:tr>
      <w:tr w:rsidR="000D1E1F" w:rsidRPr="00B302B7" w14:paraId="14D5B9C3" w14:textId="77777777" w:rsidTr="00F20FB9">
        <w:tc>
          <w:tcPr>
            <w:tcW w:w="596" w:type="dxa"/>
          </w:tcPr>
          <w:p w14:paraId="287E18B0" w14:textId="77777777" w:rsidR="000D1E1F" w:rsidRPr="00B302B7" w:rsidRDefault="000D1E1F" w:rsidP="001A7F68">
            <w:pPr>
              <w:pStyle w:val="TableText"/>
            </w:pPr>
          </w:p>
        </w:tc>
        <w:tc>
          <w:tcPr>
            <w:tcW w:w="7909" w:type="dxa"/>
          </w:tcPr>
          <w:p w14:paraId="0885ECAF" w14:textId="4D1085ED" w:rsidR="000D1E1F" w:rsidRPr="00B302B7" w:rsidRDefault="000D1E1F" w:rsidP="000D1E1F">
            <w:pPr>
              <w:pStyle w:val="TableText"/>
            </w:pPr>
            <w:r w:rsidRPr="00B302B7">
              <w:rPr>
                <w:lang w:val="en-US"/>
              </w:rPr>
              <w:t xml:space="preserve">Publish pay gaps by band across </w:t>
            </w:r>
            <w:r w:rsidR="006D1BB3" w:rsidRPr="00B302B7">
              <w:rPr>
                <w:lang w:val="en-US"/>
              </w:rPr>
              <w:t xml:space="preserve">the </w:t>
            </w:r>
            <w:proofErr w:type="spellStart"/>
            <w:r w:rsidRPr="00B302B7">
              <w:rPr>
                <w:lang w:val="en-US"/>
              </w:rPr>
              <w:t>organisation</w:t>
            </w:r>
            <w:proofErr w:type="spellEnd"/>
            <w:r w:rsidRPr="00B302B7">
              <w:rPr>
                <w:lang w:val="en-US"/>
              </w:rPr>
              <w:t xml:space="preserve"> on intranet on a </w:t>
            </w:r>
            <w:r w:rsidR="006D1BB3" w:rsidRPr="00B302B7">
              <w:rPr>
                <w:lang w:val="en-US"/>
              </w:rPr>
              <w:t>two-yearly</w:t>
            </w:r>
            <w:r w:rsidR="003C6263" w:rsidRPr="00B302B7">
              <w:rPr>
                <w:lang w:val="en-US"/>
              </w:rPr>
              <w:t xml:space="preserve"> </w:t>
            </w:r>
            <w:r w:rsidRPr="00B302B7">
              <w:rPr>
                <w:lang w:val="en-US"/>
              </w:rPr>
              <w:t>basis, along with explanatory notes for areas where pay gaps are above tolerance</w:t>
            </w:r>
            <w:r w:rsidR="00FB2D25" w:rsidRPr="00B302B7">
              <w:rPr>
                <w:lang w:val="en-US"/>
              </w:rPr>
              <w:t>.</w:t>
            </w:r>
          </w:p>
        </w:tc>
      </w:tr>
      <w:tr w:rsidR="000D1E1F" w:rsidRPr="00B302B7" w14:paraId="54394A53" w14:textId="77777777" w:rsidTr="00F20FB9">
        <w:tc>
          <w:tcPr>
            <w:tcW w:w="596" w:type="dxa"/>
          </w:tcPr>
          <w:p w14:paraId="7B9C8E11" w14:textId="77777777" w:rsidR="000D1E1F" w:rsidRPr="00B302B7" w:rsidRDefault="000D1E1F" w:rsidP="001A7F68">
            <w:pPr>
              <w:pStyle w:val="TableText"/>
            </w:pPr>
          </w:p>
        </w:tc>
        <w:tc>
          <w:tcPr>
            <w:tcW w:w="7909" w:type="dxa"/>
          </w:tcPr>
          <w:p w14:paraId="349899E5" w14:textId="729921B3" w:rsidR="00191E1D" w:rsidRPr="00B302B7" w:rsidRDefault="000D1E1F" w:rsidP="001A7F68">
            <w:pPr>
              <w:pStyle w:val="TableText"/>
              <w:rPr>
                <w:lang w:val="en-US"/>
              </w:rPr>
            </w:pPr>
            <w:r w:rsidRPr="00B302B7">
              <w:rPr>
                <w:lang w:val="en-US"/>
              </w:rPr>
              <w:t xml:space="preserve">Increase transparency of available data relating to career and development </w:t>
            </w:r>
            <w:r w:rsidR="00F052EF" w:rsidRPr="00B302B7">
              <w:rPr>
                <w:lang w:val="en-US"/>
              </w:rPr>
              <w:t>by</w:t>
            </w:r>
            <w:r w:rsidR="00191E1D" w:rsidRPr="00B302B7">
              <w:rPr>
                <w:lang w:val="en-US"/>
              </w:rPr>
              <w:t>:</w:t>
            </w:r>
          </w:p>
          <w:p w14:paraId="2136259B" w14:textId="3EDDF056" w:rsidR="00191E1D" w:rsidRPr="00B302B7" w:rsidRDefault="000D1E1F" w:rsidP="00191E1D">
            <w:pPr>
              <w:pStyle w:val="TableBullet"/>
            </w:pPr>
            <w:r w:rsidRPr="00B302B7">
              <w:rPr>
                <w:lang w:val="en-US"/>
              </w:rPr>
              <w:t xml:space="preserve">communicating available </w:t>
            </w:r>
            <w:r w:rsidR="00510683" w:rsidRPr="00B302B7">
              <w:rPr>
                <w:lang w:val="en-US"/>
              </w:rPr>
              <w:t xml:space="preserve">training and </w:t>
            </w:r>
            <w:r w:rsidRPr="00B302B7">
              <w:rPr>
                <w:lang w:val="en-US"/>
              </w:rPr>
              <w:t>development offering</w:t>
            </w:r>
            <w:r w:rsidR="006B1E39" w:rsidRPr="00B302B7">
              <w:rPr>
                <w:lang w:val="en-US"/>
              </w:rPr>
              <w:t>s</w:t>
            </w:r>
            <w:r w:rsidRPr="00B302B7">
              <w:rPr>
                <w:lang w:val="en-US"/>
              </w:rPr>
              <w:t xml:space="preserve"> </w:t>
            </w:r>
          </w:p>
          <w:p w14:paraId="5F5E8146" w14:textId="5419EF8D" w:rsidR="00191E1D" w:rsidRPr="00B302B7" w:rsidRDefault="000D1E1F" w:rsidP="00191E1D">
            <w:pPr>
              <w:pStyle w:val="TableBullet"/>
            </w:pPr>
            <w:r w:rsidRPr="00B302B7">
              <w:rPr>
                <w:lang w:val="en-US"/>
              </w:rPr>
              <w:t xml:space="preserve">reporting on </w:t>
            </w:r>
            <w:r w:rsidR="00161F63" w:rsidRPr="00B302B7">
              <w:rPr>
                <w:lang w:val="en-US"/>
              </w:rPr>
              <w:t>how training and development offerings are allocated</w:t>
            </w:r>
            <w:r w:rsidRPr="00B302B7">
              <w:rPr>
                <w:lang w:val="en-US"/>
              </w:rPr>
              <w:t xml:space="preserve"> (by ethnicity </w:t>
            </w:r>
            <w:r w:rsidR="000427DA" w:rsidRPr="00B302B7">
              <w:rPr>
                <w:lang w:val="en-US"/>
              </w:rPr>
              <w:t xml:space="preserve">and </w:t>
            </w:r>
            <w:r w:rsidRPr="00B302B7">
              <w:rPr>
                <w:lang w:val="en-US"/>
              </w:rPr>
              <w:t>gender)</w:t>
            </w:r>
          </w:p>
          <w:p w14:paraId="40032899" w14:textId="471A08BB" w:rsidR="000D1E1F" w:rsidRPr="00B302B7" w:rsidRDefault="000D1E1F" w:rsidP="00161F63">
            <w:pPr>
              <w:pStyle w:val="TableBullet"/>
            </w:pPr>
            <w:r w:rsidRPr="00B302B7">
              <w:rPr>
                <w:lang w:val="en-US"/>
              </w:rPr>
              <w:t xml:space="preserve">planning for future actions including reporting on outcomes of </w:t>
            </w:r>
            <w:r w:rsidR="00191E1D" w:rsidRPr="00B302B7">
              <w:rPr>
                <w:lang w:val="en-US"/>
              </w:rPr>
              <w:t>t</w:t>
            </w:r>
            <w:r w:rsidRPr="00B302B7">
              <w:rPr>
                <w:lang w:val="en-US"/>
              </w:rPr>
              <w:t>alent identification process</w:t>
            </w:r>
            <w:r w:rsidR="00191E1D" w:rsidRPr="00B302B7">
              <w:rPr>
                <w:lang w:val="en-US"/>
              </w:rPr>
              <w:t>.</w:t>
            </w:r>
          </w:p>
        </w:tc>
      </w:tr>
    </w:tbl>
    <w:p w14:paraId="60CDB310" w14:textId="07782155" w:rsidR="001A7F68" w:rsidRPr="00B302B7" w:rsidRDefault="000D1E1F" w:rsidP="002A516B">
      <w:pPr>
        <w:pStyle w:val="Heading4"/>
      </w:pPr>
      <w:bookmarkStart w:id="30" w:name="_Toc118110509"/>
      <w:r w:rsidRPr="00B302B7">
        <w:t>What will success look like?</w:t>
      </w:r>
      <w:bookmarkEnd w:id="30"/>
      <w:r w:rsidRPr="00B302B7">
        <w:t xml:space="preserve"> </w:t>
      </w:r>
    </w:p>
    <w:p w14:paraId="7580E009" w14:textId="768D6747" w:rsidR="000D1E1F" w:rsidRPr="00B302B7" w:rsidRDefault="000D1E1F" w:rsidP="002A516B">
      <w:pPr>
        <w:pStyle w:val="Bullet"/>
        <w:spacing w:before="240"/>
      </w:pPr>
      <w:r w:rsidRPr="00B302B7">
        <w:t>Our employees and prospective employees have access to fully transparent pay band information and visibility of pay gaps that exist along with information about what the organisation is doing to reduce these</w:t>
      </w:r>
      <w:r w:rsidR="00457C8D" w:rsidRPr="00B302B7">
        <w:t>.</w:t>
      </w:r>
    </w:p>
    <w:p w14:paraId="16BF586E" w14:textId="59017B82" w:rsidR="000D1E1F" w:rsidRPr="00B302B7" w:rsidRDefault="000D1E1F" w:rsidP="00573FBF">
      <w:pPr>
        <w:pStyle w:val="Bullet"/>
      </w:pPr>
      <w:r w:rsidRPr="00B302B7">
        <w:t>Our employees feel more empowered to discuss their pay with their managers, understand where they sit within bands and the reasons for remuneration decisions</w:t>
      </w:r>
      <w:r w:rsidR="00C76CAB" w:rsidRPr="00B302B7">
        <w:t>.</w:t>
      </w:r>
    </w:p>
    <w:p w14:paraId="26A3681D" w14:textId="1A332BCC" w:rsidR="000D1E1F" w:rsidRPr="00B302B7" w:rsidRDefault="000D1E1F" w:rsidP="00573FBF">
      <w:pPr>
        <w:pStyle w:val="Bullet"/>
      </w:pPr>
      <w:r w:rsidRPr="00B302B7">
        <w:t xml:space="preserve">Our </w:t>
      </w:r>
      <w:proofErr w:type="spellStart"/>
      <w:r w:rsidRPr="00B302B7">
        <w:t>Tō</w:t>
      </w:r>
      <w:proofErr w:type="spellEnd"/>
      <w:r w:rsidRPr="00B302B7">
        <w:t xml:space="preserve"> Reo measures related to remuneration and reward transparency improve</w:t>
      </w:r>
      <w:r w:rsidR="004E0388" w:rsidRPr="00B302B7">
        <w:t>.</w:t>
      </w:r>
    </w:p>
    <w:p w14:paraId="312BDC88" w14:textId="77777777" w:rsidR="000D1E1F" w:rsidRPr="00B302B7" w:rsidRDefault="000D1E1F">
      <w:pPr>
        <w:spacing w:before="0" w:after="200" w:line="276" w:lineRule="auto"/>
        <w:jc w:val="left"/>
        <w:rPr>
          <w:rFonts w:ascii="Georgia" w:eastAsiaTheme="majorEastAsia" w:hAnsi="Georgia" w:cstheme="majorBidi"/>
          <w:b/>
          <w:bCs/>
          <w:sz w:val="24"/>
        </w:rPr>
      </w:pPr>
      <w:r w:rsidRPr="00B302B7">
        <w:br w:type="page"/>
      </w:r>
    </w:p>
    <w:p w14:paraId="7F606587" w14:textId="1013BB16" w:rsidR="00F76A2A" w:rsidRPr="00B302B7" w:rsidRDefault="00F76A2A" w:rsidP="00260165">
      <w:pPr>
        <w:pStyle w:val="Heading3"/>
        <w:rPr>
          <w:lang w:val="en-US"/>
        </w:rPr>
      </w:pPr>
      <w:bookmarkStart w:id="31" w:name="_Ngā_hua_tōkeke"/>
      <w:bookmarkEnd w:id="31"/>
      <w:r w:rsidRPr="00B302B7">
        <w:rPr>
          <w:lang w:val="en-US"/>
        </w:rPr>
        <w:lastRenderedPageBreak/>
        <w:t xml:space="preserve">Ngā </w:t>
      </w:r>
      <w:proofErr w:type="spellStart"/>
      <w:r w:rsidRPr="00B302B7">
        <w:rPr>
          <w:lang w:val="en-US"/>
        </w:rPr>
        <w:t>hua</w:t>
      </w:r>
      <w:proofErr w:type="spellEnd"/>
      <w:r w:rsidRPr="00B302B7">
        <w:rPr>
          <w:lang w:val="en-US"/>
        </w:rPr>
        <w:t xml:space="preserve"> </w:t>
      </w:r>
      <w:proofErr w:type="spellStart"/>
      <w:r w:rsidRPr="00B302B7">
        <w:rPr>
          <w:lang w:val="en-US"/>
        </w:rPr>
        <w:t>tōke</w:t>
      </w:r>
      <w:r w:rsidR="00374F2A" w:rsidRPr="00B302B7">
        <w:rPr>
          <w:lang w:val="en-US"/>
        </w:rPr>
        <w:t>ke</w:t>
      </w:r>
      <w:proofErr w:type="spellEnd"/>
      <w:r w:rsidR="00374F2A" w:rsidRPr="00B302B7">
        <w:rPr>
          <w:lang w:val="en-US"/>
        </w:rPr>
        <w:t xml:space="preserve"> mō te utu – Equitable pay outcomes</w:t>
      </w:r>
    </w:p>
    <w:p w14:paraId="65015FA8" w14:textId="77777777" w:rsidR="00374F2A" w:rsidRPr="00B302B7" w:rsidRDefault="00374F2A" w:rsidP="0016590B">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0D1E1F" w:rsidRPr="00B302B7" w14:paraId="240623E3" w14:textId="77777777">
        <w:trPr>
          <w:tblHeader/>
        </w:trPr>
        <w:tc>
          <w:tcPr>
            <w:tcW w:w="8505" w:type="dxa"/>
            <w:gridSpan w:val="2"/>
            <w:shd w:val="clear" w:color="auto" w:fill="1B556B"/>
            <w:vAlign w:val="center"/>
          </w:tcPr>
          <w:p w14:paraId="5C00C158" w14:textId="77777777" w:rsidR="000D1E1F" w:rsidRPr="00B302B7" w:rsidRDefault="000D1E1F">
            <w:pPr>
              <w:pStyle w:val="TableTextbold"/>
              <w:rPr>
                <w:color w:val="FFFFFF" w:themeColor="background1"/>
              </w:rPr>
            </w:pPr>
            <w:r w:rsidRPr="00B302B7">
              <w:rPr>
                <w:color w:val="FFFFFF" w:themeColor="background1"/>
              </w:rPr>
              <w:t>Milestones</w:t>
            </w:r>
          </w:p>
        </w:tc>
      </w:tr>
      <w:tr w:rsidR="000D1E1F" w:rsidRPr="00B302B7" w14:paraId="089A7DBD" w14:textId="77777777" w:rsidTr="00F20FB9">
        <w:tc>
          <w:tcPr>
            <w:tcW w:w="596" w:type="dxa"/>
            <w:shd w:val="clear" w:color="auto" w:fill="auto"/>
          </w:tcPr>
          <w:p w14:paraId="1A9B89EB" w14:textId="77777777" w:rsidR="000D1E1F" w:rsidRPr="00B302B7" w:rsidRDefault="000D1E1F">
            <w:pPr>
              <w:pStyle w:val="TableText"/>
            </w:pPr>
          </w:p>
        </w:tc>
        <w:tc>
          <w:tcPr>
            <w:tcW w:w="7909" w:type="dxa"/>
            <w:shd w:val="clear" w:color="auto" w:fill="auto"/>
          </w:tcPr>
          <w:p w14:paraId="5C06B6AA" w14:textId="4AC6F54D" w:rsidR="000D1E1F" w:rsidRPr="00B302B7" w:rsidRDefault="000D1E1F" w:rsidP="000D1E1F">
            <w:pPr>
              <w:pStyle w:val="TableText"/>
            </w:pPr>
            <w:r w:rsidRPr="00B302B7">
              <w:rPr>
                <w:lang w:val="en-US"/>
              </w:rPr>
              <w:t>By the end of 2022</w:t>
            </w:r>
            <w:r w:rsidRPr="00B302B7">
              <w:rPr>
                <w:b/>
                <w:bCs/>
                <w:lang w:val="en-US"/>
              </w:rPr>
              <w:t xml:space="preserve"> </w:t>
            </w:r>
            <w:r w:rsidRPr="00B302B7">
              <w:rPr>
                <w:lang w:val="en-US"/>
              </w:rPr>
              <w:t>entities ensure that starting salaries and salaries for the same or similar roles are not influenced by bias.</w:t>
            </w:r>
          </w:p>
        </w:tc>
      </w:tr>
      <w:tr w:rsidR="000D1E1F" w:rsidRPr="00B302B7" w14:paraId="572A6DD2" w14:textId="77777777" w:rsidTr="00F20FB9">
        <w:tc>
          <w:tcPr>
            <w:tcW w:w="596" w:type="dxa"/>
            <w:shd w:val="clear" w:color="auto" w:fill="auto"/>
          </w:tcPr>
          <w:p w14:paraId="4C17B78F" w14:textId="77777777" w:rsidR="000D1E1F" w:rsidRPr="00B302B7" w:rsidRDefault="000D1E1F" w:rsidP="000D1E1F">
            <w:pPr>
              <w:pStyle w:val="TableText"/>
            </w:pPr>
          </w:p>
        </w:tc>
        <w:tc>
          <w:tcPr>
            <w:tcW w:w="7909" w:type="dxa"/>
            <w:shd w:val="clear" w:color="auto" w:fill="auto"/>
          </w:tcPr>
          <w:p w14:paraId="44E9C4A9" w14:textId="61F587A2" w:rsidR="000D1E1F" w:rsidRPr="00B302B7" w:rsidRDefault="000D1E1F" w:rsidP="000D1E1F">
            <w:pPr>
              <w:pStyle w:val="TableText"/>
            </w:pPr>
            <w:r w:rsidRPr="00B302B7">
              <w:rPr>
                <w:lang w:val="en-US"/>
              </w:rPr>
              <w:t>By the end of 2022</w:t>
            </w:r>
            <w:r w:rsidRPr="00B302B7">
              <w:rPr>
                <w:b/>
                <w:bCs/>
                <w:lang w:val="en-US"/>
              </w:rPr>
              <w:t xml:space="preserve"> </w:t>
            </w:r>
            <w:r w:rsidRPr="00B302B7">
              <w:rPr>
                <w:lang w:val="en-US"/>
              </w:rPr>
              <w:t>agencies monitor starting salaries and salaries for the same or similar roles to ensure gender and ethnic pay gaps do not reopen.</w:t>
            </w:r>
          </w:p>
        </w:tc>
      </w:tr>
      <w:tr w:rsidR="000D1E1F" w:rsidRPr="00B302B7" w14:paraId="0D56BC71" w14:textId="77777777" w:rsidTr="00F20FB9">
        <w:tc>
          <w:tcPr>
            <w:tcW w:w="596" w:type="dxa"/>
            <w:shd w:val="clear" w:color="auto" w:fill="auto"/>
          </w:tcPr>
          <w:p w14:paraId="29D6774E" w14:textId="77777777" w:rsidR="000D1E1F" w:rsidRPr="00B302B7" w:rsidRDefault="000D1E1F" w:rsidP="000D1E1F">
            <w:pPr>
              <w:pStyle w:val="TableText"/>
            </w:pPr>
          </w:p>
        </w:tc>
        <w:tc>
          <w:tcPr>
            <w:tcW w:w="7909" w:type="dxa"/>
            <w:shd w:val="clear" w:color="auto" w:fill="auto"/>
          </w:tcPr>
          <w:p w14:paraId="23ABB54B" w14:textId="1714AE66" w:rsidR="000D1E1F" w:rsidRPr="00B302B7" w:rsidRDefault="000D1E1F" w:rsidP="000D1E1F">
            <w:pPr>
              <w:pStyle w:val="TableText"/>
            </w:pPr>
            <w:r w:rsidRPr="00B302B7">
              <w:rPr>
                <w:lang w:val="en-US"/>
              </w:rPr>
              <w:t>Pay equity processes are used to address claims and reduce the impact of occupational segregation.</w:t>
            </w:r>
          </w:p>
        </w:tc>
      </w:tr>
      <w:tr w:rsidR="000D1E1F" w:rsidRPr="00B302B7" w14:paraId="1F77D27F" w14:textId="77777777">
        <w:trPr>
          <w:tblHeader/>
        </w:trPr>
        <w:tc>
          <w:tcPr>
            <w:tcW w:w="8505" w:type="dxa"/>
            <w:gridSpan w:val="2"/>
            <w:shd w:val="clear" w:color="auto" w:fill="1B556B"/>
          </w:tcPr>
          <w:p w14:paraId="5387E562" w14:textId="11B4308C" w:rsidR="000D1E1F" w:rsidRPr="00B302B7" w:rsidRDefault="00632049">
            <w:pPr>
              <w:pStyle w:val="TableTextbold"/>
              <w:rPr>
                <w:color w:val="FFFFFF" w:themeColor="background1"/>
              </w:rPr>
            </w:pPr>
            <w:r w:rsidRPr="00B302B7">
              <w:rPr>
                <w:color w:val="FFFFFF" w:themeColor="background1"/>
              </w:rPr>
              <w:t xml:space="preserve">Our </w:t>
            </w:r>
            <w:proofErr w:type="gramStart"/>
            <w:r w:rsidRPr="00B302B7">
              <w:rPr>
                <w:color w:val="FFFFFF" w:themeColor="background1"/>
              </w:rPr>
              <w:t>c</w:t>
            </w:r>
            <w:r w:rsidR="000D1E1F" w:rsidRPr="00B302B7">
              <w:rPr>
                <w:color w:val="FFFFFF" w:themeColor="background1"/>
              </w:rPr>
              <w:t xml:space="preserve">urrent </w:t>
            </w:r>
            <w:r w:rsidRPr="00B302B7">
              <w:rPr>
                <w:color w:val="FFFFFF" w:themeColor="background1"/>
              </w:rPr>
              <w:t>s</w:t>
            </w:r>
            <w:r w:rsidR="000D1E1F" w:rsidRPr="00B302B7">
              <w:rPr>
                <w:color w:val="FFFFFF" w:themeColor="background1"/>
              </w:rPr>
              <w:t>tatus</w:t>
            </w:r>
            <w:proofErr w:type="gramEnd"/>
            <w:r w:rsidR="000D1E1F" w:rsidRPr="00B302B7">
              <w:rPr>
                <w:color w:val="FFFFFF" w:themeColor="background1"/>
              </w:rPr>
              <w:t xml:space="preserve"> </w:t>
            </w:r>
          </w:p>
        </w:tc>
      </w:tr>
      <w:tr w:rsidR="000D1E1F" w:rsidRPr="00B302B7" w14:paraId="16FFB8E6" w14:textId="77777777" w:rsidTr="00F20FB9">
        <w:tc>
          <w:tcPr>
            <w:tcW w:w="596" w:type="dxa"/>
          </w:tcPr>
          <w:p w14:paraId="52D30935" w14:textId="77777777" w:rsidR="000D1E1F" w:rsidRPr="00B302B7" w:rsidRDefault="000D1E1F">
            <w:pPr>
              <w:pStyle w:val="TableText"/>
            </w:pPr>
          </w:p>
        </w:tc>
        <w:tc>
          <w:tcPr>
            <w:tcW w:w="7909" w:type="dxa"/>
          </w:tcPr>
          <w:p w14:paraId="05152381" w14:textId="50D7B0F7" w:rsidR="000D1E1F" w:rsidRPr="00B302B7" w:rsidRDefault="000D1E1F" w:rsidP="000D1E1F">
            <w:pPr>
              <w:pStyle w:val="TableText"/>
            </w:pPr>
            <w:r w:rsidRPr="00B302B7">
              <w:rPr>
                <w:lang w:val="en-US"/>
              </w:rPr>
              <w:t>All advertised roles include transparent salary ranges (with starting salary influenced by negotiation and internal relativities)</w:t>
            </w:r>
            <w:r w:rsidR="00135D91" w:rsidRPr="00B302B7">
              <w:rPr>
                <w:lang w:val="en-US"/>
              </w:rPr>
              <w:t>.</w:t>
            </w:r>
            <w:r w:rsidRPr="00B302B7">
              <w:rPr>
                <w:lang w:val="en-US"/>
              </w:rPr>
              <w:t xml:space="preserve"> </w:t>
            </w:r>
          </w:p>
        </w:tc>
      </w:tr>
      <w:tr w:rsidR="000D1E1F" w:rsidRPr="00B302B7" w14:paraId="5A2CB2E9" w14:textId="77777777" w:rsidTr="00F20FB9">
        <w:tc>
          <w:tcPr>
            <w:tcW w:w="596" w:type="dxa"/>
          </w:tcPr>
          <w:p w14:paraId="21DCA277" w14:textId="77777777" w:rsidR="000D1E1F" w:rsidRPr="00B302B7" w:rsidRDefault="000D1E1F" w:rsidP="000D1E1F">
            <w:pPr>
              <w:pStyle w:val="TableText"/>
            </w:pPr>
          </w:p>
        </w:tc>
        <w:tc>
          <w:tcPr>
            <w:tcW w:w="7909" w:type="dxa"/>
          </w:tcPr>
          <w:p w14:paraId="28518374" w14:textId="752A55F4" w:rsidR="000D1E1F" w:rsidRPr="00B302B7" w:rsidRDefault="000D1E1F" w:rsidP="000D1E1F">
            <w:pPr>
              <w:pStyle w:val="TableText"/>
            </w:pPr>
            <w:r w:rsidRPr="00B302B7">
              <w:rPr>
                <w:lang w:val="en-US"/>
              </w:rPr>
              <w:t xml:space="preserve">Designed starting salary calculator with the intention of reducing bias at point of entry – this </w:t>
            </w:r>
            <w:r w:rsidR="003A5364" w:rsidRPr="00B302B7">
              <w:rPr>
                <w:lang w:val="en-US"/>
              </w:rPr>
              <w:t xml:space="preserve">required further </w:t>
            </w:r>
            <w:r w:rsidRPr="00B302B7">
              <w:rPr>
                <w:lang w:val="en-US"/>
              </w:rPr>
              <w:t>work to ensure it is properly benchmarked</w:t>
            </w:r>
            <w:r w:rsidR="003A5364" w:rsidRPr="00B302B7">
              <w:rPr>
                <w:lang w:val="en-US"/>
              </w:rPr>
              <w:t>.</w:t>
            </w:r>
          </w:p>
        </w:tc>
      </w:tr>
      <w:tr w:rsidR="000D1E1F" w:rsidRPr="00B302B7" w14:paraId="067016E9" w14:textId="77777777" w:rsidTr="00F20FB9">
        <w:tc>
          <w:tcPr>
            <w:tcW w:w="596" w:type="dxa"/>
          </w:tcPr>
          <w:p w14:paraId="64131BC2" w14:textId="77777777" w:rsidR="000D1E1F" w:rsidRPr="00B302B7" w:rsidRDefault="000D1E1F" w:rsidP="000D1E1F">
            <w:pPr>
              <w:pStyle w:val="TableText"/>
            </w:pPr>
          </w:p>
        </w:tc>
        <w:tc>
          <w:tcPr>
            <w:tcW w:w="7909" w:type="dxa"/>
          </w:tcPr>
          <w:p w14:paraId="4C1CC2F5" w14:textId="15517D63" w:rsidR="000D1E1F" w:rsidRPr="00B302B7" w:rsidRDefault="000D1E1F" w:rsidP="000D1E1F">
            <w:pPr>
              <w:pStyle w:val="TableText"/>
            </w:pPr>
            <w:r w:rsidRPr="00B302B7">
              <w:rPr>
                <w:lang w:val="en-US"/>
              </w:rPr>
              <w:t xml:space="preserve">Inserted step in recruitment process for Hiring Managers to discuss internal relativities at point </w:t>
            </w:r>
            <w:r w:rsidR="00ED4AB6" w:rsidRPr="00B302B7">
              <w:rPr>
                <w:lang w:val="en-US"/>
              </w:rPr>
              <w:t xml:space="preserve">of </w:t>
            </w:r>
            <w:r w:rsidRPr="00B302B7">
              <w:rPr>
                <w:lang w:val="en-US"/>
              </w:rPr>
              <w:t xml:space="preserve">salary negotiation with </w:t>
            </w:r>
            <w:r w:rsidR="002154AF" w:rsidRPr="00B302B7">
              <w:rPr>
                <w:lang w:val="en-US"/>
              </w:rPr>
              <w:t>B</w:t>
            </w:r>
            <w:r w:rsidR="00D701D3" w:rsidRPr="00B302B7">
              <w:rPr>
                <w:lang w:val="en-US"/>
              </w:rPr>
              <w:t xml:space="preserve">usiness </w:t>
            </w:r>
            <w:r w:rsidR="002154AF" w:rsidRPr="00B302B7">
              <w:rPr>
                <w:lang w:val="en-US"/>
              </w:rPr>
              <w:t>P</w:t>
            </w:r>
            <w:r w:rsidR="00D701D3" w:rsidRPr="00B302B7">
              <w:rPr>
                <w:lang w:val="en-US"/>
              </w:rPr>
              <w:t>artners</w:t>
            </w:r>
            <w:r w:rsidRPr="00B302B7">
              <w:rPr>
                <w:lang w:val="en-US"/>
              </w:rPr>
              <w:t xml:space="preserve">/Advisors </w:t>
            </w:r>
          </w:p>
        </w:tc>
      </w:tr>
      <w:tr w:rsidR="000D1E1F" w:rsidRPr="00B302B7" w14:paraId="4F4AB930" w14:textId="77777777" w:rsidTr="00F20FB9">
        <w:tc>
          <w:tcPr>
            <w:tcW w:w="596" w:type="dxa"/>
          </w:tcPr>
          <w:p w14:paraId="75450A6D" w14:textId="77777777" w:rsidR="000D1E1F" w:rsidRPr="00B302B7" w:rsidRDefault="000D1E1F" w:rsidP="000D1E1F">
            <w:pPr>
              <w:pStyle w:val="TableText"/>
            </w:pPr>
          </w:p>
        </w:tc>
        <w:tc>
          <w:tcPr>
            <w:tcW w:w="7909" w:type="dxa"/>
          </w:tcPr>
          <w:p w14:paraId="74ADEC2F" w14:textId="278111C8" w:rsidR="000D1E1F" w:rsidRPr="00B302B7" w:rsidRDefault="000D1E1F" w:rsidP="000D1E1F">
            <w:pPr>
              <w:pStyle w:val="TableText"/>
            </w:pPr>
            <w:r w:rsidRPr="00B302B7">
              <w:rPr>
                <w:lang w:val="en-US"/>
              </w:rPr>
              <w:t xml:space="preserve">Regular </w:t>
            </w:r>
            <w:r w:rsidR="00025E86" w:rsidRPr="00B302B7">
              <w:rPr>
                <w:lang w:val="en-US"/>
              </w:rPr>
              <w:t>six</w:t>
            </w:r>
            <w:r w:rsidRPr="00B302B7">
              <w:rPr>
                <w:lang w:val="en-US"/>
              </w:rPr>
              <w:t xml:space="preserve">-monthly </w:t>
            </w:r>
            <w:r w:rsidR="00025E86" w:rsidRPr="00B302B7">
              <w:rPr>
                <w:lang w:val="en-US"/>
              </w:rPr>
              <w:t>reporting</w:t>
            </w:r>
            <w:r w:rsidRPr="00B302B7">
              <w:rPr>
                <w:lang w:val="en-US"/>
              </w:rPr>
              <w:t xml:space="preserve"> across bands and business groups, reviewing annually in line with rem</w:t>
            </w:r>
            <w:r w:rsidR="00C631A5" w:rsidRPr="00B302B7">
              <w:rPr>
                <w:lang w:val="en-US"/>
              </w:rPr>
              <w:t>uneration</w:t>
            </w:r>
            <w:r w:rsidRPr="00B302B7">
              <w:rPr>
                <w:lang w:val="en-US"/>
              </w:rPr>
              <w:t> review</w:t>
            </w:r>
            <w:r w:rsidR="00DF04F5" w:rsidRPr="00B302B7">
              <w:rPr>
                <w:lang w:val="en-US"/>
              </w:rPr>
              <w:t>.</w:t>
            </w:r>
          </w:p>
        </w:tc>
      </w:tr>
      <w:tr w:rsidR="000D1E1F" w:rsidRPr="00B302B7" w14:paraId="43B9FEF0" w14:textId="77777777" w:rsidTr="00F20FB9">
        <w:tc>
          <w:tcPr>
            <w:tcW w:w="596" w:type="dxa"/>
          </w:tcPr>
          <w:p w14:paraId="6B650966" w14:textId="77777777" w:rsidR="000D1E1F" w:rsidRPr="00B302B7" w:rsidRDefault="000D1E1F" w:rsidP="000D1E1F">
            <w:pPr>
              <w:pStyle w:val="TableText"/>
            </w:pPr>
          </w:p>
        </w:tc>
        <w:tc>
          <w:tcPr>
            <w:tcW w:w="7909" w:type="dxa"/>
          </w:tcPr>
          <w:p w14:paraId="1E267096" w14:textId="4F784E3C" w:rsidR="000D1E1F" w:rsidRPr="00B302B7" w:rsidRDefault="000D1E1F" w:rsidP="000D1E1F">
            <w:pPr>
              <w:pStyle w:val="TableText"/>
            </w:pPr>
            <w:r w:rsidRPr="00B302B7">
              <w:rPr>
                <w:lang w:val="en-US"/>
              </w:rPr>
              <w:t xml:space="preserve">Pay equity processes followed </w:t>
            </w:r>
            <w:r w:rsidR="00302B95" w:rsidRPr="00B302B7">
              <w:rPr>
                <w:lang w:val="en-US"/>
              </w:rPr>
              <w:t xml:space="preserve">when a claim is made </w:t>
            </w:r>
            <w:r w:rsidRPr="00B302B7">
              <w:rPr>
                <w:lang w:val="en-US"/>
              </w:rPr>
              <w:t>as outlined by PSC</w:t>
            </w:r>
            <w:r w:rsidR="00302B95" w:rsidRPr="00B302B7">
              <w:rPr>
                <w:lang w:val="en-US"/>
              </w:rPr>
              <w:t>.</w:t>
            </w:r>
          </w:p>
        </w:tc>
      </w:tr>
      <w:tr w:rsidR="000D1E1F" w:rsidRPr="00B302B7" w14:paraId="38B1EC7C" w14:textId="77777777">
        <w:trPr>
          <w:tblHeader/>
        </w:trPr>
        <w:tc>
          <w:tcPr>
            <w:tcW w:w="8505" w:type="dxa"/>
            <w:gridSpan w:val="2"/>
            <w:shd w:val="clear" w:color="auto" w:fill="1B556B"/>
          </w:tcPr>
          <w:p w14:paraId="51760BDD" w14:textId="59580E21" w:rsidR="000D1E1F" w:rsidRPr="00B302B7" w:rsidRDefault="000D1E1F">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November</w:t>
            </w:r>
            <w:r w:rsidRPr="00B302B7">
              <w:rPr>
                <w:color w:val="FFFFFF" w:themeColor="background1"/>
              </w:rPr>
              <w:t xml:space="preserve"> 2023</w:t>
            </w:r>
          </w:p>
        </w:tc>
      </w:tr>
      <w:tr w:rsidR="000D1E1F" w:rsidRPr="00B302B7" w14:paraId="55C3926E" w14:textId="77777777" w:rsidTr="00F20FB9">
        <w:tc>
          <w:tcPr>
            <w:tcW w:w="596" w:type="dxa"/>
          </w:tcPr>
          <w:p w14:paraId="1CCA2AAA" w14:textId="77777777" w:rsidR="000D1E1F" w:rsidRPr="00B302B7" w:rsidRDefault="000D1E1F">
            <w:pPr>
              <w:pStyle w:val="TableText"/>
            </w:pPr>
          </w:p>
        </w:tc>
        <w:tc>
          <w:tcPr>
            <w:tcW w:w="7909" w:type="dxa"/>
          </w:tcPr>
          <w:p w14:paraId="12D37887" w14:textId="5EA523B3" w:rsidR="000D1E1F" w:rsidRPr="00B302B7" w:rsidRDefault="000D1E1F" w:rsidP="000D1E1F">
            <w:pPr>
              <w:pStyle w:val="TableText"/>
            </w:pPr>
            <w:r w:rsidRPr="00B302B7">
              <w:rPr>
                <w:lang w:val="en-US"/>
              </w:rPr>
              <w:t xml:space="preserve">Improve access to relevant rem data to enable </w:t>
            </w:r>
            <w:r w:rsidR="00774382" w:rsidRPr="00B302B7">
              <w:rPr>
                <w:lang w:val="en-US"/>
              </w:rPr>
              <w:t>t</w:t>
            </w:r>
            <w:r w:rsidRPr="00B302B7">
              <w:rPr>
                <w:lang w:val="en-US"/>
              </w:rPr>
              <w:t xml:space="preserve">alent </w:t>
            </w:r>
            <w:r w:rsidR="00774382" w:rsidRPr="00B302B7">
              <w:rPr>
                <w:lang w:val="en-US"/>
              </w:rPr>
              <w:t>b</w:t>
            </w:r>
            <w:r w:rsidRPr="00B302B7">
              <w:rPr>
                <w:lang w:val="en-US"/>
              </w:rPr>
              <w:t xml:space="preserve">usiness </w:t>
            </w:r>
            <w:r w:rsidR="00774382" w:rsidRPr="00B302B7">
              <w:rPr>
                <w:lang w:val="en-US"/>
              </w:rPr>
              <w:t>p</w:t>
            </w:r>
            <w:r w:rsidRPr="00B302B7">
              <w:rPr>
                <w:lang w:val="en-US"/>
              </w:rPr>
              <w:t>artners to guide and influence pay decisions with an equity lens</w:t>
            </w:r>
            <w:r w:rsidR="00A01B92" w:rsidRPr="00B302B7">
              <w:rPr>
                <w:lang w:val="en-US"/>
              </w:rPr>
              <w:t>.</w:t>
            </w:r>
          </w:p>
        </w:tc>
      </w:tr>
      <w:tr w:rsidR="000D1E1F" w:rsidRPr="00B302B7" w14:paraId="6C1B946F" w14:textId="77777777" w:rsidTr="00F20FB9">
        <w:tc>
          <w:tcPr>
            <w:tcW w:w="596" w:type="dxa"/>
          </w:tcPr>
          <w:p w14:paraId="4AD5796D" w14:textId="77777777" w:rsidR="000D1E1F" w:rsidRPr="00B302B7" w:rsidRDefault="000D1E1F" w:rsidP="000D1E1F">
            <w:pPr>
              <w:pStyle w:val="TableText"/>
            </w:pPr>
          </w:p>
        </w:tc>
        <w:tc>
          <w:tcPr>
            <w:tcW w:w="7909" w:type="dxa"/>
          </w:tcPr>
          <w:p w14:paraId="7AA020E9" w14:textId="09ECED82" w:rsidR="000D1E1F" w:rsidRPr="00B302B7" w:rsidRDefault="000D1E1F" w:rsidP="000D1E1F">
            <w:pPr>
              <w:pStyle w:val="TableText"/>
            </w:pPr>
            <w:r w:rsidRPr="00B302B7">
              <w:rPr>
                <w:lang w:val="en-US"/>
              </w:rPr>
              <w:t>P</w:t>
            </w:r>
            <w:r w:rsidR="002154AF" w:rsidRPr="00B302B7">
              <w:rPr>
                <w:lang w:val="en-US"/>
              </w:rPr>
              <w:t xml:space="preserve">eople and </w:t>
            </w:r>
            <w:r w:rsidRPr="00B302B7">
              <w:rPr>
                <w:lang w:val="en-US"/>
              </w:rPr>
              <w:t>C</w:t>
            </w:r>
            <w:r w:rsidR="002154AF" w:rsidRPr="00B302B7">
              <w:rPr>
                <w:lang w:val="en-US"/>
              </w:rPr>
              <w:t>apability</w:t>
            </w:r>
            <w:r w:rsidRPr="00B302B7">
              <w:rPr>
                <w:lang w:val="en-US"/>
              </w:rPr>
              <w:t xml:space="preserve"> </w:t>
            </w:r>
            <w:r w:rsidR="00885AFD" w:rsidRPr="00B302B7">
              <w:rPr>
                <w:lang w:val="en-US"/>
              </w:rPr>
              <w:t>(P&amp;C)</w:t>
            </w:r>
            <w:r w:rsidR="00372C15" w:rsidRPr="00B302B7">
              <w:rPr>
                <w:lang w:val="en-US"/>
              </w:rPr>
              <w:t xml:space="preserve"> </w:t>
            </w:r>
            <w:r w:rsidRPr="00B302B7">
              <w:rPr>
                <w:lang w:val="en-US"/>
              </w:rPr>
              <w:t xml:space="preserve">review existing guideline </w:t>
            </w:r>
            <w:r w:rsidR="00866B43" w:rsidRPr="00B302B7">
              <w:rPr>
                <w:lang w:val="en-US"/>
              </w:rPr>
              <w:t xml:space="preserve">used by </w:t>
            </w:r>
            <w:r w:rsidRPr="00B302B7">
              <w:rPr>
                <w:lang w:val="en-US"/>
              </w:rPr>
              <w:t>Hiring Managers to establish starting salaries (ensuring T</w:t>
            </w:r>
            <w:r w:rsidR="00372C15" w:rsidRPr="00B302B7">
              <w:rPr>
                <w:lang w:val="en-US"/>
              </w:rPr>
              <w:t xml:space="preserve">alent Acquisition </w:t>
            </w:r>
            <w:r w:rsidRPr="00B302B7">
              <w:rPr>
                <w:lang w:val="en-US"/>
              </w:rPr>
              <w:t>Partner is consulted where a rem</w:t>
            </w:r>
            <w:r w:rsidR="00D42066" w:rsidRPr="00B302B7">
              <w:rPr>
                <w:lang w:val="en-US"/>
              </w:rPr>
              <w:t>uneration</w:t>
            </w:r>
            <w:r w:rsidRPr="00B302B7">
              <w:rPr>
                <w:lang w:val="en-US"/>
              </w:rPr>
              <w:t xml:space="preserve"> decision negatively impacts pay gaps)</w:t>
            </w:r>
            <w:r w:rsidR="00D42066" w:rsidRPr="00B302B7">
              <w:rPr>
                <w:lang w:val="en-US"/>
              </w:rPr>
              <w:t>.</w:t>
            </w:r>
          </w:p>
        </w:tc>
      </w:tr>
      <w:tr w:rsidR="000D1E1F" w:rsidRPr="00B302B7" w14:paraId="287CDDA1" w14:textId="77777777" w:rsidTr="00F20FB9">
        <w:tc>
          <w:tcPr>
            <w:tcW w:w="596" w:type="dxa"/>
          </w:tcPr>
          <w:p w14:paraId="791A6806" w14:textId="77777777" w:rsidR="000D1E1F" w:rsidRPr="00B302B7" w:rsidRDefault="000D1E1F" w:rsidP="000D1E1F">
            <w:pPr>
              <w:pStyle w:val="TableText"/>
            </w:pPr>
          </w:p>
        </w:tc>
        <w:tc>
          <w:tcPr>
            <w:tcW w:w="7909" w:type="dxa"/>
          </w:tcPr>
          <w:p w14:paraId="05159835" w14:textId="03FE57D7" w:rsidR="000D1E1F" w:rsidRPr="00B302B7" w:rsidRDefault="000D1E1F" w:rsidP="000D1E1F">
            <w:pPr>
              <w:pStyle w:val="TableText"/>
            </w:pPr>
            <w:r w:rsidRPr="00B302B7">
              <w:rPr>
                <w:lang w:val="en-US"/>
              </w:rPr>
              <w:t>P&amp;C ensure representatives involved in system pay equity processes are appropriately trained</w:t>
            </w:r>
            <w:r w:rsidR="002C78C9" w:rsidRPr="00B302B7">
              <w:rPr>
                <w:lang w:val="en-US"/>
              </w:rPr>
              <w:t>.</w:t>
            </w:r>
          </w:p>
        </w:tc>
      </w:tr>
      <w:tr w:rsidR="000D1E1F" w:rsidRPr="00B302B7" w14:paraId="71F2C500" w14:textId="77777777">
        <w:trPr>
          <w:tblHeader/>
        </w:trPr>
        <w:tc>
          <w:tcPr>
            <w:tcW w:w="8505" w:type="dxa"/>
            <w:gridSpan w:val="2"/>
            <w:shd w:val="clear" w:color="auto" w:fill="1B556B"/>
          </w:tcPr>
          <w:p w14:paraId="377DD8CB" w14:textId="0E8BF5E5" w:rsidR="000D1E1F" w:rsidRPr="00B302B7" w:rsidRDefault="000D1E1F">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 xml:space="preserve">November </w:t>
            </w:r>
            <w:r w:rsidRPr="00B302B7">
              <w:rPr>
                <w:color w:val="FFFFFF" w:themeColor="background1"/>
              </w:rPr>
              <w:t>2024</w:t>
            </w:r>
          </w:p>
        </w:tc>
      </w:tr>
      <w:tr w:rsidR="000D1E1F" w:rsidRPr="00B302B7" w14:paraId="45300379" w14:textId="77777777" w:rsidTr="00F20FB9">
        <w:tc>
          <w:tcPr>
            <w:tcW w:w="596" w:type="dxa"/>
          </w:tcPr>
          <w:p w14:paraId="097C885D" w14:textId="77777777" w:rsidR="000D1E1F" w:rsidRPr="00B302B7" w:rsidRDefault="000D1E1F">
            <w:pPr>
              <w:pStyle w:val="TableText"/>
            </w:pPr>
          </w:p>
        </w:tc>
        <w:tc>
          <w:tcPr>
            <w:tcW w:w="7909" w:type="dxa"/>
          </w:tcPr>
          <w:p w14:paraId="098818E7" w14:textId="48582EFA" w:rsidR="000D1E1F" w:rsidRPr="00B302B7" w:rsidRDefault="000D1E1F" w:rsidP="000D1E1F">
            <w:pPr>
              <w:pStyle w:val="TableText"/>
            </w:pPr>
            <w:r w:rsidRPr="00B302B7">
              <w:rPr>
                <w:lang w:val="en-US"/>
              </w:rPr>
              <w:t xml:space="preserve">Any within-band pay equity issues are flagged to Te </w:t>
            </w:r>
            <w:proofErr w:type="spellStart"/>
            <w:r w:rsidRPr="00B302B7">
              <w:rPr>
                <w:lang w:val="en-US"/>
              </w:rPr>
              <w:t>Mīmīro</w:t>
            </w:r>
            <w:proofErr w:type="spellEnd"/>
            <w:r w:rsidRPr="00B302B7">
              <w:rPr>
                <w:lang w:val="en-US"/>
              </w:rPr>
              <w:t xml:space="preserve"> by P&amp;C as part of our </w:t>
            </w:r>
            <w:r w:rsidR="00885AFD" w:rsidRPr="00B302B7">
              <w:rPr>
                <w:lang w:val="en-US"/>
              </w:rPr>
              <w:t>six</w:t>
            </w:r>
            <w:r w:rsidRPr="00B302B7">
              <w:rPr>
                <w:lang w:val="en-US"/>
              </w:rPr>
              <w:t xml:space="preserve">-monthly analytics and used to inform pay equity </w:t>
            </w:r>
            <w:r w:rsidR="00D42066" w:rsidRPr="00B302B7">
              <w:rPr>
                <w:lang w:val="en-US"/>
              </w:rPr>
              <w:t>actions.</w:t>
            </w:r>
          </w:p>
        </w:tc>
      </w:tr>
      <w:tr w:rsidR="000D1E1F" w:rsidRPr="00B302B7" w14:paraId="2D26928E" w14:textId="77777777" w:rsidTr="00F20FB9">
        <w:tc>
          <w:tcPr>
            <w:tcW w:w="596" w:type="dxa"/>
          </w:tcPr>
          <w:p w14:paraId="5E022394" w14:textId="77777777" w:rsidR="000D1E1F" w:rsidRPr="00B302B7" w:rsidRDefault="000D1E1F">
            <w:pPr>
              <w:pStyle w:val="TableText"/>
            </w:pPr>
          </w:p>
        </w:tc>
        <w:tc>
          <w:tcPr>
            <w:tcW w:w="7909" w:type="dxa"/>
          </w:tcPr>
          <w:p w14:paraId="131BD0D1" w14:textId="6500E5CC" w:rsidR="000D1E1F" w:rsidRPr="00B302B7" w:rsidRDefault="000D1E1F" w:rsidP="000D1E1F">
            <w:pPr>
              <w:pStyle w:val="TableText"/>
            </w:pPr>
            <w:r w:rsidRPr="00B302B7">
              <w:rPr>
                <w:lang w:val="en-US"/>
              </w:rPr>
              <w:t>P&amp;C focus on building internal remuneration system expertise to inform system rem</w:t>
            </w:r>
            <w:r w:rsidR="00477BBE" w:rsidRPr="00B302B7">
              <w:rPr>
                <w:lang w:val="en-US"/>
              </w:rPr>
              <w:t>uneration</w:t>
            </w:r>
            <w:r w:rsidRPr="00B302B7">
              <w:rPr>
                <w:lang w:val="en-US"/>
              </w:rPr>
              <w:t xml:space="preserve"> and equity decision-making</w:t>
            </w:r>
            <w:r w:rsidR="00477BBE" w:rsidRPr="00B302B7">
              <w:rPr>
                <w:lang w:val="en-US"/>
              </w:rPr>
              <w:t>.</w:t>
            </w:r>
          </w:p>
        </w:tc>
      </w:tr>
    </w:tbl>
    <w:p w14:paraId="3F9C578A" w14:textId="77777777" w:rsidR="000D1E1F" w:rsidRPr="00B302B7" w:rsidRDefault="000D1E1F" w:rsidP="00260165">
      <w:pPr>
        <w:pStyle w:val="Heading4"/>
      </w:pPr>
      <w:r w:rsidRPr="00B302B7">
        <w:t xml:space="preserve">What will success look like? </w:t>
      </w:r>
    </w:p>
    <w:p w14:paraId="4912BF78" w14:textId="68E08382" w:rsidR="000D1E1F" w:rsidRPr="00B302B7" w:rsidRDefault="000D1E1F" w:rsidP="00260165">
      <w:pPr>
        <w:pStyle w:val="Bullet"/>
        <w:spacing w:before="240"/>
      </w:pPr>
      <w:r w:rsidRPr="00B302B7">
        <w:t>Pay gaps within bands will reduce (below 4</w:t>
      </w:r>
      <w:r w:rsidR="00145E8E" w:rsidRPr="00B302B7">
        <w:t xml:space="preserve"> per cent </w:t>
      </w:r>
      <w:r w:rsidRPr="00B302B7">
        <w:t>tolerance by June 2024</w:t>
      </w:r>
      <w:r w:rsidR="00145E8E" w:rsidRPr="00B302B7">
        <w:t>).</w:t>
      </w:r>
    </w:p>
    <w:p w14:paraId="425BD878" w14:textId="74A48397" w:rsidR="000D1E1F" w:rsidRPr="00B302B7" w:rsidRDefault="000D1E1F" w:rsidP="00573FBF">
      <w:pPr>
        <w:pStyle w:val="Bullet"/>
      </w:pPr>
      <w:r w:rsidRPr="00B302B7">
        <w:t>Hiring Managers will be supported to make remuneration decisions that are not influenced by bias</w:t>
      </w:r>
      <w:r w:rsidR="00C11E27" w:rsidRPr="00B302B7">
        <w:t>.</w:t>
      </w:r>
    </w:p>
    <w:p w14:paraId="211FCCCE" w14:textId="33031C8B" w:rsidR="00817AAC" w:rsidRPr="00B302B7" w:rsidRDefault="000D1E1F" w:rsidP="00573FBF">
      <w:pPr>
        <w:pStyle w:val="Bullet"/>
      </w:pPr>
      <w:r w:rsidRPr="00B302B7">
        <w:t>Identified within-band pay gaps are picked up through ongoing analysis and remedial actions recommended where appropriate</w:t>
      </w:r>
      <w:r w:rsidR="005F204C" w:rsidRPr="00B302B7">
        <w:t>.</w:t>
      </w:r>
    </w:p>
    <w:p w14:paraId="6433E5DC" w14:textId="77777777" w:rsidR="00817AAC" w:rsidRPr="00B302B7" w:rsidRDefault="00817AAC">
      <w:pPr>
        <w:spacing w:before="0" w:after="200" w:line="276" w:lineRule="auto"/>
        <w:jc w:val="left"/>
        <w:rPr>
          <w:rFonts w:eastAsia="Times New Roman" w:cs="Times New Roman"/>
          <w:szCs w:val="20"/>
        </w:rPr>
      </w:pPr>
      <w:r w:rsidRPr="00B302B7">
        <w:br w:type="page"/>
      </w:r>
    </w:p>
    <w:p w14:paraId="3606284D" w14:textId="1628BF31" w:rsidR="00817AAC" w:rsidRPr="00B302B7" w:rsidRDefault="00817AAC" w:rsidP="00260165">
      <w:pPr>
        <w:pStyle w:val="Heading3"/>
      </w:pPr>
      <w:bookmarkStart w:id="32" w:name="_Te_whai_kanohi"/>
      <w:bookmarkEnd w:id="32"/>
      <w:r w:rsidRPr="00B302B7">
        <w:rPr>
          <w:lang w:val="en-US"/>
        </w:rPr>
        <w:lastRenderedPageBreak/>
        <w:t xml:space="preserve">Te </w:t>
      </w:r>
      <w:proofErr w:type="spellStart"/>
      <w:r w:rsidRPr="00B302B7">
        <w:rPr>
          <w:lang w:val="en-US"/>
        </w:rPr>
        <w:t>whai</w:t>
      </w:r>
      <w:proofErr w:type="spellEnd"/>
      <w:r w:rsidRPr="00B302B7">
        <w:rPr>
          <w:lang w:val="en-US"/>
        </w:rPr>
        <w:t xml:space="preserve"> </w:t>
      </w:r>
      <w:proofErr w:type="spellStart"/>
      <w:r w:rsidRPr="00B302B7">
        <w:rPr>
          <w:lang w:val="en-US"/>
        </w:rPr>
        <w:t>kanohi</w:t>
      </w:r>
      <w:proofErr w:type="spellEnd"/>
      <w:r w:rsidRPr="00B302B7">
        <w:rPr>
          <w:lang w:val="en-US"/>
        </w:rPr>
        <w:t xml:space="preserve"> </w:t>
      </w:r>
      <w:proofErr w:type="spellStart"/>
      <w:r w:rsidRPr="00B302B7">
        <w:rPr>
          <w:lang w:val="en-US"/>
        </w:rPr>
        <w:t>ngā</w:t>
      </w:r>
      <w:proofErr w:type="spellEnd"/>
      <w:r w:rsidRPr="00B302B7">
        <w:rPr>
          <w:lang w:val="en-US"/>
        </w:rPr>
        <w:t xml:space="preserve"> </w:t>
      </w:r>
      <w:proofErr w:type="spellStart"/>
      <w:r w:rsidRPr="00B302B7">
        <w:rPr>
          <w:lang w:val="en-US"/>
        </w:rPr>
        <w:t>taumata</w:t>
      </w:r>
      <w:proofErr w:type="spellEnd"/>
      <w:r w:rsidRPr="00B302B7">
        <w:rPr>
          <w:lang w:val="en-US"/>
        </w:rPr>
        <w:t xml:space="preserve"> </w:t>
      </w:r>
      <w:proofErr w:type="spellStart"/>
      <w:r w:rsidRPr="00B302B7">
        <w:rPr>
          <w:lang w:val="en-US"/>
        </w:rPr>
        <w:t>katoa</w:t>
      </w:r>
      <w:proofErr w:type="spellEnd"/>
      <w:r w:rsidRPr="00B302B7">
        <w:rPr>
          <w:lang w:val="en-US"/>
        </w:rPr>
        <w:t xml:space="preserve"> – Leadership and representation</w:t>
      </w:r>
    </w:p>
    <w:p w14:paraId="2544E3B9" w14:textId="77777777" w:rsidR="00817AAC" w:rsidRPr="00B302B7" w:rsidRDefault="00817AAC" w:rsidP="00817AAC">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817AAC" w:rsidRPr="00B302B7" w14:paraId="758596FE" w14:textId="77777777">
        <w:trPr>
          <w:tblHeader/>
        </w:trPr>
        <w:tc>
          <w:tcPr>
            <w:tcW w:w="8505" w:type="dxa"/>
            <w:gridSpan w:val="2"/>
            <w:shd w:val="clear" w:color="auto" w:fill="1B556B"/>
            <w:vAlign w:val="center"/>
          </w:tcPr>
          <w:p w14:paraId="5EE0EA33" w14:textId="77777777" w:rsidR="00817AAC" w:rsidRPr="00B302B7" w:rsidRDefault="00817AAC">
            <w:pPr>
              <w:pStyle w:val="TableTextbold"/>
              <w:rPr>
                <w:color w:val="FFFFFF" w:themeColor="background1"/>
              </w:rPr>
            </w:pPr>
            <w:r w:rsidRPr="00B302B7">
              <w:rPr>
                <w:color w:val="FFFFFF" w:themeColor="background1"/>
              </w:rPr>
              <w:t>Milestones</w:t>
            </w:r>
          </w:p>
        </w:tc>
      </w:tr>
      <w:tr w:rsidR="00817AAC" w:rsidRPr="00B302B7" w14:paraId="0792CAAD" w14:textId="77777777" w:rsidTr="00F20FB9">
        <w:tc>
          <w:tcPr>
            <w:tcW w:w="596" w:type="dxa"/>
            <w:shd w:val="clear" w:color="auto" w:fill="auto"/>
          </w:tcPr>
          <w:p w14:paraId="20FE80C4" w14:textId="77777777" w:rsidR="00817AAC" w:rsidRPr="00B302B7" w:rsidRDefault="00817AAC" w:rsidP="00817AAC">
            <w:pPr>
              <w:pStyle w:val="TableText"/>
            </w:pPr>
          </w:p>
        </w:tc>
        <w:tc>
          <w:tcPr>
            <w:tcW w:w="7909" w:type="dxa"/>
            <w:shd w:val="clear" w:color="auto" w:fill="auto"/>
          </w:tcPr>
          <w:p w14:paraId="5E9EA7A8" w14:textId="45B482BA" w:rsidR="00817AAC" w:rsidRPr="00B302B7" w:rsidRDefault="00817AAC" w:rsidP="00817AAC">
            <w:pPr>
              <w:pStyle w:val="TableText"/>
            </w:pPr>
            <w:r w:rsidRPr="00B302B7">
              <w:t>By 28 April 2023 agencies/entities have plans and targets to improve gender and ethnic representation in their workforce and leadership.</w:t>
            </w:r>
          </w:p>
        </w:tc>
      </w:tr>
      <w:tr w:rsidR="00817AAC" w:rsidRPr="00B302B7" w14:paraId="6979A012" w14:textId="77777777" w:rsidTr="00F20FB9">
        <w:tc>
          <w:tcPr>
            <w:tcW w:w="596" w:type="dxa"/>
            <w:shd w:val="clear" w:color="auto" w:fill="auto"/>
          </w:tcPr>
          <w:p w14:paraId="2575FEE1" w14:textId="77777777" w:rsidR="00817AAC" w:rsidRPr="00B302B7" w:rsidRDefault="00817AAC" w:rsidP="00817AAC">
            <w:pPr>
              <w:pStyle w:val="TableText"/>
            </w:pPr>
          </w:p>
        </w:tc>
        <w:tc>
          <w:tcPr>
            <w:tcW w:w="7909" w:type="dxa"/>
            <w:shd w:val="clear" w:color="auto" w:fill="auto"/>
          </w:tcPr>
          <w:p w14:paraId="3ABFC1C6" w14:textId="4B14C1AD" w:rsidR="00817AAC" w:rsidRPr="00B302B7" w:rsidRDefault="00817AAC" w:rsidP="00817AAC">
            <w:pPr>
              <w:pStyle w:val="TableText"/>
            </w:pPr>
            <w:r w:rsidRPr="00B302B7">
              <w:t xml:space="preserve">By the end of 2024 the </w:t>
            </w:r>
            <w:r w:rsidR="00B021A2" w:rsidRPr="00B302B7">
              <w:t>p</w:t>
            </w:r>
            <w:r w:rsidRPr="00B302B7">
              <w:t xml:space="preserve">ublic </w:t>
            </w:r>
            <w:r w:rsidR="00B021A2" w:rsidRPr="00B302B7">
              <w:t>s</w:t>
            </w:r>
            <w:r w:rsidRPr="00B302B7">
              <w:t xml:space="preserve">ervice workforce and leadership </w:t>
            </w:r>
            <w:r w:rsidR="00B021A2" w:rsidRPr="00B302B7">
              <w:t xml:space="preserve">are </w:t>
            </w:r>
            <w:r w:rsidRPr="00B302B7">
              <w:t>substantially more representative of society.</w:t>
            </w:r>
          </w:p>
        </w:tc>
      </w:tr>
      <w:tr w:rsidR="00817AAC" w:rsidRPr="00B302B7" w14:paraId="3D4B52A5" w14:textId="77777777">
        <w:trPr>
          <w:tblHeader/>
        </w:trPr>
        <w:tc>
          <w:tcPr>
            <w:tcW w:w="8505" w:type="dxa"/>
            <w:gridSpan w:val="2"/>
            <w:shd w:val="clear" w:color="auto" w:fill="1B556B"/>
          </w:tcPr>
          <w:p w14:paraId="71A40B1D" w14:textId="71FFEDCE" w:rsidR="00817AAC" w:rsidRPr="00B302B7" w:rsidRDefault="002C78C9">
            <w:pPr>
              <w:pStyle w:val="TableTextbold"/>
              <w:rPr>
                <w:color w:val="FFFFFF" w:themeColor="background1"/>
              </w:rPr>
            </w:pPr>
            <w:r w:rsidRPr="00B302B7">
              <w:rPr>
                <w:color w:val="FFFFFF" w:themeColor="background1"/>
              </w:rPr>
              <w:t xml:space="preserve">Our </w:t>
            </w:r>
            <w:proofErr w:type="gramStart"/>
            <w:r w:rsidRPr="00B302B7">
              <w:rPr>
                <w:color w:val="FFFFFF" w:themeColor="background1"/>
              </w:rPr>
              <w:t>c</w:t>
            </w:r>
            <w:r w:rsidR="00817AAC" w:rsidRPr="00B302B7">
              <w:rPr>
                <w:color w:val="FFFFFF" w:themeColor="background1"/>
              </w:rPr>
              <w:t xml:space="preserve">urrent </w:t>
            </w:r>
            <w:r w:rsidR="00A21850" w:rsidRPr="00B302B7">
              <w:rPr>
                <w:color w:val="FFFFFF" w:themeColor="background1"/>
              </w:rPr>
              <w:t>s</w:t>
            </w:r>
            <w:r w:rsidR="00817AAC" w:rsidRPr="00B302B7">
              <w:rPr>
                <w:color w:val="FFFFFF" w:themeColor="background1"/>
              </w:rPr>
              <w:t>tatus</w:t>
            </w:r>
            <w:proofErr w:type="gramEnd"/>
            <w:r w:rsidR="00817AAC" w:rsidRPr="00B302B7">
              <w:rPr>
                <w:color w:val="FFFFFF" w:themeColor="background1"/>
              </w:rPr>
              <w:t xml:space="preserve"> </w:t>
            </w:r>
          </w:p>
        </w:tc>
      </w:tr>
      <w:tr w:rsidR="00817AAC" w:rsidRPr="00B302B7" w14:paraId="1FF9B665" w14:textId="77777777" w:rsidTr="00F20FB9">
        <w:tc>
          <w:tcPr>
            <w:tcW w:w="596" w:type="dxa"/>
          </w:tcPr>
          <w:p w14:paraId="0DAE4834" w14:textId="77777777" w:rsidR="00817AAC" w:rsidRPr="00B302B7" w:rsidRDefault="00817AAC" w:rsidP="00817AAC">
            <w:pPr>
              <w:pStyle w:val="TableText"/>
            </w:pPr>
          </w:p>
        </w:tc>
        <w:tc>
          <w:tcPr>
            <w:tcW w:w="7909" w:type="dxa"/>
          </w:tcPr>
          <w:p w14:paraId="7214B892" w14:textId="7AB29400" w:rsidR="00817AAC" w:rsidRPr="00B302B7" w:rsidRDefault="00817AAC" w:rsidP="00817AAC">
            <w:pPr>
              <w:pStyle w:val="TableText"/>
            </w:pPr>
            <w:r w:rsidRPr="00B302B7">
              <w:t xml:space="preserve">We have set targets via Tui </w:t>
            </w:r>
            <w:proofErr w:type="spellStart"/>
            <w:r w:rsidRPr="00B302B7">
              <w:t>Raumata</w:t>
            </w:r>
            <w:proofErr w:type="spellEnd"/>
            <w:r w:rsidRPr="00B302B7">
              <w:t xml:space="preserve"> which we are assessing progress against and reporting to leadership every </w:t>
            </w:r>
            <w:r w:rsidR="0070064F" w:rsidRPr="00B302B7">
              <w:t xml:space="preserve">six </w:t>
            </w:r>
            <w:r w:rsidRPr="00B302B7">
              <w:t>months</w:t>
            </w:r>
            <w:r w:rsidR="0070064F" w:rsidRPr="00B302B7">
              <w:t>.</w:t>
            </w:r>
            <w:r w:rsidRPr="00B302B7">
              <w:t xml:space="preserve"> </w:t>
            </w:r>
          </w:p>
        </w:tc>
      </w:tr>
      <w:tr w:rsidR="00817AAC" w:rsidRPr="00B302B7" w14:paraId="15D2CC00" w14:textId="77777777" w:rsidTr="00F20FB9">
        <w:tc>
          <w:tcPr>
            <w:tcW w:w="596" w:type="dxa"/>
          </w:tcPr>
          <w:p w14:paraId="49D7162F" w14:textId="77777777" w:rsidR="00817AAC" w:rsidRPr="00B302B7" w:rsidRDefault="00817AAC" w:rsidP="00817AAC">
            <w:pPr>
              <w:pStyle w:val="TableText"/>
            </w:pPr>
          </w:p>
        </w:tc>
        <w:tc>
          <w:tcPr>
            <w:tcW w:w="7909" w:type="dxa"/>
          </w:tcPr>
          <w:p w14:paraId="5B7AEC94" w14:textId="454A99C1" w:rsidR="00817AAC" w:rsidRPr="00B302B7" w:rsidRDefault="00817AAC" w:rsidP="00817AAC">
            <w:pPr>
              <w:pStyle w:val="TableText"/>
            </w:pPr>
            <w:r w:rsidRPr="00B302B7">
              <w:t xml:space="preserve">We have implemented a </w:t>
            </w:r>
            <w:r w:rsidR="0070064F" w:rsidRPr="00B302B7">
              <w:t>six</w:t>
            </w:r>
            <w:r w:rsidRPr="00B302B7">
              <w:t>-monthly cycle to monitor progress against targets</w:t>
            </w:r>
            <w:r w:rsidR="00037A27" w:rsidRPr="00B302B7">
              <w:t>.</w:t>
            </w:r>
          </w:p>
        </w:tc>
      </w:tr>
      <w:tr w:rsidR="00817AAC" w:rsidRPr="00B302B7" w14:paraId="14BE031A" w14:textId="77777777">
        <w:trPr>
          <w:tblHeader/>
        </w:trPr>
        <w:tc>
          <w:tcPr>
            <w:tcW w:w="8505" w:type="dxa"/>
            <w:gridSpan w:val="2"/>
            <w:shd w:val="clear" w:color="auto" w:fill="1B556B"/>
          </w:tcPr>
          <w:p w14:paraId="048245D7" w14:textId="0014CE16" w:rsidR="00817AAC" w:rsidRPr="00B302B7" w:rsidRDefault="00817AAC">
            <w:pPr>
              <w:pStyle w:val="TableTextbold"/>
              <w:rPr>
                <w:color w:val="FFFFFF" w:themeColor="background1"/>
              </w:rPr>
            </w:pPr>
            <w:r w:rsidRPr="00B302B7">
              <w:rPr>
                <w:color w:val="FFFFFF" w:themeColor="background1"/>
              </w:rPr>
              <w:t>Deliverables by</w:t>
            </w:r>
            <w:r w:rsidR="00AB757F" w:rsidRPr="00B302B7">
              <w:rPr>
                <w:color w:val="FFFFFF" w:themeColor="background1"/>
              </w:rPr>
              <w:t xml:space="preserve"> November </w:t>
            </w:r>
            <w:r w:rsidRPr="00B302B7">
              <w:rPr>
                <w:color w:val="FFFFFF" w:themeColor="background1"/>
              </w:rPr>
              <w:t>2023</w:t>
            </w:r>
          </w:p>
        </w:tc>
      </w:tr>
      <w:tr w:rsidR="00817AAC" w:rsidRPr="00B302B7" w14:paraId="74F5D426" w14:textId="77777777" w:rsidTr="00F20FB9">
        <w:tc>
          <w:tcPr>
            <w:tcW w:w="596" w:type="dxa"/>
          </w:tcPr>
          <w:p w14:paraId="5889C68C" w14:textId="77777777" w:rsidR="00817AAC" w:rsidRPr="00B302B7" w:rsidRDefault="00817AAC" w:rsidP="00817AAC">
            <w:pPr>
              <w:pStyle w:val="TableText"/>
            </w:pPr>
          </w:p>
        </w:tc>
        <w:tc>
          <w:tcPr>
            <w:tcW w:w="7909" w:type="dxa"/>
          </w:tcPr>
          <w:p w14:paraId="3892DB5A" w14:textId="3185EF1B" w:rsidR="00817AAC" w:rsidRPr="00B302B7" w:rsidRDefault="00817AAC" w:rsidP="00817AAC">
            <w:pPr>
              <w:pStyle w:val="TableText"/>
            </w:pPr>
            <w:r w:rsidRPr="00B302B7">
              <w:t xml:space="preserve">P&amp;C to deliver </w:t>
            </w:r>
            <w:r w:rsidR="0029139F" w:rsidRPr="00B302B7">
              <w:t>six</w:t>
            </w:r>
            <w:r w:rsidRPr="00B302B7">
              <w:t xml:space="preserve">-monthly status updates to leadership teams regarding business group diversity </w:t>
            </w:r>
            <w:r w:rsidR="0082481B" w:rsidRPr="00B302B7">
              <w:t>landscape</w:t>
            </w:r>
            <w:r w:rsidR="001C4761" w:rsidRPr="00B302B7">
              <w:t xml:space="preserve"> and facilitate </w:t>
            </w:r>
            <w:r w:rsidR="003C7242" w:rsidRPr="00B302B7">
              <w:t>local action planning with leaders around increasing diversity</w:t>
            </w:r>
            <w:r w:rsidR="0082481B" w:rsidRPr="00B302B7">
              <w:t>.</w:t>
            </w:r>
          </w:p>
        </w:tc>
      </w:tr>
      <w:tr w:rsidR="00817AAC" w:rsidRPr="00B302B7" w14:paraId="5915CFF9" w14:textId="77777777" w:rsidTr="00F20FB9">
        <w:tc>
          <w:tcPr>
            <w:tcW w:w="596" w:type="dxa"/>
          </w:tcPr>
          <w:p w14:paraId="15D8A873" w14:textId="77777777" w:rsidR="00817AAC" w:rsidRPr="00B302B7" w:rsidRDefault="00817AAC" w:rsidP="00817AAC">
            <w:pPr>
              <w:pStyle w:val="TableText"/>
            </w:pPr>
          </w:p>
        </w:tc>
        <w:tc>
          <w:tcPr>
            <w:tcW w:w="7909" w:type="dxa"/>
          </w:tcPr>
          <w:p w14:paraId="33C2F3F5" w14:textId="3701CC9C" w:rsidR="00817AAC" w:rsidRPr="00B302B7" w:rsidRDefault="00817AAC" w:rsidP="00817AAC">
            <w:pPr>
              <w:pStyle w:val="TableText"/>
            </w:pPr>
            <w:r w:rsidRPr="00B302B7">
              <w:t xml:space="preserve">P&amp;C to deliver </w:t>
            </w:r>
            <w:r w:rsidR="0055228C" w:rsidRPr="00B302B7">
              <w:t>six</w:t>
            </w:r>
            <w:r w:rsidRPr="00B302B7">
              <w:t xml:space="preserve">-monthly status updates to PSA and employee-led networks on organisational diversity </w:t>
            </w:r>
            <w:r w:rsidR="006A7B95" w:rsidRPr="00B302B7">
              <w:t>landscape and</w:t>
            </w:r>
            <w:r w:rsidR="003C7242" w:rsidRPr="00B302B7">
              <w:t xml:space="preserve"> consider </w:t>
            </w:r>
            <w:r w:rsidR="006A7B95" w:rsidRPr="00B302B7">
              <w:t xml:space="preserve">how any feedback should be incorporated to Diversity, </w:t>
            </w:r>
            <w:proofErr w:type="gramStart"/>
            <w:r w:rsidR="006A7B95" w:rsidRPr="00B302B7">
              <w:t>Equity</w:t>
            </w:r>
            <w:proofErr w:type="gramEnd"/>
            <w:r w:rsidR="006A7B95" w:rsidRPr="00B302B7">
              <w:t xml:space="preserve"> and Inclusion work program</w:t>
            </w:r>
            <w:r w:rsidR="00060A7F" w:rsidRPr="00B302B7">
              <w:t>.</w:t>
            </w:r>
          </w:p>
        </w:tc>
      </w:tr>
      <w:tr w:rsidR="006B7C7B" w:rsidRPr="00B302B7" w14:paraId="7ED629D5" w14:textId="77777777" w:rsidTr="00F20FB9">
        <w:tc>
          <w:tcPr>
            <w:tcW w:w="596" w:type="dxa"/>
          </w:tcPr>
          <w:p w14:paraId="270EBCEF" w14:textId="77777777" w:rsidR="006B7C7B" w:rsidRPr="00B302B7" w:rsidRDefault="006B7C7B" w:rsidP="00817AAC">
            <w:pPr>
              <w:pStyle w:val="TableText"/>
            </w:pPr>
          </w:p>
        </w:tc>
        <w:tc>
          <w:tcPr>
            <w:tcW w:w="7909" w:type="dxa"/>
          </w:tcPr>
          <w:p w14:paraId="7B72D158" w14:textId="6E517AE9" w:rsidR="006B7C7B" w:rsidRPr="00B302B7" w:rsidRDefault="00C97CC2" w:rsidP="00817AAC">
            <w:pPr>
              <w:pStyle w:val="TableText"/>
            </w:pPr>
            <w:r w:rsidRPr="00B302B7">
              <w:rPr>
                <w:lang w:val="en-US"/>
              </w:rPr>
              <w:t xml:space="preserve">Tui </w:t>
            </w:r>
            <w:proofErr w:type="spellStart"/>
            <w:r w:rsidRPr="00B302B7">
              <w:rPr>
                <w:lang w:val="en-US"/>
              </w:rPr>
              <w:t>Raumata</w:t>
            </w:r>
            <w:proofErr w:type="spellEnd"/>
            <w:r w:rsidRPr="00B302B7">
              <w:rPr>
                <w:i/>
                <w:iCs/>
                <w:lang w:val="en-US"/>
              </w:rPr>
              <w:t xml:space="preserve"> </w:t>
            </w:r>
            <w:r w:rsidRPr="00B302B7">
              <w:rPr>
                <w:lang w:val="en-US"/>
              </w:rPr>
              <w:t>work program on track </w:t>
            </w:r>
          </w:p>
        </w:tc>
      </w:tr>
      <w:tr w:rsidR="006B7C7B" w:rsidRPr="00B302B7" w14:paraId="29E7CDD2" w14:textId="77777777" w:rsidTr="00F20FB9">
        <w:tc>
          <w:tcPr>
            <w:tcW w:w="596" w:type="dxa"/>
          </w:tcPr>
          <w:p w14:paraId="009BD460" w14:textId="77777777" w:rsidR="006B7C7B" w:rsidRPr="00B302B7" w:rsidRDefault="006B7C7B" w:rsidP="00817AAC">
            <w:pPr>
              <w:pStyle w:val="TableText"/>
            </w:pPr>
          </w:p>
        </w:tc>
        <w:tc>
          <w:tcPr>
            <w:tcW w:w="7909" w:type="dxa"/>
          </w:tcPr>
          <w:p w14:paraId="752F128E" w14:textId="2D593AE1" w:rsidR="006B7C7B" w:rsidRPr="00B302B7" w:rsidRDefault="00004546" w:rsidP="00817AAC">
            <w:pPr>
              <w:pStyle w:val="TableText"/>
            </w:pPr>
            <w:r w:rsidRPr="00B302B7">
              <w:rPr>
                <w:lang w:val="en-US"/>
              </w:rPr>
              <w:t>P&amp;C work with Tagata Moana, the Ministry's Pacific Peoples' Network to understand and address barriers to entry for Pacific Peoples, and build out a clear strategy for attracting Pacific Peoples to the Ministry</w:t>
            </w:r>
          </w:p>
        </w:tc>
      </w:tr>
      <w:tr w:rsidR="00817AAC" w:rsidRPr="00B302B7" w14:paraId="3BF8D6AB" w14:textId="77777777">
        <w:trPr>
          <w:tblHeader/>
        </w:trPr>
        <w:tc>
          <w:tcPr>
            <w:tcW w:w="8505" w:type="dxa"/>
            <w:gridSpan w:val="2"/>
            <w:shd w:val="clear" w:color="auto" w:fill="1B556B"/>
          </w:tcPr>
          <w:p w14:paraId="14091860" w14:textId="618E6549" w:rsidR="00817AAC" w:rsidRPr="00B302B7" w:rsidRDefault="00817AAC">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 xml:space="preserve">November </w:t>
            </w:r>
            <w:r w:rsidRPr="00B302B7">
              <w:rPr>
                <w:color w:val="FFFFFF" w:themeColor="background1"/>
              </w:rPr>
              <w:t>2024</w:t>
            </w:r>
          </w:p>
        </w:tc>
      </w:tr>
      <w:tr w:rsidR="00817AAC" w:rsidRPr="00B302B7" w14:paraId="1D8459DE" w14:textId="77777777" w:rsidTr="00F20FB9">
        <w:tc>
          <w:tcPr>
            <w:tcW w:w="596" w:type="dxa"/>
          </w:tcPr>
          <w:p w14:paraId="54503603" w14:textId="77777777" w:rsidR="00817AAC" w:rsidRPr="00B302B7" w:rsidRDefault="00817AAC" w:rsidP="00817AAC">
            <w:pPr>
              <w:pStyle w:val="TableText"/>
            </w:pPr>
          </w:p>
        </w:tc>
        <w:tc>
          <w:tcPr>
            <w:tcW w:w="7909" w:type="dxa"/>
          </w:tcPr>
          <w:p w14:paraId="2434ED67" w14:textId="06915597" w:rsidR="00817AAC" w:rsidRPr="00B302B7" w:rsidRDefault="00817AAC" w:rsidP="00817AAC">
            <w:pPr>
              <w:pStyle w:val="TableText"/>
            </w:pPr>
            <w:r w:rsidRPr="00B302B7">
              <w:t xml:space="preserve">P&amp;C to clearly articulate and deliver a robust leadership development offering </w:t>
            </w:r>
            <w:r w:rsidR="00824191" w:rsidRPr="00B302B7">
              <w:t xml:space="preserve">to support future leaders </w:t>
            </w:r>
            <w:r w:rsidR="00CE6F85" w:rsidRPr="00B302B7">
              <w:t xml:space="preserve">of </w:t>
            </w:r>
            <w:r w:rsidR="00824191" w:rsidRPr="00B302B7">
              <w:t>diverse ethnicities</w:t>
            </w:r>
            <w:r w:rsidRPr="00B302B7">
              <w:t>, underpinned by leadership expectations, capability framework and career pathways projects</w:t>
            </w:r>
            <w:r w:rsidR="00CE6F85" w:rsidRPr="00B302B7">
              <w:t>.</w:t>
            </w:r>
          </w:p>
        </w:tc>
      </w:tr>
      <w:tr w:rsidR="00817AAC" w:rsidRPr="00B302B7" w14:paraId="7989A040" w14:textId="77777777" w:rsidTr="00F20FB9">
        <w:tc>
          <w:tcPr>
            <w:tcW w:w="596" w:type="dxa"/>
          </w:tcPr>
          <w:p w14:paraId="79785E21" w14:textId="77777777" w:rsidR="00817AAC" w:rsidRPr="00B302B7" w:rsidRDefault="00817AAC" w:rsidP="00817AAC">
            <w:pPr>
              <w:pStyle w:val="TableText"/>
            </w:pPr>
          </w:p>
        </w:tc>
        <w:tc>
          <w:tcPr>
            <w:tcW w:w="7909" w:type="dxa"/>
          </w:tcPr>
          <w:p w14:paraId="19C018F1" w14:textId="6D5B1C0B" w:rsidR="00817AAC" w:rsidRPr="00B302B7" w:rsidRDefault="00935153" w:rsidP="00817AAC">
            <w:pPr>
              <w:pStyle w:val="TableText"/>
            </w:pPr>
            <w:r w:rsidRPr="00B302B7">
              <w:t>Review the t</w:t>
            </w:r>
            <w:r w:rsidR="00817AAC" w:rsidRPr="00B302B7">
              <w:t xml:space="preserve">alent identification process from a diversity </w:t>
            </w:r>
            <w:r w:rsidR="00CE6F85" w:rsidRPr="00B302B7">
              <w:t>perspective and</w:t>
            </w:r>
            <w:r w:rsidRPr="00B302B7">
              <w:t xml:space="preserve"> make </w:t>
            </w:r>
            <w:r w:rsidR="00817AAC" w:rsidRPr="00B302B7">
              <w:t>recommendations</w:t>
            </w:r>
            <w:r w:rsidRPr="00B302B7">
              <w:t>.</w:t>
            </w:r>
          </w:p>
        </w:tc>
      </w:tr>
      <w:tr w:rsidR="00817AAC" w:rsidRPr="00B302B7" w14:paraId="2014A346" w14:textId="77777777" w:rsidTr="00F20FB9">
        <w:tc>
          <w:tcPr>
            <w:tcW w:w="596" w:type="dxa"/>
          </w:tcPr>
          <w:p w14:paraId="781DB1DE" w14:textId="77777777" w:rsidR="00817AAC" w:rsidRPr="00B302B7" w:rsidRDefault="00817AAC" w:rsidP="00817AAC">
            <w:pPr>
              <w:pStyle w:val="TableText"/>
            </w:pPr>
          </w:p>
        </w:tc>
        <w:tc>
          <w:tcPr>
            <w:tcW w:w="7909" w:type="dxa"/>
          </w:tcPr>
          <w:p w14:paraId="263D7DED" w14:textId="1DCC06DC" w:rsidR="00817AAC" w:rsidRPr="00B302B7" w:rsidRDefault="00817AAC" w:rsidP="00817AAC">
            <w:pPr>
              <w:pStyle w:val="TableText"/>
            </w:pPr>
            <w:r w:rsidRPr="00B302B7">
              <w:t xml:space="preserve"> Ministry establishes metrics around </w:t>
            </w:r>
            <w:r w:rsidR="00BC26C4" w:rsidRPr="00B302B7">
              <w:t>t</w:t>
            </w:r>
            <w:r w:rsidRPr="00B302B7">
              <w:t>alent and career progression with a diversity lens</w:t>
            </w:r>
            <w:r w:rsidR="00BC26C4" w:rsidRPr="00B302B7">
              <w:t>.</w:t>
            </w:r>
            <w:r w:rsidRPr="00B302B7">
              <w:t xml:space="preserve"> </w:t>
            </w:r>
          </w:p>
        </w:tc>
      </w:tr>
    </w:tbl>
    <w:p w14:paraId="2FD5BB20" w14:textId="77777777" w:rsidR="00817AAC" w:rsidRPr="00B302B7" w:rsidRDefault="00817AAC" w:rsidP="00260165">
      <w:pPr>
        <w:pStyle w:val="Heading4"/>
      </w:pPr>
      <w:r w:rsidRPr="00B302B7">
        <w:t xml:space="preserve">What will success look like? </w:t>
      </w:r>
    </w:p>
    <w:p w14:paraId="00672EB8" w14:textId="7ABF8768" w:rsidR="00817AAC" w:rsidRPr="00B302B7" w:rsidRDefault="00817AAC" w:rsidP="00260165">
      <w:pPr>
        <w:pStyle w:val="Bullet"/>
        <w:spacing w:before="240"/>
      </w:pPr>
      <w:r w:rsidRPr="00B302B7">
        <w:t>Reduced ethnic and gender pay gaps due to the reduction of occupational segregation</w:t>
      </w:r>
      <w:r w:rsidR="008B0863" w:rsidRPr="00B302B7">
        <w:t>.</w:t>
      </w:r>
    </w:p>
    <w:p w14:paraId="1177EF49" w14:textId="54D5DF4E" w:rsidR="00817AAC" w:rsidRPr="00B302B7" w:rsidRDefault="00817AAC" w:rsidP="00573FBF">
      <w:pPr>
        <w:pStyle w:val="Bullet"/>
      </w:pPr>
      <w:r w:rsidRPr="00B302B7">
        <w:t>Maintain strong female representation in leadership (Tiers 1-4)</w:t>
      </w:r>
      <w:r w:rsidR="009C3B3B" w:rsidRPr="00B302B7">
        <w:t>.</w:t>
      </w:r>
      <w:r w:rsidRPr="00B302B7">
        <w:t xml:space="preserve"> </w:t>
      </w:r>
    </w:p>
    <w:p w14:paraId="41237DF7" w14:textId="28346C81" w:rsidR="00817AAC" w:rsidRPr="00B302B7" w:rsidRDefault="00817AAC" w:rsidP="00573FBF">
      <w:pPr>
        <w:pStyle w:val="Bullet"/>
      </w:pPr>
      <w:r w:rsidRPr="00B302B7">
        <w:t>Better representation of ethnicities across leadership</w:t>
      </w:r>
      <w:r w:rsidR="009C3B3B" w:rsidRPr="00B302B7">
        <w:t>.</w:t>
      </w:r>
      <w:r w:rsidRPr="00B302B7">
        <w:t xml:space="preserve"> </w:t>
      </w:r>
    </w:p>
    <w:p w14:paraId="09A448A7" w14:textId="41632234" w:rsidR="00817AAC" w:rsidRPr="00B302B7" w:rsidRDefault="00817AAC" w:rsidP="00573FBF">
      <w:pPr>
        <w:pStyle w:val="Bullet"/>
      </w:pPr>
      <w:r w:rsidRPr="00B302B7">
        <w:t xml:space="preserve">A clear method of identifying and supporting future leaders from </w:t>
      </w:r>
      <w:r w:rsidR="00FC1800" w:rsidRPr="00B302B7">
        <w:t>diverse ethnic</w:t>
      </w:r>
      <w:r w:rsidRPr="00B302B7">
        <w:t xml:space="preserve"> backgrounds to fulfil their leadership potential</w:t>
      </w:r>
      <w:r w:rsidR="006C333F" w:rsidRPr="00B302B7">
        <w:t>.</w:t>
      </w:r>
      <w:r w:rsidRPr="00B302B7">
        <w:t xml:space="preserve"> </w:t>
      </w:r>
    </w:p>
    <w:p w14:paraId="3B5F2B4D" w14:textId="77777777" w:rsidR="00817AAC" w:rsidRPr="00B302B7" w:rsidRDefault="00817AAC">
      <w:pPr>
        <w:spacing w:before="0" w:after="200" w:line="276" w:lineRule="auto"/>
        <w:jc w:val="left"/>
        <w:rPr>
          <w:rFonts w:eastAsia="Times New Roman" w:cs="Times New Roman"/>
          <w:szCs w:val="20"/>
        </w:rPr>
      </w:pPr>
      <w:r w:rsidRPr="00B302B7">
        <w:br w:type="page"/>
      </w:r>
    </w:p>
    <w:p w14:paraId="6D6A6B15" w14:textId="5B6E6944" w:rsidR="00817AAC" w:rsidRPr="00B302B7" w:rsidRDefault="00817AAC" w:rsidP="00260165">
      <w:pPr>
        <w:pStyle w:val="Heading3"/>
      </w:pPr>
      <w:bookmarkStart w:id="33" w:name="_Te_whakawhanaketanga_i"/>
      <w:bookmarkEnd w:id="33"/>
      <w:r w:rsidRPr="00B302B7">
        <w:lastRenderedPageBreak/>
        <w:t>Te</w:t>
      </w:r>
      <w:r w:rsidR="00573FBF" w:rsidRPr="00B302B7">
        <w:t xml:space="preserve"> </w:t>
      </w:r>
      <w:proofErr w:type="spellStart"/>
      <w:r w:rsidR="006C333F" w:rsidRPr="00B302B7">
        <w:t>w</w:t>
      </w:r>
      <w:r w:rsidRPr="00B302B7">
        <w:t>hakawhanaketanga</w:t>
      </w:r>
      <w:proofErr w:type="spellEnd"/>
      <w:r w:rsidR="00573FBF" w:rsidRPr="00B302B7">
        <w:t xml:space="preserve"> </w:t>
      </w:r>
      <w:proofErr w:type="spellStart"/>
      <w:r w:rsidRPr="00B302B7">
        <w:t>i</w:t>
      </w:r>
      <w:proofErr w:type="spellEnd"/>
      <w:r w:rsidR="00573FBF" w:rsidRPr="00B302B7">
        <w:t xml:space="preserve"> </w:t>
      </w:r>
      <w:r w:rsidRPr="00B302B7">
        <w:t>te</w:t>
      </w:r>
      <w:r w:rsidR="00573FBF" w:rsidRPr="00B302B7">
        <w:t xml:space="preserve"> </w:t>
      </w:r>
      <w:proofErr w:type="spellStart"/>
      <w:r w:rsidR="006C333F" w:rsidRPr="00B302B7">
        <w:t>a</w:t>
      </w:r>
      <w:r w:rsidRPr="00B302B7">
        <w:t>ramahi</w:t>
      </w:r>
      <w:proofErr w:type="spellEnd"/>
      <w:r w:rsidR="00573FBF" w:rsidRPr="00B302B7">
        <w:t xml:space="preserve"> </w:t>
      </w:r>
      <w:r w:rsidRPr="00B302B7">
        <w:t xml:space="preserve">– Effective career and leadership development </w:t>
      </w:r>
    </w:p>
    <w:p w14:paraId="0914A183" w14:textId="77777777" w:rsidR="00817AAC" w:rsidRPr="00B302B7" w:rsidRDefault="00817AAC" w:rsidP="00817AAC">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817AAC" w:rsidRPr="00B302B7" w14:paraId="3D256BBA" w14:textId="77777777">
        <w:trPr>
          <w:tblHeader/>
        </w:trPr>
        <w:tc>
          <w:tcPr>
            <w:tcW w:w="8505" w:type="dxa"/>
            <w:gridSpan w:val="2"/>
            <w:shd w:val="clear" w:color="auto" w:fill="1B556B"/>
            <w:vAlign w:val="center"/>
          </w:tcPr>
          <w:p w14:paraId="7784CFD1" w14:textId="77777777" w:rsidR="00817AAC" w:rsidRPr="00B302B7" w:rsidRDefault="00817AAC">
            <w:pPr>
              <w:pStyle w:val="TableTextbold"/>
              <w:rPr>
                <w:color w:val="FFFFFF" w:themeColor="background1"/>
              </w:rPr>
            </w:pPr>
            <w:r w:rsidRPr="00B302B7">
              <w:rPr>
                <w:color w:val="FFFFFF" w:themeColor="background1"/>
              </w:rPr>
              <w:t>Milestones</w:t>
            </w:r>
          </w:p>
        </w:tc>
      </w:tr>
      <w:tr w:rsidR="00817AAC" w:rsidRPr="00B302B7" w14:paraId="400F6882" w14:textId="77777777" w:rsidTr="00F20FB9">
        <w:tc>
          <w:tcPr>
            <w:tcW w:w="596" w:type="dxa"/>
            <w:shd w:val="clear" w:color="auto" w:fill="auto"/>
          </w:tcPr>
          <w:p w14:paraId="5FA2A080" w14:textId="77777777" w:rsidR="00817AAC" w:rsidRPr="00B302B7" w:rsidRDefault="00817AAC">
            <w:pPr>
              <w:pStyle w:val="TableText"/>
            </w:pPr>
          </w:p>
        </w:tc>
        <w:tc>
          <w:tcPr>
            <w:tcW w:w="7909" w:type="dxa"/>
            <w:shd w:val="clear" w:color="auto" w:fill="auto"/>
          </w:tcPr>
          <w:p w14:paraId="7CF437D9" w14:textId="2884D1A3" w:rsidR="00817AAC" w:rsidRPr="00B302B7" w:rsidRDefault="00817AAC" w:rsidP="00817AAC">
            <w:pPr>
              <w:pStyle w:val="TableText"/>
            </w:pPr>
            <w:r w:rsidRPr="00B302B7">
              <w:t xml:space="preserve">By </w:t>
            </w:r>
            <w:proofErr w:type="spellStart"/>
            <w:r w:rsidRPr="00B302B7">
              <w:t>mid 2023</w:t>
            </w:r>
            <w:proofErr w:type="spellEnd"/>
            <w:r w:rsidRPr="00B302B7">
              <w:t xml:space="preserve"> agencies/entities have career pathways and equitable</w:t>
            </w:r>
            <w:r w:rsidR="0073353E" w:rsidRPr="00B302B7">
              <w:t xml:space="preserve"> </w:t>
            </w:r>
            <w:r w:rsidRPr="00B302B7">
              <w:t xml:space="preserve">progression opportunities that support women, Māori, Pacific </w:t>
            </w:r>
            <w:r w:rsidR="009870C0" w:rsidRPr="00B302B7">
              <w:t xml:space="preserve">and </w:t>
            </w:r>
            <w:r w:rsidRPr="00B302B7">
              <w:t>ethnic employees to achieve their career aspirations</w:t>
            </w:r>
            <w:r w:rsidR="00236582" w:rsidRPr="00B302B7">
              <w:t>.</w:t>
            </w:r>
          </w:p>
        </w:tc>
      </w:tr>
      <w:tr w:rsidR="00817AAC" w:rsidRPr="00B302B7" w14:paraId="160CE016" w14:textId="77777777">
        <w:trPr>
          <w:tblHeader/>
        </w:trPr>
        <w:tc>
          <w:tcPr>
            <w:tcW w:w="8505" w:type="dxa"/>
            <w:gridSpan w:val="2"/>
            <w:shd w:val="clear" w:color="auto" w:fill="1B556B"/>
          </w:tcPr>
          <w:p w14:paraId="69239B62" w14:textId="60260CB3" w:rsidR="00817AAC" w:rsidRPr="00B302B7" w:rsidRDefault="00A21850">
            <w:pPr>
              <w:pStyle w:val="TableTextbold"/>
              <w:rPr>
                <w:color w:val="FFFFFF" w:themeColor="background1"/>
              </w:rPr>
            </w:pPr>
            <w:r w:rsidRPr="00B302B7">
              <w:rPr>
                <w:color w:val="FFFFFF" w:themeColor="background1"/>
              </w:rPr>
              <w:t xml:space="preserve">Our </w:t>
            </w:r>
            <w:proofErr w:type="gramStart"/>
            <w:r w:rsidRPr="00B302B7">
              <w:rPr>
                <w:color w:val="FFFFFF" w:themeColor="background1"/>
              </w:rPr>
              <w:t>c</w:t>
            </w:r>
            <w:r w:rsidR="00817AAC" w:rsidRPr="00B302B7">
              <w:rPr>
                <w:color w:val="FFFFFF" w:themeColor="background1"/>
              </w:rPr>
              <w:t xml:space="preserve">urrent </w:t>
            </w:r>
            <w:r w:rsidRPr="00B302B7">
              <w:rPr>
                <w:color w:val="FFFFFF" w:themeColor="background1"/>
              </w:rPr>
              <w:t>s</w:t>
            </w:r>
            <w:r w:rsidR="00817AAC" w:rsidRPr="00B302B7">
              <w:rPr>
                <w:color w:val="FFFFFF" w:themeColor="background1"/>
              </w:rPr>
              <w:t>tatus</w:t>
            </w:r>
            <w:proofErr w:type="gramEnd"/>
            <w:r w:rsidR="00817AAC" w:rsidRPr="00B302B7">
              <w:rPr>
                <w:color w:val="FFFFFF" w:themeColor="background1"/>
              </w:rPr>
              <w:t xml:space="preserve"> </w:t>
            </w:r>
          </w:p>
        </w:tc>
      </w:tr>
      <w:tr w:rsidR="00817AAC" w:rsidRPr="00B302B7" w14:paraId="4F10B27D" w14:textId="77777777" w:rsidTr="00F20FB9">
        <w:tc>
          <w:tcPr>
            <w:tcW w:w="596" w:type="dxa"/>
          </w:tcPr>
          <w:p w14:paraId="06FD6B89" w14:textId="77777777" w:rsidR="00817AAC" w:rsidRPr="00B302B7" w:rsidRDefault="00817AAC" w:rsidP="00817AAC">
            <w:pPr>
              <w:pStyle w:val="TableText"/>
            </w:pPr>
          </w:p>
        </w:tc>
        <w:tc>
          <w:tcPr>
            <w:tcW w:w="7909" w:type="dxa"/>
          </w:tcPr>
          <w:p w14:paraId="43131B72" w14:textId="41173CAD" w:rsidR="00817AAC" w:rsidRPr="00B302B7" w:rsidRDefault="00817AAC" w:rsidP="00817AAC">
            <w:pPr>
              <w:pStyle w:val="TableText"/>
            </w:pPr>
            <w:r w:rsidRPr="00B302B7">
              <w:t xml:space="preserve">We have launched leadership expectations which begin to set common standards for </w:t>
            </w:r>
            <w:r w:rsidR="00A21850" w:rsidRPr="00B302B7">
              <w:t xml:space="preserve">individual </w:t>
            </w:r>
            <w:r w:rsidRPr="00B302B7">
              <w:t xml:space="preserve">contributors, </w:t>
            </w:r>
            <w:proofErr w:type="gramStart"/>
            <w:r w:rsidRPr="00B302B7">
              <w:t>leaders</w:t>
            </w:r>
            <w:proofErr w:type="gramEnd"/>
            <w:r w:rsidRPr="00B302B7">
              <w:t xml:space="preserve"> and senior leaders</w:t>
            </w:r>
            <w:r w:rsidR="00211FF1" w:rsidRPr="00B302B7">
              <w:t>.</w:t>
            </w:r>
          </w:p>
        </w:tc>
      </w:tr>
      <w:tr w:rsidR="00817AAC" w:rsidRPr="00B302B7" w14:paraId="4BE98B09" w14:textId="77777777" w:rsidTr="00F20FB9">
        <w:tc>
          <w:tcPr>
            <w:tcW w:w="596" w:type="dxa"/>
          </w:tcPr>
          <w:p w14:paraId="4E9C4997" w14:textId="77777777" w:rsidR="00817AAC" w:rsidRPr="00B302B7" w:rsidRDefault="00817AAC" w:rsidP="00817AAC">
            <w:pPr>
              <w:pStyle w:val="TableText"/>
            </w:pPr>
          </w:p>
        </w:tc>
        <w:tc>
          <w:tcPr>
            <w:tcW w:w="7909" w:type="dxa"/>
          </w:tcPr>
          <w:p w14:paraId="5CBFFA13" w14:textId="689EC827" w:rsidR="00817AAC" w:rsidRPr="00B302B7" w:rsidRDefault="00817AAC" w:rsidP="00817AAC">
            <w:pPr>
              <w:pStyle w:val="TableText"/>
            </w:pPr>
            <w:r w:rsidRPr="00B302B7">
              <w:t>We have included a diversity lens on our selection panel for Aspiring Leaders and New People Leaders program</w:t>
            </w:r>
            <w:r w:rsidR="00356E67" w:rsidRPr="00B302B7">
              <w:t>me</w:t>
            </w:r>
            <w:r w:rsidRPr="00B302B7">
              <w:t>s</w:t>
            </w:r>
            <w:r w:rsidR="00356E67" w:rsidRPr="00B302B7">
              <w:t>.</w:t>
            </w:r>
          </w:p>
        </w:tc>
      </w:tr>
      <w:tr w:rsidR="00817AAC" w:rsidRPr="00B302B7" w14:paraId="1A644096" w14:textId="77777777" w:rsidTr="00F20FB9">
        <w:tc>
          <w:tcPr>
            <w:tcW w:w="596" w:type="dxa"/>
          </w:tcPr>
          <w:p w14:paraId="77EA27E4" w14:textId="77777777" w:rsidR="00817AAC" w:rsidRPr="00B302B7" w:rsidRDefault="00817AAC" w:rsidP="00817AAC">
            <w:pPr>
              <w:pStyle w:val="TableText"/>
            </w:pPr>
          </w:p>
        </w:tc>
        <w:tc>
          <w:tcPr>
            <w:tcW w:w="7909" w:type="dxa"/>
          </w:tcPr>
          <w:p w14:paraId="6D09573A" w14:textId="7E1B27B1" w:rsidR="00817AAC" w:rsidRPr="00B302B7" w:rsidRDefault="00817AAC" w:rsidP="00817AAC">
            <w:pPr>
              <w:pStyle w:val="TableText"/>
            </w:pPr>
            <w:r w:rsidRPr="00B302B7">
              <w:t xml:space="preserve">We have commenced design and implementation of a strategic workforce planning approach which gives us clarity around the key skills, </w:t>
            </w:r>
            <w:proofErr w:type="gramStart"/>
            <w:r w:rsidRPr="00B302B7">
              <w:t>capabilities</w:t>
            </w:r>
            <w:proofErr w:type="gramEnd"/>
            <w:r w:rsidRPr="00B302B7">
              <w:t xml:space="preserve"> and roles the Ministry will need into the future, thereby informing career pathways</w:t>
            </w:r>
            <w:r w:rsidR="00B71F38" w:rsidRPr="00B302B7">
              <w:t>.</w:t>
            </w:r>
            <w:r w:rsidRPr="00B302B7">
              <w:t xml:space="preserve"> </w:t>
            </w:r>
          </w:p>
        </w:tc>
      </w:tr>
      <w:tr w:rsidR="00817AAC" w:rsidRPr="00B302B7" w14:paraId="7A1E0BC5" w14:textId="77777777" w:rsidTr="00F20FB9">
        <w:tc>
          <w:tcPr>
            <w:tcW w:w="596" w:type="dxa"/>
          </w:tcPr>
          <w:p w14:paraId="4730F33A" w14:textId="77777777" w:rsidR="00817AAC" w:rsidRPr="00B302B7" w:rsidRDefault="00817AAC" w:rsidP="00817AAC">
            <w:pPr>
              <w:pStyle w:val="TableText"/>
            </w:pPr>
          </w:p>
        </w:tc>
        <w:tc>
          <w:tcPr>
            <w:tcW w:w="7909" w:type="dxa"/>
          </w:tcPr>
          <w:p w14:paraId="3BEFD07C" w14:textId="2CD0BEC6" w:rsidR="00817AAC" w:rsidRPr="00B302B7" w:rsidRDefault="00817AAC" w:rsidP="00817AAC">
            <w:pPr>
              <w:pStyle w:val="TableText"/>
            </w:pPr>
            <w:r w:rsidRPr="00B302B7">
              <w:t>We have provided a pilot leadership coaching program</w:t>
            </w:r>
            <w:r w:rsidR="001B7BDA" w:rsidRPr="00B302B7">
              <w:t>me</w:t>
            </w:r>
            <w:r w:rsidRPr="00B302B7">
              <w:t xml:space="preserve"> to </w:t>
            </w:r>
            <w:r w:rsidR="00DC4856" w:rsidRPr="00B302B7">
              <w:t>employee-led network leads.</w:t>
            </w:r>
          </w:p>
        </w:tc>
      </w:tr>
      <w:tr w:rsidR="00817AAC" w:rsidRPr="00B302B7" w14:paraId="6D2D9F5C" w14:textId="77777777" w:rsidTr="00F20FB9">
        <w:tc>
          <w:tcPr>
            <w:tcW w:w="596" w:type="dxa"/>
          </w:tcPr>
          <w:p w14:paraId="184930BB" w14:textId="77777777" w:rsidR="00817AAC" w:rsidRPr="00B302B7" w:rsidRDefault="00817AAC" w:rsidP="00817AAC">
            <w:pPr>
              <w:pStyle w:val="TableText"/>
            </w:pPr>
          </w:p>
        </w:tc>
        <w:tc>
          <w:tcPr>
            <w:tcW w:w="7909" w:type="dxa"/>
          </w:tcPr>
          <w:p w14:paraId="4ADF2224" w14:textId="71D86CA6" w:rsidR="00817AAC" w:rsidRPr="00B302B7" w:rsidRDefault="00817AAC" w:rsidP="00817AAC">
            <w:pPr>
              <w:pStyle w:val="TableText"/>
            </w:pPr>
            <w:r w:rsidRPr="00B302B7">
              <w:t>We support participation in the</w:t>
            </w:r>
            <w:r w:rsidR="002F28DD" w:rsidRPr="00B302B7">
              <w:t xml:space="preserve"> Te Puni </w:t>
            </w:r>
            <w:proofErr w:type="spellStart"/>
            <w:r w:rsidR="002F28DD" w:rsidRPr="00B302B7">
              <w:t>Kōkiri</w:t>
            </w:r>
            <w:proofErr w:type="spellEnd"/>
            <w:r w:rsidRPr="00B302B7">
              <w:t xml:space="preserve"> Māori Emerging Leaders’ Program</w:t>
            </w:r>
            <w:r w:rsidR="001B7BDA" w:rsidRPr="00B302B7">
              <w:t>me</w:t>
            </w:r>
            <w:r w:rsidR="00D62E3E" w:rsidRPr="00B302B7">
              <w:t>.</w:t>
            </w:r>
            <w:r w:rsidRPr="00B302B7">
              <w:t xml:space="preserve"> </w:t>
            </w:r>
          </w:p>
        </w:tc>
      </w:tr>
      <w:tr w:rsidR="00817AAC" w:rsidRPr="00B302B7" w14:paraId="59F95442" w14:textId="77777777" w:rsidTr="00F20FB9">
        <w:tc>
          <w:tcPr>
            <w:tcW w:w="596" w:type="dxa"/>
          </w:tcPr>
          <w:p w14:paraId="40DCC1A1" w14:textId="77777777" w:rsidR="00817AAC" w:rsidRPr="00B302B7" w:rsidRDefault="00817AAC" w:rsidP="00817AAC">
            <w:pPr>
              <w:pStyle w:val="TableText"/>
            </w:pPr>
          </w:p>
        </w:tc>
        <w:tc>
          <w:tcPr>
            <w:tcW w:w="7909" w:type="dxa"/>
          </w:tcPr>
          <w:p w14:paraId="6FFD0D6F" w14:textId="74396DF1" w:rsidR="00817AAC" w:rsidRPr="00B302B7" w:rsidRDefault="00817AAC" w:rsidP="00817AAC">
            <w:pPr>
              <w:pStyle w:val="TableText"/>
            </w:pPr>
            <w:r w:rsidRPr="00B302B7">
              <w:t xml:space="preserve">We have implemented a new leader </w:t>
            </w:r>
            <w:proofErr w:type="spellStart"/>
            <w:r w:rsidRPr="00B302B7">
              <w:t>tuakana</w:t>
            </w:r>
            <w:proofErr w:type="spellEnd"/>
            <w:r w:rsidRPr="00B302B7">
              <w:t xml:space="preserve"> program</w:t>
            </w:r>
            <w:r w:rsidR="001B7BDA" w:rsidRPr="00B302B7">
              <w:t>me</w:t>
            </w:r>
            <w:r w:rsidRPr="00B302B7">
              <w:t xml:space="preserve"> to support those transitioning into leadership</w:t>
            </w:r>
            <w:r w:rsidR="00D62E3E" w:rsidRPr="00B302B7">
              <w:t>.</w:t>
            </w:r>
            <w:r w:rsidRPr="00B302B7">
              <w:t xml:space="preserve"> </w:t>
            </w:r>
          </w:p>
        </w:tc>
      </w:tr>
      <w:tr w:rsidR="00817AAC" w:rsidRPr="00B302B7" w14:paraId="63B129CC" w14:textId="77777777" w:rsidTr="00F20FB9">
        <w:tc>
          <w:tcPr>
            <w:tcW w:w="596" w:type="dxa"/>
          </w:tcPr>
          <w:p w14:paraId="4874ED5A" w14:textId="77777777" w:rsidR="00817AAC" w:rsidRPr="00B302B7" w:rsidRDefault="00817AAC" w:rsidP="00817AAC">
            <w:pPr>
              <w:pStyle w:val="TableText"/>
            </w:pPr>
          </w:p>
        </w:tc>
        <w:tc>
          <w:tcPr>
            <w:tcW w:w="7909" w:type="dxa"/>
          </w:tcPr>
          <w:p w14:paraId="48C25E87" w14:textId="36655336" w:rsidR="00817AAC" w:rsidRPr="00B302B7" w:rsidRDefault="00817AAC" w:rsidP="00817AAC">
            <w:pPr>
              <w:pStyle w:val="TableText"/>
            </w:pPr>
            <w:r w:rsidRPr="00B302B7">
              <w:t>We continue to run a</w:t>
            </w:r>
            <w:r w:rsidR="00165CCB" w:rsidRPr="00B302B7">
              <w:t xml:space="preserve"> Ministry summer </w:t>
            </w:r>
            <w:r w:rsidRPr="00B302B7">
              <w:t xml:space="preserve">internship </w:t>
            </w:r>
            <w:r w:rsidR="00DF39D5" w:rsidRPr="00B302B7">
              <w:t>programme and</w:t>
            </w:r>
            <w:r w:rsidRPr="00B302B7">
              <w:t xml:space="preserve"> are involved in partnership program</w:t>
            </w:r>
            <w:r w:rsidR="001B7BDA" w:rsidRPr="00B302B7">
              <w:t>me</w:t>
            </w:r>
            <w:r w:rsidRPr="00B302B7">
              <w:t>s through Iwi and via the M</w:t>
            </w:r>
            <w:r w:rsidR="001E38CF" w:rsidRPr="00B302B7">
              <w:t xml:space="preserve">inistry of </w:t>
            </w:r>
            <w:r w:rsidRPr="00B302B7">
              <w:t>B</w:t>
            </w:r>
            <w:r w:rsidR="001E38CF" w:rsidRPr="00B302B7">
              <w:t xml:space="preserve">usiness, Innovation </w:t>
            </w:r>
            <w:r w:rsidR="00F25316" w:rsidRPr="00B302B7">
              <w:t>&amp;</w:t>
            </w:r>
            <w:r w:rsidRPr="00B302B7">
              <w:t>E</w:t>
            </w:r>
            <w:r w:rsidR="001E38CF" w:rsidRPr="00B302B7">
              <w:t>mployment</w:t>
            </w:r>
            <w:r w:rsidRPr="00B302B7">
              <w:t xml:space="preserve"> Tupu Tai program</w:t>
            </w:r>
            <w:r w:rsidR="00775841" w:rsidRPr="00B302B7">
              <w:t>me</w:t>
            </w:r>
            <w:r w:rsidRPr="00B302B7">
              <w:t xml:space="preserve"> which enable</w:t>
            </w:r>
            <w:r w:rsidR="00BB0D19" w:rsidRPr="00B302B7">
              <w:t>s</w:t>
            </w:r>
            <w:r w:rsidRPr="00B302B7">
              <w:t xml:space="preserve"> us to access a diverse early career talent pool</w:t>
            </w:r>
            <w:r w:rsidR="00BB0D19" w:rsidRPr="00B302B7">
              <w:t>.</w:t>
            </w:r>
            <w:r w:rsidRPr="00B302B7">
              <w:t xml:space="preserve"> </w:t>
            </w:r>
          </w:p>
        </w:tc>
      </w:tr>
      <w:tr w:rsidR="00817AAC" w:rsidRPr="00B302B7" w14:paraId="460ACADF" w14:textId="77777777">
        <w:trPr>
          <w:tblHeader/>
        </w:trPr>
        <w:tc>
          <w:tcPr>
            <w:tcW w:w="8505" w:type="dxa"/>
            <w:gridSpan w:val="2"/>
            <w:shd w:val="clear" w:color="auto" w:fill="1B556B"/>
          </w:tcPr>
          <w:p w14:paraId="5987B3D5" w14:textId="0D38574B" w:rsidR="00817AAC" w:rsidRPr="00B302B7" w:rsidRDefault="00817AAC">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November</w:t>
            </w:r>
            <w:r w:rsidRPr="00B302B7">
              <w:rPr>
                <w:color w:val="FFFFFF" w:themeColor="background1"/>
              </w:rPr>
              <w:t xml:space="preserve"> 2023</w:t>
            </w:r>
          </w:p>
        </w:tc>
      </w:tr>
      <w:tr w:rsidR="00817AAC" w:rsidRPr="00B302B7" w14:paraId="5AB9550B" w14:textId="77777777" w:rsidTr="00F20FB9">
        <w:tc>
          <w:tcPr>
            <w:tcW w:w="596" w:type="dxa"/>
          </w:tcPr>
          <w:p w14:paraId="27159458" w14:textId="77777777" w:rsidR="00817AAC" w:rsidRPr="00B302B7" w:rsidRDefault="00817AAC" w:rsidP="00817AAC">
            <w:pPr>
              <w:pStyle w:val="TableText"/>
            </w:pPr>
          </w:p>
        </w:tc>
        <w:tc>
          <w:tcPr>
            <w:tcW w:w="7909" w:type="dxa"/>
          </w:tcPr>
          <w:p w14:paraId="01E8CAD1" w14:textId="0CE7F040" w:rsidR="00817AAC" w:rsidRPr="00B302B7" w:rsidRDefault="00817AAC" w:rsidP="00817AAC">
            <w:pPr>
              <w:pStyle w:val="TableText"/>
            </w:pPr>
            <w:r w:rsidRPr="00B302B7">
              <w:t>Capability framework developed and implemented</w:t>
            </w:r>
            <w:r w:rsidR="00BB0D19" w:rsidRPr="00B302B7">
              <w:t>.</w:t>
            </w:r>
          </w:p>
        </w:tc>
      </w:tr>
      <w:tr w:rsidR="00817AAC" w:rsidRPr="00B302B7" w14:paraId="5DE36F3B" w14:textId="77777777" w:rsidTr="00F20FB9">
        <w:tc>
          <w:tcPr>
            <w:tcW w:w="596" w:type="dxa"/>
          </w:tcPr>
          <w:p w14:paraId="13006BC8" w14:textId="77777777" w:rsidR="00817AAC" w:rsidRPr="00B302B7" w:rsidRDefault="00817AAC" w:rsidP="00817AAC">
            <w:pPr>
              <w:pStyle w:val="TableText"/>
            </w:pPr>
          </w:p>
        </w:tc>
        <w:tc>
          <w:tcPr>
            <w:tcW w:w="7909" w:type="dxa"/>
          </w:tcPr>
          <w:p w14:paraId="1233878A" w14:textId="5FAF9F8B" w:rsidR="00817AAC" w:rsidRPr="00B302B7" w:rsidRDefault="00817AAC" w:rsidP="00817AAC">
            <w:pPr>
              <w:pStyle w:val="TableText"/>
            </w:pPr>
            <w:r w:rsidRPr="00B302B7">
              <w:t>Career pathways developed for key volume roles (to include policy, administration)</w:t>
            </w:r>
            <w:r w:rsidR="00BB0D19" w:rsidRPr="00B302B7">
              <w:t>.</w:t>
            </w:r>
            <w:r w:rsidRPr="00B302B7">
              <w:t xml:space="preserve"> </w:t>
            </w:r>
          </w:p>
        </w:tc>
      </w:tr>
      <w:tr w:rsidR="00817AAC" w:rsidRPr="00B302B7" w14:paraId="41ADFFA0" w14:textId="77777777" w:rsidTr="00F20FB9">
        <w:tc>
          <w:tcPr>
            <w:tcW w:w="596" w:type="dxa"/>
          </w:tcPr>
          <w:p w14:paraId="5CC9440A" w14:textId="77777777" w:rsidR="00817AAC" w:rsidRPr="00B302B7" w:rsidRDefault="00817AAC" w:rsidP="00817AAC">
            <w:pPr>
              <w:pStyle w:val="TableText"/>
            </w:pPr>
          </w:p>
        </w:tc>
        <w:tc>
          <w:tcPr>
            <w:tcW w:w="7909" w:type="dxa"/>
          </w:tcPr>
          <w:p w14:paraId="3044278C" w14:textId="0DD85458" w:rsidR="00817AAC" w:rsidRPr="00B302B7" w:rsidRDefault="006B3698" w:rsidP="00817AAC">
            <w:pPr>
              <w:pStyle w:val="TableText"/>
            </w:pPr>
            <w:r w:rsidRPr="00B302B7">
              <w:t>Analyse</w:t>
            </w:r>
            <w:r w:rsidR="00C9798F" w:rsidRPr="00B302B7">
              <w:t xml:space="preserve"> participation in</w:t>
            </w:r>
            <w:r w:rsidR="00817AAC" w:rsidRPr="00B302B7">
              <w:t xml:space="preserve"> all development offerings to ensure opportunities are being offered equitably</w:t>
            </w:r>
            <w:r w:rsidR="00B974C1" w:rsidRPr="00B302B7">
              <w:t>.</w:t>
            </w:r>
          </w:p>
        </w:tc>
      </w:tr>
      <w:tr w:rsidR="00817AAC" w:rsidRPr="00B302B7" w14:paraId="697CDED0" w14:textId="77777777" w:rsidTr="00F20FB9">
        <w:tc>
          <w:tcPr>
            <w:tcW w:w="596" w:type="dxa"/>
          </w:tcPr>
          <w:p w14:paraId="2F93C1E5" w14:textId="77777777" w:rsidR="00817AAC" w:rsidRPr="00B302B7" w:rsidRDefault="00817AAC" w:rsidP="00817AAC">
            <w:pPr>
              <w:pStyle w:val="TableText"/>
            </w:pPr>
          </w:p>
        </w:tc>
        <w:tc>
          <w:tcPr>
            <w:tcW w:w="7909" w:type="dxa"/>
          </w:tcPr>
          <w:p w14:paraId="52823D77" w14:textId="1AB092C0" w:rsidR="00817AAC" w:rsidRPr="00B302B7" w:rsidRDefault="00817AAC" w:rsidP="00817AAC">
            <w:pPr>
              <w:pStyle w:val="TableText"/>
            </w:pPr>
            <w:r w:rsidRPr="00B302B7">
              <w:t>Continue participation in</w:t>
            </w:r>
            <w:r w:rsidR="00716654" w:rsidRPr="00B302B7">
              <w:t xml:space="preserve"> Te Puna </w:t>
            </w:r>
            <w:proofErr w:type="spellStart"/>
            <w:r w:rsidR="00716654" w:rsidRPr="00B302B7">
              <w:t>Kōkiri</w:t>
            </w:r>
            <w:proofErr w:type="spellEnd"/>
            <w:r w:rsidR="00716654" w:rsidRPr="00B302B7">
              <w:t xml:space="preserve"> </w:t>
            </w:r>
            <w:r w:rsidRPr="00B302B7">
              <w:t>Māori Emerging Leaders Program</w:t>
            </w:r>
            <w:r w:rsidR="00775841" w:rsidRPr="00B302B7">
              <w:t>me</w:t>
            </w:r>
            <w:r w:rsidR="000017DD" w:rsidRPr="00B302B7">
              <w:t>.</w:t>
            </w:r>
          </w:p>
        </w:tc>
      </w:tr>
      <w:tr w:rsidR="00817AAC" w:rsidRPr="00B302B7" w14:paraId="05132525" w14:textId="77777777" w:rsidTr="00F20FB9">
        <w:tc>
          <w:tcPr>
            <w:tcW w:w="596" w:type="dxa"/>
          </w:tcPr>
          <w:p w14:paraId="0615B648" w14:textId="77777777" w:rsidR="00817AAC" w:rsidRPr="00B302B7" w:rsidRDefault="00817AAC" w:rsidP="00817AAC">
            <w:pPr>
              <w:pStyle w:val="TableText"/>
            </w:pPr>
          </w:p>
        </w:tc>
        <w:tc>
          <w:tcPr>
            <w:tcW w:w="7909" w:type="dxa"/>
          </w:tcPr>
          <w:p w14:paraId="09FE8A7A" w14:textId="740AFF53" w:rsidR="00817AAC" w:rsidRPr="00B302B7" w:rsidRDefault="00817AAC" w:rsidP="00817AAC">
            <w:pPr>
              <w:pStyle w:val="TableText"/>
            </w:pPr>
            <w:r w:rsidRPr="00B302B7">
              <w:t>Leadership campaign to develop capability in leading inclusively to be delivered to Tier</w:t>
            </w:r>
            <w:r w:rsidR="00BB6B90" w:rsidRPr="00B302B7">
              <w:t>s</w:t>
            </w:r>
            <w:r w:rsidRPr="00B302B7">
              <w:t xml:space="preserve"> 3 </w:t>
            </w:r>
            <w:r w:rsidR="00BB6B90" w:rsidRPr="00B302B7">
              <w:t>and</w:t>
            </w:r>
            <w:r w:rsidRPr="00B302B7">
              <w:t xml:space="preserve"> 4 </w:t>
            </w:r>
          </w:p>
        </w:tc>
      </w:tr>
      <w:tr w:rsidR="00817AAC" w:rsidRPr="00B302B7" w14:paraId="5DBDF7B2" w14:textId="77777777" w:rsidTr="00F20FB9">
        <w:tc>
          <w:tcPr>
            <w:tcW w:w="596" w:type="dxa"/>
          </w:tcPr>
          <w:p w14:paraId="412EE475" w14:textId="77777777" w:rsidR="00817AAC" w:rsidRPr="00B302B7" w:rsidRDefault="00817AAC" w:rsidP="00817AAC">
            <w:pPr>
              <w:pStyle w:val="TableText"/>
            </w:pPr>
          </w:p>
        </w:tc>
        <w:tc>
          <w:tcPr>
            <w:tcW w:w="7909" w:type="dxa"/>
          </w:tcPr>
          <w:p w14:paraId="3EFF2868" w14:textId="1774D518" w:rsidR="00817AAC" w:rsidRPr="00B302B7" w:rsidRDefault="00817AAC" w:rsidP="00817AAC">
            <w:pPr>
              <w:pStyle w:val="TableText"/>
            </w:pPr>
            <w:r w:rsidRPr="00B302B7">
              <w:t xml:space="preserve">Workforce planning approach – business group workforce plans to be completed by end of </w:t>
            </w:r>
            <w:r w:rsidR="00A71BAE" w:rsidRPr="00B302B7">
              <w:t xml:space="preserve">the 22/23 financial year </w:t>
            </w:r>
            <w:r w:rsidRPr="00B302B7">
              <w:t>to inform career pathways</w:t>
            </w:r>
            <w:r w:rsidR="00BB6B90" w:rsidRPr="00B302B7">
              <w:t>.</w:t>
            </w:r>
            <w:r w:rsidRPr="00B302B7">
              <w:t xml:space="preserve"> </w:t>
            </w:r>
          </w:p>
        </w:tc>
      </w:tr>
      <w:tr w:rsidR="00817AAC" w:rsidRPr="00B302B7" w14:paraId="1C987989" w14:textId="77777777">
        <w:trPr>
          <w:tblHeader/>
        </w:trPr>
        <w:tc>
          <w:tcPr>
            <w:tcW w:w="8505" w:type="dxa"/>
            <w:gridSpan w:val="2"/>
            <w:shd w:val="clear" w:color="auto" w:fill="1B556B"/>
          </w:tcPr>
          <w:p w14:paraId="792F09D0" w14:textId="2DB78A2E" w:rsidR="00817AAC" w:rsidRPr="00B302B7" w:rsidRDefault="00817AAC">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November</w:t>
            </w:r>
            <w:r w:rsidRPr="00B302B7">
              <w:rPr>
                <w:color w:val="FFFFFF" w:themeColor="background1"/>
              </w:rPr>
              <w:t xml:space="preserve"> 2024</w:t>
            </w:r>
          </w:p>
        </w:tc>
      </w:tr>
      <w:tr w:rsidR="00817AAC" w:rsidRPr="00B302B7" w14:paraId="20AD3727" w14:textId="77777777" w:rsidTr="00F20FB9">
        <w:tc>
          <w:tcPr>
            <w:tcW w:w="596" w:type="dxa"/>
          </w:tcPr>
          <w:p w14:paraId="207B31BF" w14:textId="77777777" w:rsidR="00817AAC" w:rsidRPr="00B302B7" w:rsidRDefault="00817AAC" w:rsidP="00817AAC">
            <w:pPr>
              <w:pStyle w:val="TableText"/>
            </w:pPr>
          </w:p>
        </w:tc>
        <w:tc>
          <w:tcPr>
            <w:tcW w:w="7909" w:type="dxa"/>
          </w:tcPr>
          <w:p w14:paraId="31302FF9" w14:textId="57A1886B" w:rsidR="00817AAC" w:rsidRPr="00B302B7" w:rsidRDefault="00817AAC" w:rsidP="00817AAC">
            <w:pPr>
              <w:pStyle w:val="TableText"/>
            </w:pPr>
            <w:r w:rsidRPr="00B302B7">
              <w:t>P&amp;C to make recommendation around mentoring program</w:t>
            </w:r>
            <w:r w:rsidR="00775841" w:rsidRPr="00B302B7">
              <w:t>me</w:t>
            </w:r>
            <w:r w:rsidRPr="00B302B7">
              <w:t xml:space="preserve"> for multi</w:t>
            </w:r>
            <w:r w:rsidR="00382876" w:rsidRPr="00B302B7">
              <w:t>-</w:t>
            </w:r>
            <w:r w:rsidRPr="00B302B7">
              <w:t>ethnic talent</w:t>
            </w:r>
            <w:r w:rsidR="000E5310" w:rsidRPr="00B302B7">
              <w:t>.</w:t>
            </w:r>
          </w:p>
        </w:tc>
      </w:tr>
      <w:tr w:rsidR="00817AAC" w:rsidRPr="00B302B7" w14:paraId="58A51D75" w14:textId="77777777" w:rsidTr="00F20FB9">
        <w:tc>
          <w:tcPr>
            <w:tcW w:w="596" w:type="dxa"/>
          </w:tcPr>
          <w:p w14:paraId="3029A8E3" w14:textId="77777777" w:rsidR="00817AAC" w:rsidRPr="00B302B7" w:rsidRDefault="00817AAC" w:rsidP="00817AAC">
            <w:pPr>
              <w:pStyle w:val="TableText"/>
            </w:pPr>
          </w:p>
        </w:tc>
        <w:tc>
          <w:tcPr>
            <w:tcW w:w="7909" w:type="dxa"/>
          </w:tcPr>
          <w:p w14:paraId="4940DE83" w14:textId="69B1ACDF" w:rsidR="00817AAC" w:rsidRPr="00B302B7" w:rsidRDefault="004924AC" w:rsidP="00817AAC">
            <w:pPr>
              <w:pStyle w:val="TableText"/>
            </w:pPr>
            <w:r w:rsidRPr="00B302B7">
              <w:t>Benchmark and track</w:t>
            </w:r>
            <w:r w:rsidR="00817AAC" w:rsidRPr="00B302B7">
              <w:t xml:space="preserve"> </w:t>
            </w:r>
            <w:r w:rsidR="00382876" w:rsidRPr="00B302B7">
              <w:t xml:space="preserve">percentage </w:t>
            </w:r>
            <w:r w:rsidR="00817AAC" w:rsidRPr="00B302B7">
              <w:t>of places on centrally funded development program</w:t>
            </w:r>
            <w:r w:rsidR="00775841" w:rsidRPr="00B302B7">
              <w:t>me</w:t>
            </w:r>
            <w:r w:rsidR="00817AAC" w:rsidRPr="00B302B7">
              <w:t>s offered to multi</w:t>
            </w:r>
            <w:r w:rsidR="00504EC2" w:rsidRPr="00B302B7">
              <w:t>-</w:t>
            </w:r>
            <w:r w:rsidR="00817AAC" w:rsidRPr="00B302B7">
              <w:t>ethnic employees</w:t>
            </w:r>
            <w:r w:rsidRPr="00B302B7">
              <w:t>, and female and gender diverse employees</w:t>
            </w:r>
          </w:p>
        </w:tc>
      </w:tr>
      <w:tr w:rsidR="00817AAC" w:rsidRPr="00B302B7" w14:paraId="3754436C" w14:textId="77777777" w:rsidTr="00F20FB9">
        <w:tc>
          <w:tcPr>
            <w:tcW w:w="596" w:type="dxa"/>
          </w:tcPr>
          <w:p w14:paraId="111758A0" w14:textId="77777777" w:rsidR="00817AAC" w:rsidRPr="00B302B7" w:rsidRDefault="00817AAC" w:rsidP="00817AAC">
            <w:pPr>
              <w:pStyle w:val="TableText"/>
            </w:pPr>
          </w:p>
        </w:tc>
        <w:tc>
          <w:tcPr>
            <w:tcW w:w="7909" w:type="dxa"/>
          </w:tcPr>
          <w:p w14:paraId="47AF9E2F" w14:textId="5289D822" w:rsidR="00817AAC" w:rsidRPr="00B302B7" w:rsidRDefault="00817AAC" w:rsidP="00817AAC">
            <w:pPr>
              <w:pStyle w:val="TableText"/>
            </w:pPr>
            <w:r w:rsidRPr="00B302B7">
              <w:t xml:space="preserve">P&amp;C </w:t>
            </w:r>
            <w:r w:rsidR="00752D78" w:rsidRPr="00B302B7">
              <w:t xml:space="preserve">to </w:t>
            </w:r>
            <w:r w:rsidRPr="00B302B7">
              <w:t>lead discovery and recommendation around non-tertiary pathway into policy</w:t>
            </w:r>
            <w:r w:rsidR="00B224C9" w:rsidRPr="00B302B7">
              <w:t>.</w:t>
            </w:r>
          </w:p>
        </w:tc>
      </w:tr>
      <w:tr w:rsidR="00817AAC" w:rsidRPr="00B302B7" w14:paraId="0A8304FF" w14:textId="77777777" w:rsidTr="00F20FB9">
        <w:tc>
          <w:tcPr>
            <w:tcW w:w="596" w:type="dxa"/>
          </w:tcPr>
          <w:p w14:paraId="32682DE5" w14:textId="77777777" w:rsidR="00817AAC" w:rsidRPr="00B302B7" w:rsidRDefault="00817AAC" w:rsidP="00817AAC">
            <w:pPr>
              <w:pStyle w:val="TableText"/>
            </w:pPr>
          </w:p>
        </w:tc>
        <w:tc>
          <w:tcPr>
            <w:tcW w:w="7909" w:type="dxa"/>
          </w:tcPr>
          <w:p w14:paraId="61B57CD6" w14:textId="4DACE166" w:rsidR="00817AAC" w:rsidRPr="00B302B7" w:rsidRDefault="00817AAC" w:rsidP="00817AAC">
            <w:pPr>
              <w:pStyle w:val="TableText"/>
            </w:pPr>
            <w:r w:rsidRPr="00B302B7">
              <w:t>Development and implementation of graduate program</w:t>
            </w:r>
            <w:r w:rsidR="00775841" w:rsidRPr="00B302B7">
              <w:t>me</w:t>
            </w:r>
            <w:r w:rsidRPr="00B302B7">
              <w:t xml:space="preserve"> with a key focus on increasing our pipeline of multi-ethnic talent</w:t>
            </w:r>
            <w:r w:rsidR="00E2795E" w:rsidRPr="00B302B7">
              <w:t>.</w:t>
            </w:r>
          </w:p>
        </w:tc>
      </w:tr>
    </w:tbl>
    <w:p w14:paraId="450B44F2" w14:textId="77777777" w:rsidR="00817AAC" w:rsidRPr="00B302B7" w:rsidRDefault="00817AAC" w:rsidP="00260165">
      <w:pPr>
        <w:pStyle w:val="Heading4"/>
      </w:pPr>
      <w:r w:rsidRPr="00B302B7">
        <w:t xml:space="preserve">What will success look like? </w:t>
      </w:r>
    </w:p>
    <w:p w14:paraId="33D3D1E4" w14:textId="23D9B6FA" w:rsidR="00817AAC" w:rsidRPr="00B302B7" w:rsidRDefault="002D6B39" w:rsidP="00260165">
      <w:pPr>
        <w:pStyle w:val="Bullet"/>
        <w:spacing w:before="240"/>
      </w:pPr>
      <w:r w:rsidRPr="00B302B7">
        <w:t>D</w:t>
      </w:r>
      <w:r w:rsidR="00817AAC" w:rsidRPr="00B302B7">
        <w:t xml:space="preserve">ata and insights relating to development, </w:t>
      </w:r>
      <w:r w:rsidR="001E104B" w:rsidRPr="00B302B7">
        <w:t>t</w:t>
      </w:r>
      <w:r w:rsidR="00817AAC" w:rsidRPr="00B302B7">
        <w:t>alent and career allow us to understand whether bias is at play in our career development landscape</w:t>
      </w:r>
      <w:r w:rsidR="00750C4D" w:rsidRPr="00B302B7">
        <w:t>.</w:t>
      </w:r>
    </w:p>
    <w:p w14:paraId="7563D654" w14:textId="7A6D28ED" w:rsidR="00817AAC" w:rsidRPr="00B302B7" w:rsidRDefault="00871D8E" w:rsidP="00573FBF">
      <w:pPr>
        <w:pStyle w:val="Bullet"/>
      </w:pPr>
      <w:r w:rsidRPr="00B302B7">
        <w:t xml:space="preserve">The leadership cohort is </w:t>
      </w:r>
      <w:r w:rsidR="00817AAC" w:rsidRPr="00B302B7">
        <w:t>significantly more diverse</w:t>
      </w:r>
      <w:r w:rsidR="00750C4D" w:rsidRPr="00B302B7">
        <w:t>.</w:t>
      </w:r>
    </w:p>
    <w:p w14:paraId="26E21647" w14:textId="2235A187" w:rsidR="00817AAC" w:rsidRPr="00B302B7" w:rsidRDefault="00817AAC" w:rsidP="00B559FF">
      <w:pPr>
        <w:pStyle w:val="Bullet"/>
        <w:rPr>
          <w:rFonts w:ascii="Georgia" w:eastAsiaTheme="majorEastAsia" w:hAnsi="Georgia" w:cstheme="majorBidi"/>
          <w:b/>
          <w:sz w:val="24"/>
        </w:rPr>
      </w:pPr>
      <w:r w:rsidRPr="00B302B7">
        <w:t xml:space="preserve">Improvements in our </w:t>
      </w:r>
      <w:proofErr w:type="spellStart"/>
      <w:r w:rsidRPr="00B302B7">
        <w:t>Tō</w:t>
      </w:r>
      <w:proofErr w:type="spellEnd"/>
      <w:r w:rsidRPr="00B302B7">
        <w:t xml:space="preserve"> Reo measures relating to career and development across different ethnic populations</w:t>
      </w:r>
      <w:r w:rsidR="00B41CBB" w:rsidRPr="00B302B7">
        <w:t>.</w:t>
      </w:r>
    </w:p>
    <w:p w14:paraId="562D0D4E" w14:textId="1FB0DB20" w:rsidR="00817AAC" w:rsidRPr="00B302B7" w:rsidRDefault="00817AAC" w:rsidP="00260165">
      <w:pPr>
        <w:pStyle w:val="Heading3"/>
      </w:pPr>
      <w:bookmarkStart w:id="34" w:name="_Te_whakakore_i"/>
      <w:bookmarkEnd w:id="34"/>
      <w:r w:rsidRPr="00B302B7">
        <w:lastRenderedPageBreak/>
        <w:t>Te</w:t>
      </w:r>
      <w:r w:rsidR="00535799" w:rsidRPr="00B302B7">
        <w:t xml:space="preserve"> </w:t>
      </w:r>
      <w:proofErr w:type="spellStart"/>
      <w:r w:rsidRPr="00B302B7">
        <w:t>whakakore</w:t>
      </w:r>
      <w:proofErr w:type="spellEnd"/>
      <w:r w:rsidR="00535799" w:rsidRPr="00B302B7">
        <w:t xml:space="preserve"> </w:t>
      </w:r>
      <w:proofErr w:type="spellStart"/>
      <w:r w:rsidR="00B41CBB" w:rsidRPr="00B302B7">
        <w:t>i</w:t>
      </w:r>
      <w:proofErr w:type="spellEnd"/>
      <w:r w:rsidR="00535799" w:rsidRPr="00B302B7">
        <w:t xml:space="preserve"> </w:t>
      </w:r>
      <w:r w:rsidRPr="00B302B7">
        <w:t>te</w:t>
      </w:r>
      <w:r w:rsidR="00535799" w:rsidRPr="00B302B7">
        <w:t xml:space="preserve"> </w:t>
      </w:r>
      <w:proofErr w:type="spellStart"/>
      <w:r w:rsidRPr="00B302B7">
        <w:t>katoa</w:t>
      </w:r>
      <w:proofErr w:type="spellEnd"/>
      <w:r w:rsidR="00535799" w:rsidRPr="00B302B7">
        <w:t xml:space="preserve"> </w:t>
      </w:r>
      <w:r w:rsidRPr="00B302B7">
        <w:t>o</w:t>
      </w:r>
      <w:r w:rsidR="00535799" w:rsidRPr="00B302B7">
        <w:t xml:space="preserve"> </w:t>
      </w:r>
      <w:proofErr w:type="spellStart"/>
      <w:r w:rsidRPr="00B302B7">
        <w:t>ngā</w:t>
      </w:r>
      <w:proofErr w:type="spellEnd"/>
      <w:r w:rsidR="00535799" w:rsidRPr="00B302B7">
        <w:t xml:space="preserve"> </w:t>
      </w:r>
      <w:proofErr w:type="spellStart"/>
      <w:r w:rsidRPr="00B302B7">
        <w:t>momo</w:t>
      </w:r>
      <w:proofErr w:type="spellEnd"/>
      <w:r w:rsidR="00535799" w:rsidRPr="00B302B7">
        <w:t xml:space="preserve"> </w:t>
      </w:r>
      <w:proofErr w:type="spellStart"/>
      <w:r w:rsidRPr="00B302B7">
        <w:t>whakatoihara</w:t>
      </w:r>
      <w:proofErr w:type="spellEnd"/>
      <w:r w:rsidRPr="00B302B7">
        <w:t>,</w:t>
      </w:r>
      <w:r w:rsidR="00535799" w:rsidRPr="00B302B7">
        <w:t xml:space="preserve"> </w:t>
      </w:r>
      <w:proofErr w:type="spellStart"/>
      <w:r w:rsidRPr="00B302B7">
        <w:t>haukume</w:t>
      </w:r>
      <w:proofErr w:type="spellEnd"/>
      <w:r w:rsidR="00535799" w:rsidRPr="00B302B7">
        <w:t xml:space="preserve"> </w:t>
      </w:r>
      <w:proofErr w:type="spellStart"/>
      <w:r w:rsidRPr="00B302B7">
        <w:t>anō</w:t>
      </w:r>
      <w:proofErr w:type="spellEnd"/>
      <w:r w:rsidR="00535799" w:rsidRPr="00B302B7">
        <w:t xml:space="preserve"> </w:t>
      </w:r>
      <w:proofErr w:type="spellStart"/>
      <w:r w:rsidRPr="00B302B7">
        <w:t>hoki</w:t>
      </w:r>
      <w:proofErr w:type="spellEnd"/>
      <w:r w:rsidR="00535799" w:rsidRPr="00B302B7">
        <w:t xml:space="preserve"> </w:t>
      </w:r>
      <w:r w:rsidRPr="00B302B7">
        <w:rPr>
          <w:lang w:val="en-US"/>
        </w:rPr>
        <w:t>– Eliminating all forms of bias</w:t>
      </w:r>
    </w:p>
    <w:p w14:paraId="4091AE16" w14:textId="77777777" w:rsidR="00817AAC" w:rsidRPr="00B302B7" w:rsidRDefault="00817AAC" w:rsidP="00817AAC">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817AAC" w:rsidRPr="00B302B7" w14:paraId="68A77D4E" w14:textId="77777777">
        <w:trPr>
          <w:tblHeader/>
        </w:trPr>
        <w:tc>
          <w:tcPr>
            <w:tcW w:w="8505" w:type="dxa"/>
            <w:gridSpan w:val="2"/>
            <w:shd w:val="clear" w:color="auto" w:fill="1B556B"/>
            <w:vAlign w:val="center"/>
          </w:tcPr>
          <w:p w14:paraId="2FD06460" w14:textId="77777777" w:rsidR="00817AAC" w:rsidRPr="00B302B7" w:rsidRDefault="00817AAC">
            <w:pPr>
              <w:pStyle w:val="TableTextbold"/>
              <w:rPr>
                <w:color w:val="FFFFFF" w:themeColor="background1"/>
              </w:rPr>
            </w:pPr>
            <w:r w:rsidRPr="00B302B7">
              <w:rPr>
                <w:color w:val="FFFFFF" w:themeColor="background1"/>
              </w:rPr>
              <w:t>Milestones</w:t>
            </w:r>
          </w:p>
        </w:tc>
      </w:tr>
      <w:tr w:rsidR="00817AAC" w:rsidRPr="00B302B7" w14:paraId="4F21E2CF" w14:textId="77777777" w:rsidTr="00F20FB9">
        <w:tc>
          <w:tcPr>
            <w:tcW w:w="596" w:type="dxa"/>
            <w:shd w:val="clear" w:color="auto" w:fill="auto"/>
          </w:tcPr>
          <w:p w14:paraId="7C7F0FA5" w14:textId="77777777" w:rsidR="00817AAC" w:rsidRPr="00B302B7" w:rsidRDefault="00817AAC" w:rsidP="00F20FB9">
            <w:pPr>
              <w:pStyle w:val="TableText"/>
            </w:pPr>
          </w:p>
        </w:tc>
        <w:tc>
          <w:tcPr>
            <w:tcW w:w="7909" w:type="dxa"/>
            <w:shd w:val="clear" w:color="auto" w:fill="auto"/>
          </w:tcPr>
          <w:p w14:paraId="318825E0" w14:textId="260F2E30" w:rsidR="00817AAC" w:rsidRPr="00B302B7" w:rsidRDefault="00817AAC" w:rsidP="00F20FB9">
            <w:pPr>
              <w:pStyle w:val="TableText"/>
            </w:pPr>
            <w:r w:rsidRPr="00B302B7">
              <w:t>By the end of 2023 entities have remuneration and HR systems, policies and practices designed to remove all forms of bias and</w:t>
            </w:r>
            <w:r w:rsidR="002B1015" w:rsidRPr="00B302B7">
              <w:t xml:space="preserve"> </w:t>
            </w:r>
            <w:r w:rsidRPr="00B302B7">
              <w:t>discrimination.</w:t>
            </w:r>
          </w:p>
        </w:tc>
      </w:tr>
      <w:tr w:rsidR="00817AAC" w:rsidRPr="00B302B7" w14:paraId="0D721285" w14:textId="77777777" w:rsidTr="00F20FB9">
        <w:tc>
          <w:tcPr>
            <w:tcW w:w="596" w:type="dxa"/>
            <w:shd w:val="clear" w:color="auto" w:fill="auto"/>
          </w:tcPr>
          <w:p w14:paraId="6206F045" w14:textId="77777777" w:rsidR="00817AAC" w:rsidRPr="00B302B7" w:rsidRDefault="00817AAC" w:rsidP="00F20FB9">
            <w:pPr>
              <w:pStyle w:val="TableText"/>
            </w:pPr>
          </w:p>
        </w:tc>
        <w:tc>
          <w:tcPr>
            <w:tcW w:w="7909" w:type="dxa"/>
            <w:shd w:val="clear" w:color="auto" w:fill="auto"/>
          </w:tcPr>
          <w:p w14:paraId="3F3C7570" w14:textId="276A372B" w:rsidR="00817AAC" w:rsidRPr="00B302B7" w:rsidRDefault="00817AAC" w:rsidP="00F20FB9">
            <w:pPr>
              <w:pStyle w:val="TableText"/>
            </w:pPr>
            <w:r w:rsidRPr="00B302B7">
              <w:t>Agencies embed and monitor the impact of bias-free HR and</w:t>
            </w:r>
            <w:r w:rsidR="009554B5" w:rsidRPr="00B302B7">
              <w:t xml:space="preserve"> </w:t>
            </w:r>
            <w:r w:rsidRPr="00B302B7">
              <w:t>remuneration policies and practices.</w:t>
            </w:r>
          </w:p>
        </w:tc>
      </w:tr>
      <w:tr w:rsidR="00817AAC" w:rsidRPr="00B302B7" w14:paraId="6AC4E1E8" w14:textId="77777777" w:rsidTr="00F20FB9">
        <w:tc>
          <w:tcPr>
            <w:tcW w:w="596" w:type="dxa"/>
            <w:shd w:val="clear" w:color="auto" w:fill="auto"/>
          </w:tcPr>
          <w:p w14:paraId="21035671" w14:textId="77777777" w:rsidR="00817AAC" w:rsidRPr="00B302B7" w:rsidRDefault="00817AAC" w:rsidP="00F20FB9">
            <w:pPr>
              <w:pStyle w:val="TableText"/>
            </w:pPr>
          </w:p>
        </w:tc>
        <w:tc>
          <w:tcPr>
            <w:tcW w:w="7909" w:type="dxa"/>
            <w:shd w:val="clear" w:color="auto" w:fill="auto"/>
          </w:tcPr>
          <w:p w14:paraId="1817F955" w14:textId="5CCEF304" w:rsidR="00817AAC" w:rsidRPr="00B302B7" w:rsidRDefault="00817AAC" w:rsidP="00F20FB9">
            <w:pPr>
              <w:pStyle w:val="TableText"/>
            </w:pPr>
            <w:r w:rsidRPr="00B302B7">
              <w:t>Agencies/entities ensure leaders and employees learn about and demonstrate cultural competence.</w:t>
            </w:r>
          </w:p>
        </w:tc>
      </w:tr>
      <w:tr w:rsidR="00817AAC" w:rsidRPr="00B302B7" w14:paraId="04F637B1" w14:textId="77777777">
        <w:trPr>
          <w:tblHeader/>
        </w:trPr>
        <w:tc>
          <w:tcPr>
            <w:tcW w:w="8505" w:type="dxa"/>
            <w:gridSpan w:val="2"/>
            <w:shd w:val="clear" w:color="auto" w:fill="1B556B"/>
          </w:tcPr>
          <w:p w14:paraId="6C3D4112" w14:textId="4F0FC402" w:rsidR="00817AAC" w:rsidRPr="00B302B7" w:rsidRDefault="000253EF">
            <w:pPr>
              <w:pStyle w:val="TableTextbold"/>
              <w:rPr>
                <w:color w:val="FFFFFF" w:themeColor="background1"/>
              </w:rPr>
            </w:pPr>
            <w:r w:rsidRPr="00B302B7">
              <w:rPr>
                <w:color w:val="FFFFFF" w:themeColor="background1"/>
              </w:rPr>
              <w:t xml:space="preserve">Our </w:t>
            </w:r>
            <w:proofErr w:type="gramStart"/>
            <w:r w:rsidRPr="00B302B7">
              <w:rPr>
                <w:color w:val="FFFFFF" w:themeColor="background1"/>
              </w:rPr>
              <w:t>c</w:t>
            </w:r>
            <w:r w:rsidR="00817AAC" w:rsidRPr="00B302B7">
              <w:rPr>
                <w:color w:val="FFFFFF" w:themeColor="background1"/>
              </w:rPr>
              <w:t xml:space="preserve">urrent </w:t>
            </w:r>
            <w:r w:rsidRPr="00B302B7">
              <w:rPr>
                <w:color w:val="FFFFFF" w:themeColor="background1"/>
              </w:rPr>
              <w:t>s</w:t>
            </w:r>
            <w:r w:rsidR="00817AAC" w:rsidRPr="00B302B7">
              <w:rPr>
                <w:color w:val="FFFFFF" w:themeColor="background1"/>
              </w:rPr>
              <w:t>tatus</w:t>
            </w:r>
            <w:proofErr w:type="gramEnd"/>
            <w:r w:rsidR="00817AAC" w:rsidRPr="00B302B7">
              <w:rPr>
                <w:color w:val="FFFFFF" w:themeColor="background1"/>
              </w:rPr>
              <w:t xml:space="preserve"> </w:t>
            </w:r>
          </w:p>
        </w:tc>
      </w:tr>
      <w:tr w:rsidR="00817AAC" w:rsidRPr="00B302B7" w14:paraId="38BF7D28" w14:textId="77777777" w:rsidTr="00F20FB9">
        <w:tc>
          <w:tcPr>
            <w:tcW w:w="596" w:type="dxa"/>
          </w:tcPr>
          <w:p w14:paraId="74C3475B" w14:textId="77777777" w:rsidR="00817AAC" w:rsidRPr="00B302B7" w:rsidRDefault="00817AAC" w:rsidP="00817AAC">
            <w:pPr>
              <w:pStyle w:val="TableText"/>
            </w:pPr>
          </w:p>
        </w:tc>
        <w:tc>
          <w:tcPr>
            <w:tcW w:w="7909" w:type="dxa"/>
          </w:tcPr>
          <w:p w14:paraId="029567E5" w14:textId="69123979" w:rsidR="00817AAC" w:rsidRPr="00B302B7" w:rsidRDefault="00817AAC" w:rsidP="00F20FB9">
            <w:pPr>
              <w:pStyle w:val="TableText"/>
            </w:pPr>
            <w:r w:rsidRPr="00B302B7">
              <w:t xml:space="preserve">Recruitment process improvements: </w:t>
            </w:r>
            <w:r w:rsidR="009D41E9" w:rsidRPr="00B302B7">
              <w:t>u</w:t>
            </w:r>
            <w:r w:rsidRPr="00B302B7">
              <w:t xml:space="preserve">nconscious </w:t>
            </w:r>
            <w:r w:rsidR="009D41E9" w:rsidRPr="00B302B7">
              <w:t>b</w:t>
            </w:r>
            <w:r w:rsidRPr="00B302B7">
              <w:t>ias module promoted to Hiring Managers, ethnic</w:t>
            </w:r>
            <w:r w:rsidR="009D41E9" w:rsidRPr="00B302B7">
              <w:t xml:space="preserve"> and gender-</w:t>
            </w:r>
            <w:r w:rsidRPr="00B302B7">
              <w:t xml:space="preserve">balanced panels, ensuring Hiring Managers are aware of diversity landscape prior to hiring, diversifying </w:t>
            </w:r>
            <w:r w:rsidR="009D41E9" w:rsidRPr="00B302B7">
              <w:t xml:space="preserve">sourcing </w:t>
            </w:r>
            <w:r w:rsidRPr="00B302B7">
              <w:t>channels (</w:t>
            </w:r>
            <w:r w:rsidR="00222273" w:rsidRPr="00B302B7">
              <w:t>including specialist job boards</w:t>
            </w:r>
            <w:r w:rsidRPr="00B302B7">
              <w:t>, social media), ensuring interview questions are circulated in advance</w:t>
            </w:r>
            <w:r w:rsidR="00241FBB" w:rsidRPr="00B302B7">
              <w:t>.</w:t>
            </w:r>
          </w:p>
        </w:tc>
      </w:tr>
      <w:tr w:rsidR="00817AAC" w:rsidRPr="00B302B7" w14:paraId="6433DEBC" w14:textId="77777777" w:rsidTr="00F20FB9">
        <w:tc>
          <w:tcPr>
            <w:tcW w:w="596" w:type="dxa"/>
          </w:tcPr>
          <w:p w14:paraId="25312D85" w14:textId="77777777" w:rsidR="00817AAC" w:rsidRPr="00B302B7" w:rsidRDefault="00817AAC" w:rsidP="00817AAC">
            <w:pPr>
              <w:pStyle w:val="TableText"/>
            </w:pPr>
          </w:p>
        </w:tc>
        <w:tc>
          <w:tcPr>
            <w:tcW w:w="7909" w:type="dxa"/>
          </w:tcPr>
          <w:p w14:paraId="6AAC0475" w14:textId="2B47BA67" w:rsidR="00817AAC" w:rsidRPr="00B302B7" w:rsidRDefault="0040009D" w:rsidP="00F20FB9">
            <w:pPr>
              <w:pStyle w:val="TableText"/>
            </w:pPr>
            <w:r w:rsidRPr="00B302B7">
              <w:t xml:space="preserve">Regular reporting and updates to leadership </w:t>
            </w:r>
            <w:r w:rsidR="00817AAC" w:rsidRPr="00B302B7">
              <w:t xml:space="preserve">against Tui </w:t>
            </w:r>
            <w:proofErr w:type="spellStart"/>
            <w:r w:rsidR="00817AAC" w:rsidRPr="00B302B7">
              <w:t>Raumata</w:t>
            </w:r>
            <w:proofErr w:type="spellEnd"/>
            <w:r w:rsidR="00817AAC" w:rsidRPr="00B302B7">
              <w:t xml:space="preserve"> targets, </w:t>
            </w:r>
            <w:proofErr w:type="spellStart"/>
            <w:r w:rsidR="00817AAC" w:rsidRPr="00B302B7">
              <w:t>Tō</w:t>
            </w:r>
            <w:proofErr w:type="spellEnd"/>
            <w:r w:rsidR="00817AAC" w:rsidRPr="00B302B7">
              <w:t> Reo</w:t>
            </w:r>
            <w:r w:rsidR="00241FBB" w:rsidRPr="00B302B7">
              <w:t>.</w:t>
            </w:r>
          </w:p>
        </w:tc>
      </w:tr>
      <w:tr w:rsidR="00817AAC" w:rsidRPr="00B302B7" w14:paraId="4D7C9659" w14:textId="77777777" w:rsidTr="00F20FB9">
        <w:tc>
          <w:tcPr>
            <w:tcW w:w="596" w:type="dxa"/>
          </w:tcPr>
          <w:p w14:paraId="33475DCE" w14:textId="77777777" w:rsidR="00817AAC" w:rsidRPr="00B302B7" w:rsidRDefault="00817AAC" w:rsidP="00817AAC">
            <w:pPr>
              <w:pStyle w:val="TableText"/>
            </w:pPr>
          </w:p>
        </w:tc>
        <w:tc>
          <w:tcPr>
            <w:tcW w:w="7909" w:type="dxa"/>
          </w:tcPr>
          <w:p w14:paraId="53E684AC" w14:textId="05058D9A" w:rsidR="00817AAC" w:rsidRPr="00B302B7" w:rsidRDefault="00031DD1" w:rsidP="00F20FB9">
            <w:pPr>
              <w:pStyle w:val="TableText"/>
            </w:pPr>
            <w:r w:rsidRPr="00B302B7">
              <w:t xml:space="preserve">Commencement of organisation-wide roll out of </w:t>
            </w:r>
            <w:proofErr w:type="spellStart"/>
            <w:r w:rsidR="00010240" w:rsidRPr="00B302B7">
              <w:t>Tōnui</w:t>
            </w:r>
            <w:proofErr w:type="spellEnd"/>
            <w:r w:rsidR="00817AAC" w:rsidRPr="00B302B7">
              <w:t>, inclusive leadership (via leadership expectations), Mana Aki</w:t>
            </w:r>
            <w:r w:rsidR="00B617BD" w:rsidRPr="00B302B7">
              <w:t>.</w:t>
            </w:r>
          </w:p>
        </w:tc>
      </w:tr>
      <w:tr w:rsidR="00817AAC" w:rsidRPr="00B302B7" w14:paraId="2A3D23B9" w14:textId="77777777">
        <w:trPr>
          <w:tblHeader/>
        </w:trPr>
        <w:tc>
          <w:tcPr>
            <w:tcW w:w="8505" w:type="dxa"/>
            <w:gridSpan w:val="2"/>
            <w:shd w:val="clear" w:color="auto" w:fill="1B556B"/>
          </w:tcPr>
          <w:p w14:paraId="34F4B128" w14:textId="3DCC829C" w:rsidR="00817AAC" w:rsidRPr="00B302B7" w:rsidRDefault="00817AAC">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November</w:t>
            </w:r>
            <w:r w:rsidRPr="00B302B7">
              <w:rPr>
                <w:color w:val="FFFFFF" w:themeColor="background1"/>
              </w:rPr>
              <w:t xml:space="preserve"> 2023</w:t>
            </w:r>
          </w:p>
        </w:tc>
      </w:tr>
      <w:tr w:rsidR="00817AAC" w:rsidRPr="00B302B7" w14:paraId="674F49FE" w14:textId="77777777" w:rsidTr="00F20FB9">
        <w:tc>
          <w:tcPr>
            <w:tcW w:w="596" w:type="dxa"/>
          </w:tcPr>
          <w:p w14:paraId="06904208" w14:textId="77777777" w:rsidR="00817AAC" w:rsidRPr="00B302B7" w:rsidRDefault="00817AAC" w:rsidP="00F20FB9">
            <w:pPr>
              <w:pStyle w:val="TableText"/>
            </w:pPr>
          </w:p>
        </w:tc>
        <w:tc>
          <w:tcPr>
            <w:tcW w:w="7909" w:type="dxa"/>
          </w:tcPr>
          <w:p w14:paraId="6741EDDE" w14:textId="19288457" w:rsidR="00817AAC" w:rsidRPr="00B302B7" w:rsidRDefault="00817AAC" w:rsidP="00F20FB9">
            <w:pPr>
              <w:pStyle w:val="TableText"/>
            </w:pPr>
            <w:r w:rsidRPr="00B302B7">
              <w:t xml:space="preserve">Review </w:t>
            </w:r>
            <w:r w:rsidR="00191AA4" w:rsidRPr="00B302B7">
              <w:t>attraction and</w:t>
            </w:r>
            <w:r w:rsidRPr="00B302B7">
              <w:t xml:space="preserve"> recruitment channel strategy to improve diversity of candidate pool. Include targeted advertising, social media presence, </w:t>
            </w:r>
            <w:proofErr w:type="gramStart"/>
            <w:r w:rsidRPr="00B302B7">
              <w:t>networks</w:t>
            </w:r>
            <w:proofErr w:type="gramEnd"/>
            <w:r w:rsidRPr="00B302B7">
              <w:t xml:space="preserve"> and community approach, </w:t>
            </w:r>
            <w:r w:rsidR="00B75C37" w:rsidRPr="00B302B7">
              <w:t>and through tertiary education channels (networks, career fairs and job boards)</w:t>
            </w:r>
            <w:r w:rsidRPr="00B302B7">
              <w:t xml:space="preserve"> </w:t>
            </w:r>
          </w:p>
        </w:tc>
      </w:tr>
      <w:tr w:rsidR="00817AAC" w:rsidRPr="00B302B7" w14:paraId="04BB5B21" w14:textId="77777777" w:rsidTr="00F20FB9">
        <w:tc>
          <w:tcPr>
            <w:tcW w:w="596" w:type="dxa"/>
          </w:tcPr>
          <w:p w14:paraId="67D68823" w14:textId="77777777" w:rsidR="00817AAC" w:rsidRPr="00B302B7" w:rsidRDefault="00817AAC" w:rsidP="00F20FB9">
            <w:pPr>
              <w:pStyle w:val="TableText"/>
            </w:pPr>
          </w:p>
        </w:tc>
        <w:tc>
          <w:tcPr>
            <w:tcW w:w="7909" w:type="dxa"/>
          </w:tcPr>
          <w:p w14:paraId="2C319204" w14:textId="270CD472" w:rsidR="00817AAC" w:rsidRPr="00B302B7" w:rsidRDefault="00817AAC" w:rsidP="00F20FB9">
            <w:pPr>
              <w:pStyle w:val="TableText"/>
            </w:pPr>
            <w:r w:rsidRPr="00B302B7">
              <w:t xml:space="preserve">Year </w:t>
            </w:r>
            <w:r w:rsidR="00E16E6B" w:rsidRPr="00B302B7">
              <w:t>two</w:t>
            </w:r>
            <w:r w:rsidRPr="00B302B7">
              <w:t xml:space="preserve"> review of recruitment process performance</w:t>
            </w:r>
            <w:r w:rsidR="00E16E6B" w:rsidRPr="00B302B7">
              <w:t>.</w:t>
            </w:r>
            <w:r w:rsidRPr="00B302B7">
              <w:t xml:space="preserve"> </w:t>
            </w:r>
          </w:p>
        </w:tc>
      </w:tr>
      <w:tr w:rsidR="00817AAC" w:rsidRPr="00B302B7" w14:paraId="3C83A537" w14:textId="77777777" w:rsidTr="00F20FB9">
        <w:tc>
          <w:tcPr>
            <w:tcW w:w="596" w:type="dxa"/>
          </w:tcPr>
          <w:p w14:paraId="624FD6E3" w14:textId="77777777" w:rsidR="00817AAC" w:rsidRPr="00B302B7" w:rsidRDefault="00817AAC" w:rsidP="00F20FB9">
            <w:pPr>
              <w:pStyle w:val="TableText"/>
            </w:pPr>
          </w:p>
        </w:tc>
        <w:tc>
          <w:tcPr>
            <w:tcW w:w="7909" w:type="dxa"/>
          </w:tcPr>
          <w:p w14:paraId="2BF3A167" w14:textId="12C00953" w:rsidR="00817AAC" w:rsidRPr="00B302B7" w:rsidRDefault="00817AAC" w:rsidP="00F20FB9">
            <w:pPr>
              <w:pStyle w:val="TableText"/>
            </w:pPr>
            <w:r w:rsidRPr="00B302B7">
              <w:t>E</w:t>
            </w:r>
            <w:r w:rsidR="00842A85" w:rsidRPr="00B302B7">
              <w:t xml:space="preserve">mployee assistance programme </w:t>
            </w:r>
            <w:r w:rsidRPr="00B302B7">
              <w:t>review – recommendation for bicultural solution made</w:t>
            </w:r>
            <w:r w:rsidR="00F834AD" w:rsidRPr="00B302B7">
              <w:t>.</w:t>
            </w:r>
            <w:r w:rsidRPr="00B302B7">
              <w:t xml:space="preserve"> </w:t>
            </w:r>
          </w:p>
        </w:tc>
      </w:tr>
      <w:tr w:rsidR="00817AAC" w:rsidRPr="00B302B7" w14:paraId="73A5B65D" w14:textId="77777777" w:rsidTr="00F20FB9">
        <w:tc>
          <w:tcPr>
            <w:tcW w:w="596" w:type="dxa"/>
          </w:tcPr>
          <w:p w14:paraId="49938178" w14:textId="77777777" w:rsidR="00817AAC" w:rsidRPr="00B302B7" w:rsidRDefault="00817AAC" w:rsidP="00F20FB9">
            <w:pPr>
              <w:pStyle w:val="TableText"/>
            </w:pPr>
          </w:p>
        </w:tc>
        <w:tc>
          <w:tcPr>
            <w:tcW w:w="7909" w:type="dxa"/>
          </w:tcPr>
          <w:p w14:paraId="3ADAB6DB" w14:textId="5DB16383" w:rsidR="00817AAC" w:rsidRPr="00B302B7" w:rsidRDefault="00817AAC" w:rsidP="00F20FB9">
            <w:pPr>
              <w:pStyle w:val="TableText"/>
            </w:pPr>
            <w:r w:rsidRPr="00B302B7">
              <w:t xml:space="preserve">Assess </w:t>
            </w:r>
            <w:proofErr w:type="spellStart"/>
            <w:r w:rsidRPr="00B302B7">
              <w:t>Tō</w:t>
            </w:r>
            <w:proofErr w:type="spellEnd"/>
            <w:r w:rsidRPr="00B302B7">
              <w:t xml:space="preserve"> Reo results to understand key differences in employee experience across genders and ethnicities</w:t>
            </w:r>
            <w:r w:rsidR="00F834AD" w:rsidRPr="00B302B7">
              <w:t>.</w:t>
            </w:r>
            <w:r w:rsidRPr="00B302B7">
              <w:t xml:space="preserve"> </w:t>
            </w:r>
          </w:p>
        </w:tc>
      </w:tr>
      <w:tr w:rsidR="00817AAC" w:rsidRPr="00B302B7" w14:paraId="219BEE33" w14:textId="77777777" w:rsidTr="00F20FB9">
        <w:tc>
          <w:tcPr>
            <w:tcW w:w="596" w:type="dxa"/>
          </w:tcPr>
          <w:p w14:paraId="1F1C4718" w14:textId="77777777" w:rsidR="00817AAC" w:rsidRPr="00B302B7" w:rsidRDefault="00817AAC" w:rsidP="00F20FB9">
            <w:pPr>
              <w:pStyle w:val="TableText"/>
            </w:pPr>
          </w:p>
        </w:tc>
        <w:tc>
          <w:tcPr>
            <w:tcW w:w="7909" w:type="dxa"/>
          </w:tcPr>
          <w:p w14:paraId="1AE01540" w14:textId="4838AF4B" w:rsidR="00817AAC" w:rsidRPr="00B302B7" w:rsidRDefault="00010240" w:rsidP="00F20FB9">
            <w:pPr>
              <w:pStyle w:val="TableText"/>
            </w:pPr>
            <w:proofErr w:type="spellStart"/>
            <w:r w:rsidRPr="00B302B7">
              <w:t>Tōnui</w:t>
            </w:r>
            <w:proofErr w:type="spellEnd"/>
            <w:r w:rsidR="00817AAC" w:rsidRPr="00B302B7">
              <w:t xml:space="preserve"> implementation across 50</w:t>
            </w:r>
            <w:r w:rsidR="00F834AD" w:rsidRPr="00B302B7">
              <w:t xml:space="preserve"> per cent </w:t>
            </w:r>
            <w:r w:rsidR="00817AAC" w:rsidRPr="00B302B7">
              <w:t>of workforce complete</w:t>
            </w:r>
            <w:r w:rsidR="00F834AD" w:rsidRPr="00B302B7">
              <w:t>.</w:t>
            </w:r>
            <w:r w:rsidR="00817AAC" w:rsidRPr="00B302B7">
              <w:t xml:space="preserve"> </w:t>
            </w:r>
          </w:p>
        </w:tc>
      </w:tr>
      <w:tr w:rsidR="00817AAC" w:rsidRPr="00B302B7" w14:paraId="1FF93BE5" w14:textId="77777777" w:rsidTr="00F20FB9">
        <w:tc>
          <w:tcPr>
            <w:tcW w:w="596" w:type="dxa"/>
          </w:tcPr>
          <w:p w14:paraId="3D867D13" w14:textId="77777777" w:rsidR="00817AAC" w:rsidRPr="00B302B7" w:rsidRDefault="00817AAC" w:rsidP="00F20FB9">
            <w:pPr>
              <w:pStyle w:val="TableText"/>
            </w:pPr>
          </w:p>
        </w:tc>
        <w:tc>
          <w:tcPr>
            <w:tcW w:w="7909" w:type="dxa"/>
          </w:tcPr>
          <w:p w14:paraId="6B791A77" w14:textId="3F9C510F" w:rsidR="00817AAC" w:rsidRPr="00B302B7" w:rsidRDefault="00817AAC" w:rsidP="00F20FB9">
            <w:pPr>
              <w:pStyle w:val="TableText"/>
            </w:pPr>
            <w:r w:rsidRPr="00B302B7">
              <w:t xml:space="preserve">Continue to roll out and embed </w:t>
            </w:r>
            <w:r w:rsidR="00F834AD" w:rsidRPr="00B302B7">
              <w:t>l</w:t>
            </w:r>
            <w:r w:rsidRPr="00B302B7">
              <w:t xml:space="preserve">eadership </w:t>
            </w:r>
            <w:r w:rsidR="00F834AD" w:rsidRPr="00B302B7">
              <w:t>e</w:t>
            </w:r>
            <w:r w:rsidRPr="00B302B7">
              <w:t xml:space="preserve">xpectations via </w:t>
            </w:r>
            <w:r w:rsidR="00F834AD" w:rsidRPr="00B302B7">
              <w:t>l</w:t>
            </w:r>
            <w:r w:rsidRPr="00B302B7">
              <w:t xml:space="preserve">eadership </w:t>
            </w:r>
            <w:r w:rsidR="00F834AD" w:rsidRPr="00B302B7">
              <w:t>c</w:t>
            </w:r>
            <w:r w:rsidRPr="00B302B7">
              <w:t>ampaigns</w:t>
            </w:r>
            <w:r w:rsidR="00F834AD" w:rsidRPr="00B302B7">
              <w:t>.</w:t>
            </w:r>
          </w:p>
        </w:tc>
      </w:tr>
      <w:tr w:rsidR="00817AAC" w:rsidRPr="00B302B7" w14:paraId="7D12AD9D" w14:textId="77777777">
        <w:trPr>
          <w:tblHeader/>
        </w:trPr>
        <w:tc>
          <w:tcPr>
            <w:tcW w:w="8505" w:type="dxa"/>
            <w:gridSpan w:val="2"/>
            <w:shd w:val="clear" w:color="auto" w:fill="1B556B"/>
          </w:tcPr>
          <w:p w14:paraId="22A3B2E5" w14:textId="0A01CBF4" w:rsidR="00817AAC" w:rsidRPr="00B302B7" w:rsidRDefault="00817AAC">
            <w:pPr>
              <w:pStyle w:val="TableTextbold"/>
              <w:rPr>
                <w:color w:val="FFFFFF" w:themeColor="background1"/>
              </w:rPr>
            </w:pPr>
            <w:r w:rsidRPr="00B302B7">
              <w:rPr>
                <w:color w:val="FFFFFF" w:themeColor="background1"/>
              </w:rPr>
              <w:t xml:space="preserve">Deliverables by </w:t>
            </w:r>
            <w:r w:rsidR="00AB757F" w:rsidRPr="00B302B7">
              <w:rPr>
                <w:color w:val="FFFFFF" w:themeColor="background1"/>
              </w:rPr>
              <w:t>November</w:t>
            </w:r>
            <w:r w:rsidRPr="00B302B7">
              <w:rPr>
                <w:color w:val="FFFFFF" w:themeColor="background1"/>
              </w:rPr>
              <w:t xml:space="preserve"> 2024</w:t>
            </w:r>
          </w:p>
        </w:tc>
      </w:tr>
      <w:tr w:rsidR="00817AAC" w:rsidRPr="00B302B7" w14:paraId="2CC4DA1A" w14:textId="77777777" w:rsidTr="00F20FB9">
        <w:tc>
          <w:tcPr>
            <w:tcW w:w="596" w:type="dxa"/>
          </w:tcPr>
          <w:p w14:paraId="509B699A" w14:textId="77777777" w:rsidR="00817AAC" w:rsidRPr="00B302B7" w:rsidRDefault="00817AAC" w:rsidP="00817AAC">
            <w:pPr>
              <w:pStyle w:val="TableText"/>
            </w:pPr>
          </w:p>
        </w:tc>
        <w:tc>
          <w:tcPr>
            <w:tcW w:w="7909" w:type="dxa"/>
          </w:tcPr>
          <w:p w14:paraId="752F25AA" w14:textId="5AE2F510" w:rsidR="00817AAC" w:rsidRPr="00B302B7" w:rsidRDefault="00817AAC" w:rsidP="00F20FB9">
            <w:pPr>
              <w:pStyle w:val="TableText"/>
            </w:pPr>
            <w:r w:rsidRPr="00B302B7">
              <w:t xml:space="preserve">Year </w:t>
            </w:r>
            <w:r w:rsidR="00F834AD" w:rsidRPr="00B302B7">
              <w:t>three</w:t>
            </w:r>
            <w:r w:rsidRPr="00B302B7">
              <w:t xml:space="preserve"> review of recruitment process performance</w:t>
            </w:r>
            <w:r w:rsidR="00F834AD" w:rsidRPr="00B302B7">
              <w:t>.</w:t>
            </w:r>
          </w:p>
        </w:tc>
      </w:tr>
      <w:tr w:rsidR="00817AAC" w:rsidRPr="00B302B7" w14:paraId="34D25891" w14:textId="77777777" w:rsidTr="00F20FB9">
        <w:tc>
          <w:tcPr>
            <w:tcW w:w="596" w:type="dxa"/>
          </w:tcPr>
          <w:p w14:paraId="16EFEE4A" w14:textId="77777777" w:rsidR="00817AAC" w:rsidRPr="00B302B7" w:rsidRDefault="00817AAC" w:rsidP="00817AAC">
            <w:pPr>
              <w:pStyle w:val="TableText"/>
            </w:pPr>
          </w:p>
        </w:tc>
        <w:tc>
          <w:tcPr>
            <w:tcW w:w="7909" w:type="dxa"/>
          </w:tcPr>
          <w:p w14:paraId="0D95545E" w14:textId="4F602F9A" w:rsidR="00817AAC" w:rsidRPr="00B302B7" w:rsidRDefault="00010240" w:rsidP="00F20FB9">
            <w:pPr>
              <w:pStyle w:val="TableText"/>
            </w:pPr>
            <w:proofErr w:type="spellStart"/>
            <w:r w:rsidRPr="00B302B7">
              <w:t>Tōnui</w:t>
            </w:r>
            <w:proofErr w:type="spellEnd"/>
            <w:r w:rsidR="00817AAC" w:rsidRPr="00B302B7">
              <w:t xml:space="preserve"> initial implementation across all business groups complete</w:t>
            </w:r>
            <w:r w:rsidR="00FD7D03" w:rsidRPr="00B302B7">
              <w:t>d</w:t>
            </w:r>
            <w:r w:rsidR="00817AAC" w:rsidRPr="00B302B7">
              <w:t xml:space="preserve"> and integrated into induction for new starters</w:t>
            </w:r>
            <w:r w:rsidR="00A1405C" w:rsidRPr="00B302B7">
              <w:t>.</w:t>
            </w:r>
            <w:r w:rsidR="00817AAC" w:rsidRPr="00B302B7">
              <w:t xml:space="preserve"> </w:t>
            </w:r>
          </w:p>
        </w:tc>
      </w:tr>
      <w:tr w:rsidR="00817AAC" w:rsidRPr="00B302B7" w14:paraId="07537D55" w14:textId="77777777" w:rsidTr="00F20FB9">
        <w:tc>
          <w:tcPr>
            <w:tcW w:w="596" w:type="dxa"/>
          </w:tcPr>
          <w:p w14:paraId="049C71EB" w14:textId="77777777" w:rsidR="00817AAC" w:rsidRPr="00B302B7" w:rsidRDefault="00817AAC" w:rsidP="00817AAC">
            <w:pPr>
              <w:pStyle w:val="TableText"/>
            </w:pPr>
          </w:p>
        </w:tc>
        <w:tc>
          <w:tcPr>
            <w:tcW w:w="7909" w:type="dxa"/>
          </w:tcPr>
          <w:p w14:paraId="00CB038A" w14:textId="71B8AD91" w:rsidR="00817AAC" w:rsidRPr="00B302B7" w:rsidRDefault="00817AAC" w:rsidP="00F20FB9">
            <w:pPr>
              <w:pStyle w:val="TableText"/>
            </w:pPr>
            <w:r w:rsidRPr="00B302B7">
              <w:t xml:space="preserve">Talent </w:t>
            </w:r>
            <w:r w:rsidR="00A1405C" w:rsidRPr="00B302B7">
              <w:t>r</w:t>
            </w:r>
            <w:r w:rsidRPr="00B302B7">
              <w:t>eview process review</w:t>
            </w:r>
            <w:r w:rsidR="00A1405C" w:rsidRPr="00B302B7">
              <w:t>.</w:t>
            </w:r>
            <w:r w:rsidRPr="00B302B7">
              <w:t xml:space="preserve"> </w:t>
            </w:r>
          </w:p>
        </w:tc>
      </w:tr>
      <w:tr w:rsidR="00817AAC" w:rsidRPr="00B302B7" w14:paraId="29D86804" w14:textId="77777777" w:rsidTr="00F20FB9">
        <w:tc>
          <w:tcPr>
            <w:tcW w:w="596" w:type="dxa"/>
          </w:tcPr>
          <w:p w14:paraId="76399071" w14:textId="77777777" w:rsidR="00817AAC" w:rsidRPr="00B302B7" w:rsidRDefault="00817AAC" w:rsidP="00817AAC">
            <w:pPr>
              <w:pStyle w:val="TableText"/>
            </w:pPr>
          </w:p>
        </w:tc>
        <w:tc>
          <w:tcPr>
            <w:tcW w:w="7909" w:type="dxa"/>
          </w:tcPr>
          <w:p w14:paraId="19674540" w14:textId="63754662" w:rsidR="00817AAC" w:rsidRPr="00B302B7" w:rsidRDefault="00817AAC" w:rsidP="00F20FB9">
            <w:pPr>
              <w:pStyle w:val="TableText"/>
            </w:pPr>
            <w:r w:rsidRPr="00B302B7">
              <w:t xml:space="preserve">P&amp;C map employee lifecycle to be used to assess HR systems, </w:t>
            </w:r>
            <w:proofErr w:type="gramStart"/>
            <w:r w:rsidRPr="00B302B7">
              <w:t>policies</w:t>
            </w:r>
            <w:proofErr w:type="gramEnd"/>
            <w:r w:rsidRPr="00B302B7">
              <w:t xml:space="preserve"> and processes for vulnerability to bias</w:t>
            </w:r>
            <w:r w:rsidR="00517931" w:rsidRPr="00B302B7">
              <w:t>.</w:t>
            </w:r>
            <w:r w:rsidRPr="00B302B7">
              <w:t xml:space="preserve"> </w:t>
            </w:r>
          </w:p>
        </w:tc>
      </w:tr>
    </w:tbl>
    <w:p w14:paraId="28FBE233" w14:textId="77777777" w:rsidR="00817AAC" w:rsidRPr="00B302B7" w:rsidRDefault="00817AAC" w:rsidP="00260165">
      <w:pPr>
        <w:pStyle w:val="Heading4"/>
      </w:pPr>
      <w:r w:rsidRPr="00B302B7">
        <w:t xml:space="preserve">What will success look like? </w:t>
      </w:r>
    </w:p>
    <w:p w14:paraId="6B48241D" w14:textId="41BCCEC1" w:rsidR="00817AAC" w:rsidRPr="00B302B7" w:rsidRDefault="007B0958" w:rsidP="00EE36AA">
      <w:pPr>
        <w:pStyle w:val="Bullet"/>
        <w:spacing w:before="240"/>
      </w:pPr>
      <w:r w:rsidRPr="00B302B7">
        <w:t xml:space="preserve">We will </w:t>
      </w:r>
      <w:r w:rsidR="00671A22" w:rsidRPr="00B302B7">
        <w:t xml:space="preserve">increase our </w:t>
      </w:r>
      <w:r w:rsidR="00817AAC" w:rsidRPr="00B302B7">
        <w:t>organisational capability in Te Ao Māori and Tiriti obligations</w:t>
      </w:r>
      <w:r w:rsidR="009B51BF" w:rsidRPr="00B302B7">
        <w:t xml:space="preserve"> from ‘unfamiliar’ to ‘comfortable’ (based </w:t>
      </w:r>
      <w:r w:rsidR="001C4EA3" w:rsidRPr="00B302B7">
        <w:t xml:space="preserve">on </w:t>
      </w:r>
      <w:proofErr w:type="spellStart"/>
      <w:r w:rsidR="001C4EA3" w:rsidRPr="00B302B7">
        <w:t>Wh</w:t>
      </w:r>
      <w:r w:rsidR="000A52AD" w:rsidRPr="00B302B7">
        <w:t>ā</w:t>
      </w:r>
      <w:r w:rsidR="001C4EA3" w:rsidRPr="00B302B7">
        <w:t>inga</w:t>
      </w:r>
      <w:proofErr w:type="spellEnd"/>
      <w:r w:rsidR="001C4EA3" w:rsidRPr="00B302B7">
        <w:t xml:space="preserve"> </w:t>
      </w:r>
      <w:proofErr w:type="spellStart"/>
      <w:r w:rsidR="001C4EA3" w:rsidRPr="00B302B7">
        <w:t>Amoran</w:t>
      </w:r>
      <w:r w:rsidR="000A52AD" w:rsidRPr="00B302B7">
        <w:t>g</w:t>
      </w:r>
      <w:r w:rsidR="001C4EA3" w:rsidRPr="00B302B7">
        <w:t>i</w:t>
      </w:r>
      <w:proofErr w:type="spellEnd"/>
      <w:r w:rsidR="000A52AD" w:rsidRPr="00B302B7">
        <w:t xml:space="preserve"> organisational </w:t>
      </w:r>
      <w:r w:rsidR="009400ED" w:rsidRPr="00B302B7">
        <w:t xml:space="preserve">cultural </w:t>
      </w:r>
      <w:r w:rsidR="000A52AD" w:rsidRPr="00B302B7">
        <w:t xml:space="preserve">capability </w:t>
      </w:r>
      <w:r w:rsidR="009400ED" w:rsidRPr="00B302B7">
        <w:t>framework)</w:t>
      </w:r>
      <w:r w:rsidRPr="00B302B7">
        <w:t>.</w:t>
      </w:r>
    </w:p>
    <w:p w14:paraId="499E5609" w14:textId="78C47E12" w:rsidR="00817AAC" w:rsidRPr="00B302B7" w:rsidRDefault="00606157" w:rsidP="00573FBF">
      <w:pPr>
        <w:pStyle w:val="Bullet"/>
      </w:pPr>
      <w:r w:rsidRPr="00B302B7">
        <w:t>The r</w:t>
      </w:r>
      <w:r w:rsidR="00817AAC" w:rsidRPr="00B302B7">
        <w:t xml:space="preserve">ecruitment process delivers a significant </w:t>
      </w:r>
      <w:r w:rsidR="00E37254" w:rsidRPr="00B302B7">
        <w:t>increase in</w:t>
      </w:r>
      <w:r w:rsidR="00817AAC" w:rsidRPr="00B302B7">
        <w:t xml:space="preserve"> diversity of new hires</w:t>
      </w:r>
      <w:r w:rsidR="008537AA" w:rsidRPr="00B302B7">
        <w:t>.</w:t>
      </w:r>
    </w:p>
    <w:p w14:paraId="5A576784" w14:textId="3CECADC8" w:rsidR="00817AAC" w:rsidRPr="00B302B7" w:rsidRDefault="00817AAC" w:rsidP="00573FBF">
      <w:pPr>
        <w:pStyle w:val="Bullet"/>
      </w:pPr>
      <w:r w:rsidRPr="00B302B7">
        <w:t xml:space="preserve">Employee experience gaps measured in </w:t>
      </w:r>
      <w:proofErr w:type="spellStart"/>
      <w:r w:rsidRPr="00B302B7">
        <w:t>Tō</w:t>
      </w:r>
      <w:proofErr w:type="spellEnd"/>
      <w:r w:rsidRPr="00B302B7">
        <w:t xml:space="preserve"> </w:t>
      </w:r>
      <w:proofErr w:type="spellStart"/>
      <w:r w:rsidRPr="00B302B7">
        <w:t>reo</w:t>
      </w:r>
      <w:proofErr w:type="spellEnd"/>
      <w:r w:rsidRPr="00B302B7">
        <w:t xml:space="preserve"> close</w:t>
      </w:r>
      <w:r w:rsidR="008537AA" w:rsidRPr="00B302B7">
        <w:t>.</w:t>
      </w:r>
    </w:p>
    <w:p w14:paraId="4D63210A" w14:textId="147FAEF0" w:rsidR="00817AAC" w:rsidRPr="00B302B7" w:rsidRDefault="008537AA" w:rsidP="00573FBF">
      <w:pPr>
        <w:pStyle w:val="Bullet"/>
        <w:spacing w:after="200" w:line="276" w:lineRule="auto"/>
      </w:pPr>
      <w:r w:rsidRPr="00B302B7">
        <w:t xml:space="preserve">The </w:t>
      </w:r>
      <w:r w:rsidR="00817AAC" w:rsidRPr="00B302B7">
        <w:t xml:space="preserve">Ministry </w:t>
      </w:r>
      <w:r w:rsidR="00233B17" w:rsidRPr="00B302B7">
        <w:t xml:space="preserve">maps the employee </w:t>
      </w:r>
      <w:r w:rsidR="003A391C" w:rsidRPr="00B302B7">
        <w:t xml:space="preserve">lifecycle and identifies and addresses </w:t>
      </w:r>
      <w:r w:rsidR="00994E2D" w:rsidRPr="00B302B7">
        <w:t xml:space="preserve">areas </w:t>
      </w:r>
      <w:r w:rsidR="005E7C86" w:rsidRPr="00B302B7">
        <w:t>where bias may exist</w:t>
      </w:r>
      <w:r w:rsidR="00084EE5" w:rsidRPr="00B302B7">
        <w:t>.</w:t>
      </w:r>
    </w:p>
    <w:p w14:paraId="03C37291" w14:textId="39909572" w:rsidR="00817AAC" w:rsidRPr="00B302B7" w:rsidRDefault="00817AAC" w:rsidP="00260165">
      <w:pPr>
        <w:pStyle w:val="Heading3"/>
      </w:pPr>
      <w:bookmarkStart w:id="35" w:name="_Te_taunoa_o"/>
      <w:bookmarkEnd w:id="35"/>
      <w:r w:rsidRPr="00B302B7">
        <w:rPr>
          <w:lang w:val="en-US"/>
        </w:rPr>
        <w:lastRenderedPageBreak/>
        <w:t>Te</w:t>
      </w:r>
      <w:r w:rsidR="00535799" w:rsidRPr="00B302B7">
        <w:rPr>
          <w:lang w:val="en-US"/>
        </w:rPr>
        <w:t xml:space="preserve"> </w:t>
      </w:r>
      <w:proofErr w:type="spellStart"/>
      <w:r w:rsidR="00C36DD7" w:rsidRPr="00B302B7">
        <w:rPr>
          <w:lang w:val="en-US"/>
        </w:rPr>
        <w:t>t</w:t>
      </w:r>
      <w:r w:rsidRPr="00B302B7">
        <w:rPr>
          <w:lang w:val="en-US"/>
        </w:rPr>
        <w:t>aunoa</w:t>
      </w:r>
      <w:proofErr w:type="spellEnd"/>
      <w:r w:rsidR="00535799" w:rsidRPr="00B302B7">
        <w:rPr>
          <w:lang w:val="en-US"/>
        </w:rPr>
        <w:t xml:space="preserve"> </w:t>
      </w:r>
      <w:r w:rsidRPr="00B302B7">
        <w:rPr>
          <w:lang w:val="en-US"/>
        </w:rPr>
        <w:t>o</w:t>
      </w:r>
      <w:r w:rsidR="00535799" w:rsidRPr="00B302B7">
        <w:rPr>
          <w:lang w:val="en-US"/>
        </w:rPr>
        <w:t xml:space="preserve"> </w:t>
      </w:r>
      <w:r w:rsidRPr="00B302B7">
        <w:rPr>
          <w:lang w:val="en-US"/>
        </w:rPr>
        <w:t>te</w:t>
      </w:r>
      <w:r w:rsidR="00535799" w:rsidRPr="00B302B7">
        <w:rPr>
          <w:lang w:val="en-US"/>
        </w:rPr>
        <w:t xml:space="preserve"> </w:t>
      </w:r>
      <w:r w:rsidR="003E584B" w:rsidRPr="00B302B7">
        <w:rPr>
          <w:lang w:val="en-US"/>
        </w:rPr>
        <w:t>m</w:t>
      </w:r>
      <w:r w:rsidRPr="00B302B7">
        <w:rPr>
          <w:lang w:val="en-US"/>
        </w:rPr>
        <w:t>ahi</w:t>
      </w:r>
      <w:r w:rsidR="00535799" w:rsidRPr="00B302B7">
        <w:rPr>
          <w:lang w:val="en-US"/>
        </w:rPr>
        <w:t xml:space="preserve"> </w:t>
      </w:r>
      <w:proofErr w:type="spellStart"/>
      <w:r w:rsidR="00C36DD7" w:rsidRPr="00B302B7">
        <w:rPr>
          <w:lang w:val="en-US"/>
        </w:rPr>
        <w:t>p</w:t>
      </w:r>
      <w:r w:rsidRPr="00B302B7">
        <w:rPr>
          <w:lang w:val="en-US"/>
        </w:rPr>
        <w:t>īngore</w:t>
      </w:r>
      <w:proofErr w:type="spellEnd"/>
      <w:r w:rsidR="00535799" w:rsidRPr="00B302B7">
        <w:rPr>
          <w:lang w:val="en-US"/>
        </w:rPr>
        <w:t xml:space="preserve"> </w:t>
      </w:r>
      <w:r w:rsidRPr="00B302B7">
        <w:rPr>
          <w:lang w:val="en-US"/>
        </w:rPr>
        <w:t xml:space="preserve">– </w:t>
      </w:r>
      <w:r w:rsidR="008C18EA" w:rsidRPr="00B302B7">
        <w:rPr>
          <w:lang w:val="en-US"/>
        </w:rPr>
        <w:t>F</w:t>
      </w:r>
      <w:r w:rsidRPr="00B302B7">
        <w:rPr>
          <w:lang w:val="en-US"/>
        </w:rPr>
        <w:t>lexible work by default</w:t>
      </w:r>
    </w:p>
    <w:p w14:paraId="20D45C1B" w14:textId="77777777" w:rsidR="00817AAC" w:rsidRPr="00B302B7" w:rsidRDefault="00817AAC" w:rsidP="00817AAC">
      <w:pPr>
        <w:pStyle w:val="BodyText"/>
        <w:rPr>
          <w:lang w:val="en-US"/>
        </w:rPr>
      </w:pPr>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596"/>
        <w:gridCol w:w="7909"/>
      </w:tblGrid>
      <w:tr w:rsidR="00817AAC" w:rsidRPr="00B302B7" w14:paraId="2328F369" w14:textId="77777777">
        <w:trPr>
          <w:tblHeader/>
        </w:trPr>
        <w:tc>
          <w:tcPr>
            <w:tcW w:w="8505" w:type="dxa"/>
            <w:gridSpan w:val="2"/>
            <w:shd w:val="clear" w:color="auto" w:fill="1B556B"/>
            <w:vAlign w:val="center"/>
          </w:tcPr>
          <w:p w14:paraId="0DDE45D0" w14:textId="77777777" w:rsidR="00817AAC" w:rsidRPr="00B302B7" w:rsidRDefault="00817AAC">
            <w:pPr>
              <w:pStyle w:val="TableTextbold"/>
              <w:rPr>
                <w:color w:val="FFFFFF" w:themeColor="background1"/>
              </w:rPr>
            </w:pPr>
            <w:r w:rsidRPr="00B302B7">
              <w:rPr>
                <w:color w:val="FFFFFF" w:themeColor="background1"/>
              </w:rPr>
              <w:t>Milestones</w:t>
            </w:r>
          </w:p>
        </w:tc>
      </w:tr>
      <w:tr w:rsidR="00817AAC" w:rsidRPr="00B302B7" w14:paraId="6629D511" w14:textId="77777777" w:rsidTr="00F20FB9">
        <w:tc>
          <w:tcPr>
            <w:tcW w:w="596" w:type="dxa"/>
            <w:shd w:val="clear" w:color="auto" w:fill="auto"/>
          </w:tcPr>
          <w:p w14:paraId="750EDB7B" w14:textId="77777777" w:rsidR="00817AAC" w:rsidRPr="00B302B7" w:rsidRDefault="00817AAC" w:rsidP="00817AAC">
            <w:pPr>
              <w:pStyle w:val="TableText"/>
            </w:pPr>
          </w:p>
        </w:tc>
        <w:tc>
          <w:tcPr>
            <w:tcW w:w="7909" w:type="dxa"/>
            <w:shd w:val="clear" w:color="auto" w:fill="auto"/>
          </w:tcPr>
          <w:p w14:paraId="560703CE" w14:textId="2ABACCF9" w:rsidR="00817AAC" w:rsidRPr="00B302B7" w:rsidRDefault="00817AAC" w:rsidP="00817AAC">
            <w:pPr>
              <w:pStyle w:val="TableText"/>
            </w:pPr>
            <w:r w:rsidRPr="00B302B7">
              <w:t>By the end of 2024 agencies and entities offer equitable access to</w:t>
            </w:r>
            <w:r w:rsidR="00862205" w:rsidRPr="00B302B7">
              <w:t xml:space="preserve"> </w:t>
            </w:r>
            <w:r w:rsidRPr="00B302B7">
              <w:t>flexible-by- default working and ensure it does not undermine career progression or pay</w:t>
            </w:r>
            <w:r w:rsidR="00862205" w:rsidRPr="00B302B7">
              <w:t>.</w:t>
            </w:r>
          </w:p>
        </w:tc>
      </w:tr>
      <w:tr w:rsidR="00817AAC" w:rsidRPr="00B302B7" w14:paraId="06337F53" w14:textId="77777777">
        <w:trPr>
          <w:tblHeader/>
        </w:trPr>
        <w:tc>
          <w:tcPr>
            <w:tcW w:w="8505" w:type="dxa"/>
            <w:gridSpan w:val="2"/>
            <w:shd w:val="clear" w:color="auto" w:fill="1B556B"/>
          </w:tcPr>
          <w:p w14:paraId="3C64E860" w14:textId="4666307D" w:rsidR="00817AAC" w:rsidRPr="00B302B7" w:rsidRDefault="00543C4E">
            <w:pPr>
              <w:pStyle w:val="TableTextbold"/>
              <w:rPr>
                <w:color w:val="FFFFFF" w:themeColor="background1"/>
              </w:rPr>
            </w:pPr>
            <w:r w:rsidRPr="00B302B7">
              <w:rPr>
                <w:color w:val="FFFFFF" w:themeColor="background1"/>
              </w:rPr>
              <w:t xml:space="preserve">Our </w:t>
            </w:r>
            <w:proofErr w:type="gramStart"/>
            <w:r w:rsidRPr="00B302B7">
              <w:rPr>
                <w:color w:val="FFFFFF" w:themeColor="background1"/>
              </w:rPr>
              <w:t>c</w:t>
            </w:r>
            <w:r w:rsidR="00817AAC" w:rsidRPr="00B302B7">
              <w:rPr>
                <w:color w:val="FFFFFF" w:themeColor="background1"/>
              </w:rPr>
              <w:t xml:space="preserve">urrent </w:t>
            </w:r>
            <w:r w:rsidRPr="00B302B7">
              <w:rPr>
                <w:color w:val="FFFFFF" w:themeColor="background1"/>
              </w:rPr>
              <w:t>s</w:t>
            </w:r>
            <w:r w:rsidR="00817AAC" w:rsidRPr="00B302B7">
              <w:rPr>
                <w:color w:val="FFFFFF" w:themeColor="background1"/>
              </w:rPr>
              <w:t>tatus</w:t>
            </w:r>
            <w:proofErr w:type="gramEnd"/>
            <w:r w:rsidR="00817AAC" w:rsidRPr="00B302B7">
              <w:rPr>
                <w:color w:val="FFFFFF" w:themeColor="background1"/>
              </w:rPr>
              <w:t xml:space="preserve"> </w:t>
            </w:r>
          </w:p>
        </w:tc>
      </w:tr>
      <w:tr w:rsidR="00817AAC" w:rsidRPr="00B302B7" w14:paraId="3E3C3C94" w14:textId="77777777" w:rsidTr="00F20FB9">
        <w:tc>
          <w:tcPr>
            <w:tcW w:w="596" w:type="dxa"/>
          </w:tcPr>
          <w:p w14:paraId="00A83B78" w14:textId="77777777" w:rsidR="00817AAC" w:rsidRPr="00B302B7" w:rsidRDefault="00817AAC" w:rsidP="00817AAC">
            <w:pPr>
              <w:pStyle w:val="TableText"/>
            </w:pPr>
          </w:p>
        </w:tc>
        <w:tc>
          <w:tcPr>
            <w:tcW w:w="7909" w:type="dxa"/>
          </w:tcPr>
          <w:p w14:paraId="50FE136E" w14:textId="57CC52C1" w:rsidR="00817AAC" w:rsidRPr="00B302B7" w:rsidRDefault="00817AAC" w:rsidP="00817AAC">
            <w:pPr>
              <w:pStyle w:val="TableText"/>
            </w:pPr>
            <w:r w:rsidRPr="00B302B7">
              <w:t xml:space="preserve">Roles are recruited with flexible location unless </w:t>
            </w:r>
            <w:r w:rsidR="00AB5203" w:rsidRPr="00B302B7">
              <w:t xml:space="preserve">there is </w:t>
            </w:r>
            <w:r w:rsidRPr="00B302B7">
              <w:t>a specific requirement for in-person engagement</w:t>
            </w:r>
            <w:r w:rsidR="00985ADC" w:rsidRPr="00B302B7">
              <w:t>,</w:t>
            </w:r>
            <w:r w:rsidRPr="00B302B7">
              <w:t xml:space="preserve"> such as local stakeholder engagement or support</w:t>
            </w:r>
            <w:r w:rsidR="00985ADC" w:rsidRPr="00B302B7">
              <w:t xml:space="preserve">. </w:t>
            </w:r>
          </w:p>
        </w:tc>
      </w:tr>
      <w:tr w:rsidR="00817AAC" w:rsidRPr="00B302B7" w14:paraId="3401EC45" w14:textId="77777777" w:rsidTr="00F20FB9">
        <w:tc>
          <w:tcPr>
            <w:tcW w:w="596" w:type="dxa"/>
          </w:tcPr>
          <w:p w14:paraId="27ECC200" w14:textId="77777777" w:rsidR="00817AAC" w:rsidRPr="00B302B7" w:rsidRDefault="00817AAC" w:rsidP="00817AAC">
            <w:pPr>
              <w:pStyle w:val="TableText"/>
            </w:pPr>
          </w:p>
        </w:tc>
        <w:tc>
          <w:tcPr>
            <w:tcW w:w="7909" w:type="dxa"/>
          </w:tcPr>
          <w:p w14:paraId="40DB315F" w14:textId="01CF853D" w:rsidR="00817AAC" w:rsidRPr="00B302B7" w:rsidRDefault="00985ADC" w:rsidP="00817AAC">
            <w:pPr>
              <w:pStyle w:val="TableText"/>
            </w:pPr>
            <w:r w:rsidRPr="00B302B7">
              <w:t>The Ministry has</w:t>
            </w:r>
            <w:r w:rsidR="00817AAC" w:rsidRPr="00B302B7">
              <w:t xml:space="preserve"> published guidelines around flexible ways of working including guidance for leaders and </w:t>
            </w:r>
            <w:r w:rsidR="006061B5" w:rsidRPr="00B302B7">
              <w:t xml:space="preserve">guidance for managing wellbeing in a flexible working environment. </w:t>
            </w:r>
          </w:p>
        </w:tc>
      </w:tr>
      <w:tr w:rsidR="00817AAC" w:rsidRPr="00B302B7" w14:paraId="350AB987" w14:textId="77777777">
        <w:trPr>
          <w:tblHeader/>
        </w:trPr>
        <w:tc>
          <w:tcPr>
            <w:tcW w:w="8505" w:type="dxa"/>
            <w:gridSpan w:val="2"/>
            <w:shd w:val="clear" w:color="auto" w:fill="1B556B"/>
          </w:tcPr>
          <w:p w14:paraId="48D1D5FA" w14:textId="183D0F9B" w:rsidR="00817AAC" w:rsidRPr="00B302B7" w:rsidRDefault="00817AAC">
            <w:pPr>
              <w:pStyle w:val="TableTextbold"/>
              <w:rPr>
                <w:color w:val="FFFFFF" w:themeColor="background1"/>
              </w:rPr>
            </w:pPr>
            <w:r w:rsidRPr="00B302B7">
              <w:rPr>
                <w:color w:val="FFFFFF" w:themeColor="background1"/>
              </w:rPr>
              <w:t xml:space="preserve">Deliverables by </w:t>
            </w:r>
            <w:r w:rsidR="00806DA2" w:rsidRPr="00B302B7">
              <w:rPr>
                <w:color w:val="FFFFFF" w:themeColor="background1"/>
              </w:rPr>
              <w:t>November</w:t>
            </w:r>
            <w:r w:rsidRPr="00B302B7">
              <w:rPr>
                <w:color w:val="FFFFFF" w:themeColor="background1"/>
              </w:rPr>
              <w:t xml:space="preserve"> 2023</w:t>
            </w:r>
          </w:p>
        </w:tc>
      </w:tr>
      <w:tr w:rsidR="00817AAC" w:rsidRPr="00B302B7" w14:paraId="6EC6A157" w14:textId="77777777" w:rsidTr="00F20FB9">
        <w:tc>
          <w:tcPr>
            <w:tcW w:w="596" w:type="dxa"/>
          </w:tcPr>
          <w:p w14:paraId="777C447C" w14:textId="77777777" w:rsidR="00817AAC" w:rsidRPr="00B302B7" w:rsidRDefault="00817AAC" w:rsidP="00817AAC">
            <w:pPr>
              <w:pStyle w:val="TableText"/>
            </w:pPr>
          </w:p>
        </w:tc>
        <w:tc>
          <w:tcPr>
            <w:tcW w:w="7909" w:type="dxa"/>
          </w:tcPr>
          <w:p w14:paraId="755C3E15" w14:textId="7C7F8B03" w:rsidR="00817AAC" w:rsidRPr="00B302B7" w:rsidRDefault="00817AAC" w:rsidP="00817AAC">
            <w:pPr>
              <w:pStyle w:val="TableText"/>
            </w:pPr>
            <w:r w:rsidRPr="00B302B7">
              <w:t>Review flexible-by-default guidelines to ensure consistency with cross-government hybrid working principles</w:t>
            </w:r>
            <w:r w:rsidR="00A727B5" w:rsidRPr="00B302B7">
              <w:t>.</w:t>
            </w:r>
            <w:r w:rsidRPr="00B302B7">
              <w:t xml:space="preserve"> </w:t>
            </w:r>
          </w:p>
        </w:tc>
      </w:tr>
      <w:tr w:rsidR="00817AAC" w:rsidRPr="00B302B7" w14:paraId="73696C22" w14:textId="77777777" w:rsidTr="00F20FB9">
        <w:tc>
          <w:tcPr>
            <w:tcW w:w="596" w:type="dxa"/>
          </w:tcPr>
          <w:p w14:paraId="55286E3B" w14:textId="77777777" w:rsidR="00817AAC" w:rsidRPr="00B302B7" w:rsidRDefault="00817AAC" w:rsidP="00817AAC">
            <w:pPr>
              <w:pStyle w:val="TableText"/>
            </w:pPr>
          </w:p>
        </w:tc>
        <w:tc>
          <w:tcPr>
            <w:tcW w:w="7909" w:type="dxa"/>
          </w:tcPr>
          <w:p w14:paraId="0B19AF5E" w14:textId="6ED40BC8" w:rsidR="00817AAC" w:rsidRPr="00B302B7" w:rsidRDefault="00817AAC" w:rsidP="00817AAC">
            <w:pPr>
              <w:pStyle w:val="TableText"/>
            </w:pPr>
            <w:r w:rsidRPr="00B302B7">
              <w:t xml:space="preserve">Introduce metrics segmented by work location including looking at diversity of hires, </w:t>
            </w:r>
            <w:r w:rsidR="00A727B5" w:rsidRPr="00B302B7">
              <w:t>t</w:t>
            </w:r>
            <w:r w:rsidRPr="00B302B7">
              <w:t xml:space="preserve">alent, engagement, promotions, </w:t>
            </w:r>
            <w:r w:rsidR="00A727B5" w:rsidRPr="00B302B7">
              <w:t xml:space="preserve">and </w:t>
            </w:r>
            <w:r w:rsidRPr="00B302B7">
              <w:t>remuneration</w:t>
            </w:r>
            <w:r w:rsidR="00A727B5" w:rsidRPr="00B302B7">
              <w:t>.</w:t>
            </w:r>
            <w:r w:rsidRPr="00B302B7">
              <w:t xml:space="preserve"> </w:t>
            </w:r>
          </w:p>
        </w:tc>
      </w:tr>
      <w:tr w:rsidR="00817AAC" w:rsidRPr="00B302B7" w14:paraId="234005F1" w14:textId="77777777">
        <w:trPr>
          <w:tblHeader/>
        </w:trPr>
        <w:tc>
          <w:tcPr>
            <w:tcW w:w="8505" w:type="dxa"/>
            <w:gridSpan w:val="2"/>
            <w:shd w:val="clear" w:color="auto" w:fill="1B556B"/>
          </w:tcPr>
          <w:p w14:paraId="2E663D07" w14:textId="4978B7EF" w:rsidR="00817AAC" w:rsidRPr="00B302B7" w:rsidRDefault="00817AAC">
            <w:pPr>
              <w:pStyle w:val="TableTextbold"/>
              <w:rPr>
                <w:color w:val="FFFFFF" w:themeColor="background1"/>
              </w:rPr>
            </w:pPr>
            <w:r w:rsidRPr="00B302B7">
              <w:rPr>
                <w:color w:val="FFFFFF" w:themeColor="background1"/>
              </w:rPr>
              <w:t xml:space="preserve">Deliverables by </w:t>
            </w:r>
            <w:r w:rsidR="00806DA2" w:rsidRPr="00B302B7">
              <w:rPr>
                <w:color w:val="FFFFFF" w:themeColor="background1"/>
              </w:rPr>
              <w:t>November</w:t>
            </w:r>
            <w:r w:rsidRPr="00B302B7">
              <w:rPr>
                <w:color w:val="FFFFFF" w:themeColor="background1"/>
              </w:rPr>
              <w:t xml:space="preserve"> 2024</w:t>
            </w:r>
          </w:p>
        </w:tc>
      </w:tr>
      <w:tr w:rsidR="00817AAC" w:rsidRPr="00B302B7" w14:paraId="38A89EF7" w14:textId="77777777" w:rsidTr="00F20FB9">
        <w:tc>
          <w:tcPr>
            <w:tcW w:w="596" w:type="dxa"/>
          </w:tcPr>
          <w:p w14:paraId="6A30C491" w14:textId="77777777" w:rsidR="00817AAC" w:rsidRPr="00B302B7" w:rsidRDefault="00817AAC" w:rsidP="00817AAC">
            <w:pPr>
              <w:pStyle w:val="TableText"/>
            </w:pPr>
          </w:p>
        </w:tc>
        <w:tc>
          <w:tcPr>
            <w:tcW w:w="7909" w:type="dxa"/>
          </w:tcPr>
          <w:p w14:paraId="6BF1DC98" w14:textId="51005D63" w:rsidR="00817AAC" w:rsidRPr="00B302B7" w:rsidRDefault="00817AAC" w:rsidP="00817AAC">
            <w:pPr>
              <w:pStyle w:val="TableText"/>
            </w:pPr>
            <w:r w:rsidRPr="00B302B7">
              <w:t>Publish flexible-by-default metrics as part of diversity reporting (for leaders and employee</w:t>
            </w:r>
            <w:r w:rsidR="007F77ED" w:rsidRPr="00B302B7">
              <w:t>s</w:t>
            </w:r>
            <w:r w:rsidRPr="00B302B7">
              <w:t>)</w:t>
            </w:r>
            <w:r w:rsidR="008873CE" w:rsidRPr="00B302B7">
              <w:t>.</w:t>
            </w:r>
          </w:p>
        </w:tc>
      </w:tr>
      <w:tr w:rsidR="00817AAC" w:rsidRPr="00B302B7" w14:paraId="07D46924" w14:textId="77777777" w:rsidTr="00F20FB9">
        <w:tc>
          <w:tcPr>
            <w:tcW w:w="596" w:type="dxa"/>
          </w:tcPr>
          <w:p w14:paraId="37E74B5D" w14:textId="77777777" w:rsidR="00817AAC" w:rsidRPr="00B302B7" w:rsidRDefault="00817AAC" w:rsidP="00817AAC">
            <w:pPr>
              <w:pStyle w:val="TableText"/>
            </w:pPr>
          </w:p>
        </w:tc>
        <w:tc>
          <w:tcPr>
            <w:tcW w:w="7909" w:type="dxa"/>
          </w:tcPr>
          <w:p w14:paraId="3F42FC43" w14:textId="261E3BC7" w:rsidR="00817AAC" w:rsidRPr="00B302B7" w:rsidRDefault="00817AAC" w:rsidP="00817AAC">
            <w:pPr>
              <w:pStyle w:val="TableText"/>
            </w:pPr>
            <w:r w:rsidRPr="00B302B7">
              <w:t>Develop a plan to close any gaps identified through analysis (in consultation with PSA and employee networks)</w:t>
            </w:r>
            <w:r w:rsidR="00664313" w:rsidRPr="00B302B7">
              <w:t>.</w:t>
            </w:r>
          </w:p>
        </w:tc>
      </w:tr>
      <w:tr w:rsidR="00817AAC" w:rsidRPr="00B302B7" w14:paraId="5CDBE983" w14:textId="77777777" w:rsidTr="00F20FB9">
        <w:tc>
          <w:tcPr>
            <w:tcW w:w="596" w:type="dxa"/>
          </w:tcPr>
          <w:p w14:paraId="7AD23289" w14:textId="77777777" w:rsidR="00817AAC" w:rsidRPr="00B302B7" w:rsidRDefault="00817AAC" w:rsidP="00817AAC">
            <w:pPr>
              <w:pStyle w:val="TableText"/>
            </w:pPr>
          </w:p>
        </w:tc>
        <w:tc>
          <w:tcPr>
            <w:tcW w:w="7909" w:type="dxa"/>
          </w:tcPr>
          <w:p w14:paraId="6CE9B544" w14:textId="7CE06526" w:rsidR="00817AAC" w:rsidRPr="00B302B7" w:rsidRDefault="00817AAC" w:rsidP="00817AAC">
            <w:pPr>
              <w:pStyle w:val="TableText"/>
            </w:pPr>
            <w:r w:rsidRPr="00B302B7">
              <w:t xml:space="preserve">Develop a plan to support remote workers by </w:t>
            </w:r>
            <w:r w:rsidR="008873CE" w:rsidRPr="00B302B7">
              <w:t xml:space="preserve">ensuring our ways of working support </w:t>
            </w:r>
            <w:r w:rsidRPr="00B302B7">
              <w:t>equal access to development opportunities</w:t>
            </w:r>
            <w:r w:rsidR="008873CE" w:rsidRPr="00B302B7">
              <w:t>.</w:t>
            </w:r>
            <w:r w:rsidRPr="00B302B7">
              <w:t xml:space="preserve"> </w:t>
            </w:r>
          </w:p>
        </w:tc>
      </w:tr>
    </w:tbl>
    <w:p w14:paraId="7B9A3182" w14:textId="77777777" w:rsidR="00817AAC" w:rsidRPr="00B302B7" w:rsidRDefault="00817AAC" w:rsidP="00260165">
      <w:pPr>
        <w:pStyle w:val="Heading4"/>
      </w:pPr>
      <w:r w:rsidRPr="00B302B7">
        <w:t xml:space="preserve">What will success look like? </w:t>
      </w:r>
    </w:p>
    <w:p w14:paraId="74442C3B" w14:textId="7AF146D4" w:rsidR="00817AAC" w:rsidRPr="00B302B7" w:rsidRDefault="0019214A" w:rsidP="00EE36AA">
      <w:pPr>
        <w:pStyle w:val="Bullet"/>
        <w:spacing w:before="240"/>
      </w:pPr>
      <w:r w:rsidRPr="00B302B7">
        <w:t xml:space="preserve">Access to </w:t>
      </w:r>
      <w:r w:rsidR="00817AAC" w:rsidRPr="00B302B7">
        <w:t>flexible-by-default ways of working</w:t>
      </w:r>
      <w:r w:rsidRPr="00B302B7">
        <w:t xml:space="preserve"> </w:t>
      </w:r>
      <w:proofErr w:type="gramStart"/>
      <w:r w:rsidRPr="00B302B7">
        <w:t>are</w:t>
      </w:r>
      <w:proofErr w:type="gramEnd"/>
      <w:r w:rsidRPr="00B302B7">
        <w:t xml:space="preserve"> available to all</w:t>
      </w:r>
      <w:r w:rsidR="00817AAC" w:rsidRPr="00B302B7">
        <w:t xml:space="preserve"> in line with true requirements of roles</w:t>
      </w:r>
      <w:r w:rsidR="00D34F45" w:rsidRPr="00B302B7">
        <w:t>.</w:t>
      </w:r>
    </w:p>
    <w:p w14:paraId="7661B9EF" w14:textId="5D8615E9" w:rsidR="00817AAC" w:rsidRPr="00B302B7" w:rsidRDefault="00817AAC" w:rsidP="00573FBF">
      <w:pPr>
        <w:pStyle w:val="Bullet"/>
      </w:pPr>
      <w:r w:rsidRPr="00B302B7">
        <w:t>We have a clear view of the impact of different types of flexible working on career progression and development and are thus able to solve for any equity issues that exist</w:t>
      </w:r>
      <w:r w:rsidR="00D34F45" w:rsidRPr="00B302B7">
        <w:t>.</w:t>
      </w:r>
    </w:p>
    <w:p w14:paraId="1E26F23F" w14:textId="42961517" w:rsidR="00817AAC" w:rsidRPr="00B302B7" w:rsidRDefault="00817AAC" w:rsidP="00573FBF">
      <w:pPr>
        <w:pStyle w:val="Bullet"/>
      </w:pPr>
      <w:r w:rsidRPr="00B302B7">
        <w:t>We have a clear and effective proposition in place for developing early-in-career professionals to ensure no disadvantage to those who work remotely</w:t>
      </w:r>
      <w:r w:rsidR="00D34F45" w:rsidRPr="00B302B7">
        <w:t>.</w:t>
      </w:r>
      <w:r w:rsidRPr="00B302B7">
        <w:t xml:space="preserve"> </w:t>
      </w:r>
    </w:p>
    <w:p w14:paraId="64C1AE6A" w14:textId="723ED1C2" w:rsidR="008E5312" w:rsidRPr="00B302B7" w:rsidRDefault="00817AAC" w:rsidP="00573FBF">
      <w:pPr>
        <w:pStyle w:val="Bullet"/>
      </w:pPr>
      <w:r w:rsidRPr="00B302B7">
        <w:t xml:space="preserve">Our </w:t>
      </w:r>
      <w:r w:rsidR="007C09E1" w:rsidRPr="00B302B7">
        <w:t>sector-</w:t>
      </w:r>
      <w:r w:rsidRPr="00B302B7">
        <w:t>leading</w:t>
      </w:r>
      <w:r w:rsidR="007C09E1" w:rsidRPr="00B302B7">
        <w:t>,</w:t>
      </w:r>
      <w:r w:rsidRPr="00B302B7">
        <w:t xml:space="preserve"> flexible-by-default way of working continues to be a key attraction pillar for </w:t>
      </w:r>
      <w:r w:rsidR="00340FBE" w:rsidRPr="00B302B7">
        <w:t>the Ministry.</w:t>
      </w:r>
    </w:p>
    <w:bookmarkEnd w:id="0"/>
    <w:p w14:paraId="57F5B94E" w14:textId="3097A853" w:rsidR="00817AAC" w:rsidRPr="00B302B7" w:rsidRDefault="00817AAC" w:rsidP="00F20FB9">
      <w:pPr>
        <w:spacing w:before="0" w:after="200" w:line="276" w:lineRule="auto"/>
        <w:jc w:val="left"/>
        <w:rPr>
          <w:rFonts w:eastAsia="Times New Roman" w:cs="Times New Roman"/>
          <w:szCs w:val="20"/>
        </w:rPr>
      </w:pPr>
    </w:p>
    <w:p w14:paraId="26A303E3" w14:textId="77777777" w:rsidR="00824D65" w:rsidRPr="00B302B7" w:rsidRDefault="00824D65" w:rsidP="00F20FB9">
      <w:pPr>
        <w:spacing w:before="0" w:after="200" w:line="276" w:lineRule="auto"/>
        <w:jc w:val="left"/>
        <w:rPr>
          <w:rFonts w:eastAsia="Times New Roman" w:cs="Times New Roman"/>
          <w:szCs w:val="20"/>
        </w:rPr>
      </w:pPr>
    </w:p>
    <w:p w14:paraId="014397A0" w14:textId="77777777" w:rsidR="00824D65" w:rsidRPr="00B302B7" w:rsidRDefault="00824D65" w:rsidP="00F20FB9">
      <w:pPr>
        <w:spacing w:before="0" w:after="200" w:line="276" w:lineRule="auto"/>
        <w:jc w:val="left"/>
        <w:rPr>
          <w:rFonts w:eastAsia="Times New Roman" w:cs="Times New Roman"/>
          <w:szCs w:val="20"/>
        </w:rPr>
      </w:pPr>
    </w:p>
    <w:p w14:paraId="15792D8F" w14:textId="77777777" w:rsidR="00824D65" w:rsidRPr="00B302B7" w:rsidRDefault="00824D65" w:rsidP="00F20FB9">
      <w:pPr>
        <w:spacing w:before="0" w:after="200" w:line="276" w:lineRule="auto"/>
        <w:jc w:val="left"/>
        <w:rPr>
          <w:rFonts w:eastAsia="Times New Roman" w:cs="Times New Roman"/>
          <w:szCs w:val="20"/>
        </w:rPr>
      </w:pPr>
    </w:p>
    <w:p w14:paraId="48F5816B" w14:textId="77777777" w:rsidR="00824D65" w:rsidRPr="00B302B7" w:rsidRDefault="00824D65" w:rsidP="00F20FB9">
      <w:pPr>
        <w:spacing w:before="0" w:after="200" w:line="276" w:lineRule="auto"/>
        <w:jc w:val="left"/>
        <w:rPr>
          <w:rFonts w:eastAsia="Times New Roman" w:cs="Times New Roman"/>
          <w:szCs w:val="20"/>
        </w:rPr>
      </w:pPr>
    </w:p>
    <w:p w14:paraId="755EAE61" w14:textId="77777777" w:rsidR="00824D65" w:rsidRPr="00B302B7" w:rsidRDefault="00824D65" w:rsidP="00F20FB9">
      <w:pPr>
        <w:spacing w:before="0" w:after="200" w:line="276" w:lineRule="auto"/>
        <w:jc w:val="left"/>
        <w:rPr>
          <w:rFonts w:eastAsia="Times New Roman" w:cs="Times New Roman"/>
          <w:szCs w:val="20"/>
        </w:rPr>
      </w:pPr>
    </w:p>
    <w:p w14:paraId="34B9F243" w14:textId="77777777" w:rsidR="00824D65" w:rsidRPr="00B302B7" w:rsidRDefault="00824D65" w:rsidP="00F20FB9">
      <w:pPr>
        <w:spacing w:before="0" w:after="200" w:line="276" w:lineRule="auto"/>
        <w:jc w:val="left"/>
        <w:rPr>
          <w:rFonts w:eastAsia="Times New Roman" w:cs="Times New Roman"/>
          <w:szCs w:val="20"/>
        </w:rPr>
      </w:pPr>
    </w:p>
    <w:p w14:paraId="2DE5277F" w14:textId="77777777" w:rsidR="00824D65" w:rsidRPr="00B302B7" w:rsidRDefault="00824D65" w:rsidP="00F20FB9">
      <w:pPr>
        <w:spacing w:before="0" w:after="200" w:line="276" w:lineRule="auto"/>
        <w:jc w:val="left"/>
        <w:rPr>
          <w:rFonts w:eastAsia="Times New Roman" w:cs="Times New Roman"/>
          <w:szCs w:val="20"/>
        </w:rPr>
      </w:pPr>
    </w:p>
    <w:p w14:paraId="411527AD" w14:textId="4250D082" w:rsidR="00824D65" w:rsidRPr="00B302B7" w:rsidRDefault="00824D65" w:rsidP="00673757">
      <w:pPr>
        <w:pStyle w:val="Heading1"/>
        <w:ind w:right="567"/>
      </w:pPr>
      <w:bookmarkStart w:id="36" w:name="_Toc153181759"/>
      <w:r w:rsidRPr="00B302B7">
        <w:lastRenderedPageBreak/>
        <w:t>Appendix</w:t>
      </w:r>
      <w:r w:rsidR="00593A5A" w:rsidRPr="00B302B7">
        <w:t xml:space="preserve"> </w:t>
      </w:r>
      <w:r w:rsidR="001632AE" w:rsidRPr="00B302B7">
        <w:t>I</w:t>
      </w:r>
      <w:r w:rsidR="0015201C" w:rsidRPr="00B302B7">
        <w:t>:</w:t>
      </w:r>
      <w:r w:rsidR="00614270" w:rsidRPr="00B302B7">
        <w:t xml:space="preserve"> </w:t>
      </w:r>
      <w:r w:rsidRPr="00B302B7">
        <w:t xml:space="preserve">Workforce </w:t>
      </w:r>
      <w:r w:rsidR="001632AE" w:rsidRPr="00B302B7">
        <w:t>d</w:t>
      </w:r>
      <w:r w:rsidRPr="00B302B7">
        <w:t xml:space="preserve">ata </w:t>
      </w:r>
      <w:proofErr w:type="gramStart"/>
      <w:r w:rsidR="0015201C" w:rsidRPr="00B302B7">
        <w:t>at</w:t>
      </w:r>
      <w:proofErr w:type="gramEnd"/>
      <w:r w:rsidR="0015201C" w:rsidRPr="00B302B7">
        <w:t xml:space="preserve"> </w:t>
      </w:r>
      <w:r w:rsidR="005F2305" w:rsidRPr="00B302B7">
        <w:t xml:space="preserve">31 </w:t>
      </w:r>
      <w:r w:rsidR="0015201C" w:rsidRPr="00B302B7">
        <w:t>Oct</w:t>
      </w:r>
      <w:r w:rsidR="00691C75">
        <w:t>ober</w:t>
      </w:r>
      <w:r w:rsidR="0015201C" w:rsidRPr="00B302B7">
        <w:t xml:space="preserve"> 2023</w:t>
      </w:r>
      <w:bookmarkEnd w:id="36"/>
    </w:p>
    <w:p w14:paraId="3A0C157D" w14:textId="08398FFD" w:rsidR="00834CE4" w:rsidRPr="00B302B7" w:rsidRDefault="0015201C" w:rsidP="00316676">
      <w:pPr>
        <w:pStyle w:val="BodyText"/>
        <w:rPr>
          <w:rFonts w:ascii="Segoe UI" w:hAnsi="Segoe UI" w:cs="Segoe UI"/>
          <w:sz w:val="18"/>
          <w:szCs w:val="18"/>
        </w:rPr>
      </w:pPr>
      <w:r w:rsidRPr="00B302B7">
        <w:t>This appendix provides an overview of the key workforce data relating to our gender and ethnic pay gaps, including the pay gaps themselves, and how different genders and ethnicities are distributed across our workforce.  </w:t>
      </w:r>
    </w:p>
    <w:p w14:paraId="3F3A5FCC" w14:textId="75C93E0C" w:rsidR="0015201C" w:rsidRPr="00B302B7" w:rsidRDefault="0015201C" w:rsidP="00316676">
      <w:pPr>
        <w:pStyle w:val="BodyText"/>
        <w:rPr>
          <w:rFonts w:ascii="Segoe UI" w:hAnsi="Segoe UI" w:cs="Segoe UI"/>
          <w:sz w:val="18"/>
          <w:szCs w:val="18"/>
        </w:rPr>
      </w:pPr>
      <w:r w:rsidRPr="00B302B7">
        <w:t xml:space="preserve">All data is </w:t>
      </w:r>
      <w:proofErr w:type="gramStart"/>
      <w:r w:rsidRPr="00B302B7">
        <w:t>at</w:t>
      </w:r>
      <w:proofErr w:type="gramEnd"/>
      <w:r w:rsidRPr="00B302B7">
        <w:t xml:space="preserve"> 3</w:t>
      </w:r>
      <w:r w:rsidR="002D60FC" w:rsidRPr="00B302B7">
        <w:t>1</w:t>
      </w:r>
      <w:r w:rsidRPr="00B302B7">
        <w:t xml:space="preserve"> Octob</w:t>
      </w:r>
      <w:r w:rsidRPr="00162319">
        <w:rPr>
          <w:color w:val="000000" w:themeColor="text1"/>
        </w:rPr>
        <w:t>er 2023.  </w:t>
      </w:r>
    </w:p>
    <w:p w14:paraId="4223E453" w14:textId="748F3114" w:rsidR="00AC0AC2" w:rsidRPr="00B302B7" w:rsidRDefault="00AC0AC2" w:rsidP="00316676">
      <w:pPr>
        <w:pStyle w:val="Tableheading"/>
        <w:rPr>
          <w:rFonts w:ascii="Segoe UI" w:hAnsi="Segoe UI" w:cs="Segoe UI"/>
          <w:sz w:val="18"/>
          <w:szCs w:val="18"/>
        </w:rPr>
      </w:pPr>
      <w:r w:rsidRPr="00B302B7">
        <w:t xml:space="preserve">Table </w:t>
      </w:r>
      <w:r w:rsidR="001A598D" w:rsidRPr="00B302B7">
        <w:t>2</w:t>
      </w:r>
      <w:r w:rsidRPr="00B302B7">
        <w:t xml:space="preserve">: </w:t>
      </w:r>
      <w:r w:rsidRPr="00B302B7">
        <w:tab/>
        <w:t>Workforce and leadership representation by gender and ethnicity  </w:t>
      </w:r>
    </w:p>
    <w:p w14:paraId="6161F0D3" w14:textId="77777777" w:rsidR="00BD127A" w:rsidRPr="00B302B7" w:rsidRDefault="00BD127A" w:rsidP="3E1AF357">
      <w:pPr>
        <w:spacing w:before="0" w:after="0" w:line="240" w:lineRule="auto"/>
        <w:textAlignment w:val="baseline"/>
        <w:rPr>
          <w:rFonts w:eastAsia="Times New Roman" w:cs="Calibri"/>
          <w:color w:val="881798"/>
        </w:rPr>
      </w:pPr>
    </w:p>
    <w:tbl>
      <w:tblPr>
        <w:tblW w:w="8647"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2410"/>
        <w:gridCol w:w="2126"/>
        <w:gridCol w:w="1985"/>
        <w:gridCol w:w="2126"/>
      </w:tblGrid>
      <w:tr w:rsidR="00CE3542" w:rsidRPr="00B302B7" w14:paraId="75D7A43F" w14:textId="77777777" w:rsidTr="00316676">
        <w:trPr>
          <w:trHeight w:val="603"/>
        </w:trPr>
        <w:tc>
          <w:tcPr>
            <w:tcW w:w="2410" w:type="dxa"/>
            <w:shd w:val="clear" w:color="000000" w:fill="1B556B"/>
            <w:noWrap/>
            <w:vAlign w:val="bottom"/>
            <w:hideMark/>
          </w:tcPr>
          <w:p w14:paraId="0560AF8A" w14:textId="77777777" w:rsidR="00BD127A" w:rsidRPr="00316676" w:rsidRDefault="00BD127A" w:rsidP="00316676">
            <w:pPr>
              <w:pStyle w:val="Tableheading"/>
              <w:jc w:val="both"/>
              <w:rPr>
                <w:color w:val="FFFFFF" w:themeColor="background1"/>
              </w:rPr>
            </w:pPr>
            <w:r w:rsidRPr="00316676">
              <w:rPr>
                <w:color w:val="FFFFFF" w:themeColor="background1"/>
              </w:rPr>
              <w:t> </w:t>
            </w:r>
          </w:p>
        </w:tc>
        <w:tc>
          <w:tcPr>
            <w:tcW w:w="2126" w:type="dxa"/>
            <w:shd w:val="clear" w:color="DDEBF7" w:fill="1B556B"/>
            <w:vAlign w:val="bottom"/>
            <w:hideMark/>
          </w:tcPr>
          <w:p w14:paraId="693AEF49" w14:textId="77777777" w:rsidR="00BD127A" w:rsidRPr="00316676" w:rsidRDefault="00BD127A" w:rsidP="00316676">
            <w:pPr>
              <w:pStyle w:val="Tableheading"/>
              <w:spacing w:before="0" w:after="0"/>
              <w:ind w:left="0" w:firstLine="0"/>
              <w:rPr>
                <w:b w:val="0"/>
              </w:rPr>
            </w:pPr>
            <w:r w:rsidRPr="00316676">
              <w:rPr>
                <w:color w:val="FFFFFF" w:themeColor="background1"/>
              </w:rPr>
              <w:t>Workforce representation</w:t>
            </w:r>
          </w:p>
        </w:tc>
        <w:tc>
          <w:tcPr>
            <w:tcW w:w="1985" w:type="dxa"/>
            <w:shd w:val="clear" w:color="DDEBF7" w:fill="1B556B"/>
            <w:vAlign w:val="bottom"/>
            <w:hideMark/>
          </w:tcPr>
          <w:p w14:paraId="14FABF87" w14:textId="345AB8FD" w:rsidR="00BD127A" w:rsidRPr="00316676" w:rsidRDefault="00BD127A" w:rsidP="00316676">
            <w:pPr>
              <w:pStyle w:val="Tableheading"/>
              <w:rPr>
                <w:b w:val="0"/>
                <w:color w:val="FFFFFF" w:themeColor="background1"/>
              </w:rPr>
            </w:pPr>
            <w:r w:rsidRPr="00316676">
              <w:rPr>
                <w:color w:val="FFFFFF" w:themeColor="background1"/>
              </w:rPr>
              <w:t xml:space="preserve">All </w:t>
            </w:r>
            <w:r w:rsidR="002D275E" w:rsidRPr="00B302B7">
              <w:rPr>
                <w:color w:val="FFFFFF" w:themeColor="background1"/>
              </w:rPr>
              <w:t>m</w:t>
            </w:r>
            <w:r w:rsidRPr="00316676">
              <w:rPr>
                <w:color w:val="FFFFFF" w:themeColor="background1"/>
              </w:rPr>
              <w:t>anagers</w:t>
            </w:r>
          </w:p>
        </w:tc>
        <w:tc>
          <w:tcPr>
            <w:tcW w:w="2126" w:type="dxa"/>
            <w:shd w:val="clear" w:color="DDEBF7" w:fill="1B556B"/>
            <w:vAlign w:val="bottom"/>
            <w:hideMark/>
          </w:tcPr>
          <w:p w14:paraId="7292691E" w14:textId="601B0364" w:rsidR="00BD127A" w:rsidRPr="00316676" w:rsidRDefault="00BD127A" w:rsidP="00316676">
            <w:pPr>
              <w:pStyle w:val="Tableheading"/>
              <w:spacing w:before="0" w:after="0"/>
              <w:ind w:left="0" w:firstLine="0"/>
              <w:rPr>
                <w:b w:val="0"/>
                <w:color w:val="FFFFFF" w:themeColor="background1"/>
              </w:rPr>
            </w:pPr>
            <w:r w:rsidRPr="00316676">
              <w:rPr>
                <w:color w:val="FFFFFF" w:themeColor="background1"/>
              </w:rPr>
              <w:t>Senior leaders</w:t>
            </w:r>
            <w:r w:rsidR="009F212A" w:rsidRPr="00B302B7">
              <w:rPr>
                <w:color w:val="FFFFFF" w:themeColor="background1"/>
              </w:rPr>
              <w:br/>
            </w:r>
            <w:r w:rsidRPr="00316676">
              <w:rPr>
                <w:color w:val="FFFFFF" w:themeColor="background1"/>
              </w:rPr>
              <w:t>Tier 2</w:t>
            </w:r>
            <w:r w:rsidR="000F47D9" w:rsidRPr="00316676">
              <w:rPr>
                <w:rFonts w:eastAsia="Times New Roman" w:cs="Calibri"/>
                <w:color w:val="FFFFFF" w:themeColor="background1"/>
                <w:sz w:val="18"/>
                <w:szCs w:val="18"/>
              </w:rPr>
              <w:t>–</w:t>
            </w:r>
            <w:r w:rsidRPr="00316676">
              <w:rPr>
                <w:color w:val="FFFFFF" w:themeColor="background1"/>
              </w:rPr>
              <w:t>3</w:t>
            </w:r>
          </w:p>
        </w:tc>
      </w:tr>
      <w:tr w:rsidR="003030A1" w:rsidRPr="00B302B7" w14:paraId="7F2E1059" w14:textId="77777777" w:rsidTr="00316676">
        <w:trPr>
          <w:trHeight w:val="315"/>
        </w:trPr>
        <w:tc>
          <w:tcPr>
            <w:tcW w:w="2410" w:type="dxa"/>
            <w:shd w:val="clear" w:color="000000" w:fill="D2DDE2"/>
            <w:noWrap/>
            <w:vAlign w:val="bottom"/>
            <w:hideMark/>
          </w:tcPr>
          <w:p w14:paraId="6CC50AEE" w14:textId="77777777" w:rsidR="00BD127A" w:rsidRPr="00B302B7" w:rsidRDefault="00BD127A" w:rsidP="00316676">
            <w:pPr>
              <w:pStyle w:val="Tableheading"/>
            </w:pPr>
            <w:r w:rsidRPr="00B302B7">
              <w:t>Gender</w:t>
            </w:r>
          </w:p>
        </w:tc>
        <w:tc>
          <w:tcPr>
            <w:tcW w:w="2126" w:type="dxa"/>
            <w:shd w:val="clear" w:color="000000" w:fill="D2DDE2"/>
            <w:noWrap/>
            <w:vAlign w:val="bottom"/>
            <w:hideMark/>
          </w:tcPr>
          <w:p w14:paraId="5E414B03" w14:textId="77777777" w:rsidR="00BD127A" w:rsidRPr="00B302B7" w:rsidRDefault="00BD127A" w:rsidP="00BD127A">
            <w:pPr>
              <w:spacing w:before="0" w:after="0" w:line="240" w:lineRule="auto"/>
              <w:jc w:val="left"/>
              <w:rPr>
                <w:rFonts w:eastAsia="Times New Roman" w:cs="Calibri"/>
                <w:color w:val="000000"/>
              </w:rPr>
            </w:pPr>
            <w:r w:rsidRPr="00B302B7">
              <w:rPr>
                <w:rFonts w:eastAsia="Times New Roman" w:cs="Calibri"/>
                <w:color w:val="000000"/>
              </w:rPr>
              <w:t> </w:t>
            </w:r>
          </w:p>
        </w:tc>
        <w:tc>
          <w:tcPr>
            <w:tcW w:w="1985" w:type="dxa"/>
            <w:shd w:val="clear" w:color="000000" w:fill="D2DDE2"/>
            <w:noWrap/>
            <w:vAlign w:val="bottom"/>
            <w:hideMark/>
          </w:tcPr>
          <w:p w14:paraId="09E7AA5A" w14:textId="77777777" w:rsidR="00BD127A" w:rsidRPr="00B302B7" w:rsidRDefault="00BD127A" w:rsidP="00BD127A">
            <w:pPr>
              <w:spacing w:before="0" w:after="0" w:line="240" w:lineRule="auto"/>
              <w:jc w:val="left"/>
              <w:rPr>
                <w:rFonts w:eastAsia="Times New Roman" w:cs="Calibri"/>
                <w:color w:val="000000"/>
              </w:rPr>
            </w:pPr>
            <w:r w:rsidRPr="00B302B7">
              <w:rPr>
                <w:rFonts w:eastAsia="Times New Roman" w:cs="Calibri"/>
                <w:color w:val="000000"/>
              </w:rPr>
              <w:t> </w:t>
            </w:r>
          </w:p>
        </w:tc>
        <w:tc>
          <w:tcPr>
            <w:tcW w:w="2126" w:type="dxa"/>
            <w:shd w:val="clear" w:color="000000" w:fill="D2DDE2"/>
            <w:noWrap/>
            <w:vAlign w:val="bottom"/>
            <w:hideMark/>
          </w:tcPr>
          <w:p w14:paraId="177F06A1" w14:textId="77777777" w:rsidR="00BD127A" w:rsidRPr="00B302B7" w:rsidRDefault="00BD127A" w:rsidP="00BD127A">
            <w:pPr>
              <w:spacing w:before="0" w:after="0" w:line="240" w:lineRule="auto"/>
              <w:jc w:val="left"/>
              <w:rPr>
                <w:rFonts w:eastAsia="Times New Roman" w:cs="Calibri"/>
                <w:color w:val="000000"/>
              </w:rPr>
            </w:pPr>
            <w:r w:rsidRPr="00B302B7">
              <w:rPr>
                <w:rFonts w:eastAsia="Times New Roman" w:cs="Calibri"/>
                <w:color w:val="000000"/>
              </w:rPr>
              <w:t> </w:t>
            </w:r>
          </w:p>
        </w:tc>
      </w:tr>
      <w:tr w:rsidR="003030A1" w:rsidRPr="00B302B7" w14:paraId="4491F931" w14:textId="77777777" w:rsidTr="00316676">
        <w:trPr>
          <w:trHeight w:val="300"/>
        </w:trPr>
        <w:tc>
          <w:tcPr>
            <w:tcW w:w="2410" w:type="dxa"/>
            <w:shd w:val="clear" w:color="auto" w:fill="auto"/>
            <w:noWrap/>
            <w:vAlign w:val="bottom"/>
            <w:hideMark/>
          </w:tcPr>
          <w:p w14:paraId="25361993" w14:textId="77777777" w:rsidR="00BD127A" w:rsidRPr="00B302B7" w:rsidRDefault="00BD127A" w:rsidP="00316676">
            <w:pPr>
              <w:pStyle w:val="TableText"/>
            </w:pPr>
            <w:r w:rsidRPr="00B302B7">
              <w:t>Female</w:t>
            </w:r>
          </w:p>
        </w:tc>
        <w:tc>
          <w:tcPr>
            <w:tcW w:w="2126" w:type="dxa"/>
            <w:shd w:val="clear" w:color="auto" w:fill="auto"/>
            <w:noWrap/>
            <w:vAlign w:val="center"/>
            <w:hideMark/>
          </w:tcPr>
          <w:p w14:paraId="277FDDF7"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67% (</w:t>
            </w:r>
            <w:r w:rsidRPr="00B302B7">
              <w:rPr>
                <w:rFonts w:eastAsia="Times New Roman" w:cs="Calibri"/>
                <w:color w:val="FF0000"/>
                <w:sz w:val="20"/>
                <w:szCs w:val="20"/>
              </w:rPr>
              <w:t>-1%</w:t>
            </w:r>
            <w:r w:rsidRPr="00B302B7">
              <w:rPr>
                <w:rFonts w:eastAsia="Times New Roman" w:cs="Calibri"/>
                <w:color w:val="000000"/>
                <w:sz w:val="20"/>
                <w:szCs w:val="20"/>
              </w:rPr>
              <w:t>)</w:t>
            </w:r>
          </w:p>
        </w:tc>
        <w:tc>
          <w:tcPr>
            <w:tcW w:w="1985" w:type="dxa"/>
            <w:shd w:val="clear" w:color="auto" w:fill="auto"/>
            <w:noWrap/>
            <w:vAlign w:val="center"/>
            <w:hideMark/>
          </w:tcPr>
          <w:p w14:paraId="6F732418"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65% (</w:t>
            </w:r>
            <w:r w:rsidRPr="00B302B7">
              <w:rPr>
                <w:rFonts w:eastAsia="Times New Roman" w:cs="Calibri"/>
                <w:color w:val="FF0000"/>
                <w:sz w:val="20"/>
                <w:szCs w:val="20"/>
              </w:rPr>
              <w:t>-2%</w:t>
            </w:r>
            <w:r w:rsidRPr="00B302B7">
              <w:rPr>
                <w:rFonts w:eastAsia="Times New Roman" w:cs="Calibri"/>
                <w:color w:val="000000"/>
                <w:sz w:val="20"/>
                <w:szCs w:val="20"/>
              </w:rPr>
              <w:t>)</w:t>
            </w:r>
          </w:p>
        </w:tc>
        <w:tc>
          <w:tcPr>
            <w:tcW w:w="2126" w:type="dxa"/>
            <w:shd w:val="clear" w:color="auto" w:fill="auto"/>
            <w:noWrap/>
            <w:vAlign w:val="center"/>
            <w:hideMark/>
          </w:tcPr>
          <w:p w14:paraId="2F3CA4FB" w14:textId="46EE5D4C"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66% (</w:t>
            </w:r>
            <w:r w:rsidR="004E2A4B" w:rsidRPr="00316676">
              <w:rPr>
                <w:rFonts w:eastAsia="Times New Roman" w:cs="Calibri"/>
                <w:color w:val="00B050"/>
                <w:sz w:val="20"/>
                <w:szCs w:val="20"/>
              </w:rPr>
              <w:t>+</w:t>
            </w:r>
            <w:r w:rsidRPr="00B302B7">
              <w:rPr>
                <w:rFonts w:eastAsia="Times New Roman" w:cs="Calibri"/>
                <w:color w:val="00B050"/>
                <w:sz w:val="20"/>
                <w:szCs w:val="20"/>
              </w:rPr>
              <w:t>3%</w:t>
            </w:r>
            <w:r w:rsidRPr="00B302B7">
              <w:rPr>
                <w:rFonts w:eastAsia="Times New Roman" w:cs="Calibri"/>
                <w:color w:val="000000"/>
                <w:sz w:val="20"/>
                <w:szCs w:val="20"/>
              </w:rPr>
              <w:t>)</w:t>
            </w:r>
          </w:p>
        </w:tc>
      </w:tr>
      <w:tr w:rsidR="003030A1" w:rsidRPr="00B302B7" w14:paraId="4DAA5DD3" w14:textId="77777777" w:rsidTr="00316676">
        <w:trPr>
          <w:trHeight w:val="300"/>
        </w:trPr>
        <w:tc>
          <w:tcPr>
            <w:tcW w:w="2410" w:type="dxa"/>
            <w:shd w:val="clear" w:color="auto" w:fill="auto"/>
            <w:noWrap/>
            <w:vAlign w:val="bottom"/>
            <w:hideMark/>
          </w:tcPr>
          <w:p w14:paraId="2F1195A2" w14:textId="77777777" w:rsidR="00BD127A" w:rsidRPr="00B302B7" w:rsidRDefault="00BD127A" w:rsidP="00316676">
            <w:pPr>
              <w:pStyle w:val="TableText"/>
            </w:pPr>
            <w:r w:rsidRPr="00B302B7">
              <w:t>Another gender/Prefer not to say</w:t>
            </w:r>
          </w:p>
        </w:tc>
        <w:tc>
          <w:tcPr>
            <w:tcW w:w="2126" w:type="dxa"/>
            <w:shd w:val="clear" w:color="auto" w:fill="auto"/>
            <w:noWrap/>
            <w:vAlign w:val="center"/>
            <w:hideMark/>
          </w:tcPr>
          <w:p w14:paraId="50A6309B"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 (0%)</w:t>
            </w:r>
          </w:p>
        </w:tc>
        <w:tc>
          <w:tcPr>
            <w:tcW w:w="1985" w:type="dxa"/>
            <w:shd w:val="clear" w:color="auto" w:fill="auto"/>
            <w:noWrap/>
            <w:vAlign w:val="center"/>
            <w:hideMark/>
          </w:tcPr>
          <w:p w14:paraId="12A39276"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 (0%)</w:t>
            </w:r>
          </w:p>
        </w:tc>
        <w:tc>
          <w:tcPr>
            <w:tcW w:w="2126" w:type="dxa"/>
            <w:shd w:val="clear" w:color="auto" w:fill="auto"/>
            <w:noWrap/>
            <w:vAlign w:val="center"/>
            <w:hideMark/>
          </w:tcPr>
          <w:p w14:paraId="28367EC7"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0% (</w:t>
            </w:r>
            <w:r w:rsidRPr="00B302B7">
              <w:rPr>
                <w:rFonts w:eastAsia="Times New Roman" w:cs="Calibri"/>
                <w:color w:val="FF0000"/>
                <w:sz w:val="20"/>
                <w:szCs w:val="20"/>
              </w:rPr>
              <w:t>-3%</w:t>
            </w:r>
            <w:r w:rsidRPr="00B302B7">
              <w:rPr>
                <w:rFonts w:eastAsia="Times New Roman" w:cs="Calibri"/>
                <w:color w:val="000000"/>
                <w:sz w:val="20"/>
                <w:szCs w:val="20"/>
              </w:rPr>
              <w:t>)</w:t>
            </w:r>
          </w:p>
        </w:tc>
      </w:tr>
      <w:tr w:rsidR="003030A1" w:rsidRPr="00B302B7" w14:paraId="00D3C2D7" w14:textId="77777777" w:rsidTr="00316676">
        <w:trPr>
          <w:trHeight w:val="300"/>
        </w:trPr>
        <w:tc>
          <w:tcPr>
            <w:tcW w:w="2410" w:type="dxa"/>
            <w:shd w:val="clear" w:color="auto" w:fill="auto"/>
            <w:noWrap/>
            <w:vAlign w:val="bottom"/>
            <w:hideMark/>
          </w:tcPr>
          <w:p w14:paraId="1BDE5713" w14:textId="77777777" w:rsidR="00BD127A" w:rsidRPr="00B302B7" w:rsidRDefault="00BD127A" w:rsidP="00316676">
            <w:pPr>
              <w:pStyle w:val="TableText"/>
            </w:pPr>
            <w:r w:rsidRPr="00B302B7">
              <w:t>Male</w:t>
            </w:r>
          </w:p>
        </w:tc>
        <w:tc>
          <w:tcPr>
            <w:tcW w:w="2126" w:type="dxa"/>
            <w:shd w:val="clear" w:color="auto" w:fill="auto"/>
            <w:noWrap/>
            <w:vAlign w:val="center"/>
            <w:hideMark/>
          </w:tcPr>
          <w:p w14:paraId="3BBF2B33" w14:textId="2E930415"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32% (</w:t>
            </w:r>
            <w:r w:rsidR="004E2A4B" w:rsidRPr="00B302B7">
              <w:rPr>
                <w:rFonts w:eastAsia="Times New Roman" w:cs="Calibri"/>
                <w:color w:val="00B050"/>
                <w:sz w:val="20"/>
                <w:szCs w:val="20"/>
              </w:rPr>
              <w:t>+</w:t>
            </w:r>
            <w:r w:rsidRPr="00B302B7">
              <w:rPr>
                <w:rFonts w:eastAsia="Times New Roman" w:cs="Calibri"/>
                <w:color w:val="00B050"/>
                <w:sz w:val="20"/>
                <w:szCs w:val="20"/>
              </w:rPr>
              <w:t>1%</w:t>
            </w:r>
            <w:r w:rsidRPr="00B302B7">
              <w:rPr>
                <w:rFonts w:eastAsia="Times New Roman" w:cs="Calibri"/>
                <w:color w:val="000000"/>
                <w:sz w:val="20"/>
                <w:szCs w:val="20"/>
              </w:rPr>
              <w:t>)</w:t>
            </w:r>
          </w:p>
        </w:tc>
        <w:tc>
          <w:tcPr>
            <w:tcW w:w="1985" w:type="dxa"/>
            <w:shd w:val="clear" w:color="auto" w:fill="auto"/>
            <w:noWrap/>
            <w:vAlign w:val="center"/>
            <w:hideMark/>
          </w:tcPr>
          <w:p w14:paraId="2FE91F51" w14:textId="73A73AFF"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35% (</w:t>
            </w:r>
            <w:r w:rsidR="004E2A4B" w:rsidRPr="00B302B7">
              <w:rPr>
                <w:rFonts w:eastAsia="Times New Roman" w:cs="Calibri"/>
                <w:color w:val="000000"/>
                <w:sz w:val="20"/>
                <w:szCs w:val="20"/>
              </w:rPr>
              <w:t>+</w:t>
            </w:r>
            <w:r w:rsidRPr="00B302B7">
              <w:rPr>
                <w:rFonts w:eastAsia="Times New Roman" w:cs="Calibri"/>
                <w:color w:val="00B050"/>
                <w:sz w:val="20"/>
                <w:szCs w:val="20"/>
              </w:rPr>
              <w:t>3%</w:t>
            </w:r>
            <w:r w:rsidRPr="00B302B7">
              <w:rPr>
                <w:rFonts w:eastAsia="Times New Roman" w:cs="Calibri"/>
                <w:color w:val="000000"/>
                <w:sz w:val="20"/>
                <w:szCs w:val="20"/>
              </w:rPr>
              <w:t>)</w:t>
            </w:r>
          </w:p>
        </w:tc>
        <w:tc>
          <w:tcPr>
            <w:tcW w:w="2126" w:type="dxa"/>
            <w:shd w:val="clear" w:color="auto" w:fill="auto"/>
            <w:noWrap/>
            <w:vAlign w:val="center"/>
            <w:hideMark/>
          </w:tcPr>
          <w:p w14:paraId="1D632D76"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34% (</w:t>
            </w:r>
            <w:r w:rsidRPr="00B302B7">
              <w:rPr>
                <w:rFonts w:eastAsia="Times New Roman" w:cs="Calibri"/>
                <w:color w:val="FF0000"/>
                <w:sz w:val="20"/>
                <w:szCs w:val="20"/>
              </w:rPr>
              <w:t>-1%</w:t>
            </w:r>
            <w:r w:rsidRPr="00B302B7">
              <w:rPr>
                <w:rFonts w:eastAsia="Times New Roman" w:cs="Calibri"/>
                <w:color w:val="000000"/>
                <w:sz w:val="20"/>
                <w:szCs w:val="20"/>
              </w:rPr>
              <w:t>)</w:t>
            </w:r>
          </w:p>
        </w:tc>
      </w:tr>
      <w:tr w:rsidR="00CE3542" w:rsidRPr="00B302B7" w14:paraId="7CCC7163" w14:textId="77777777" w:rsidTr="00316676">
        <w:trPr>
          <w:trHeight w:val="585"/>
        </w:trPr>
        <w:tc>
          <w:tcPr>
            <w:tcW w:w="2410" w:type="dxa"/>
            <w:shd w:val="clear" w:color="000000" w:fill="1B556B"/>
            <w:noWrap/>
            <w:vAlign w:val="bottom"/>
            <w:hideMark/>
          </w:tcPr>
          <w:p w14:paraId="56E663B5" w14:textId="77777777" w:rsidR="00BD127A" w:rsidRPr="00B302B7" w:rsidRDefault="00BD127A" w:rsidP="00BD127A">
            <w:pPr>
              <w:spacing w:before="0" w:after="0" w:line="240" w:lineRule="auto"/>
              <w:jc w:val="left"/>
              <w:rPr>
                <w:rFonts w:eastAsia="Times New Roman" w:cs="Calibri"/>
                <w:color w:val="000000"/>
              </w:rPr>
            </w:pPr>
            <w:r w:rsidRPr="00B302B7">
              <w:rPr>
                <w:rFonts w:eastAsia="Times New Roman" w:cs="Calibri"/>
                <w:color w:val="000000"/>
              </w:rPr>
              <w:t> </w:t>
            </w:r>
          </w:p>
        </w:tc>
        <w:tc>
          <w:tcPr>
            <w:tcW w:w="2126" w:type="dxa"/>
            <w:shd w:val="clear" w:color="DDEBF7" w:fill="1B556B"/>
            <w:vAlign w:val="center"/>
            <w:hideMark/>
          </w:tcPr>
          <w:p w14:paraId="5F8BFA09" w14:textId="075DEF1E" w:rsidR="00BD127A" w:rsidRPr="00316676" w:rsidRDefault="00A32963" w:rsidP="00316676">
            <w:pPr>
              <w:pStyle w:val="Tableheading"/>
              <w:spacing w:before="0" w:after="0"/>
              <w:ind w:left="0" w:firstLine="0"/>
              <w:rPr>
                <w:b w:val="0"/>
                <w:color w:val="FFFFFF" w:themeColor="background1"/>
              </w:rPr>
            </w:pPr>
            <w:r w:rsidRPr="00316676">
              <w:rPr>
                <w:color w:val="FFFFFF" w:themeColor="background1"/>
              </w:rPr>
              <w:t>Workforce representation</w:t>
            </w:r>
          </w:p>
        </w:tc>
        <w:tc>
          <w:tcPr>
            <w:tcW w:w="1985" w:type="dxa"/>
            <w:shd w:val="clear" w:color="DDEBF7" w:fill="1B556B"/>
            <w:vAlign w:val="center"/>
            <w:hideMark/>
          </w:tcPr>
          <w:p w14:paraId="18040410" w14:textId="39AB18EE" w:rsidR="00BD127A" w:rsidRPr="00316676" w:rsidRDefault="00BD127A" w:rsidP="00316676">
            <w:pPr>
              <w:pStyle w:val="Tableheading"/>
              <w:spacing w:before="0" w:after="0"/>
              <w:ind w:left="0" w:firstLine="0"/>
              <w:rPr>
                <w:b w:val="0"/>
                <w:color w:val="FFFFFF" w:themeColor="background1"/>
              </w:rPr>
            </w:pPr>
            <w:r w:rsidRPr="00316676">
              <w:rPr>
                <w:color w:val="FFFFFF" w:themeColor="background1"/>
              </w:rPr>
              <w:t xml:space="preserve">All </w:t>
            </w:r>
            <w:r w:rsidR="00A32963" w:rsidRPr="00316676">
              <w:rPr>
                <w:color w:val="FFFFFF" w:themeColor="background1"/>
              </w:rPr>
              <w:t>m</w:t>
            </w:r>
            <w:r w:rsidRPr="00316676">
              <w:rPr>
                <w:color w:val="FFFFFF" w:themeColor="background1"/>
              </w:rPr>
              <w:t>anagers</w:t>
            </w:r>
          </w:p>
        </w:tc>
        <w:tc>
          <w:tcPr>
            <w:tcW w:w="2126" w:type="dxa"/>
            <w:shd w:val="clear" w:color="DDEBF7" w:fill="1B556B"/>
            <w:vAlign w:val="center"/>
            <w:hideMark/>
          </w:tcPr>
          <w:p w14:paraId="6D1C96A7" w14:textId="73E843CA" w:rsidR="00BD127A" w:rsidRPr="00316676" w:rsidRDefault="00A32963" w:rsidP="00316676">
            <w:pPr>
              <w:pStyle w:val="Tableheading"/>
              <w:spacing w:before="0" w:after="0"/>
              <w:ind w:left="0" w:firstLine="0"/>
              <w:rPr>
                <w:b w:val="0"/>
                <w:color w:val="FFFFFF" w:themeColor="background1"/>
              </w:rPr>
            </w:pPr>
            <w:r w:rsidRPr="00316676">
              <w:rPr>
                <w:color w:val="FFFFFF" w:themeColor="background1"/>
              </w:rPr>
              <w:t>Senior leaders</w:t>
            </w:r>
            <w:r w:rsidRPr="00316676">
              <w:rPr>
                <w:color w:val="FFFFFF" w:themeColor="background1"/>
              </w:rPr>
              <w:br/>
              <w:t>Tier 2–3</w:t>
            </w:r>
          </w:p>
        </w:tc>
      </w:tr>
      <w:tr w:rsidR="003030A1" w:rsidRPr="00B302B7" w14:paraId="08E9EF5B" w14:textId="77777777" w:rsidTr="00316676">
        <w:trPr>
          <w:trHeight w:val="315"/>
        </w:trPr>
        <w:tc>
          <w:tcPr>
            <w:tcW w:w="2410" w:type="dxa"/>
            <w:shd w:val="clear" w:color="000000" w:fill="D2DDE2"/>
            <w:noWrap/>
            <w:vAlign w:val="bottom"/>
            <w:hideMark/>
          </w:tcPr>
          <w:p w14:paraId="4A26D262" w14:textId="77777777" w:rsidR="00BD127A" w:rsidRPr="00B302B7" w:rsidRDefault="00BD127A" w:rsidP="00316676">
            <w:pPr>
              <w:pStyle w:val="Tableheading"/>
            </w:pPr>
            <w:r w:rsidRPr="00B302B7">
              <w:t>Ethnicity</w:t>
            </w:r>
          </w:p>
        </w:tc>
        <w:tc>
          <w:tcPr>
            <w:tcW w:w="2126" w:type="dxa"/>
            <w:shd w:val="clear" w:color="000000" w:fill="D2DDE2"/>
            <w:noWrap/>
            <w:vAlign w:val="bottom"/>
            <w:hideMark/>
          </w:tcPr>
          <w:p w14:paraId="4E61D756" w14:textId="77777777" w:rsidR="00BD127A" w:rsidRPr="00B302B7" w:rsidRDefault="00BD127A" w:rsidP="00071492">
            <w:pPr>
              <w:spacing w:before="0" w:after="0" w:line="240" w:lineRule="auto"/>
              <w:jc w:val="left"/>
              <w:rPr>
                <w:rFonts w:eastAsia="Times New Roman" w:cs="Calibri"/>
                <w:color w:val="000000"/>
              </w:rPr>
            </w:pPr>
            <w:r w:rsidRPr="00B302B7">
              <w:rPr>
                <w:rFonts w:eastAsia="Times New Roman" w:cs="Calibri"/>
                <w:color w:val="000000"/>
              </w:rPr>
              <w:t> </w:t>
            </w:r>
          </w:p>
        </w:tc>
        <w:tc>
          <w:tcPr>
            <w:tcW w:w="1985" w:type="dxa"/>
            <w:shd w:val="clear" w:color="000000" w:fill="D2DDE2"/>
            <w:noWrap/>
            <w:vAlign w:val="bottom"/>
            <w:hideMark/>
          </w:tcPr>
          <w:p w14:paraId="1A8EE100" w14:textId="77777777" w:rsidR="00BD127A" w:rsidRPr="00B302B7" w:rsidRDefault="00BD127A" w:rsidP="00071492">
            <w:pPr>
              <w:spacing w:before="0" w:after="0" w:line="240" w:lineRule="auto"/>
              <w:jc w:val="left"/>
              <w:rPr>
                <w:rFonts w:eastAsia="Times New Roman" w:cs="Calibri"/>
                <w:color w:val="000000"/>
              </w:rPr>
            </w:pPr>
            <w:r w:rsidRPr="00B302B7">
              <w:rPr>
                <w:rFonts w:eastAsia="Times New Roman" w:cs="Calibri"/>
                <w:color w:val="000000"/>
              </w:rPr>
              <w:t> </w:t>
            </w:r>
          </w:p>
        </w:tc>
        <w:tc>
          <w:tcPr>
            <w:tcW w:w="2126" w:type="dxa"/>
            <w:shd w:val="clear" w:color="000000" w:fill="D2DDE2"/>
            <w:noWrap/>
            <w:vAlign w:val="bottom"/>
            <w:hideMark/>
          </w:tcPr>
          <w:p w14:paraId="765A7FE8" w14:textId="77777777" w:rsidR="00BD127A" w:rsidRPr="00B302B7" w:rsidRDefault="00BD127A" w:rsidP="00071492">
            <w:pPr>
              <w:spacing w:before="0" w:after="0" w:line="240" w:lineRule="auto"/>
              <w:jc w:val="left"/>
              <w:rPr>
                <w:rFonts w:eastAsia="Times New Roman" w:cs="Calibri"/>
                <w:color w:val="000000"/>
              </w:rPr>
            </w:pPr>
            <w:r w:rsidRPr="00B302B7">
              <w:rPr>
                <w:rFonts w:eastAsia="Times New Roman" w:cs="Calibri"/>
                <w:color w:val="000000"/>
              </w:rPr>
              <w:t> </w:t>
            </w:r>
          </w:p>
        </w:tc>
      </w:tr>
      <w:tr w:rsidR="003030A1" w:rsidRPr="00B302B7" w14:paraId="681FC3FA" w14:textId="77777777" w:rsidTr="00316676">
        <w:trPr>
          <w:trHeight w:val="300"/>
        </w:trPr>
        <w:tc>
          <w:tcPr>
            <w:tcW w:w="2410" w:type="dxa"/>
            <w:shd w:val="clear" w:color="auto" w:fill="auto"/>
            <w:noWrap/>
            <w:vAlign w:val="bottom"/>
            <w:hideMark/>
          </w:tcPr>
          <w:p w14:paraId="11902425" w14:textId="77777777" w:rsidR="00BD127A" w:rsidRPr="00B302B7" w:rsidRDefault="00BD127A" w:rsidP="00316676">
            <w:pPr>
              <w:pStyle w:val="TableText"/>
            </w:pPr>
            <w:r w:rsidRPr="00B302B7">
              <w:t>European</w:t>
            </w:r>
          </w:p>
        </w:tc>
        <w:tc>
          <w:tcPr>
            <w:tcW w:w="2126" w:type="dxa"/>
            <w:shd w:val="clear" w:color="auto" w:fill="auto"/>
            <w:noWrap/>
            <w:vAlign w:val="center"/>
            <w:hideMark/>
          </w:tcPr>
          <w:p w14:paraId="61C747C0"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72% (</w:t>
            </w:r>
            <w:r w:rsidRPr="00B302B7">
              <w:rPr>
                <w:rFonts w:eastAsia="Times New Roman" w:cs="Calibri"/>
                <w:color w:val="FF0000"/>
                <w:sz w:val="20"/>
                <w:szCs w:val="20"/>
              </w:rPr>
              <w:t>-4%</w:t>
            </w:r>
            <w:r w:rsidRPr="00B302B7">
              <w:rPr>
                <w:rFonts w:eastAsia="Times New Roman" w:cs="Calibri"/>
                <w:color w:val="000000"/>
                <w:sz w:val="20"/>
                <w:szCs w:val="20"/>
              </w:rPr>
              <w:t>)</w:t>
            </w:r>
          </w:p>
        </w:tc>
        <w:tc>
          <w:tcPr>
            <w:tcW w:w="1985" w:type="dxa"/>
            <w:shd w:val="clear" w:color="auto" w:fill="auto"/>
            <w:noWrap/>
            <w:vAlign w:val="center"/>
            <w:hideMark/>
          </w:tcPr>
          <w:p w14:paraId="35188650"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80% (</w:t>
            </w:r>
            <w:r w:rsidRPr="00B302B7">
              <w:rPr>
                <w:rFonts w:eastAsia="Times New Roman" w:cs="Calibri"/>
                <w:color w:val="FF0000"/>
                <w:sz w:val="20"/>
                <w:szCs w:val="20"/>
              </w:rPr>
              <w:t>-2%</w:t>
            </w:r>
            <w:r w:rsidRPr="00B302B7">
              <w:rPr>
                <w:rFonts w:eastAsia="Times New Roman" w:cs="Calibri"/>
                <w:color w:val="000000"/>
                <w:sz w:val="20"/>
                <w:szCs w:val="20"/>
              </w:rPr>
              <w:t>)</w:t>
            </w:r>
          </w:p>
        </w:tc>
        <w:tc>
          <w:tcPr>
            <w:tcW w:w="2126" w:type="dxa"/>
            <w:shd w:val="clear" w:color="auto" w:fill="auto"/>
            <w:noWrap/>
            <w:vAlign w:val="center"/>
            <w:hideMark/>
          </w:tcPr>
          <w:p w14:paraId="08E584AE" w14:textId="5CADE348"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78% (</w:t>
            </w:r>
            <w:r w:rsidR="004E2A4B" w:rsidRPr="00B302B7">
              <w:rPr>
                <w:rFonts w:eastAsia="Times New Roman" w:cs="Calibri"/>
                <w:color w:val="00B050"/>
                <w:sz w:val="20"/>
                <w:szCs w:val="20"/>
              </w:rPr>
              <w:t>+</w:t>
            </w:r>
            <w:r w:rsidRPr="00B302B7">
              <w:rPr>
                <w:rFonts w:eastAsia="Times New Roman" w:cs="Calibri"/>
                <w:color w:val="00B050"/>
                <w:sz w:val="20"/>
                <w:szCs w:val="20"/>
              </w:rPr>
              <w:t>3%</w:t>
            </w:r>
            <w:r w:rsidRPr="00B302B7">
              <w:rPr>
                <w:rFonts w:eastAsia="Times New Roman" w:cs="Calibri"/>
                <w:color w:val="000000"/>
                <w:sz w:val="20"/>
                <w:szCs w:val="20"/>
              </w:rPr>
              <w:t>)</w:t>
            </w:r>
          </w:p>
        </w:tc>
      </w:tr>
      <w:tr w:rsidR="003030A1" w:rsidRPr="00B302B7" w14:paraId="34FD7257" w14:textId="77777777" w:rsidTr="00316676">
        <w:trPr>
          <w:trHeight w:val="300"/>
        </w:trPr>
        <w:tc>
          <w:tcPr>
            <w:tcW w:w="2410" w:type="dxa"/>
            <w:shd w:val="clear" w:color="auto" w:fill="auto"/>
            <w:noWrap/>
            <w:vAlign w:val="bottom"/>
            <w:hideMark/>
          </w:tcPr>
          <w:p w14:paraId="25AE3393" w14:textId="77777777" w:rsidR="00BD127A" w:rsidRPr="00B302B7" w:rsidRDefault="00BD127A" w:rsidP="00316676">
            <w:pPr>
              <w:pStyle w:val="TableText"/>
            </w:pPr>
            <w:r w:rsidRPr="00B302B7">
              <w:t>Māori</w:t>
            </w:r>
          </w:p>
        </w:tc>
        <w:tc>
          <w:tcPr>
            <w:tcW w:w="2126" w:type="dxa"/>
            <w:shd w:val="clear" w:color="auto" w:fill="auto"/>
            <w:noWrap/>
            <w:vAlign w:val="center"/>
            <w:hideMark/>
          </w:tcPr>
          <w:p w14:paraId="26FD5B81" w14:textId="5AF1B294"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13% (</w:t>
            </w:r>
            <w:r w:rsidR="004E2A4B" w:rsidRPr="00B302B7">
              <w:rPr>
                <w:rFonts w:eastAsia="Times New Roman" w:cs="Calibri"/>
                <w:color w:val="00B050"/>
                <w:sz w:val="20"/>
                <w:szCs w:val="20"/>
              </w:rPr>
              <w:t>+</w:t>
            </w:r>
            <w:r w:rsidRPr="00B302B7">
              <w:rPr>
                <w:rFonts w:eastAsia="Times New Roman" w:cs="Calibri"/>
                <w:color w:val="00B050"/>
                <w:sz w:val="20"/>
                <w:szCs w:val="20"/>
              </w:rPr>
              <w:t>1%</w:t>
            </w:r>
            <w:r w:rsidRPr="00B302B7">
              <w:rPr>
                <w:rFonts w:eastAsia="Times New Roman" w:cs="Calibri"/>
                <w:color w:val="000000"/>
                <w:sz w:val="20"/>
                <w:szCs w:val="20"/>
              </w:rPr>
              <w:t>)</w:t>
            </w:r>
          </w:p>
        </w:tc>
        <w:tc>
          <w:tcPr>
            <w:tcW w:w="1985" w:type="dxa"/>
            <w:shd w:val="clear" w:color="auto" w:fill="auto"/>
            <w:noWrap/>
            <w:vAlign w:val="center"/>
            <w:hideMark/>
          </w:tcPr>
          <w:p w14:paraId="60AC3A2E"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14% (</w:t>
            </w:r>
            <w:r w:rsidRPr="00B302B7">
              <w:rPr>
                <w:rFonts w:eastAsia="Times New Roman" w:cs="Calibri"/>
                <w:color w:val="FF0000"/>
                <w:sz w:val="20"/>
                <w:szCs w:val="20"/>
              </w:rPr>
              <w:t>-2%</w:t>
            </w:r>
            <w:r w:rsidRPr="00B302B7">
              <w:rPr>
                <w:rFonts w:eastAsia="Times New Roman" w:cs="Calibri"/>
                <w:color w:val="000000"/>
                <w:sz w:val="20"/>
                <w:szCs w:val="20"/>
              </w:rPr>
              <w:t>)</w:t>
            </w:r>
          </w:p>
        </w:tc>
        <w:tc>
          <w:tcPr>
            <w:tcW w:w="2126" w:type="dxa"/>
            <w:shd w:val="clear" w:color="auto" w:fill="auto"/>
            <w:noWrap/>
            <w:vAlign w:val="center"/>
            <w:hideMark/>
          </w:tcPr>
          <w:p w14:paraId="4A40DA24"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14% (</w:t>
            </w:r>
            <w:r w:rsidRPr="00B302B7">
              <w:rPr>
                <w:rFonts w:eastAsia="Times New Roman" w:cs="Calibri"/>
                <w:color w:val="FF0000"/>
                <w:sz w:val="20"/>
                <w:szCs w:val="20"/>
              </w:rPr>
              <w:t>-9%</w:t>
            </w:r>
            <w:r w:rsidRPr="00B302B7">
              <w:rPr>
                <w:rFonts w:eastAsia="Times New Roman" w:cs="Calibri"/>
                <w:color w:val="000000"/>
                <w:sz w:val="20"/>
                <w:szCs w:val="20"/>
              </w:rPr>
              <w:t>)</w:t>
            </w:r>
          </w:p>
        </w:tc>
      </w:tr>
      <w:tr w:rsidR="003030A1" w:rsidRPr="00B302B7" w14:paraId="553B09C9" w14:textId="77777777" w:rsidTr="00316676">
        <w:trPr>
          <w:trHeight w:val="300"/>
        </w:trPr>
        <w:tc>
          <w:tcPr>
            <w:tcW w:w="2410" w:type="dxa"/>
            <w:shd w:val="clear" w:color="auto" w:fill="auto"/>
            <w:noWrap/>
            <w:vAlign w:val="bottom"/>
            <w:hideMark/>
          </w:tcPr>
          <w:p w14:paraId="7A185695" w14:textId="77777777" w:rsidR="00BD127A" w:rsidRPr="00B302B7" w:rsidRDefault="00BD127A" w:rsidP="00316676">
            <w:pPr>
              <w:pStyle w:val="TableText"/>
            </w:pPr>
            <w:r w:rsidRPr="00B302B7">
              <w:t>Pacific Peoples</w:t>
            </w:r>
          </w:p>
        </w:tc>
        <w:tc>
          <w:tcPr>
            <w:tcW w:w="2126" w:type="dxa"/>
            <w:shd w:val="clear" w:color="auto" w:fill="auto"/>
            <w:noWrap/>
            <w:vAlign w:val="center"/>
            <w:hideMark/>
          </w:tcPr>
          <w:p w14:paraId="12BE9050"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2% (0%)</w:t>
            </w:r>
          </w:p>
        </w:tc>
        <w:tc>
          <w:tcPr>
            <w:tcW w:w="1985" w:type="dxa"/>
            <w:shd w:val="clear" w:color="auto" w:fill="auto"/>
            <w:noWrap/>
            <w:vAlign w:val="center"/>
            <w:hideMark/>
          </w:tcPr>
          <w:p w14:paraId="33B2FC0B"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0% (0%)</w:t>
            </w:r>
          </w:p>
        </w:tc>
        <w:tc>
          <w:tcPr>
            <w:tcW w:w="2126" w:type="dxa"/>
            <w:shd w:val="clear" w:color="auto" w:fill="auto"/>
            <w:noWrap/>
            <w:vAlign w:val="center"/>
            <w:hideMark/>
          </w:tcPr>
          <w:p w14:paraId="747C0790"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0% (0%)</w:t>
            </w:r>
          </w:p>
        </w:tc>
      </w:tr>
      <w:tr w:rsidR="003030A1" w:rsidRPr="00B302B7" w14:paraId="22BE1EB6" w14:textId="77777777" w:rsidTr="00316676">
        <w:trPr>
          <w:trHeight w:val="300"/>
        </w:trPr>
        <w:tc>
          <w:tcPr>
            <w:tcW w:w="2410" w:type="dxa"/>
            <w:shd w:val="clear" w:color="auto" w:fill="auto"/>
            <w:noWrap/>
            <w:vAlign w:val="bottom"/>
            <w:hideMark/>
          </w:tcPr>
          <w:p w14:paraId="54F34234" w14:textId="77777777" w:rsidR="00BD127A" w:rsidRPr="00B302B7" w:rsidRDefault="00BD127A" w:rsidP="00316676">
            <w:pPr>
              <w:pStyle w:val="TableText"/>
            </w:pPr>
            <w:r w:rsidRPr="00B302B7">
              <w:t>Asian</w:t>
            </w:r>
          </w:p>
        </w:tc>
        <w:tc>
          <w:tcPr>
            <w:tcW w:w="2126" w:type="dxa"/>
            <w:shd w:val="clear" w:color="auto" w:fill="auto"/>
            <w:noWrap/>
            <w:vAlign w:val="center"/>
            <w:hideMark/>
          </w:tcPr>
          <w:p w14:paraId="133FAB19"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7% (</w:t>
            </w:r>
            <w:r w:rsidRPr="00B302B7">
              <w:rPr>
                <w:rFonts w:eastAsia="Times New Roman" w:cs="Calibri"/>
                <w:color w:val="FF0000"/>
                <w:sz w:val="20"/>
                <w:szCs w:val="20"/>
              </w:rPr>
              <w:t>-1%</w:t>
            </w:r>
            <w:r w:rsidRPr="00B302B7">
              <w:rPr>
                <w:rFonts w:eastAsia="Times New Roman" w:cs="Calibri"/>
                <w:color w:val="000000"/>
                <w:sz w:val="20"/>
                <w:szCs w:val="20"/>
              </w:rPr>
              <w:t>)</w:t>
            </w:r>
          </w:p>
        </w:tc>
        <w:tc>
          <w:tcPr>
            <w:tcW w:w="1985" w:type="dxa"/>
            <w:shd w:val="clear" w:color="auto" w:fill="auto"/>
            <w:noWrap/>
            <w:vAlign w:val="center"/>
            <w:hideMark/>
          </w:tcPr>
          <w:p w14:paraId="0C938845"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3% (0%)</w:t>
            </w:r>
          </w:p>
        </w:tc>
        <w:tc>
          <w:tcPr>
            <w:tcW w:w="2126" w:type="dxa"/>
            <w:shd w:val="clear" w:color="auto" w:fill="auto"/>
            <w:noWrap/>
            <w:vAlign w:val="center"/>
            <w:hideMark/>
          </w:tcPr>
          <w:p w14:paraId="12DF7CA9"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3% (</w:t>
            </w:r>
            <w:r w:rsidRPr="00B302B7">
              <w:rPr>
                <w:rFonts w:eastAsia="Times New Roman" w:cs="Calibri"/>
                <w:color w:val="FF0000"/>
                <w:sz w:val="20"/>
                <w:szCs w:val="20"/>
              </w:rPr>
              <w:t>-5%</w:t>
            </w:r>
            <w:r w:rsidRPr="00B302B7">
              <w:rPr>
                <w:rFonts w:eastAsia="Times New Roman" w:cs="Calibri"/>
                <w:color w:val="000000"/>
                <w:sz w:val="20"/>
                <w:szCs w:val="20"/>
              </w:rPr>
              <w:t>)</w:t>
            </w:r>
          </w:p>
        </w:tc>
      </w:tr>
      <w:tr w:rsidR="003030A1" w:rsidRPr="00B302B7" w14:paraId="2D27C66F" w14:textId="77777777" w:rsidTr="00316676">
        <w:trPr>
          <w:trHeight w:val="300"/>
        </w:trPr>
        <w:tc>
          <w:tcPr>
            <w:tcW w:w="2410" w:type="dxa"/>
            <w:shd w:val="clear" w:color="auto" w:fill="auto"/>
            <w:noWrap/>
            <w:vAlign w:val="bottom"/>
            <w:hideMark/>
          </w:tcPr>
          <w:p w14:paraId="72ACF23F" w14:textId="77777777" w:rsidR="00BD127A" w:rsidRPr="00B302B7" w:rsidRDefault="00BD127A" w:rsidP="00316676">
            <w:pPr>
              <w:pStyle w:val="TableText"/>
            </w:pPr>
            <w:r w:rsidRPr="00B302B7">
              <w:t>MELAA</w:t>
            </w:r>
          </w:p>
        </w:tc>
        <w:tc>
          <w:tcPr>
            <w:tcW w:w="2126" w:type="dxa"/>
            <w:shd w:val="clear" w:color="auto" w:fill="auto"/>
            <w:noWrap/>
            <w:vAlign w:val="center"/>
            <w:hideMark/>
          </w:tcPr>
          <w:p w14:paraId="6FD65BB0"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2% (0%)</w:t>
            </w:r>
          </w:p>
        </w:tc>
        <w:tc>
          <w:tcPr>
            <w:tcW w:w="1985" w:type="dxa"/>
            <w:shd w:val="clear" w:color="auto" w:fill="auto"/>
            <w:noWrap/>
            <w:vAlign w:val="center"/>
            <w:hideMark/>
          </w:tcPr>
          <w:p w14:paraId="0D885212" w14:textId="7B89E4BD"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 (</w:t>
            </w:r>
            <w:r w:rsidR="004E2A4B" w:rsidRPr="00B302B7">
              <w:rPr>
                <w:rFonts w:eastAsia="Times New Roman" w:cs="Calibri"/>
                <w:color w:val="00B050"/>
                <w:sz w:val="20"/>
                <w:szCs w:val="20"/>
              </w:rPr>
              <w:t>+</w:t>
            </w:r>
            <w:r w:rsidRPr="00B302B7">
              <w:rPr>
                <w:rFonts w:eastAsia="Times New Roman" w:cs="Calibri"/>
                <w:color w:val="00B050"/>
                <w:sz w:val="20"/>
                <w:szCs w:val="20"/>
              </w:rPr>
              <w:t>1%</w:t>
            </w:r>
            <w:r w:rsidRPr="00B302B7">
              <w:rPr>
                <w:rFonts w:eastAsia="Times New Roman" w:cs="Calibri"/>
                <w:color w:val="000000"/>
                <w:sz w:val="20"/>
                <w:szCs w:val="20"/>
              </w:rPr>
              <w:t>)</w:t>
            </w:r>
          </w:p>
        </w:tc>
        <w:tc>
          <w:tcPr>
            <w:tcW w:w="2126" w:type="dxa"/>
            <w:shd w:val="clear" w:color="auto" w:fill="auto"/>
            <w:noWrap/>
            <w:vAlign w:val="center"/>
            <w:hideMark/>
          </w:tcPr>
          <w:p w14:paraId="41C13C01"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0% (0%)</w:t>
            </w:r>
          </w:p>
        </w:tc>
      </w:tr>
      <w:tr w:rsidR="003030A1" w:rsidRPr="00B302B7" w14:paraId="1DC0115A" w14:textId="77777777" w:rsidTr="00316676">
        <w:trPr>
          <w:trHeight w:val="300"/>
        </w:trPr>
        <w:tc>
          <w:tcPr>
            <w:tcW w:w="2410" w:type="dxa"/>
            <w:shd w:val="clear" w:color="auto" w:fill="auto"/>
            <w:noWrap/>
            <w:vAlign w:val="bottom"/>
            <w:hideMark/>
          </w:tcPr>
          <w:p w14:paraId="69F46285" w14:textId="77777777" w:rsidR="00BD127A" w:rsidRPr="00B302B7" w:rsidRDefault="00BD127A" w:rsidP="00316676">
            <w:pPr>
              <w:pStyle w:val="TableText"/>
            </w:pPr>
            <w:r w:rsidRPr="00B302B7">
              <w:t>Other Ethnicity</w:t>
            </w:r>
          </w:p>
        </w:tc>
        <w:tc>
          <w:tcPr>
            <w:tcW w:w="2126" w:type="dxa"/>
            <w:shd w:val="clear" w:color="auto" w:fill="auto"/>
            <w:noWrap/>
            <w:vAlign w:val="center"/>
            <w:hideMark/>
          </w:tcPr>
          <w:p w14:paraId="5F746C1F"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 (0%)</w:t>
            </w:r>
          </w:p>
        </w:tc>
        <w:tc>
          <w:tcPr>
            <w:tcW w:w="1985" w:type="dxa"/>
            <w:shd w:val="clear" w:color="auto" w:fill="auto"/>
            <w:noWrap/>
            <w:vAlign w:val="center"/>
            <w:hideMark/>
          </w:tcPr>
          <w:p w14:paraId="1064B902"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1% (0%)</w:t>
            </w:r>
          </w:p>
        </w:tc>
        <w:tc>
          <w:tcPr>
            <w:tcW w:w="2126" w:type="dxa"/>
            <w:shd w:val="clear" w:color="auto" w:fill="auto"/>
            <w:noWrap/>
            <w:vAlign w:val="center"/>
            <w:hideMark/>
          </w:tcPr>
          <w:p w14:paraId="031A29BE"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0% (0%)</w:t>
            </w:r>
          </w:p>
        </w:tc>
      </w:tr>
      <w:tr w:rsidR="003030A1" w:rsidRPr="00B302B7" w14:paraId="1A4AA4BA" w14:textId="77777777" w:rsidTr="00316676">
        <w:trPr>
          <w:trHeight w:val="300"/>
        </w:trPr>
        <w:tc>
          <w:tcPr>
            <w:tcW w:w="2410" w:type="dxa"/>
            <w:shd w:val="clear" w:color="auto" w:fill="auto"/>
            <w:noWrap/>
            <w:vAlign w:val="bottom"/>
            <w:hideMark/>
          </w:tcPr>
          <w:p w14:paraId="6C666D6E" w14:textId="77777777" w:rsidR="00BD127A" w:rsidRPr="00B302B7" w:rsidRDefault="00BD127A" w:rsidP="00316676">
            <w:pPr>
              <w:pStyle w:val="TableText"/>
            </w:pPr>
            <w:r w:rsidRPr="00B302B7">
              <w:t>Not Declared</w:t>
            </w:r>
          </w:p>
        </w:tc>
        <w:tc>
          <w:tcPr>
            <w:tcW w:w="2126" w:type="dxa"/>
            <w:shd w:val="clear" w:color="auto" w:fill="auto"/>
            <w:noWrap/>
            <w:vAlign w:val="center"/>
            <w:hideMark/>
          </w:tcPr>
          <w:p w14:paraId="30810D99" w14:textId="77777777"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4% (0%)</w:t>
            </w:r>
          </w:p>
        </w:tc>
        <w:tc>
          <w:tcPr>
            <w:tcW w:w="1985" w:type="dxa"/>
            <w:shd w:val="clear" w:color="auto" w:fill="auto"/>
            <w:noWrap/>
            <w:vAlign w:val="center"/>
            <w:hideMark/>
          </w:tcPr>
          <w:p w14:paraId="61F36B24" w14:textId="04373E74"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2% (</w:t>
            </w:r>
            <w:r w:rsidR="004E2A4B" w:rsidRPr="00B302B7">
              <w:rPr>
                <w:rFonts w:eastAsia="Times New Roman" w:cs="Calibri"/>
                <w:color w:val="00B050"/>
                <w:sz w:val="20"/>
                <w:szCs w:val="20"/>
              </w:rPr>
              <w:t>+</w:t>
            </w:r>
            <w:r w:rsidRPr="00B302B7">
              <w:rPr>
                <w:rFonts w:eastAsia="Times New Roman" w:cs="Calibri"/>
                <w:color w:val="00B050"/>
                <w:sz w:val="20"/>
                <w:szCs w:val="20"/>
              </w:rPr>
              <w:t>1%</w:t>
            </w:r>
            <w:r w:rsidRPr="00B302B7">
              <w:rPr>
                <w:rFonts w:eastAsia="Times New Roman" w:cs="Calibri"/>
                <w:color w:val="000000"/>
                <w:sz w:val="20"/>
                <w:szCs w:val="20"/>
              </w:rPr>
              <w:t>)</w:t>
            </w:r>
          </w:p>
        </w:tc>
        <w:tc>
          <w:tcPr>
            <w:tcW w:w="2126" w:type="dxa"/>
            <w:shd w:val="clear" w:color="auto" w:fill="auto"/>
            <w:noWrap/>
            <w:vAlign w:val="center"/>
            <w:hideMark/>
          </w:tcPr>
          <w:p w14:paraId="526225A2" w14:textId="5BD16043" w:rsidR="00BD127A" w:rsidRPr="00B302B7" w:rsidRDefault="00BD127A" w:rsidP="00316676">
            <w:pPr>
              <w:spacing w:before="0" w:after="0" w:line="240" w:lineRule="auto"/>
              <w:jc w:val="left"/>
              <w:rPr>
                <w:rFonts w:eastAsia="Times New Roman" w:cs="Calibri"/>
                <w:color w:val="000000"/>
                <w:sz w:val="20"/>
                <w:szCs w:val="20"/>
              </w:rPr>
            </w:pPr>
            <w:r w:rsidRPr="00B302B7">
              <w:rPr>
                <w:rFonts w:eastAsia="Times New Roman" w:cs="Calibri"/>
                <w:color w:val="000000"/>
                <w:sz w:val="20"/>
                <w:szCs w:val="20"/>
              </w:rPr>
              <w:t>5% (</w:t>
            </w:r>
            <w:r w:rsidR="004E2A4B" w:rsidRPr="00B302B7">
              <w:rPr>
                <w:rFonts w:eastAsia="Times New Roman" w:cs="Calibri"/>
                <w:color w:val="00B050"/>
                <w:sz w:val="20"/>
                <w:szCs w:val="20"/>
              </w:rPr>
              <w:t>+</w:t>
            </w:r>
            <w:r w:rsidRPr="00B302B7">
              <w:rPr>
                <w:rFonts w:eastAsia="Times New Roman" w:cs="Calibri"/>
                <w:color w:val="00B050"/>
                <w:sz w:val="20"/>
                <w:szCs w:val="20"/>
              </w:rPr>
              <w:t>2%</w:t>
            </w:r>
            <w:r w:rsidRPr="00B302B7">
              <w:rPr>
                <w:rFonts w:eastAsia="Times New Roman" w:cs="Calibri"/>
                <w:color w:val="000000"/>
                <w:sz w:val="20"/>
                <w:szCs w:val="20"/>
              </w:rPr>
              <w:t>)</w:t>
            </w:r>
          </w:p>
        </w:tc>
      </w:tr>
    </w:tbl>
    <w:p w14:paraId="43C165C4" w14:textId="0E0498AE" w:rsidR="00824D65" w:rsidRPr="00B302B7" w:rsidRDefault="00824D65" w:rsidP="00824D65">
      <w:pPr>
        <w:spacing w:before="0" w:after="0" w:line="240" w:lineRule="auto"/>
        <w:textAlignment w:val="baseline"/>
        <w:rPr>
          <w:rFonts w:eastAsia="Times New Roman" w:cs="Calibri"/>
          <w:color w:val="881798"/>
        </w:rPr>
      </w:pPr>
    </w:p>
    <w:p w14:paraId="6D69D848" w14:textId="77777777" w:rsidR="00824D65" w:rsidRPr="00B302B7" w:rsidRDefault="00824D65" w:rsidP="00824D65">
      <w:pPr>
        <w:spacing w:before="0" w:after="0" w:line="240" w:lineRule="auto"/>
        <w:jc w:val="left"/>
        <w:textAlignment w:val="baseline"/>
        <w:rPr>
          <w:rFonts w:ascii="Segoe UI" w:eastAsia="Times New Roman" w:hAnsi="Segoe UI" w:cs="Segoe UI"/>
          <w:sz w:val="18"/>
          <w:szCs w:val="18"/>
        </w:rPr>
      </w:pPr>
      <w:r w:rsidRPr="00B302B7">
        <w:rPr>
          <w:rFonts w:eastAsia="Times New Roman" w:cs="Calibri"/>
          <w:color w:val="881798"/>
          <w:sz w:val="20"/>
          <w:szCs w:val="20"/>
        </w:rPr>
        <w:t> </w:t>
      </w:r>
    </w:p>
    <w:p w14:paraId="555D9A2C" w14:textId="307D9AB7" w:rsidR="00AC0AC2" w:rsidRPr="00B302B7" w:rsidRDefault="00AC0AC2" w:rsidP="00316676">
      <w:pPr>
        <w:pStyle w:val="Note"/>
      </w:pPr>
      <w:r w:rsidRPr="00B302B7">
        <w:t xml:space="preserve">The </w:t>
      </w:r>
      <w:r w:rsidR="002E6592" w:rsidRPr="00B302B7">
        <w:t xml:space="preserve">percentage in brackets </w:t>
      </w:r>
      <w:r w:rsidRPr="00B302B7">
        <w:t>indicate</w:t>
      </w:r>
      <w:r w:rsidR="002E6592" w:rsidRPr="00B302B7">
        <w:t>s</w:t>
      </w:r>
      <w:r w:rsidR="009C4C5B" w:rsidRPr="00B302B7">
        <w:t xml:space="preserve"> movement</w:t>
      </w:r>
      <w:r w:rsidR="00524B41" w:rsidRPr="00B302B7">
        <w:t xml:space="preserve"> upwards</w:t>
      </w:r>
      <w:r w:rsidR="00FB1474" w:rsidRPr="00B302B7">
        <w:t xml:space="preserve"> (green)</w:t>
      </w:r>
      <w:r w:rsidR="00524B41" w:rsidRPr="00B302B7">
        <w:t>, downwards</w:t>
      </w:r>
      <w:r w:rsidR="00FB1474" w:rsidRPr="00B302B7">
        <w:t xml:space="preserve"> (red)</w:t>
      </w:r>
      <w:r w:rsidR="00524B41" w:rsidRPr="00B302B7">
        <w:t xml:space="preserve"> or no cha</w:t>
      </w:r>
      <w:r w:rsidR="00456BBB" w:rsidRPr="00B302B7">
        <w:t>nge</w:t>
      </w:r>
      <w:r w:rsidR="00FB1474" w:rsidRPr="00B302B7">
        <w:t xml:space="preserve"> (</w:t>
      </w:r>
      <w:r w:rsidR="002E6592" w:rsidRPr="00B302B7">
        <w:t>black</w:t>
      </w:r>
      <w:r w:rsidR="00FB1474" w:rsidRPr="00B302B7">
        <w:t>)</w:t>
      </w:r>
      <w:r w:rsidR="00456BBB" w:rsidRPr="00B302B7">
        <w:t xml:space="preserve"> in our workforce data from 30 June 2022</w:t>
      </w:r>
      <w:r w:rsidR="00E862F3" w:rsidRPr="00B302B7">
        <w:t xml:space="preserve"> to</w:t>
      </w:r>
      <w:r w:rsidR="00456BBB" w:rsidRPr="00B302B7">
        <w:t xml:space="preserve"> 31 October 2023</w:t>
      </w:r>
      <w:r w:rsidR="002A16DF" w:rsidRPr="00B302B7">
        <w:t>.</w:t>
      </w:r>
    </w:p>
    <w:p w14:paraId="69CD705D" w14:textId="77777777" w:rsidR="007E6D18" w:rsidRPr="00B302B7" w:rsidRDefault="00AC0AC2" w:rsidP="00316676">
      <w:pPr>
        <w:pStyle w:val="Note"/>
        <w:rPr>
          <w:color w:val="881798"/>
          <w:u w:val="single"/>
        </w:rPr>
      </w:pPr>
      <w:r w:rsidRPr="00B302B7">
        <w:t xml:space="preserve">Ethnicity disclosure: </w:t>
      </w:r>
      <w:r w:rsidRPr="00F02CE0">
        <w:t xml:space="preserve">96% of all staff, 95% </w:t>
      </w:r>
      <w:r w:rsidRPr="00B302B7">
        <w:t>of Senior Leaders. </w:t>
      </w:r>
      <w:r w:rsidRPr="00B302B7">
        <w:br/>
        <w:t>Employees can declare up to three ethnicities, therefore the total can equal more than 100 per cent.</w:t>
      </w:r>
      <w:r w:rsidRPr="00B302B7">
        <w:rPr>
          <w:color w:val="881798"/>
          <w:u w:val="single"/>
        </w:rPr>
        <w:t> </w:t>
      </w:r>
    </w:p>
    <w:p w14:paraId="02F07224" w14:textId="70AD8BE2" w:rsidR="00AC0AC2" w:rsidRPr="00B302B7" w:rsidRDefault="00AC0AC2" w:rsidP="00316676">
      <w:pPr>
        <w:pStyle w:val="Note"/>
        <w:rPr>
          <w:rFonts w:ascii="Segoe UI" w:hAnsi="Segoe UI" w:cs="Segoe UI"/>
        </w:rPr>
      </w:pPr>
      <w:r w:rsidRPr="00B302B7">
        <w:rPr>
          <w:color w:val="000000"/>
        </w:rPr>
        <w:t xml:space="preserve">Representation </w:t>
      </w:r>
      <w:r w:rsidRPr="00B302B7">
        <w:t>percentages are rounded to the nearest whole number</w:t>
      </w:r>
      <w:r w:rsidR="009E67B9" w:rsidRPr="00B302B7">
        <w:t>. I</w:t>
      </w:r>
      <w:r w:rsidRPr="00B302B7">
        <w:t>ncludes permanent, fixed</w:t>
      </w:r>
      <w:r w:rsidR="009E67B9" w:rsidRPr="00B302B7">
        <w:t>-</w:t>
      </w:r>
      <w:r w:rsidRPr="00B302B7">
        <w:t>term and staff on secondment outside the Ministry</w:t>
      </w:r>
      <w:r w:rsidR="007720FF">
        <w:t>. S</w:t>
      </w:r>
      <w:r w:rsidRPr="00B302B7">
        <w:t xml:space="preserve">taff on </w:t>
      </w:r>
      <w:r w:rsidR="009E67B9" w:rsidRPr="00B302B7">
        <w:t>p</w:t>
      </w:r>
      <w:r w:rsidRPr="00B302B7">
        <w:t>arental leave</w:t>
      </w:r>
      <w:r w:rsidR="007720FF">
        <w:t xml:space="preserve"> and </w:t>
      </w:r>
      <w:r w:rsidR="000E53AA" w:rsidRPr="00B302B7">
        <w:t xml:space="preserve">leave without pay </w:t>
      </w:r>
      <w:r w:rsidRPr="00B302B7">
        <w:t xml:space="preserve">are excluded according to Te Kawa </w:t>
      </w:r>
      <w:proofErr w:type="spellStart"/>
      <w:r w:rsidRPr="00B302B7">
        <w:t>Mataaho</w:t>
      </w:r>
      <w:proofErr w:type="spellEnd"/>
      <w:r w:rsidRPr="00B302B7">
        <w:t xml:space="preserve"> </w:t>
      </w:r>
      <w:bookmarkStart w:id="37" w:name="_Hlk152926537"/>
      <w:r w:rsidR="00C31EF5" w:rsidRPr="00B302B7">
        <w:t xml:space="preserve">Public Service Commission </w:t>
      </w:r>
      <w:bookmarkEnd w:id="37"/>
      <w:r w:rsidRPr="00B302B7">
        <w:t>definition</w:t>
      </w:r>
      <w:r w:rsidR="007D6E57" w:rsidRPr="00B302B7">
        <w:t>.</w:t>
      </w:r>
      <w:r w:rsidRPr="00B302B7">
        <w:t> </w:t>
      </w:r>
    </w:p>
    <w:p w14:paraId="0362943F" w14:textId="3EA48802" w:rsidR="00B43922" w:rsidRPr="00B302B7" w:rsidRDefault="00B43922">
      <w:pPr>
        <w:spacing w:before="0" w:after="200" w:line="276" w:lineRule="auto"/>
        <w:jc w:val="left"/>
        <w:rPr>
          <w:rFonts w:ascii="Times New Roman" w:eastAsia="Times New Roman" w:hAnsi="Times New Roman" w:cs="Times New Roman"/>
          <w:sz w:val="24"/>
          <w:szCs w:val="20"/>
        </w:rPr>
      </w:pPr>
      <w:r w:rsidRPr="00B302B7">
        <w:rPr>
          <w:szCs w:val="20"/>
        </w:rPr>
        <w:br w:type="page"/>
      </w:r>
    </w:p>
    <w:p w14:paraId="24699BBC" w14:textId="353CC2DF" w:rsidR="00824D65" w:rsidRPr="00316676" w:rsidRDefault="00824D65" w:rsidP="00316676">
      <w:pPr>
        <w:pStyle w:val="Figureheading"/>
      </w:pPr>
      <w:r w:rsidRPr="00316676">
        <w:rPr>
          <w:rStyle w:val="normaltextrun"/>
        </w:rPr>
        <w:lastRenderedPageBreak/>
        <w:t xml:space="preserve">Figure </w:t>
      </w:r>
      <w:r w:rsidR="00165994" w:rsidRPr="00316676">
        <w:rPr>
          <w:rStyle w:val="normaltextrun"/>
        </w:rPr>
        <w:t>4</w:t>
      </w:r>
      <w:r w:rsidRPr="00316676">
        <w:rPr>
          <w:rStyle w:val="normaltextrun"/>
        </w:rPr>
        <w:t>:</w:t>
      </w:r>
      <w:r w:rsidRPr="00B302B7">
        <w:rPr>
          <w:rStyle w:val="tabchar"/>
        </w:rPr>
        <w:tab/>
      </w:r>
      <w:r w:rsidRPr="00316676">
        <w:rPr>
          <w:rStyle w:val="normaltextrun"/>
        </w:rPr>
        <w:t>Overall gender pay gap</w:t>
      </w:r>
      <w:r w:rsidRPr="00316676">
        <w:rPr>
          <w:rStyle w:val="eop"/>
        </w:rPr>
        <w:t> </w:t>
      </w:r>
    </w:p>
    <w:p w14:paraId="595A3BF2" w14:textId="6B172662" w:rsidR="002D4AF7" w:rsidRPr="00B302B7" w:rsidRDefault="00E34EF6">
      <w:pPr>
        <w:pStyle w:val="BodyText"/>
        <w:rPr>
          <w:rStyle w:val="eop"/>
        </w:rPr>
      </w:pPr>
      <w:r w:rsidRPr="00B302B7">
        <w:rPr>
          <w:noProof/>
        </w:rPr>
        <w:drawing>
          <wp:inline distT="0" distB="0" distL="0" distR="0" wp14:anchorId="7870B982" wp14:editId="1789B707">
            <wp:extent cx="5384042" cy="2777319"/>
            <wp:effectExtent l="0" t="0" r="7620" b="4445"/>
            <wp:docPr id="337724667" name="Chart 1">
              <a:extLst xmlns:a="http://schemas.openxmlformats.org/drawingml/2006/main">
                <a:ext uri="{FF2B5EF4-FFF2-40B4-BE49-F238E27FC236}">
                  <a16:creationId xmlns:a16="http://schemas.microsoft.com/office/drawing/2014/main" id="{7270009C-0D30-F1B4-BCD1-8A8878179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8362116" w:rsidRPr="00B302B7">
        <w:rPr>
          <w:rStyle w:val="eop"/>
        </w:rPr>
        <w:t xml:space="preserve">     </w:t>
      </w:r>
    </w:p>
    <w:p w14:paraId="495F5DFC" w14:textId="255BA148" w:rsidR="00126F56" w:rsidRPr="00316676" w:rsidRDefault="00126F56" w:rsidP="00316676">
      <w:pPr>
        <w:pStyle w:val="Bullet"/>
      </w:pPr>
      <w:r w:rsidRPr="00316676">
        <w:rPr>
          <w:rFonts w:eastAsiaTheme="majorEastAsia"/>
        </w:rPr>
        <w:t xml:space="preserve">The Ministry’s overall </w:t>
      </w:r>
      <w:r w:rsidR="007641E3" w:rsidRPr="00B302B7">
        <w:t>g</w:t>
      </w:r>
      <w:r w:rsidRPr="00316676">
        <w:rPr>
          <w:rFonts w:eastAsiaTheme="majorEastAsia"/>
        </w:rPr>
        <w:t xml:space="preserve">ender </w:t>
      </w:r>
      <w:r w:rsidR="007641E3" w:rsidRPr="00B302B7">
        <w:t>p</w:t>
      </w:r>
      <w:r w:rsidRPr="00316676">
        <w:rPr>
          <w:rFonts w:eastAsiaTheme="majorEastAsia"/>
        </w:rPr>
        <w:t xml:space="preserve">ay </w:t>
      </w:r>
      <w:r w:rsidR="007641E3" w:rsidRPr="00B302B7">
        <w:t>g</w:t>
      </w:r>
      <w:r w:rsidRPr="00316676">
        <w:rPr>
          <w:rFonts w:eastAsiaTheme="majorEastAsia"/>
        </w:rPr>
        <w:t>ap</w:t>
      </w:r>
      <w:r w:rsidR="006B28C3" w:rsidRPr="00B302B7">
        <w:rPr>
          <w:rFonts w:eastAsiaTheme="majorEastAsia"/>
        </w:rPr>
        <w:t xml:space="preserve"> (GPG)</w:t>
      </w:r>
      <w:r w:rsidRPr="00316676">
        <w:rPr>
          <w:rFonts w:eastAsiaTheme="majorEastAsia"/>
        </w:rPr>
        <w:t xml:space="preserve"> as </w:t>
      </w:r>
      <w:proofErr w:type="gramStart"/>
      <w:r w:rsidRPr="00316676">
        <w:rPr>
          <w:rFonts w:eastAsiaTheme="majorEastAsia"/>
        </w:rPr>
        <w:t>at</w:t>
      </w:r>
      <w:proofErr w:type="gramEnd"/>
      <w:r w:rsidRPr="00316676">
        <w:rPr>
          <w:rFonts w:eastAsiaTheme="majorEastAsia"/>
        </w:rPr>
        <w:t xml:space="preserve"> 31 October 2023 is 10.5%</w:t>
      </w:r>
      <w:r w:rsidR="00DC1909" w:rsidRPr="00B302B7">
        <w:rPr>
          <w:rFonts w:eastAsiaTheme="majorEastAsia"/>
        </w:rPr>
        <w:t xml:space="preserve">. This is </w:t>
      </w:r>
      <w:r w:rsidRPr="00316676">
        <w:rPr>
          <w:rFonts w:eastAsiaTheme="majorEastAsia"/>
        </w:rPr>
        <w:t>an increase from 8.2% noted in the last report</w:t>
      </w:r>
      <w:r w:rsidR="00AC70A5" w:rsidRPr="00B302B7">
        <w:t>,</w:t>
      </w:r>
      <w:r w:rsidRPr="00316676">
        <w:rPr>
          <w:rFonts w:eastAsiaTheme="majorEastAsia"/>
        </w:rPr>
        <w:t xml:space="preserve"> as </w:t>
      </w:r>
      <w:proofErr w:type="gramStart"/>
      <w:r w:rsidRPr="00316676">
        <w:rPr>
          <w:rFonts w:eastAsiaTheme="majorEastAsia"/>
        </w:rPr>
        <w:t>at</w:t>
      </w:r>
      <w:proofErr w:type="gramEnd"/>
      <w:r w:rsidRPr="00316676">
        <w:rPr>
          <w:rFonts w:eastAsiaTheme="majorEastAsia"/>
        </w:rPr>
        <w:t xml:space="preserve"> 30 June 2022</w:t>
      </w:r>
      <w:r w:rsidR="00E20F68" w:rsidRPr="00316676">
        <w:rPr>
          <w:rFonts w:eastAsiaTheme="majorEastAsia"/>
        </w:rPr>
        <w:t>.</w:t>
      </w:r>
    </w:p>
    <w:p w14:paraId="4606C2CC" w14:textId="0CDB3E8E" w:rsidR="0015201C" w:rsidRPr="00B302B7" w:rsidRDefault="0015201C" w:rsidP="00316676">
      <w:pPr>
        <w:pStyle w:val="Bullet"/>
        <w:rPr>
          <w:rStyle w:val="normaltextrun"/>
          <w:rFonts w:eastAsiaTheme="majorEastAsia"/>
        </w:rPr>
      </w:pPr>
      <w:r w:rsidRPr="00B302B7">
        <w:rPr>
          <w:rStyle w:val="normaltextrun"/>
          <w:rFonts w:eastAsiaTheme="majorEastAsia" w:cs="Calibri"/>
          <w:szCs w:val="22"/>
        </w:rPr>
        <w:t>GPG</w:t>
      </w:r>
      <w:r w:rsidR="006B28C3" w:rsidRPr="00B302B7">
        <w:rPr>
          <w:rStyle w:val="normaltextrun"/>
          <w:rFonts w:eastAsiaTheme="majorEastAsia" w:cs="Calibri"/>
          <w:szCs w:val="22"/>
        </w:rPr>
        <w:t xml:space="preserve"> </w:t>
      </w:r>
      <w:r w:rsidRPr="00B302B7">
        <w:rPr>
          <w:rStyle w:val="normaltextrun"/>
          <w:rFonts w:eastAsiaTheme="majorEastAsia" w:cs="Calibri"/>
          <w:szCs w:val="22"/>
        </w:rPr>
        <w:t>is measured by calculating the difference between the average salary of male and female employees</w:t>
      </w:r>
      <w:r w:rsidR="003B2505" w:rsidRPr="00B302B7">
        <w:rPr>
          <w:rStyle w:val="normaltextrun"/>
          <w:rFonts w:eastAsiaTheme="majorEastAsia" w:cs="Calibri"/>
          <w:szCs w:val="22"/>
        </w:rPr>
        <w:t>,</w:t>
      </w:r>
      <w:r w:rsidRPr="00B302B7">
        <w:rPr>
          <w:rStyle w:val="normaltextrun"/>
          <w:rFonts w:eastAsiaTheme="majorEastAsia" w:cs="Calibri"/>
          <w:szCs w:val="22"/>
        </w:rPr>
        <w:t xml:space="preserve"> </w:t>
      </w:r>
      <w:r w:rsidR="003B2505" w:rsidRPr="00B302B7">
        <w:rPr>
          <w:rStyle w:val="normaltextrun"/>
          <w:rFonts w:eastAsiaTheme="majorEastAsia" w:cs="Calibri"/>
          <w:szCs w:val="22"/>
        </w:rPr>
        <w:t xml:space="preserve">as per the Te Kawa </w:t>
      </w:r>
      <w:proofErr w:type="spellStart"/>
      <w:r w:rsidR="003B2505" w:rsidRPr="00B302B7">
        <w:rPr>
          <w:rStyle w:val="normaltextrun"/>
          <w:rFonts w:eastAsiaTheme="majorEastAsia" w:cs="Calibri"/>
          <w:szCs w:val="22"/>
        </w:rPr>
        <w:t>Mataaho</w:t>
      </w:r>
      <w:proofErr w:type="spellEnd"/>
      <w:r w:rsidR="00C31EF5" w:rsidRPr="00B302B7">
        <w:rPr>
          <w:rStyle w:val="normaltextrun"/>
          <w:rFonts w:eastAsiaTheme="majorEastAsia" w:cs="Calibri"/>
          <w:szCs w:val="22"/>
        </w:rPr>
        <w:t xml:space="preserve"> </w:t>
      </w:r>
      <w:r w:rsidR="00C31EF5" w:rsidRPr="00B302B7">
        <w:rPr>
          <w:rFonts w:eastAsiaTheme="majorEastAsia"/>
        </w:rPr>
        <w:t>Public Service Commission</w:t>
      </w:r>
      <w:r w:rsidR="003B2505" w:rsidRPr="00B302B7">
        <w:rPr>
          <w:rStyle w:val="normaltextrun"/>
          <w:rFonts w:eastAsiaTheme="majorEastAsia" w:cs="Calibri"/>
          <w:szCs w:val="22"/>
        </w:rPr>
        <w:t xml:space="preserve"> definition.</w:t>
      </w:r>
      <w:r w:rsidR="003B2505" w:rsidRPr="00B302B7">
        <w:rPr>
          <w:rStyle w:val="eop"/>
          <w:rFonts w:cs="Calibri"/>
          <w:szCs w:val="22"/>
        </w:rPr>
        <w:t> </w:t>
      </w:r>
    </w:p>
    <w:p w14:paraId="0C6BF191" w14:textId="51FB92E5" w:rsidR="0015201C" w:rsidRPr="00B302B7" w:rsidRDefault="0015201C" w:rsidP="00316676">
      <w:pPr>
        <w:pStyle w:val="Bullet"/>
        <w:rPr>
          <w:rStyle w:val="normaltextrun"/>
          <w:rFonts w:eastAsiaTheme="majorEastAsia"/>
        </w:rPr>
      </w:pPr>
      <w:r w:rsidRPr="00B302B7">
        <w:rPr>
          <w:rStyle w:val="normaltextrun"/>
          <w:rFonts w:eastAsiaTheme="majorEastAsia" w:cs="Calibri"/>
          <w:szCs w:val="22"/>
        </w:rPr>
        <w:t>The GPG figure includes permanent, fixed</w:t>
      </w:r>
      <w:r w:rsidR="000F6194" w:rsidRPr="00B302B7">
        <w:rPr>
          <w:rStyle w:val="normaltextrun"/>
          <w:rFonts w:eastAsiaTheme="majorEastAsia" w:cs="Calibri"/>
          <w:szCs w:val="22"/>
        </w:rPr>
        <w:t>-</w:t>
      </w:r>
      <w:r w:rsidRPr="00B302B7">
        <w:rPr>
          <w:rStyle w:val="normaltextrun"/>
          <w:rFonts w:eastAsiaTheme="majorEastAsia" w:cs="Calibri"/>
          <w:szCs w:val="22"/>
        </w:rPr>
        <w:t>term and staff on secondment outside the Ministry.</w:t>
      </w:r>
      <w:r w:rsidRPr="00B302B7">
        <w:rPr>
          <w:rStyle w:val="normaltextrun"/>
          <w:rFonts w:eastAsiaTheme="majorEastAsia"/>
        </w:rPr>
        <w:t> </w:t>
      </w:r>
    </w:p>
    <w:p w14:paraId="531BC529" w14:textId="241EF8E8" w:rsidR="0015201C" w:rsidRPr="00B302B7" w:rsidRDefault="0015201C" w:rsidP="0015201C">
      <w:pPr>
        <w:pStyle w:val="paragraph"/>
        <w:spacing w:before="0" w:beforeAutospacing="0" w:after="0" w:afterAutospacing="0"/>
        <w:textAlignment w:val="baseline"/>
        <w:rPr>
          <w:rFonts w:ascii="Calibri" w:hAnsi="Calibri" w:cs="Calibri"/>
          <w:sz w:val="22"/>
          <w:szCs w:val="22"/>
        </w:rPr>
      </w:pPr>
    </w:p>
    <w:p w14:paraId="3002235E" w14:textId="1E0DD12C" w:rsidR="00824D65" w:rsidRPr="00B302B7" w:rsidRDefault="00824D65" w:rsidP="00316676">
      <w:pPr>
        <w:pStyle w:val="Figureheading"/>
        <w:rPr>
          <w:rFonts w:ascii="Segoe UI" w:hAnsi="Segoe UI" w:cs="Segoe UI"/>
          <w:bCs/>
          <w:sz w:val="18"/>
          <w:szCs w:val="18"/>
        </w:rPr>
      </w:pPr>
      <w:r w:rsidRPr="00B302B7">
        <w:rPr>
          <w:rStyle w:val="normaltextrun"/>
          <w:rFonts w:eastAsiaTheme="majorEastAsia" w:cs="Calibri"/>
          <w:bCs/>
          <w:szCs w:val="20"/>
        </w:rPr>
        <w:t xml:space="preserve">Figure </w:t>
      </w:r>
      <w:r w:rsidR="00165994" w:rsidRPr="00B302B7">
        <w:rPr>
          <w:rStyle w:val="normaltextrun"/>
          <w:rFonts w:eastAsiaTheme="majorEastAsia" w:cs="Calibri"/>
          <w:bCs/>
          <w:szCs w:val="20"/>
        </w:rPr>
        <w:t>5</w:t>
      </w:r>
      <w:r w:rsidRPr="00B302B7">
        <w:rPr>
          <w:rStyle w:val="normaltextrun"/>
          <w:rFonts w:eastAsiaTheme="majorEastAsia" w:cs="Calibri"/>
          <w:bCs/>
          <w:szCs w:val="20"/>
        </w:rPr>
        <w:t xml:space="preserve">: </w:t>
      </w:r>
      <w:r w:rsidRPr="00B302B7">
        <w:rPr>
          <w:rStyle w:val="tabchar"/>
          <w:rFonts w:cs="Calibri"/>
          <w:szCs w:val="20"/>
        </w:rPr>
        <w:tab/>
      </w:r>
      <w:r w:rsidRPr="00B302B7">
        <w:rPr>
          <w:rStyle w:val="normaltextrun"/>
          <w:rFonts w:eastAsiaTheme="majorEastAsia" w:cs="Calibri"/>
          <w:bCs/>
          <w:szCs w:val="20"/>
        </w:rPr>
        <w:t xml:space="preserve">Average Ministry for the Environment salaries by gender and ethnicity </w:t>
      </w:r>
      <w:r w:rsidRPr="00B302B7">
        <w:rPr>
          <w:rStyle w:val="eop"/>
          <w:rFonts w:cs="Calibri"/>
          <w:bCs/>
          <w:szCs w:val="20"/>
        </w:rPr>
        <w:t> </w:t>
      </w:r>
    </w:p>
    <w:p w14:paraId="5D13A82F" w14:textId="3228B6BC" w:rsidR="00824D65" w:rsidRPr="00B302B7" w:rsidRDefault="0015201C" w:rsidP="00824D65">
      <w:pPr>
        <w:pStyle w:val="paragraph"/>
        <w:spacing w:before="0" w:beforeAutospacing="0" w:after="0" w:afterAutospacing="0"/>
        <w:textAlignment w:val="baseline"/>
        <w:rPr>
          <w:rFonts w:ascii="Segoe UI" w:hAnsi="Segoe UI" w:cs="Segoe UI"/>
          <w:sz w:val="18"/>
          <w:szCs w:val="18"/>
        </w:rPr>
      </w:pPr>
      <w:r w:rsidRPr="00B302B7">
        <w:rPr>
          <w:rStyle w:val="eop"/>
          <w:rFonts w:ascii="Calibri" w:hAnsi="Calibri" w:cs="Calibri"/>
          <w:sz w:val="22"/>
          <w:szCs w:val="22"/>
        </w:rPr>
        <w:t> </w:t>
      </w:r>
      <w:r w:rsidR="00D24048" w:rsidRPr="00B302B7">
        <w:rPr>
          <w:noProof/>
        </w:rPr>
        <w:drawing>
          <wp:inline distT="0" distB="0" distL="0" distR="0" wp14:anchorId="61D7E2EB" wp14:editId="4880D321">
            <wp:extent cx="5400675" cy="2647950"/>
            <wp:effectExtent l="0" t="0" r="0" b="0"/>
            <wp:docPr id="175822441" name="Chart 1">
              <a:extLst xmlns:a="http://schemas.openxmlformats.org/drawingml/2006/main">
                <a:ext uri="{FF2B5EF4-FFF2-40B4-BE49-F238E27FC236}">
                  <a16:creationId xmlns:a16="http://schemas.microsoft.com/office/drawing/2014/main" id="{DF873F15-3E8E-E957-33FB-74DC5460A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C91F8F" w14:textId="131E5696" w:rsidR="00402B99" w:rsidRPr="00B302B7" w:rsidRDefault="00402B99" w:rsidP="00316676">
      <w:pPr>
        <w:pStyle w:val="Note"/>
      </w:pPr>
      <w:r w:rsidRPr="00B302B7">
        <w:t>Pacific Peoples and MELAA have not been split out by gender due to low numbers (2 per cent share of workforce per group).</w:t>
      </w:r>
    </w:p>
    <w:p w14:paraId="21701DBB" w14:textId="2DE404B4" w:rsidR="00824D65" w:rsidRPr="00B302B7" w:rsidRDefault="00824D65">
      <w:pPr>
        <w:pStyle w:val="Figureheading"/>
      </w:pPr>
      <w:r w:rsidRPr="00316676">
        <w:lastRenderedPageBreak/>
        <w:t xml:space="preserve">Figure </w:t>
      </w:r>
      <w:r w:rsidR="00165994" w:rsidRPr="00316676">
        <w:t>6</w:t>
      </w:r>
      <w:r w:rsidRPr="00316676">
        <w:t xml:space="preserve">: </w:t>
      </w:r>
      <w:r w:rsidRPr="00B302B7">
        <w:tab/>
      </w:r>
      <w:r w:rsidRPr="00316676">
        <w:t>Ethnic pay gaps compared to the public sector average  </w:t>
      </w:r>
    </w:p>
    <w:p w14:paraId="53E8034D" w14:textId="06D37918" w:rsidR="00A36F7F" w:rsidRPr="00316676" w:rsidRDefault="00A36F7F" w:rsidP="00316676">
      <w:pPr>
        <w:pStyle w:val="BodyText"/>
      </w:pPr>
      <w:r w:rsidRPr="00B302B7">
        <w:rPr>
          <w:noProof/>
        </w:rPr>
        <w:drawing>
          <wp:inline distT="0" distB="0" distL="0" distR="0" wp14:anchorId="79D93235" wp14:editId="58B5C2F2">
            <wp:extent cx="5400675" cy="2933700"/>
            <wp:effectExtent l="0" t="0" r="0" b="0"/>
            <wp:docPr id="705843798" name="Chart 1">
              <a:extLst xmlns:a="http://schemas.openxmlformats.org/drawingml/2006/main">
                <a:ext uri="{FF2B5EF4-FFF2-40B4-BE49-F238E27FC236}">
                  <a16:creationId xmlns:a16="http://schemas.microsoft.com/office/drawing/2014/main" id="{E8899C16-3767-4B48-899A-73735E857B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7B248D" w14:textId="3740F254" w:rsidR="00054BE9" w:rsidRPr="00B302B7" w:rsidRDefault="00054BE9" w:rsidP="00824D65">
      <w:pPr>
        <w:pStyle w:val="paragraph"/>
        <w:spacing w:before="0" w:beforeAutospacing="0" w:after="0" w:afterAutospacing="0"/>
        <w:textAlignment w:val="baseline"/>
        <w:rPr>
          <w:rFonts w:ascii="Segoe UI" w:hAnsi="Segoe UI" w:cs="Segoe UI"/>
          <w:sz w:val="18"/>
          <w:szCs w:val="18"/>
        </w:rPr>
      </w:pPr>
    </w:p>
    <w:p w14:paraId="23FE8F8A" w14:textId="34EECE01" w:rsidR="00824D65" w:rsidRPr="00B302B7" w:rsidRDefault="00374231" w:rsidP="00316676">
      <w:pPr>
        <w:pStyle w:val="Bullet"/>
        <w:spacing w:before="240"/>
        <w:rPr>
          <w:rStyle w:val="normaltextrun"/>
          <w:rFonts w:eastAsiaTheme="majorEastAsia" w:cs="Calibri"/>
          <w:color w:val="881798"/>
          <w:szCs w:val="22"/>
          <w:u w:val="single"/>
        </w:rPr>
      </w:pPr>
      <w:r w:rsidRPr="00B302B7">
        <w:rPr>
          <w:rStyle w:val="normaltextrun"/>
          <w:rFonts w:eastAsiaTheme="majorEastAsia" w:cs="Calibri"/>
          <w:szCs w:val="22"/>
        </w:rPr>
        <w:t>T</w:t>
      </w:r>
      <w:r w:rsidR="00126F56" w:rsidRPr="00B302B7">
        <w:rPr>
          <w:rStyle w:val="normaltextrun"/>
          <w:rFonts w:eastAsiaTheme="majorEastAsia" w:cs="Calibri"/>
          <w:szCs w:val="22"/>
        </w:rPr>
        <w:t xml:space="preserve">he Ministry’s overall </w:t>
      </w:r>
      <w:r w:rsidR="00F80E90" w:rsidRPr="00B302B7">
        <w:rPr>
          <w:rStyle w:val="normaltextrun"/>
          <w:rFonts w:eastAsiaTheme="majorEastAsia" w:cs="Calibri"/>
          <w:szCs w:val="22"/>
        </w:rPr>
        <w:t>e</w:t>
      </w:r>
      <w:r w:rsidR="00126F56" w:rsidRPr="00B302B7">
        <w:rPr>
          <w:rStyle w:val="normaltextrun"/>
          <w:rFonts w:eastAsiaTheme="majorEastAsia" w:cs="Calibri"/>
          <w:szCs w:val="22"/>
        </w:rPr>
        <w:t xml:space="preserve">thnic </w:t>
      </w:r>
      <w:r w:rsidR="00F80E90" w:rsidRPr="00B302B7">
        <w:rPr>
          <w:rStyle w:val="normaltextrun"/>
          <w:rFonts w:eastAsiaTheme="majorEastAsia" w:cs="Calibri"/>
          <w:szCs w:val="22"/>
        </w:rPr>
        <w:t>p</w:t>
      </w:r>
      <w:r w:rsidR="00126F56" w:rsidRPr="00B302B7">
        <w:rPr>
          <w:rStyle w:val="normaltextrun"/>
          <w:rFonts w:eastAsiaTheme="majorEastAsia" w:cs="Calibri"/>
          <w:szCs w:val="22"/>
        </w:rPr>
        <w:t xml:space="preserve">ay gap </w:t>
      </w:r>
      <w:r w:rsidR="00FC4C81" w:rsidRPr="00B302B7">
        <w:rPr>
          <w:rStyle w:val="normaltextrun"/>
          <w:rFonts w:eastAsiaTheme="majorEastAsia" w:cs="Calibri"/>
          <w:szCs w:val="22"/>
        </w:rPr>
        <w:t>(EP</w:t>
      </w:r>
      <w:r w:rsidR="0062280C" w:rsidRPr="00B302B7">
        <w:rPr>
          <w:rStyle w:val="normaltextrun"/>
          <w:rFonts w:eastAsiaTheme="majorEastAsia" w:cs="Calibri"/>
          <w:szCs w:val="22"/>
        </w:rPr>
        <w:t>G</w:t>
      </w:r>
      <w:r w:rsidR="00FC4C81" w:rsidRPr="00B302B7">
        <w:rPr>
          <w:rStyle w:val="normaltextrun"/>
          <w:rFonts w:eastAsiaTheme="majorEastAsia" w:cs="Calibri"/>
          <w:szCs w:val="22"/>
        </w:rPr>
        <w:t xml:space="preserve">) </w:t>
      </w:r>
      <w:r w:rsidR="00126F56" w:rsidRPr="00B302B7">
        <w:rPr>
          <w:rStyle w:val="normaltextrun"/>
          <w:rFonts w:eastAsiaTheme="majorEastAsia" w:cs="Calibri"/>
          <w:szCs w:val="22"/>
        </w:rPr>
        <w:t xml:space="preserve">as </w:t>
      </w:r>
      <w:proofErr w:type="gramStart"/>
      <w:r w:rsidR="00126F56" w:rsidRPr="00B302B7">
        <w:rPr>
          <w:rStyle w:val="normaltextrun"/>
          <w:rFonts w:eastAsiaTheme="majorEastAsia" w:cs="Calibri"/>
          <w:szCs w:val="22"/>
        </w:rPr>
        <w:t>at</w:t>
      </w:r>
      <w:proofErr w:type="gramEnd"/>
      <w:r w:rsidR="00126F56" w:rsidRPr="00B302B7">
        <w:rPr>
          <w:rStyle w:val="normaltextrun"/>
          <w:rFonts w:eastAsiaTheme="majorEastAsia" w:cs="Calibri"/>
          <w:szCs w:val="22"/>
        </w:rPr>
        <w:t xml:space="preserve"> 31 October 2023 is </w:t>
      </w:r>
      <w:r w:rsidR="3E4A2828" w:rsidRPr="00B302B7">
        <w:rPr>
          <w:rStyle w:val="normaltextrun"/>
          <w:rFonts w:eastAsiaTheme="majorEastAsia" w:cs="Calibri"/>
          <w:szCs w:val="22"/>
        </w:rPr>
        <w:t>5.8</w:t>
      </w:r>
      <w:r w:rsidR="00126F56" w:rsidRPr="00B302B7">
        <w:rPr>
          <w:rStyle w:val="normaltextrun"/>
          <w:rFonts w:eastAsiaTheme="majorEastAsia" w:cs="Calibri"/>
          <w:szCs w:val="22"/>
        </w:rPr>
        <w:t>%</w:t>
      </w:r>
      <w:r w:rsidR="0062280C" w:rsidRPr="00B302B7">
        <w:rPr>
          <w:rStyle w:val="normaltextrun"/>
          <w:rFonts w:eastAsiaTheme="majorEastAsia" w:cs="Calibri"/>
          <w:szCs w:val="22"/>
        </w:rPr>
        <w:t>. This is</w:t>
      </w:r>
      <w:r w:rsidR="00126F56" w:rsidRPr="00B302B7">
        <w:rPr>
          <w:rStyle w:val="normaltextrun"/>
          <w:rFonts w:eastAsiaTheme="majorEastAsia" w:cs="Calibri"/>
          <w:szCs w:val="22"/>
        </w:rPr>
        <w:t xml:space="preserve"> a decrease </w:t>
      </w:r>
      <w:r w:rsidR="00AE3075" w:rsidRPr="00B302B7">
        <w:rPr>
          <w:rStyle w:val="normaltextrun"/>
          <w:rFonts w:eastAsiaTheme="majorEastAsia" w:cs="Calibri"/>
          <w:szCs w:val="22"/>
        </w:rPr>
        <w:t xml:space="preserve">of </w:t>
      </w:r>
      <w:r w:rsidR="6D593774" w:rsidRPr="00B302B7">
        <w:rPr>
          <w:rStyle w:val="normaltextrun"/>
          <w:rFonts w:eastAsiaTheme="majorEastAsia" w:cs="Calibri"/>
          <w:szCs w:val="22"/>
        </w:rPr>
        <w:t>1.0%</w:t>
      </w:r>
      <w:r w:rsidR="00AE3075" w:rsidRPr="00B302B7">
        <w:rPr>
          <w:rStyle w:val="normaltextrun"/>
          <w:rFonts w:eastAsiaTheme="majorEastAsia" w:cs="Calibri"/>
          <w:szCs w:val="22"/>
        </w:rPr>
        <w:t xml:space="preserve"> </w:t>
      </w:r>
      <w:r w:rsidR="00126F56" w:rsidRPr="00B302B7">
        <w:rPr>
          <w:rStyle w:val="normaltextrun"/>
          <w:rFonts w:eastAsiaTheme="majorEastAsia" w:cs="Calibri"/>
          <w:szCs w:val="22"/>
        </w:rPr>
        <w:t xml:space="preserve">from </w:t>
      </w:r>
      <w:r w:rsidR="002D6483" w:rsidRPr="00B302B7">
        <w:rPr>
          <w:rStyle w:val="normaltextrun"/>
          <w:rFonts w:eastAsiaTheme="majorEastAsia" w:cs="Calibri"/>
          <w:szCs w:val="22"/>
        </w:rPr>
        <w:t>6.</w:t>
      </w:r>
      <w:r w:rsidR="004E0BFC" w:rsidRPr="00B302B7">
        <w:rPr>
          <w:rStyle w:val="normaltextrun"/>
          <w:rFonts w:eastAsiaTheme="majorEastAsia" w:cs="Calibri"/>
          <w:szCs w:val="22"/>
        </w:rPr>
        <w:t>8</w:t>
      </w:r>
      <w:r w:rsidR="00126F56" w:rsidRPr="00B302B7">
        <w:rPr>
          <w:rStyle w:val="normaltextrun"/>
          <w:rFonts w:eastAsiaTheme="majorEastAsia" w:cs="Calibri"/>
          <w:szCs w:val="22"/>
        </w:rPr>
        <w:t>%</w:t>
      </w:r>
      <w:r w:rsidR="0062280C" w:rsidRPr="00B302B7">
        <w:rPr>
          <w:rStyle w:val="normaltextrun"/>
          <w:rFonts w:eastAsiaTheme="majorEastAsia" w:cs="Calibri"/>
          <w:szCs w:val="22"/>
        </w:rPr>
        <w:t>,</w:t>
      </w:r>
      <w:r w:rsidR="00126F56" w:rsidRPr="00B302B7">
        <w:rPr>
          <w:rStyle w:val="normaltextrun"/>
          <w:rFonts w:eastAsiaTheme="majorEastAsia" w:cs="Calibri"/>
          <w:szCs w:val="22"/>
        </w:rPr>
        <w:t xml:space="preserve"> as </w:t>
      </w:r>
      <w:proofErr w:type="gramStart"/>
      <w:r w:rsidR="00126F56" w:rsidRPr="00B302B7">
        <w:rPr>
          <w:rStyle w:val="normaltextrun"/>
          <w:rFonts w:eastAsiaTheme="majorEastAsia" w:cs="Calibri"/>
          <w:szCs w:val="22"/>
        </w:rPr>
        <w:t>at</w:t>
      </w:r>
      <w:proofErr w:type="gramEnd"/>
      <w:r w:rsidR="00126F56" w:rsidRPr="00B302B7">
        <w:rPr>
          <w:rStyle w:val="normaltextrun"/>
          <w:rFonts w:eastAsiaTheme="majorEastAsia" w:cs="Calibri"/>
          <w:szCs w:val="22"/>
        </w:rPr>
        <w:t xml:space="preserve"> 30 June 202</w:t>
      </w:r>
      <w:r w:rsidR="004E0BFC" w:rsidRPr="00B302B7">
        <w:rPr>
          <w:rStyle w:val="normaltextrun"/>
          <w:rFonts w:eastAsiaTheme="majorEastAsia" w:cs="Calibri"/>
          <w:szCs w:val="22"/>
        </w:rPr>
        <w:t>2</w:t>
      </w:r>
      <w:r w:rsidR="00116DCA" w:rsidRPr="00B302B7">
        <w:rPr>
          <w:rStyle w:val="normaltextrun"/>
          <w:rFonts w:eastAsiaTheme="majorEastAsia" w:cs="Calibri"/>
          <w:szCs w:val="22"/>
        </w:rPr>
        <w:t>.</w:t>
      </w:r>
    </w:p>
    <w:p w14:paraId="27F51562" w14:textId="55F1473D" w:rsidR="00824D65" w:rsidRPr="00B302B7" w:rsidRDefault="00824D65" w:rsidP="00316676">
      <w:pPr>
        <w:pStyle w:val="Bullet"/>
        <w:rPr>
          <w:rStyle w:val="normaltextrun"/>
          <w:rFonts w:cs="Calibri"/>
          <w:szCs w:val="22"/>
        </w:rPr>
      </w:pPr>
      <w:r w:rsidRPr="00B302B7">
        <w:rPr>
          <w:rStyle w:val="normaltextrun"/>
          <w:rFonts w:eastAsiaTheme="majorEastAsia" w:cs="Calibri"/>
          <w:szCs w:val="22"/>
        </w:rPr>
        <w:t>EPG</w:t>
      </w:r>
      <w:r w:rsidR="00B12BC7" w:rsidRPr="00B302B7">
        <w:rPr>
          <w:rStyle w:val="normaltextrun"/>
          <w:rFonts w:eastAsiaTheme="majorEastAsia" w:cs="Calibri"/>
          <w:szCs w:val="22"/>
        </w:rPr>
        <w:t>s</w:t>
      </w:r>
      <w:r w:rsidRPr="00B302B7">
        <w:rPr>
          <w:rStyle w:val="normaltextrun"/>
          <w:rFonts w:eastAsiaTheme="majorEastAsia" w:cs="Calibri"/>
          <w:szCs w:val="22"/>
        </w:rPr>
        <w:t xml:space="preserve"> are calculated by comparing the average salary of non-European employees against European </w:t>
      </w:r>
      <w:r w:rsidR="00CD3F69" w:rsidRPr="00B302B7">
        <w:rPr>
          <w:rStyle w:val="normaltextrun"/>
          <w:rFonts w:eastAsiaTheme="majorEastAsia" w:cs="Calibri"/>
          <w:szCs w:val="22"/>
        </w:rPr>
        <w:t>employees.</w:t>
      </w:r>
      <w:r w:rsidRPr="00B302B7">
        <w:rPr>
          <w:rStyle w:val="normaltextrun"/>
          <w:rFonts w:eastAsiaTheme="majorEastAsia" w:cs="Calibri"/>
          <w:szCs w:val="22"/>
          <w:u w:val="single"/>
        </w:rPr>
        <w:t xml:space="preserve"> </w:t>
      </w:r>
    </w:p>
    <w:p w14:paraId="3E511395" w14:textId="68CF6FBE" w:rsidR="00824D65" w:rsidRPr="00B302B7" w:rsidRDefault="00824D65" w:rsidP="00316676">
      <w:pPr>
        <w:pStyle w:val="Bullet"/>
        <w:rPr>
          <w:rStyle w:val="normaltextrun"/>
          <w:rFonts w:eastAsiaTheme="majorEastAsia"/>
        </w:rPr>
      </w:pPr>
      <w:r w:rsidRPr="00B302B7">
        <w:rPr>
          <w:rStyle w:val="normaltextrun"/>
          <w:rFonts w:eastAsiaTheme="majorEastAsia" w:cs="Calibri"/>
          <w:szCs w:val="22"/>
        </w:rPr>
        <w:t>The EPG is calculated using all ethnicities that an employee has declared (for example, if they have declared both Māori and European, they will contribute to the average for both ethnicities)</w:t>
      </w:r>
      <w:r w:rsidR="0018047A" w:rsidRPr="00B302B7">
        <w:rPr>
          <w:rStyle w:val="normaltextrun"/>
          <w:rFonts w:eastAsiaTheme="majorEastAsia" w:cs="Calibri"/>
          <w:szCs w:val="22"/>
        </w:rPr>
        <w:t>.</w:t>
      </w:r>
    </w:p>
    <w:p w14:paraId="476922AE" w14:textId="2446C1CF" w:rsidR="00824D65" w:rsidRPr="00B302B7" w:rsidRDefault="00824D65" w:rsidP="00316676">
      <w:pPr>
        <w:pStyle w:val="Bullet"/>
        <w:rPr>
          <w:rStyle w:val="normaltextrun"/>
          <w:rFonts w:eastAsiaTheme="majorEastAsia"/>
        </w:rPr>
      </w:pPr>
      <w:r w:rsidRPr="00B302B7">
        <w:rPr>
          <w:rStyle w:val="normaltextrun"/>
          <w:rFonts w:eastAsiaTheme="majorEastAsia" w:cs="Calibri"/>
          <w:szCs w:val="22"/>
        </w:rPr>
        <w:t>The EPG figure includes permanent, fixed</w:t>
      </w:r>
      <w:r w:rsidR="00466AD4" w:rsidRPr="00B302B7">
        <w:rPr>
          <w:rStyle w:val="normaltextrun"/>
          <w:rFonts w:eastAsiaTheme="majorEastAsia" w:cs="Calibri"/>
          <w:szCs w:val="22"/>
        </w:rPr>
        <w:t>-</w:t>
      </w:r>
      <w:r w:rsidRPr="00B302B7">
        <w:rPr>
          <w:rStyle w:val="normaltextrun"/>
          <w:rFonts w:eastAsiaTheme="majorEastAsia" w:cs="Calibri"/>
          <w:szCs w:val="22"/>
        </w:rPr>
        <w:t xml:space="preserve">term and staff on secondment outside the Ministry as per the Te Kawa </w:t>
      </w:r>
      <w:proofErr w:type="spellStart"/>
      <w:r w:rsidRPr="00B302B7">
        <w:rPr>
          <w:rStyle w:val="normaltextrun"/>
          <w:rFonts w:eastAsiaTheme="majorEastAsia" w:cs="Calibri"/>
          <w:szCs w:val="22"/>
        </w:rPr>
        <w:t>Mataaho</w:t>
      </w:r>
      <w:proofErr w:type="spellEnd"/>
      <w:r w:rsidRPr="00B302B7">
        <w:rPr>
          <w:rStyle w:val="normaltextrun"/>
          <w:rFonts w:eastAsiaTheme="majorEastAsia" w:cs="Calibri"/>
          <w:szCs w:val="22"/>
        </w:rPr>
        <w:t xml:space="preserve"> </w:t>
      </w:r>
      <w:r w:rsidR="00BD26FD" w:rsidRPr="00B302B7">
        <w:rPr>
          <w:rFonts w:eastAsiaTheme="majorEastAsia"/>
        </w:rPr>
        <w:t>Public Service Commission</w:t>
      </w:r>
      <w:r w:rsidR="00BD26FD" w:rsidRPr="00B302B7">
        <w:rPr>
          <w:rStyle w:val="normaltextrun"/>
          <w:rFonts w:eastAsiaTheme="majorEastAsia" w:cs="Calibri"/>
          <w:szCs w:val="22"/>
        </w:rPr>
        <w:t xml:space="preserve"> </w:t>
      </w:r>
      <w:r w:rsidRPr="00B302B7">
        <w:rPr>
          <w:rStyle w:val="normaltextrun"/>
          <w:rFonts w:eastAsiaTheme="majorEastAsia" w:cs="Calibri"/>
          <w:szCs w:val="22"/>
        </w:rPr>
        <w:t>definition.</w:t>
      </w:r>
      <w:r w:rsidRPr="00B302B7">
        <w:rPr>
          <w:rStyle w:val="normaltextrun"/>
          <w:rFonts w:eastAsiaTheme="majorEastAsia"/>
        </w:rPr>
        <w:t> </w:t>
      </w:r>
    </w:p>
    <w:p w14:paraId="2764481A" w14:textId="3065A85F" w:rsidR="00824D65" w:rsidRPr="00B302B7" w:rsidRDefault="00C93BEF" w:rsidP="00316676">
      <w:pPr>
        <w:pStyle w:val="Bullet"/>
        <w:rPr>
          <w:rStyle w:val="normaltextrun"/>
          <w:rFonts w:eastAsiaTheme="majorEastAsia"/>
        </w:rPr>
      </w:pPr>
      <w:r w:rsidRPr="00B302B7">
        <w:rPr>
          <w:rStyle w:val="normaltextrun"/>
          <w:rFonts w:eastAsiaTheme="majorEastAsia" w:cs="Calibri"/>
          <w:szCs w:val="22"/>
        </w:rPr>
        <w:t xml:space="preserve">Due to low </w:t>
      </w:r>
      <w:r w:rsidR="004A2EC4" w:rsidRPr="00B302B7">
        <w:rPr>
          <w:rStyle w:val="normaltextrun"/>
          <w:rFonts w:eastAsiaTheme="majorEastAsia" w:cs="Calibri"/>
          <w:szCs w:val="22"/>
        </w:rPr>
        <w:t>employee numbers</w:t>
      </w:r>
      <w:r w:rsidRPr="00B302B7">
        <w:rPr>
          <w:rStyle w:val="normaltextrun"/>
          <w:rFonts w:eastAsiaTheme="majorEastAsia" w:cs="Calibri"/>
          <w:szCs w:val="22"/>
        </w:rPr>
        <w:t xml:space="preserve"> </w:t>
      </w:r>
      <w:r w:rsidR="004A2EC4" w:rsidRPr="00B302B7">
        <w:rPr>
          <w:rStyle w:val="normaltextrun"/>
          <w:rFonts w:eastAsiaTheme="majorEastAsia" w:cs="Calibri"/>
          <w:szCs w:val="22"/>
        </w:rPr>
        <w:t>f</w:t>
      </w:r>
      <w:r w:rsidR="00824D65" w:rsidRPr="00B302B7">
        <w:rPr>
          <w:rStyle w:val="normaltextrun"/>
          <w:rFonts w:eastAsiaTheme="majorEastAsia" w:cs="Calibri"/>
          <w:szCs w:val="22"/>
        </w:rPr>
        <w:t>or Pacific Peoples and MELAA</w:t>
      </w:r>
      <w:r w:rsidR="008D1E9C" w:rsidRPr="00B302B7">
        <w:rPr>
          <w:rStyle w:val="normaltextrun"/>
          <w:rFonts w:eastAsiaTheme="majorEastAsia" w:cs="Calibri"/>
          <w:szCs w:val="22"/>
        </w:rPr>
        <w:t>, the figures</w:t>
      </w:r>
      <w:r w:rsidR="00824D65" w:rsidRPr="00B302B7">
        <w:rPr>
          <w:rStyle w:val="normaltextrun"/>
          <w:rFonts w:eastAsiaTheme="majorEastAsia" w:cs="Calibri"/>
          <w:szCs w:val="22"/>
        </w:rPr>
        <w:t xml:space="preserve"> </w:t>
      </w:r>
      <w:r w:rsidR="00744032" w:rsidRPr="00B302B7">
        <w:rPr>
          <w:rStyle w:val="normaltextrun"/>
          <w:rFonts w:eastAsiaTheme="majorEastAsia" w:cs="Calibri"/>
          <w:szCs w:val="22"/>
        </w:rPr>
        <w:t>are</w:t>
      </w:r>
      <w:r w:rsidR="00824D65" w:rsidRPr="00B302B7">
        <w:rPr>
          <w:rStyle w:val="normaltextrun"/>
          <w:rFonts w:eastAsiaTheme="majorEastAsia" w:cs="Calibri"/>
          <w:szCs w:val="22"/>
        </w:rPr>
        <w:t xml:space="preserve"> subject to significant fluctuations based on individual movements.</w:t>
      </w:r>
    </w:p>
    <w:p w14:paraId="718CD7F2" w14:textId="51DF7A2B" w:rsidR="00B302B7" w:rsidRPr="00B302B7" w:rsidRDefault="00B302B7">
      <w:pPr>
        <w:spacing w:before="0" w:after="200" w:line="276" w:lineRule="auto"/>
        <w:jc w:val="left"/>
        <w:rPr>
          <w:rFonts w:eastAsia="Times New Roman" w:cs="Times New Roman"/>
          <w:b/>
          <w:bCs/>
          <w:szCs w:val="20"/>
        </w:rPr>
      </w:pPr>
      <w:r w:rsidRPr="00B302B7">
        <w:rPr>
          <w:rFonts w:eastAsia="Times New Roman" w:cs="Times New Roman"/>
          <w:b/>
          <w:bCs/>
          <w:szCs w:val="20"/>
        </w:rPr>
        <w:br w:type="page"/>
      </w:r>
    </w:p>
    <w:p w14:paraId="484780E7" w14:textId="77777777" w:rsidR="00CD3EA4" w:rsidRPr="00B302B7" w:rsidRDefault="00CD3EA4" w:rsidP="00316676">
      <w:pPr>
        <w:pStyle w:val="Figureheading"/>
        <w:rPr>
          <w:rStyle w:val="eop"/>
          <w:rFonts w:cs="Calibri"/>
          <w:sz w:val="22"/>
          <w:szCs w:val="20"/>
        </w:rPr>
      </w:pPr>
      <w:r w:rsidRPr="00316676">
        <w:rPr>
          <w:rFonts w:eastAsia="Times New Roman" w:cs="Times New Roman"/>
        </w:rPr>
        <w:lastRenderedPageBreak/>
        <w:t>Figure 7:</w:t>
      </w:r>
      <w:r w:rsidRPr="00316676">
        <w:rPr>
          <w:rFonts w:eastAsia="Times New Roman" w:cs="Times New Roman"/>
        </w:rPr>
        <w:tab/>
      </w:r>
      <w:r w:rsidRPr="00B302B7">
        <w:rPr>
          <w:rStyle w:val="normaltextrun"/>
          <w:rFonts w:eastAsiaTheme="majorEastAsia" w:cs="Calibri"/>
          <w:bCs/>
          <w:szCs w:val="20"/>
        </w:rPr>
        <w:t>Ethnic pay gaps compared between June 2022 and October 2023 </w:t>
      </w:r>
      <w:r w:rsidRPr="00B302B7">
        <w:rPr>
          <w:rStyle w:val="eop"/>
          <w:rFonts w:cs="Calibri"/>
          <w:bCs/>
          <w:szCs w:val="20"/>
        </w:rPr>
        <w:t> </w:t>
      </w:r>
    </w:p>
    <w:p w14:paraId="3A771CF7" w14:textId="7A29071D" w:rsidR="00CD3EA4" w:rsidRPr="00B302B7" w:rsidRDefault="00CD3EA4">
      <w:pPr>
        <w:spacing w:before="0" w:after="200" w:line="276" w:lineRule="auto"/>
        <w:jc w:val="left"/>
        <w:rPr>
          <w:rFonts w:eastAsia="Times New Roman" w:cs="Times New Roman"/>
          <w:b/>
          <w:bCs/>
          <w:szCs w:val="20"/>
        </w:rPr>
      </w:pPr>
    </w:p>
    <w:p w14:paraId="62C754D4" w14:textId="43454D0F" w:rsidR="0004671B" w:rsidRPr="00B302B7" w:rsidRDefault="008945B5">
      <w:pPr>
        <w:spacing w:before="0" w:after="200" w:line="276" w:lineRule="auto"/>
        <w:jc w:val="left"/>
        <w:rPr>
          <w:rFonts w:eastAsia="Times New Roman" w:cs="Times New Roman"/>
          <w:szCs w:val="20"/>
        </w:rPr>
      </w:pPr>
      <w:r w:rsidRPr="00B302B7">
        <w:rPr>
          <w:noProof/>
        </w:rPr>
        <w:drawing>
          <wp:inline distT="0" distB="0" distL="0" distR="0" wp14:anchorId="54AA12E3" wp14:editId="1BA37186">
            <wp:extent cx="5384042" cy="2975212"/>
            <wp:effectExtent l="0" t="0" r="7620" b="0"/>
            <wp:docPr id="2083314328" name="Chart 1">
              <a:extLst xmlns:a="http://schemas.openxmlformats.org/drawingml/2006/main">
                <a:ext uri="{FF2B5EF4-FFF2-40B4-BE49-F238E27FC236}">
                  <a16:creationId xmlns:a16="http://schemas.microsoft.com/office/drawing/2014/main" id="{BB43ECEC-F21F-8E6C-9537-B57A95897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04671B" w:rsidRPr="00B302B7">
        <w:rPr>
          <w:rFonts w:eastAsia="Times New Roman" w:cs="Times New Roman"/>
          <w:b/>
          <w:bCs/>
          <w:szCs w:val="20"/>
        </w:rPr>
        <w:br w:type="page"/>
      </w:r>
    </w:p>
    <w:p w14:paraId="455C9861" w14:textId="302CCE3F" w:rsidR="0017322F" w:rsidRPr="00316676" w:rsidRDefault="0017322F" w:rsidP="00614270">
      <w:pPr>
        <w:pStyle w:val="Heading1"/>
        <w:rPr>
          <w:rFonts w:ascii="Times New Roman" w:hAnsi="Times New Roman"/>
          <w:sz w:val="24"/>
          <w:szCs w:val="24"/>
        </w:rPr>
      </w:pPr>
      <w:bookmarkStart w:id="38" w:name="_Toc153181760"/>
      <w:r w:rsidRPr="00316676">
        <w:lastRenderedPageBreak/>
        <w:t xml:space="preserve">Appendix </w:t>
      </w:r>
      <w:r w:rsidR="001632AE" w:rsidRPr="00316676">
        <w:t>II</w:t>
      </w:r>
      <w:r w:rsidRPr="00316676">
        <w:t>:</w:t>
      </w:r>
      <w:r w:rsidR="00614270" w:rsidRPr="00316676">
        <w:t xml:space="preserve"> </w:t>
      </w:r>
      <w:r w:rsidRPr="00316676">
        <w:t xml:space="preserve">Summary of </w:t>
      </w:r>
      <w:r w:rsidR="001632AE" w:rsidRPr="00316676">
        <w:t>i</w:t>
      </w:r>
      <w:r w:rsidRPr="00316676">
        <w:t>nsights</w:t>
      </w:r>
      <w:bookmarkEnd w:id="38"/>
    </w:p>
    <w:p w14:paraId="0C4E9EE7" w14:textId="77777777" w:rsidR="0017322F" w:rsidRPr="00316676" w:rsidRDefault="0017322F" w:rsidP="0017322F">
      <w:pPr>
        <w:spacing w:before="0" w:after="0" w:line="240" w:lineRule="auto"/>
        <w:ind w:left="720"/>
        <w:jc w:val="left"/>
        <w:textAlignment w:val="baseline"/>
        <w:rPr>
          <w:rFonts w:ascii="Times New Roman" w:eastAsia="Times New Roman" w:hAnsi="Times New Roman" w:cs="Times New Roman"/>
          <w:sz w:val="24"/>
          <w:szCs w:val="24"/>
        </w:rPr>
      </w:pPr>
      <w:r w:rsidRPr="00316676">
        <w:rPr>
          <w:rFonts w:eastAsia="Times New Roman" w:cs="Calibri"/>
        </w:rPr>
        <w:t> </w:t>
      </w:r>
    </w:p>
    <w:p w14:paraId="3F32B958" w14:textId="77777777" w:rsidR="0017322F" w:rsidRPr="00316676" w:rsidRDefault="0017322F" w:rsidP="00316676">
      <w:pPr>
        <w:pStyle w:val="Heading2"/>
      </w:pPr>
      <w:bookmarkStart w:id="39" w:name="_Toc153181761"/>
      <w:r w:rsidRPr="00316676">
        <w:t xml:space="preserve">Gender </w:t>
      </w:r>
      <w:proofErr w:type="gramStart"/>
      <w:r w:rsidRPr="00316676">
        <w:t>pay</w:t>
      </w:r>
      <w:bookmarkEnd w:id="39"/>
      <w:proofErr w:type="gramEnd"/>
    </w:p>
    <w:p w14:paraId="46D34F26" w14:textId="713E825D" w:rsidR="0017322F" w:rsidRPr="00316676" w:rsidRDefault="0017322F" w:rsidP="00316676">
      <w:pPr>
        <w:pStyle w:val="Bullet"/>
        <w:spacing w:before="240"/>
      </w:pPr>
      <w:r w:rsidRPr="00316676">
        <w:t>The Ministry’s gender pay gap has increased in the last year, after four consistent years either below or within 0.5% of the public sector average</w:t>
      </w:r>
      <w:r w:rsidR="00F315E2" w:rsidRPr="00316676">
        <w:t xml:space="preserve">. </w:t>
      </w:r>
      <w:r w:rsidRPr="00316676">
        <w:t xml:space="preserve">We remain </w:t>
      </w:r>
      <w:r w:rsidRPr="00316676">
        <w:rPr>
          <w:lang w:val="en-US"/>
        </w:rPr>
        <w:t>within tolerance (+/-4%) and we will monitor this closely.</w:t>
      </w:r>
    </w:p>
    <w:p w14:paraId="33904756" w14:textId="5BD7EEA7" w:rsidR="0017322F" w:rsidRPr="00316676" w:rsidRDefault="0017322F" w:rsidP="00316676">
      <w:pPr>
        <w:pStyle w:val="Bullet"/>
      </w:pPr>
      <w:r w:rsidRPr="00316676">
        <w:rPr>
          <w:lang w:val="en-US"/>
        </w:rPr>
        <w:t xml:space="preserve">The Ministry’s gender pay gap is largely driven by a higher proportion of females than males in lower paid roles at the Ministry. The Ministry has good female leadership representation at all levels, with an increase of 3% in Tier 2 and 3 roles in 2023 compared to 63% in 2022. This is a likely advantage when it comes to attracting a strong female talent pool to </w:t>
      </w:r>
      <w:r w:rsidR="00324285" w:rsidRPr="00316676">
        <w:rPr>
          <w:lang w:val="en-US"/>
        </w:rPr>
        <w:t>entry-</w:t>
      </w:r>
      <w:r w:rsidRPr="00316676">
        <w:rPr>
          <w:lang w:val="en-US"/>
        </w:rPr>
        <w:t>level roles. The higher representation of females at the entry level (Support, Advisor and Analyst roles) is a result of this strong female talent pool we attract.</w:t>
      </w:r>
    </w:p>
    <w:p w14:paraId="6B70DDD8" w14:textId="05EB6B7E" w:rsidR="0017322F" w:rsidRPr="00316676" w:rsidRDefault="0017322F" w:rsidP="00316676">
      <w:pPr>
        <w:pStyle w:val="Bullet"/>
      </w:pPr>
      <w:r w:rsidRPr="00316676">
        <w:t>Our key focus for next year is to continue to build our development frameworks</w:t>
      </w:r>
      <w:r w:rsidR="00E23841" w:rsidRPr="00316676">
        <w:t>,</w:t>
      </w:r>
      <w:r w:rsidRPr="00316676">
        <w:t xml:space="preserve"> including identifying future-critical skills that the Ministry will need to achieve its organisational goals. Mapping core capabilities and career pathways will support our female and other diverse cohorts early in their career</w:t>
      </w:r>
      <w:r w:rsidR="00107F98" w:rsidRPr="00316676">
        <w:t>s</w:t>
      </w:r>
      <w:r w:rsidRPr="00316676">
        <w:t xml:space="preserve"> to grow and progress within their chosen profession.</w:t>
      </w:r>
    </w:p>
    <w:p w14:paraId="4406B527" w14:textId="77777777" w:rsidR="0017322F" w:rsidRPr="00316676" w:rsidRDefault="0017322F" w:rsidP="00316676">
      <w:pPr>
        <w:pStyle w:val="Heading2"/>
      </w:pPr>
      <w:bookmarkStart w:id="40" w:name="_Toc153181762"/>
      <w:r w:rsidRPr="00316676">
        <w:t>Ethnic pay</w:t>
      </w:r>
      <w:bookmarkEnd w:id="40"/>
    </w:p>
    <w:p w14:paraId="506064FF" w14:textId="266FCC27" w:rsidR="0017322F" w:rsidRPr="00316676" w:rsidRDefault="0017322F" w:rsidP="00316676">
      <w:pPr>
        <w:pStyle w:val="Bullet"/>
        <w:spacing w:before="240"/>
        <w:rPr>
          <w:lang w:val="en-US"/>
        </w:rPr>
      </w:pPr>
      <w:r w:rsidRPr="00316676">
        <w:rPr>
          <w:lang w:val="en-US"/>
        </w:rPr>
        <w:t xml:space="preserve">This year sees a slight decrease in Māori leaders at Tier 2 and 3. While the </w:t>
      </w:r>
      <w:r w:rsidR="00B07858" w:rsidRPr="00316676">
        <w:rPr>
          <w:lang w:val="en-US"/>
        </w:rPr>
        <w:t xml:space="preserve">decrease in the </w:t>
      </w:r>
      <w:r w:rsidRPr="00316676">
        <w:rPr>
          <w:lang w:val="en-US"/>
        </w:rPr>
        <w:t xml:space="preserve">total number of Māori leaders is small, it is still important to us to monitor </w:t>
      </w:r>
      <w:r w:rsidR="00666ACC" w:rsidRPr="00316676">
        <w:rPr>
          <w:lang w:val="en-US"/>
        </w:rPr>
        <w:t xml:space="preserve">this </w:t>
      </w:r>
      <w:r w:rsidRPr="00316676">
        <w:rPr>
          <w:lang w:val="en-US"/>
        </w:rPr>
        <w:t xml:space="preserve">closely. </w:t>
      </w:r>
    </w:p>
    <w:p w14:paraId="6582B457" w14:textId="52593F06" w:rsidR="0017322F" w:rsidRPr="00316676" w:rsidRDefault="0017322F" w:rsidP="00316676">
      <w:pPr>
        <w:pStyle w:val="Bullet"/>
        <w:rPr>
          <w:lang w:val="en-US"/>
        </w:rPr>
      </w:pPr>
      <w:r w:rsidRPr="00316676">
        <w:rPr>
          <w:lang w:val="en-US"/>
        </w:rPr>
        <w:t>Our Māori pay gap data shows that</w:t>
      </w:r>
      <w:r w:rsidR="00B07858" w:rsidRPr="00316676">
        <w:rPr>
          <w:lang w:val="en-US"/>
        </w:rPr>
        <w:t>,</w:t>
      </w:r>
      <w:r w:rsidRPr="00316676">
        <w:rPr>
          <w:lang w:val="en-US"/>
        </w:rPr>
        <w:t xml:space="preserve"> at an overall level, Māori are paid slightly more on average than Europeans.  </w:t>
      </w:r>
    </w:p>
    <w:p w14:paraId="624D6D35" w14:textId="1E544631" w:rsidR="0017322F" w:rsidRPr="00316676" w:rsidRDefault="0017322F" w:rsidP="00316676">
      <w:pPr>
        <w:pStyle w:val="Bullet"/>
        <w:rPr>
          <w:lang w:val="en-US"/>
        </w:rPr>
      </w:pPr>
      <w:r w:rsidRPr="00316676">
        <w:rPr>
          <w:lang w:val="en-US"/>
        </w:rPr>
        <w:t>The Ministry’s overall ethnic pay gap has reduced year-on-year for the last five years, and the European pay gap is smaller than the public service average</w:t>
      </w:r>
      <w:r w:rsidR="00B07858" w:rsidRPr="00316676">
        <w:rPr>
          <w:lang w:val="en-US"/>
        </w:rPr>
        <w:t xml:space="preserve">. This means </w:t>
      </w:r>
      <w:r w:rsidRPr="00316676">
        <w:rPr>
          <w:lang w:val="en-US"/>
        </w:rPr>
        <w:t>that</w:t>
      </w:r>
      <w:r w:rsidR="00B07858" w:rsidRPr="00316676">
        <w:rPr>
          <w:lang w:val="en-US"/>
        </w:rPr>
        <w:t>,</w:t>
      </w:r>
      <w:r w:rsidRPr="00316676">
        <w:rPr>
          <w:lang w:val="en-US"/>
        </w:rPr>
        <w:t xml:space="preserve"> overall, the gap between European and other non-European ethnicities combined is smaller than for the public sector overall.   </w:t>
      </w:r>
    </w:p>
    <w:p w14:paraId="15539E30" w14:textId="2ED73393" w:rsidR="0017322F" w:rsidRPr="00316676" w:rsidRDefault="0017322F" w:rsidP="00316676">
      <w:pPr>
        <w:pStyle w:val="Bullet"/>
        <w:rPr>
          <w:lang w:val="en-US"/>
        </w:rPr>
      </w:pPr>
      <w:r w:rsidRPr="00316676">
        <w:rPr>
          <w:lang w:val="en-US"/>
        </w:rPr>
        <w:t>For Pacific Peoples and MELAA employees, occupational segregation underpins a larger pay</w:t>
      </w:r>
      <w:r w:rsidR="0001050C" w:rsidRPr="00316676">
        <w:rPr>
          <w:lang w:val="en-US"/>
        </w:rPr>
        <w:t xml:space="preserve"> </w:t>
      </w:r>
      <w:r w:rsidRPr="00316676">
        <w:rPr>
          <w:lang w:val="en-US"/>
        </w:rPr>
        <w:t>gap</w:t>
      </w:r>
      <w:r w:rsidR="00435672" w:rsidRPr="00316676">
        <w:rPr>
          <w:lang w:val="en-US"/>
        </w:rPr>
        <w:t>,</w:t>
      </w:r>
      <w:r w:rsidRPr="00316676">
        <w:rPr>
          <w:lang w:val="en-US"/>
        </w:rPr>
        <w:t xml:space="preserve"> and these figures are subject to significant fluctuations based on individual movements. This is an area of focus.</w:t>
      </w:r>
    </w:p>
    <w:p w14:paraId="34EF4847" w14:textId="33FEC212" w:rsidR="0017322F" w:rsidRPr="00316676" w:rsidRDefault="0017322F" w:rsidP="00316676">
      <w:pPr>
        <w:pStyle w:val="Bullet"/>
        <w:rPr>
          <w:lang w:val="en-US"/>
        </w:rPr>
      </w:pPr>
      <w:r w:rsidRPr="00316676">
        <w:rPr>
          <w:lang w:val="en-US"/>
        </w:rPr>
        <w:t>In the case of the Asian pay gap, a lack of representation at leadership is also an area for focus, though the Ministry’s mid</w:t>
      </w:r>
      <w:r w:rsidR="009E37F6" w:rsidRPr="00316676">
        <w:rPr>
          <w:lang w:val="en-US"/>
        </w:rPr>
        <w:t>dle</w:t>
      </w:r>
      <w:r w:rsidRPr="00316676">
        <w:rPr>
          <w:lang w:val="en-US"/>
        </w:rPr>
        <w:t xml:space="preserve"> and senior levels have reasonably healthy Asian representation.  </w:t>
      </w:r>
    </w:p>
    <w:p w14:paraId="5AB49705" w14:textId="10E26745" w:rsidR="0017322F" w:rsidRPr="00316676" w:rsidDel="003123F1" w:rsidRDefault="0017322F" w:rsidP="00316676">
      <w:pPr>
        <w:pStyle w:val="Bullet"/>
        <w:rPr>
          <w:lang w:val="en-US"/>
        </w:rPr>
      </w:pPr>
      <w:r w:rsidRPr="00316676">
        <w:rPr>
          <w:lang w:val="en-US"/>
        </w:rPr>
        <w:t xml:space="preserve">In addition to improving the diversity of our workforce across all levels through hiring, the Ministry is focused on supporting the career development of an ethnically diverse talent pool internally, alongside building cultural capability and inclusive leadership to support a more diverse team. Actions towards these goals are outlined in this plan and in Tui </w:t>
      </w:r>
      <w:proofErr w:type="spellStart"/>
      <w:r w:rsidRPr="00316676">
        <w:rPr>
          <w:lang w:val="en-US"/>
        </w:rPr>
        <w:t>Raumata</w:t>
      </w:r>
      <w:proofErr w:type="spellEnd"/>
      <w:r w:rsidRPr="00316676">
        <w:rPr>
          <w:lang w:val="en-US"/>
        </w:rPr>
        <w:t xml:space="preserve">, our Diversity, </w:t>
      </w:r>
      <w:proofErr w:type="gramStart"/>
      <w:r w:rsidRPr="00316676">
        <w:rPr>
          <w:lang w:val="en-US"/>
        </w:rPr>
        <w:t>Equity</w:t>
      </w:r>
      <w:proofErr w:type="gramEnd"/>
      <w:r w:rsidRPr="00316676">
        <w:rPr>
          <w:lang w:val="en-US"/>
        </w:rPr>
        <w:t xml:space="preserve"> and Inclusion strategy.</w:t>
      </w:r>
    </w:p>
    <w:p w14:paraId="5033C3DB" w14:textId="77777777" w:rsidR="0017322F" w:rsidRPr="00316676" w:rsidRDefault="0017322F" w:rsidP="00316676">
      <w:pPr>
        <w:pStyle w:val="Heading2"/>
      </w:pPr>
      <w:bookmarkStart w:id="41" w:name="_Toc153181763"/>
      <w:r w:rsidRPr="00316676">
        <w:lastRenderedPageBreak/>
        <w:t>Overall</w:t>
      </w:r>
      <w:bookmarkEnd w:id="41"/>
    </w:p>
    <w:p w14:paraId="6CED92A8" w14:textId="16C9D44C" w:rsidR="0017322F" w:rsidRPr="00316676" w:rsidRDefault="0017322F" w:rsidP="00316676">
      <w:pPr>
        <w:pStyle w:val="Bullet"/>
        <w:spacing w:before="240"/>
      </w:pPr>
      <w:r w:rsidRPr="00316676">
        <w:rPr>
          <w:lang w:val="en-US"/>
        </w:rPr>
        <w:t>Within-band gender and ethnic pay gaps are still within tolerance (+/-4%)</w:t>
      </w:r>
      <w:r w:rsidR="00546997" w:rsidRPr="00316676">
        <w:rPr>
          <w:rStyle w:val="FootnoteReference"/>
          <w:rFonts w:eastAsiaTheme="minorEastAsia" w:cstheme="minorBidi"/>
          <w:szCs w:val="16"/>
        </w:rPr>
        <w:footnoteReference w:id="2"/>
      </w:r>
      <w:r w:rsidRPr="00316676">
        <w:rPr>
          <w:lang w:val="en-US"/>
        </w:rPr>
        <w:t xml:space="preserve">. This indicates that male, female and gender diverse employees, and employees of different ethnicities are paid equally for roles of similar size and complexity. </w:t>
      </w:r>
    </w:p>
    <w:p w14:paraId="712018A9" w14:textId="7F90A8C4" w:rsidR="0017322F" w:rsidRPr="00316676" w:rsidRDefault="0017322F" w:rsidP="00316676">
      <w:pPr>
        <w:pStyle w:val="Bullet"/>
      </w:pPr>
      <w:r w:rsidRPr="00316676">
        <w:t xml:space="preserve">We are developing the next iteration of Tui </w:t>
      </w:r>
      <w:proofErr w:type="spellStart"/>
      <w:r w:rsidRPr="00316676">
        <w:t>Raumata</w:t>
      </w:r>
      <w:proofErr w:type="spellEnd"/>
      <w:r w:rsidRPr="00316676">
        <w:t xml:space="preserve">, our Diversity, </w:t>
      </w:r>
      <w:proofErr w:type="gramStart"/>
      <w:r w:rsidRPr="00316676">
        <w:t>Equity</w:t>
      </w:r>
      <w:proofErr w:type="gramEnd"/>
      <w:r w:rsidRPr="00316676">
        <w:t xml:space="preserve"> </w:t>
      </w:r>
      <w:r w:rsidR="00852C66" w:rsidRPr="00316676">
        <w:t>and</w:t>
      </w:r>
      <w:r w:rsidRPr="00316676">
        <w:t xml:space="preserve"> Inclusion </w:t>
      </w:r>
      <w:r w:rsidR="00F130C0" w:rsidRPr="00316676">
        <w:t xml:space="preserve">strategy </w:t>
      </w:r>
      <w:r w:rsidRPr="00316676">
        <w:t xml:space="preserve">and will ensure that our </w:t>
      </w:r>
      <w:r w:rsidR="00DD2101" w:rsidRPr="00316676">
        <w:t>achievements</w:t>
      </w:r>
      <w:r w:rsidRPr="00316676">
        <w:t xml:space="preserve"> to date are firmly embedded in our practices</w:t>
      </w:r>
      <w:r w:rsidR="00F130C0" w:rsidRPr="00316676">
        <w:t>,</w:t>
      </w:r>
      <w:r w:rsidRPr="00316676">
        <w:t xml:space="preserve"> so we continue to gain the positive traction we have seen to date.</w:t>
      </w:r>
    </w:p>
    <w:p w14:paraId="775EFF4E" w14:textId="25C7E52A" w:rsidR="00467DD9" w:rsidRPr="00B302B7" w:rsidRDefault="00467DD9">
      <w:pPr>
        <w:spacing w:before="0" w:after="200" w:line="276" w:lineRule="auto"/>
        <w:jc w:val="left"/>
      </w:pPr>
      <w:r w:rsidRPr="00B302B7">
        <w:br w:type="page"/>
      </w:r>
    </w:p>
    <w:p w14:paraId="1CB9A0E2" w14:textId="0D64FBF5" w:rsidR="00824D65" w:rsidRPr="00B302B7" w:rsidRDefault="00593A5A" w:rsidP="00DE75CF">
      <w:pPr>
        <w:pStyle w:val="Heading1"/>
      </w:pPr>
      <w:bookmarkStart w:id="42" w:name="_Toc153181764"/>
      <w:r w:rsidRPr="00B302B7">
        <w:lastRenderedPageBreak/>
        <w:t xml:space="preserve">Appendix </w:t>
      </w:r>
      <w:r w:rsidR="00467DD9" w:rsidRPr="00B302B7">
        <w:t>III</w:t>
      </w:r>
      <w:r w:rsidR="00FF73B4" w:rsidRPr="00B302B7">
        <w:t>:</w:t>
      </w:r>
      <w:r w:rsidR="00467DD9" w:rsidRPr="00B302B7">
        <w:t xml:space="preserve"> </w:t>
      </w:r>
      <w:r w:rsidR="006549A0" w:rsidRPr="00B302B7">
        <w:t>Mid</w:t>
      </w:r>
      <w:r w:rsidR="00467DD9" w:rsidRPr="00B302B7">
        <w:t>-r</w:t>
      </w:r>
      <w:r w:rsidR="006549A0" w:rsidRPr="00B302B7">
        <w:t xml:space="preserve">eport </w:t>
      </w:r>
      <w:r w:rsidR="00467DD9" w:rsidRPr="00B302B7">
        <w:t>p</w:t>
      </w:r>
      <w:r w:rsidR="006549A0" w:rsidRPr="00B302B7">
        <w:t xml:space="preserve">rogress </w:t>
      </w:r>
      <w:r w:rsidR="00467DD9" w:rsidRPr="00B302B7">
        <w:t>h</w:t>
      </w:r>
      <w:r w:rsidR="00A66255" w:rsidRPr="00B302B7">
        <w:t>i</w:t>
      </w:r>
      <w:r w:rsidR="006549A0" w:rsidRPr="00B302B7">
        <w:t>ghlights</w:t>
      </w:r>
      <w:bookmarkEnd w:id="42"/>
    </w:p>
    <w:p w14:paraId="5985E7A7" w14:textId="33D67B44" w:rsidR="00824D65" w:rsidRPr="00B302B7" w:rsidRDefault="00761385" w:rsidP="00316676">
      <w:pPr>
        <w:pStyle w:val="Heading3"/>
        <w:rPr>
          <w:rFonts w:ascii="Georgia bold" w:eastAsia="Times New Roman" w:hAnsi="Georgia bold" w:cs="Times New Roman"/>
          <w:szCs w:val="28"/>
        </w:rPr>
      </w:pPr>
      <w:r w:rsidRPr="00316676">
        <w:t xml:space="preserve">Te </w:t>
      </w:r>
      <w:r w:rsidRPr="00B302B7">
        <w:rPr>
          <w:rFonts w:ascii="Georgia bold" w:eastAsia="Times New Roman" w:hAnsi="Georgia bold" w:cs="Times New Roman"/>
          <w:szCs w:val="28"/>
        </w:rPr>
        <w:t>pono – Transparency</w:t>
      </w:r>
    </w:p>
    <w:p w14:paraId="4AC77646" w14:textId="0D7C2DBB" w:rsidR="00761385" w:rsidRPr="00B302B7" w:rsidRDefault="00781BD5" w:rsidP="00316676">
      <w:pPr>
        <w:pStyle w:val="Bullet"/>
        <w:spacing w:before="240"/>
      </w:pPr>
      <w:r w:rsidRPr="00B302B7">
        <w:t>O</w:t>
      </w:r>
      <w:r w:rsidR="00761385" w:rsidRPr="00B302B7">
        <w:t>ur remuneration policy information, pay bands and benchmarking</w:t>
      </w:r>
      <w:r w:rsidRPr="00B302B7">
        <w:t xml:space="preserve"> have been reviewed</w:t>
      </w:r>
      <w:r w:rsidR="00761385" w:rsidRPr="00B302B7">
        <w:t xml:space="preserve"> to ensure </w:t>
      </w:r>
      <w:r w:rsidR="00192D5A" w:rsidRPr="00B302B7">
        <w:t xml:space="preserve">they are </w:t>
      </w:r>
      <w:r w:rsidR="00761385" w:rsidRPr="00B302B7">
        <w:t xml:space="preserve">accessible and easy to </w:t>
      </w:r>
      <w:r w:rsidR="009E3243" w:rsidRPr="00B302B7">
        <w:t>understand.</w:t>
      </w:r>
    </w:p>
    <w:p w14:paraId="1E859922" w14:textId="736AD29A" w:rsidR="00761385" w:rsidRPr="00B302B7" w:rsidRDefault="00761385" w:rsidP="00316676">
      <w:pPr>
        <w:pStyle w:val="Bullet"/>
      </w:pPr>
      <w:r w:rsidRPr="00B302B7">
        <w:t xml:space="preserve">We </w:t>
      </w:r>
      <w:r w:rsidR="001B36C7" w:rsidRPr="00B302B7">
        <w:t>have</w:t>
      </w:r>
      <w:r w:rsidRPr="00B302B7">
        <w:t xml:space="preserve"> link</w:t>
      </w:r>
      <w:r w:rsidR="00BB2E21" w:rsidRPr="00B302B7">
        <w:t>ed</w:t>
      </w:r>
      <w:r w:rsidRPr="00B302B7">
        <w:t xml:space="preserve"> </w:t>
      </w:r>
      <w:r w:rsidR="007F7975" w:rsidRPr="00B302B7">
        <w:t xml:space="preserve">to </w:t>
      </w:r>
      <w:r w:rsidRPr="00B302B7">
        <w:t>guidance for addressing pay equi</w:t>
      </w:r>
      <w:r w:rsidR="00126F56" w:rsidRPr="00B302B7">
        <w:t>t</w:t>
      </w:r>
      <w:r w:rsidRPr="00B302B7">
        <w:t xml:space="preserve">y issues from </w:t>
      </w:r>
      <w:r w:rsidR="00707B83" w:rsidRPr="00B302B7">
        <w:t xml:space="preserve">Te Kawa </w:t>
      </w:r>
      <w:proofErr w:type="spellStart"/>
      <w:r w:rsidR="00707B83" w:rsidRPr="00B302B7">
        <w:t>Mataaho</w:t>
      </w:r>
      <w:proofErr w:type="spellEnd"/>
      <w:r w:rsidR="00707B83" w:rsidRPr="00B302B7">
        <w:rPr>
          <w:rStyle w:val="normaltextrun"/>
          <w:rFonts w:eastAsiaTheme="majorEastAsia" w:cs="Calibri"/>
          <w:szCs w:val="22"/>
        </w:rPr>
        <w:t xml:space="preserve"> </w:t>
      </w:r>
      <w:r w:rsidR="00467DD9" w:rsidRPr="00B302B7">
        <w:rPr>
          <w:rStyle w:val="normaltextrun"/>
          <w:rFonts w:eastAsiaTheme="majorEastAsia" w:cs="Calibri"/>
          <w:szCs w:val="22"/>
        </w:rPr>
        <w:t xml:space="preserve">Public Service Commission </w:t>
      </w:r>
      <w:r w:rsidRPr="00B302B7">
        <w:t xml:space="preserve">on </w:t>
      </w:r>
      <w:r w:rsidR="0059170C" w:rsidRPr="00B302B7">
        <w:t>our</w:t>
      </w:r>
      <w:r w:rsidRPr="00B302B7">
        <w:t xml:space="preserve"> </w:t>
      </w:r>
      <w:r w:rsidR="009E3243" w:rsidRPr="00B302B7">
        <w:t>intranet.</w:t>
      </w:r>
    </w:p>
    <w:p w14:paraId="1D797CF0" w14:textId="6FF30F42" w:rsidR="00761385" w:rsidRPr="00B302B7" w:rsidRDefault="00761385" w:rsidP="00316676">
      <w:pPr>
        <w:pStyle w:val="Heading3"/>
      </w:pPr>
      <w:r w:rsidRPr="00B302B7">
        <w:t xml:space="preserve">Ngā </w:t>
      </w:r>
      <w:proofErr w:type="spellStart"/>
      <w:r w:rsidRPr="00B302B7">
        <w:t>hua</w:t>
      </w:r>
      <w:proofErr w:type="spellEnd"/>
      <w:r w:rsidRPr="00B302B7">
        <w:t xml:space="preserve"> </w:t>
      </w:r>
      <w:proofErr w:type="spellStart"/>
      <w:r w:rsidRPr="00B302B7">
        <w:t>tōkeke</w:t>
      </w:r>
      <w:proofErr w:type="spellEnd"/>
      <w:r w:rsidRPr="00B302B7">
        <w:t xml:space="preserve"> mō te utu – Equitable pay outcomes</w:t>
      </w:r>
    </w:p>
    <w:p w14:paraId="7F5092DC" w14:textId="7B27D292" w:rsidR="00761385" w:rsidRPr="00B302B7" w:rsidRDefault="0059170C" w:rsidP="00316676">
      <w:pPr>
        <w:pStyle w:val="Bullet"/>
        <w:spacing w:before="240"/>
      </w:pPr>
      <w:r w:rsidRPr="00B302B7">
        <w:t>All</w:t>
      </w:r>
      <w:r w:rsidR="00761385" w:rsidRPr="00B302B7">
        <w:t xml:space="preserve"> advertised roles include transparent salary ranges (with starting salary influenced by negotiation and internal relativities)</w:t>
      </w:r>
      <w:r w:rsidR="009E3243" w:rsidRPr="00B302B7">
        <w:t xml:space="preserve">. </w:t>
      </w:r>
      <w:r w:rsidR="004307DA" w:rsidRPr="00B302B7">
        <w:t>I</w:t>
      </w:r>
      <w:r w:rsidR="00761385" w:rsidRPr="00B302B7">
        <w:t>nterna</w:t>
      </w:r>
      <w:r w:rsidR="00126F56" w:rsidRPr="00B302B7">
        <w:t>l</w:t>
      </w:r>
      <w:r w:rsidR="00761385" w:rsidRPr="00B302B7">
        <w:t xml:space="preserve"> relativities </w:t>
      </w:r>
      <w:r w:rsidR="004307DA" w:rsidRPr="00B302B7">
        <w:t xml:space="preserve">are discussed </w:t>
      </w:r>
      <w:r w:rsidR="00761385" w:rsidRPr="00B302B7">
        <w:t xml:space="preserve">with </w:t>
      </w:r>
      <w:r w:rsidR="00FA5DF4" w:rsidRPr="00B302B7">
        <w:t>h</w:t>
      </w:r>
      <w:r w:rsidR="00761385" w:rsidRPr="00B302B7">
        <w:t xml:space="preserve">iring </w:t>
      </w:r>
      <w:r w:rsidR="00FA5DF4" w:rsidRPr="00B302B7">
        <w:t>m</w:t>
      </w:r>
      <w:r w:rsidR="00761385" w:rsidRPr="00B302B7">
        <w:t xml:space="preserve">anagers at the point of salary negotiation. </w:t>
      </w:r>
    </w:p>
    <w:p w14:paraId="35D80B66" w14:textId="5A9D5D3F" w:rsidR="00761385" w:rsidRPr="00B302B7" w:rsidRDefault="00761385" w:rsidP="00316676">
      <w:pPr>
        <w:pStyle w:val="Heading3"/>
        <w:rPr>
          <w:rFonts w:ascii="Georgia bold" w:eastAsia="Times New Roman" w:hAnsi="Georgia bold" w:cs="Times New Roman"/>
          <w:szCs w:val="28"/>
        </w:rPr>
      </w:pPr>
      <w:r w:rsidRPr="00B302B7">
        <w:t xml:space="preserve">Te </w:t>
      </w:r>
      <w:proofErr w:type="spellStart"/>
      <w:r w:rsidRPr="00B302B7">
        <w:t>whai</w:t>
      </w:r>
      <w:proofErr w:type="spellEnd"/>
      <w:r w:rsidRPr="00B302B7">
        <w:t xml:space="preserve"> </w:t>
      </w:r>
      <w:proofErr w:type="spellStart"/>
      <w:r w:rsidRPr="00B302B7">
        <w:t>kanohi</w:t>
      </w:r>
      <w:proofErr w:type="spellEnd"/>
      <w:r w:rsidRPr="00B302B7">
        <w:t xml:space="preserve"> </w:t>
      </w:r>
      <w:proofErr w:type="spellStart"/>
      <w:r w:rsidRPr="00B302B7">
        <w:t>ngā</w:t>
      </w:r>
      <w:proofErr w:type="spellEnd"/>
      <w:r w:rsidRPr="00B302B7">
        <w:t xml:space="preserve"> </w:t>
      </w:r>
      <w:proofErr w:type="spellStart"/>
      <w:r w:rsidRPr="00B302B7">
        <w:t>taumata</w:t>
      </w:r>
      <w:proofErr w:type="spellEnd"/>
      <w:r w:rsidRPr="00B302B7">
        <w:t xml:space="preserve"> </w:t>
      </w:r>
      <w:proofErr w:type="spellStart"/>
      <w:r w:rsidRPr="00B302B7">
        <w:t>katoa</w:t>
      </w:r>
      <w:proofErr w:type="spellEnd"/>
      <w:r w:rsidRPr="00B302B7">
        <w:t xml:space="preserve"> – Leadership and representation</w:t>
      </w:r>
    </w:p>
    <w:p w14:paraId="777644DD" w14:textId="7A547722" w:rsidR="00761385" w:rsidRPr="00B302B7" w:rsidRDefault="00DD1123" w:rsidP="00316676">
      <w:pPr>
        <w:pStyle w:val="Bullet"/>
        <w:spacing w:before="240"/>
      </w:pPr>
      <w:r w:rsidRPr="00B302B7">
        <w:t>E</w:t>
      </w:r>
      <w:r w:rsidR="73C6E482" w:rsidRPr="00B302B7">
        <w:t xml:space="preserve">xpression of interest </w:t>
      </w:r>
      <w:r w:rsidR="00F261AB" w:rsidRPr="00B302B7">
        <w:t xml:space="preserve">(EOI) </w:t>
      </w:r>
      <w:r w:rsidR="73C6E482" w:rsidRPr="00B302B7">
        <w:t>process</w:t>
      </w:r>
      <w:r w:rsidR="005864DB" w:rsidRPr="00B302B7">
        <w:t>es</w:t>
      </w:r>
      <w:r w:rsidR="73C6E482" w:rsidRPr="00B302B7">
        <w:t xml:space="preserve"> </w:t>
      </w:r>
      <w:r w:rsidR="00DA6DA5" w:rsidRPr="00B302B7">
        <w:t xml:space="preserve">are run </w:t>
      </w:r>
      <w:r w:rsidR="73C6E482" w:rsidRPr="00B302B7">
        <w:t xml:space="preserve">for </w:t>
      </w:r>
      <w:r w:rsidR="009755FB" w:rsidRPr="00B302B7">
        <w:t xml:space="preserve">Pacific Peoples </w:t>
      </w:r>
      <w:r w:rsidR="73C6E482" w:rsidRPr="00B302B7">
        <w:t>candidates to join the Ministry</w:t>
      </w:r>
      <w:r w:rsidR="00C231E2" w:rsidRPr="00B302B7">
        <w:t xml:space="preserve"> and</w:t>
      </w:r>
      <w:r w:rsidR="73C6E482" w:rsidRPr="00B302B7">
        <w:t xml:space="preserve"> </w:t>
      </w:r>
      <w:r w:rsidR="00840F41" w:rsidRPr="00B302B7">
        <w:t xml:space="preserve">EOIs are </w:t>
      </w:r>
      <w:r w:rsidR="00933E52" w:rsidRPr="00B302B7">
        <w:t xml:space="preserve">shared with </w:t>
      </w:r>
      <w:r w:rsidR="00FB363E" w:rsidRPr="00B302B7">
        <w:t>h</w:t>
      </w:r>
      <w:r w:rsidR="00C231E2" w:rsidRPr="00B302B7">
        <w:t xml:space="preserve">iring </w:t>
      </w:r>
      <w:r w:rsidR="00FB363E" w:rsidRPr="00B302B7">
        <w:t>m</w:t>
      </w:r>
      <w:r w:rsidR="00C231E2" w:rsidRPr="00B302B7">
        <w:t xml:space="preserve">anagers </w:t>
      </w:r>
      <w:r w:rsidR="73C6E482" w:rsidRPr="00B302B7">
        <w:t xml:space="preserve">as part of the shortlisting process. </w:t>
      </w:r>
    </w:p>
    <w:p w14:paraId="2892A415" w14:textId="4E802237" w:rsidR="00761385" w:rsidRPr="00316676" w:rsidRDefault="00490E9F" w:rsidP="00316676">
      <w:pPr>
        <w:pStyle w:val="Bullet"/>
        <w:rPr>
          <w:rStyle w:val="eop"/>
        </w:rPr>
      </w:pPr>
      <w:r w:rsidRPr="00316676">
        <w:rPr>
          <w:rStyle w:val="normaltextrun"/>
        </w:rPr>
        <w:t>R</w:t>
      </w:r>
      <w:r w:rsidR="00126F56" w:rsidRPr="00316676">
        <w:rPr>
          <w:rStyle w:val="normaltextrun"/>
        </w:rPr>
        <w:t xml:space="preserve">egular </w:t>
      </w:r>
      <w:r w:rsidR="00761385" w:rsidRPr="00316676">
        <w:rPr>
          <w:rStyle w:val="normaltextrun"/>
        </w:rPr>
        <w:t xml:space="preserve">status updates </w:t>
      </w:r>
      <w:r w:rsidRPr="00316676">
        <w:rPr>
          <w:rStyle w:val="normaltextrun"/>
        </w:rPr>
        <w:t xml:space="preserve">go </w:t>
      </w:r>
      <w:r w:rsidR="00761385" w:rsidRPr="00316676">
        <w:rPr>
          <w:rStyle w:val="normaltextrun"/>
        </w:rPr>
        <w:t>to leadership teams regarding business</w:t>
      </w:r>
      <w:r w:rsidR="00F261AB" w:rsidRPr="00B302B7">
        <w:rPr>
          <w:rStyle w:val="normaltextrun"/>
        </w:rPr>
        <w:t>-</w:t>
      </w:r>
      <w:r w:rsidR="00761385" w:rsidRPr="00316676">
        <w:rPr>
          <w:rStyle w:val="normaltextrun"/>
        </w:rPr>
        <w:t xml:space="preserve">group diversity </w:t>
      </w:r>
      <w:r w:rsidR="00B90D51" w:rsidRPr="00B302B7">
        <w:rPr>
          <w:rStyle w:val="normaltextrun"/>
        </w:rPr>
        <w:t>to</w:t>
      </w:r>
      <w:r w:rsidR="00761385" w:rsidRPr="00316676">
        <w:rPr>
          <w:rStyle w:val="normaltextrun"/>
        </w:rPr>
        <w:t xml:space="preserve"> facilitate action planning with leaders around increasing diversity.</w:t>
      </w:r>
      <w:r w:rsidR="00761385" w:rsidRPr="00316676">
        <w:rPr>
          <w:rStyle w:val="eop"/>
        </w:rPr>
        <w:t> </w:t>
      </w:r>
    </w:p>
    <w:p w14:paraId="1204A8D0" w14:textId="0DB7F443" w:rsidR="00761385" w:rsidRPr="00316676" w:rsidRDefault="006252E4" w:rsidP="00316676">
      <w:pPr>
        <w:pStyle w:val="Bullet"/>
        <w:rPr>
          <w:rStyle w:val="eop"/>
        </w:rPr>
      </w:pPr>
      <w:r w:rsidRPr="00316676">
        <w:rPr>
          <w:rStyle w:val="normaltextrun"/>
        </w:rPr>
        <w:t>Regular status</w:t>
      </w:r>
      <w:r w:rsidR="00AC29A0" w:rsidRPr="00316676">
        <w:rPr>
          <w:rStyle w:val="normaltextrun"/>
        </w:rPr>
        <w:t xml:space="preserve"> </w:t>
      </w:r>
      <w:r w:rsidR="00F261AB" w:rsidRPr="00B302B7">
        <w:rPr>
          <w:rStyle w:val="normaltextrun"/>
        </w:rPr>
        <w:t xml:space="preserve">updates </w:t>
      </w:r>
      <w:r w:rsidR="00AC29A0" w:rsidRPr="00316676">
        <w:rPr>
          <w:rStyle w:val="normaltextrun"/>
        </w:rPr>
        <w:t>go</w:t>
      </w:r>
      <w:r w:rsidR="00761385" w:rsidRPr="00316676">
        <w:rPr>
          <w:rStyle w:val="normaltextrun"/>
        </w:rPr>
        <w:t xml:space="preserve"> to </w:t>
      </w:r>
      <w:r w:rsidR="00360D00" w:rsidRPr="00316676">
        <w:rPr>
          <w:rStyle w:val="normaltextrun"/>
        </w:rPr>
        <w:t xml:space="preserve">the </w:t>
      </w:r>
      <w:r w:rsidR="00761385" w:rsidRPr="00316676">
        <w:rPr>
          <w:rStyle w:val="normaltextrun"/>
        </w:rPr>
        <w:t xml:space="preserve">PSA and employee-led networks on our organisational diversity </w:t>
      </w:r>
      <w:proofErr w:type="gramStart"/>
      <w:r w:rsidR="00761385" w:rsidRPr="00316676">
        <w:rPr>
          <w:rStyle w:val="normaltextrun"/>
        </w:rPr>
        <w:t>landscape</w:t>
      </w:r>
      <w:proofErr w:type="gramEnd"/>
      <w:r w:rsidR="00761385" w:rsidRPr="00316676">
        <w:rPr>
          <w:rStyle w:val="normaltextrun"/>
        </w:rPr>
        <w:t xml:space="preserve"> and </w:t>
      </w:r>
      <w:r w:rsidR="00AD78E8" w:rsidRPr="00316676">
        <w:rPr>
          <w:rStyle w:val="normaltextrun"/>
        </w:rPr>
        <w:t>we consider</w:t>
      </w:r>
      <w:r w:rsidR="00761385" w:rsidRPr="00316676">
        <w:rPr>
          <w:rStyle w:val="normaltextrun"/>
        </w:rPr>
        <w:t xml:space="preserve"> how feedback should be incorporated to</w:t>
      </w:r>
      <w:r w:rsidR="00F777F2" w:rsidRPr="00B302B7">
        <w:rPr>
          <w:rStyle w:val="normaltextrun"/>
        </w:rPr>
        <w:t xml:space="preserve"> the</w:t>
      </w:r>
      <w:r w:rsidR="00761385" w:rsidRPr="00316676">
        <w:rPr>
          <w:rStyle w:val="normaltextrun"/>
        </w:rPr>
        <w:t xml:space="preserve"> Diversity, Equity and Inclusion work program.</w:t>
      </w:r>
      <w:r w:rsidR="00761385" w:rsidRPr="00316676">
        <w:rPr>
          <w:rStyle w:val="eop"/>
        </w:rPr>
        <w:t> </w:t>
      </w:r>
    </w:p>
    <w:p w14:paraId="0974ADCE" w14:textId="24AD7DE3" w:rsidR="00761385" w:rsidRPr="00316676" w:rsidRDefault="00124700" w:rsidP="00316676">
      <w:pPr>
        <w:pStyle w:val="Bullet"/>
        <w:rPr>
          <w:rStyle w:val="normaltextrun"/>
        </w:rPr>
      </w:pPr>
      <w:r w:rsidRPr="00316676">
        <w:rPr>
          <w:rStyle w:val="normaltextrun"/>
        </w:rPr>
        <w:t>We</w:t>
      </w:r>
      <w:r w:rsidR="00761385" w:rsidRPr="00316676">
        <w:rPr>
          <w:rStyle w:val="normaltextrun"/>
        </w:rPr>
        <w:t xml:space="preserve"> are working with </w:t>
      </w:r>
      <w:r w:rsidR="00627694" w:rsidRPr="00316676">
        <w:rPr>
          <w:rStyle w:val="normaltextrun"/>
        </w:rPr>
        <w:t xml:space="preserve">Tagata Moana </w:t>
      </w:r>
      <w:r w:rsidR="000119DB" w:rsidRPr="00B302B7">
        <w:rPr>
          <w:rStyle w:val="normaltextrun"/>
        </w:rPr>
        <w:t>Pacific Peoples</w:t>
      </w:r>
      <w:r w:rsidR="000119DB" w:rsidRPr="00316676">
        <w:rPr>
          <w:rStyle w:val="normaltextrun"/>
        </w:rPr>
        <w:t xml:space="preserve"> </w:t>
      </w:r>
      <w:r w:rsidR="00761385" w:rsidRPr="00316676">
        <w:rPr>
          <w:rStyle w:val="normaltextrun"/>
        </w:rPr>
        <w:t>Network to understand and address barriers to entry for Pacific Peoples and build out a clear strategy for attracting Pacific Peoples to the Ministry</w:t>
      </w:r>
      <w:r w:rsidR="00A603A2" w:rsidRPr="00316676">
        <w:rPr>
          <w:rStyle w:val="normaltextrun"/>
        </w:rPr>
        <w:t>.</w:t>
      </w:r>
    </w:p>
    <w:p w14:paraId="2A2AB2DC" w14:textId="52CAF542" w:rsidR="00761385" w:rsidRPr="00B302B7" w:rsidRDefault="00A74556" w:rsidP="00316676">
      <w:pPr>
        <w:pStyle w:val="Heading3"/>
      </w:pPr>
      <w:r w:rsidRPr="00B302B7">
        <w:t xml:space="preserve">Te </w:t>
      </w:r>
      <w:proofErr w:type="spellStart"/>
      <w:r w:rsidRPr="00B302B7">
        <w:t>whakawhanaketanga</w:t>
      </w:r>
      <w:proofErr w:type="spellEnd"/>
      <w:r w:rsidRPr="00B302B7">
        <w:t xml:space="preserve"> </w:t>
      </w:r>
      <w:proofErr w:type="spellStart"/>
      <w:r w:rsidRPr="00B302B7">
        <w:t>i</w:t>
      </w:r>
      <w:proofErr w:type="spellEnd"/>
      <w:r w:rsidRPr="00B302B7">
        <w:t xml:space="preserve"> te </w:t>
      </w:r>
      <w:proofErr w:type="spellStart"/>
      <w:r w:rsidRPr="00B302B7">
        <w:t>aramahi</w:t>
      </w:r>
      <w:proofErr w:type="spellEnd"/>
      <w:r w:rsidRPr="00B302B7">
        <w:t xml:space="preserve"> – Effective career and leadership development</w:t>
      </w:r>
    </w:p>
    <w:p w14:paraId="5C12C3A5" w14:textId="0F018D28" w:rsidR="00A74556" w:rsidRPr="00316676" w:rsidRDefault="00E91392" w:rsidP="00316676">
      <w:pPr>
        <w:pStyle w:val="Bullet"/>
        <w:spacing w:before="240"/>
        <w:rPr>
          <w:rStyle w:val="eop"/>
        </w:rPr>
      </w:pPr>
      <w:r w:rsidRPr="00316676">
        <w:rPr>
          <w:rStyle w:val="normaltextrun"/>
        </w:rPr>
        <w:t xml:space="preserve">We are in the final stages of </w:t>
      </w:r>
      <w:r w:rsidR="005F7707" w:rsidRPr="00316676">
        <w:rPr>
          <w:rStyle w:val="normaltextrun"/>
        </w:rPr>
        <w:t xml:space="preserve">developing </w:t>
      </w:r>
      <w:r w:rsidRPr="00316676">
        <w:rPr>
          <w:rStyle w:val="normaltextrun"/>
        </w:rPr>
        <w:t xml:space="preserve">a </w:t>
      </w:r>
      <w:r w:rsidR="00590385" w:rsidRPr="00316676">
        <w:rPr>
          <w:rStyle w:val="normaltextrun"/>
        </w:rPr>
        <w:t>c</w:t>
      </w:r>
      <w:r w:rsidR="00A74556" w:rsidRPr="00316676">
        <w:rPr>
          <w:rStyle w:val="normaltextrun"/>
        </w:rPr>
        <w:t xml:space="preserve">apability </w:t>
      </w:r>
      <w:r w:rsidR="00590385" w:rsidRPr="00316676">
        <w:rPr>
          <w:rStyle w:val="normaltextrun"/>
        </w:rPr>
        <w:t>f</w:t>
      </w:r>
      <w:r w:rsidR="00627694" w:rsidRPr="00316676">
        <w:rPr>
          <w:rStyle w:val="normaltextrun"/>
        </w:rPr>
        <w:t>ramework</w:t>
      </w:r>
      <w:r w:rsidR="00687694" w:rsidRPr="00B302B7">
        <w:rPr>
          <w:rStyle w:val="normaltextrun"/>
        </w:rPr>
        <w:t>,</w:t>
      </w:r>
      <w:r w:rsidR="00627694" w:rsidRPr="00316676">
        <w:rPr>
          <w:rStyle w:val="normaltextrun"/>
        </w:rPr>
        <w:t xml:space="preserve"> </w:t>
      </w:r>
      <w:r w:rsidR="00B9201A" w:rsidRPr="00316676">
        <w:rPr>
          <w:rStyle w:val="normaltextrun"/>
        </w:rPr>
        <w:t>with implementation</w:t>
      </w:r>
      <w:r w:rsidR="00627694" w:rsidRPr="00316676">
        <w:rPr>
          <w:rStyle w:val="normaltextrun"/>
        </w:rPr>
        <w:t xml:space="preserve"> phase</w:t>
      </w:r>
      <w:r w:rsidR="00B9201A" w:rsidRPr="00316676">
        <w:rPr>
          <w:rStyle w:val="normaltextrun"/>
        </w:rPr>
        <w:t>s planned</w:t>
      </w:r>
      <w:r w:rsidR="00627694" w:rsidRPr="00316676">
        <w:rPr>
          <w:rStyle w:val="normaltextrun"/>
        </w:rPr>
        <w:t xml:space="preserve"> to support career development over the next 12</w:t>
      </w:r>
      <w:r w:rsidR="008707B3" w:rsidRPr="00B302B7">
        <w:rPr>
          <w:rStyle w:val="normaltextrun"/>
        </w:rPr>
        <w:t xml:space="preserve"> to </w:t>
      </w:r>
      <w:r w:rsidR="00627694" w:rsidRPr="00316676">
        <w:rPr>
          <w:rStyle w:val="normaltextrun"/>
        </w:rPr>
        <w:t xml:space="preserve">18 months. </w:t>
      </w:r>
    </w:p>
    <w:p w14:paraId="2DE3E273" w14:textId="29970EF2" w:rsidR="00A74556" w:rsidRPr="00316676" w:rsidRDefault="00C85479" w:rsidP="00316676">
      <w:pPr>
        <w:pStyle w:val="Bullet"/>
      </w:pPr>
      <w:r w:rsidRPr="00316676">
        <w:rPr>
          <w:rStyle w:val="normaltextrun"/>
        </w:rPr>
        <w:t>We have successfully run</w:t>
      </w:r>
      <w:r w:rsidR="00117C7C" w:rsidRPr="00316676">
        <w:rPr>
          <w:rStyle w:val="normaltextrun"/>
        </w:rPr>
        <w:t xml:space="preserve"> </w:t>
      </w:r>
      <w:r w:rsidR="00F20AC2" w:rsidRPr="00316676">
        <w:rPr>
          <w:rStyle w:val="normaltextrun"/>
        </w:rPr>
        <w:t>the</w:t>
      </w:r>
      <w:r w:rsidR="00A74556" w:rsidRPr="00316676">
        <w:rPr>
          <w:rStyle w:val="normaltextrun"/>
        </w:rPr>
        <w:t xml:space="preserve"> Ministry</w:t>
      </w:r>
      <w:r w:rsidR="00815719" w:rsidRPr="00316676">
        <w:rPr>
          <w:rStyle w:val="normaltextrun"/>
        </w:rPr>
        <w:t>’s</w:t>
      </w:r>
      <w:r w:rsidR="00A74556" w:rsidRPr="00316676">
        <w:rPr>
          <w:rStyle w:val="normaltextrun"/>
        </w:rPr>
        <w:t xml:space="preserve"> summer internship programme</w:t>
      </w:r>
      <w:r w:rsidR="00FD2026" w:rsidRPr="00316676">
        <w:rPr>
          <w:rStyle w:val="normaltextrun"/>
        </w:rPr>
        <w:t xml:space="preserve"> </w:t>
      </w:r>
      <w:r w:rsidR="00F20AC2" w:rsidRPr="00316676">
        <w:rPr>
          <w:rStyle w:val="normaltextrun"/>
        </w:rPr>
        <w:t>for the last five years</w:t>
      </w:r>
      <w:r w:rsidR="00BF655C" w:rsidRPr="00316676">
        <w:rPr>
          <w:rStyle w:val="normaltextrun"/>
        </w:rPr>
        <w:t>, in which we</w:t>
      </w:r>
      <w:r w:rsidR="00A74556" w:rsidRPr="00316676">
        <w:rPr>
          <w:rStyle w:val="normaltextrun"/>
        </w:rPr>
        <w:t xml:space="preserve"> </w:t>
      </w:r>
      <w:r w:rsidR="006A7716" w:rsidRPr="00316676">
        <w:rPr>
          <w:rStyle w:val="normaltextrun"/>
        </w:rPr>
        <w:t>partner with</w:t>
      </w:r>
      <w:r w:rsidR="00BE1DAA" w:rsidRPr="00316676">
        <w:rPr>
          <w:rStyle w:val="normaltextrun"/>
        </w:rPr>
        <w:t xml:space="preserve"> </w:t>
      </w:r>
      <w:r w:rsidR="00E90554" w:rsidRPr="00316676">
        <w:rPr>
          <w:rStyle w:val="normaltextrun"/>
        </w:rPr>
        <w:t>i</w:t>
      </w:r>
      <w:r w:rsidR="00BE1DAA" w:rsidRPr="00316676">
        <w:rPr>
          <w:rStyle w:val="normaltextrun"/>
        </w:rPr>
        <w:t>wi</w:t>
      </w:r>
      <w:r w:rsidR="00A74556" w:rsidRPr="00316676">
        <w:rPr>
          <w:rStyle w:val="normaltextrun"/>
        </w:rPr>
        <w:t xml:space="preserve"> and the Ministry of Business, Innovation </w:t>
      </w:r>
      <w:r w:rsidR="008707B3" w:rsidRPr="00B302B7">
        <w:rPr>
          <w:rStyle w:val="normaltextrun"/>
        </w:rPr>
        <w:t>and</w:t>
      </w:r>
      <w:r w:rsidR="008707B3" w:rsidRPr="00316676">
        <w:rPr>
          <w:rStyle w:val="normaltextrun"/>
        </w:rPr>
        <w:t xml:space="preserve"> </w:t>
      </w:r>
      <w:r w:rsidR="00A74556" w:rsidRPr="00316676">
        <w:rPr>
          <w:rStyle w:val="normaltextrun"/>
        </w:rPr>
        <w:t>Employment</w:t>
      </w:r>
      <w:r w:rsidR="007065F6" w:rsidRPr="00B302B7">
        <w:rPr>
          <w:rStyle w:val="normaltextrun"/>
        </w:rPr>
        <w:t>’s</w:t>
      </w:r>
      <w:r w:rsidR="00A74556" w:rsidRPr="00316676">
        <w:rPr>
          <w:rStyle w:val="normaltextrun"/>
        </w:rPr>
        <w:t xml:space="preserve"> Tupu Tai programme</w:t>
      </w:r>
      <w:r w:rsidR="008707B3" w:rsidRPr="00B302B7">
        <w:rPr>
          <w:rStyle w:val="normaltextrun"/>
        </w:rPr>
        <w:t xml:space="preserve">, </w:t>
      </w:r>
      <w:r w:rsidR="00A74556" w:rsidRPr="00316676">
        <w:rPr>
          <w:rStyle w:val="normaltextrun"/>
        </w:rPr>
        <w:t>which enables us to access a</w:t>
      </w:r>
      <w:r w:rsidR="00627694" w:rsidRPr="00316676">
        <w:rPr>
          <w:rStyle w:val="normaltextrun"/>
        </w:rPr>
        <w:t>nd support a</w:t>
      </w:r>
      <w:r w:rsidR="00A74556" w:rsidRPr="00316676">
        <w:rPr>
          <w:rStyle w:val="normaltextrun"/>
        </w:rPr>
        <w:t xml:space="preserve"> diverse early career talent pool.</w:t>
      </w:r>
    </w:p>
    <w:p w14:paraId="7FE618E8" w14:textId="4919A05E" w:rsidR="00A74556" w:rsidRPr="00B302B7" w:rsidRDefault="00A74556" w:rsidP="00316676">
      <w:pPr>
        <w:pStyle w:val="Heading3"/>
      </w:pPr>
      <w:r w:rsidRPr="00B302B7">
        <w:lastRenderedPageBreak/>
        <w:t xml:space="preserve">Te </w:t>
      </w:r>
      <w:proofErr w:type="spellStart"/>
      <w:r w:rsidRPr="00B302B7">
        <w:t>whakakore</w:t>
      </w:r>
      <w:proofErr w:type="spellEnd"/>
      <w:r w:rsidRPr="00B302B7">
        <w:t xml:space="preserve"> </w:t>
      </w:r>
      <w:proofErr w:type="spellStart"/>
      <w:r w:rsidRPr="00B302B7">
        <w:t>i</w:t>
      </w:r>
      <w:proofErr w:type="spellEnd"/>
      <w:r w:rsidRPr="00B302B7">
        <w:t xml:space="preserve"> te </w:t>
      </w:r>
      <w:proofErr w:type="spellStart"/>
      <w:r w:rsidRPr="00B302B7">
        <w:t>katoa</w:t>
      </w:r>
      <w:proofErr w:type="spellEnd"/>
      <w:r w:rsidRPr="00B302B7">
        <w:t xml:space="preserve"> o </w:t>
      </w:r>
      <w:proofErr w:type="spellStart"/>
      <w:r w:rsidRPr="00B302B7">
        <w:t>ngā</w:t>
      </w:r>
      <w:proofErr w:type="spellEnd"/>
      <w:r w:rsidRPr="00B302B7">
        <w:t xml:space="preserve"> </w:t>
      </w:r>
      <w:proofErr w:type="spellStart"/>
      <w:r w:rsidRPr="00B302B7">
        <w:t>momo</w:t>
      </w:r>
      <w:proofErr w:type="spellEnd"/>
      <w:r w:rsidRPr="00B302B7">
        <w:t xml:space="preserve"> </w:t>
      </w:r>
      <w:proofErr w:type="spellStart"/>
      <w:r w:rsidRPr="00B302B7">
        <w:t>whakatoihara</w:t>
      </w:r>
      <w:proofErr w:type="spellEnd"/>
      <w:r w:rsidRPr="00B302B7">
        <w:t xml:space="preserve">, </w:t>
      </w:r>
      <w:proofErr w:type="spellStart"/>
      <w:r w:rsidRPr="00B302B7">
        <w:t>haukume</w:t>
      </w:r>
      <w:proofErr w:type="spellEnd"/>
      <w:r w:rsidRPr="00B302B7">
        <w:t xml:space="preserve"> </w:t>
      </w:r>
      <w:proofErr w:type="spellStart"/>
      <w:r w:rsidRPr="00B302B7">
        <w:t>anō</w:t>
      </w:r>
      <w:proofErr w:type="spellEnd"/>
      <w:r w:rsidRPr="00B302B7">
        <w:t xml:space="preserve"> </w:t>
      </w:r>
      <w:proofErr w:type="spellStart"/>
      <w:r w:rsidRPr="00B302B7">
        <w:t>hoki</w:t>
      </w:r>
      <w:proofErr w:type="spellEnd"/>
      <w:r w:rsidRPr="00B302B7">
        <w:t xml:space="preserve"> – Eliminating all forms of bias</w:t>
      </w:r>
    </w:p>
    <w:p w14:paraId="3C6BD4D3" w14:textId="232530C2" w:rsidR="00A74556" w:rsidRPr="00316676" w:rsidRDefault="00A74556" w:rsidP="00316676">
      <w:pPr>
        <w:pStyle w:val="Bullet"/>
        <w:spacing w:before="240"/>
      </w:pPr>
      <w:r w:rsidRPr="00316676">
        <w:rPr>
          <w:rStyle w:val="normaltextrun"/>
        </w:rPr>
        <w:t xml:space="preserve">We continue to review our recruitment </w:t>
      </w:r>
      <w:r w:rsidR="000C3419" w:rsidRPr="00316676">
        <w:rPr>
          <w:rStyle w:val="normaltextrun"/>
        </w:rPr>
        <w:t>approach</w:t>
      </w:r>
      <w:r w:rsidRPr="00316676">
        <w:rPr>
          <w:rStyle w:val="normaltextrun"/>
        </w:rPr>
        <w:t xml:space="preserve"> for hiring to improve diversity of candidate pools</w:t>
      </w:r>
      <w:r w:rsidR="00910D39" w:rsidRPr="00B302B7">
        <w:rPr>
          <w:rStyle w:val="normaltextrun"/>
        </w:rPr>
        <w:t>,</w:t>
      </w:r>
      <w:r w:rsidR="00920A31" w:rsidRPr="00B302B7">
        <w:rPr>
          <w:rStyle w:val="normaltextrun"/>
        </w:rPr>
        <w:t xml:space="preserve"> through measures such as </w:t>
      </w:r>
      <w:r w:rsidRPr="00316676">
        <w:rPr>
          <w:rStyle w:val="normaltextrun"/>
        </w:rPr>
        <w:t>targeted advertising, social media presence, networks and community approach</w:t>
      </w:r>
      <w:r w:rsidR="00910D39" w:rsidRPr="00B302B7">
        <w:rPr>
          <w:rStyle w:val="normaltextrun"/>
        </w:rPr>
        <w:t>,</w:t>
      </w:r>
      <w:r w:rsidRPr="00316676">
        <w:rPr>
          <w:rStyle w:val="normaltextrun"/>
        </w:rPr>
        <w:t xml:space="preserve"> and tertiary education</w:t>
      </w:r>
      <w:r w:rsidR="00435672" w:rsidRPr="00316676">
        <w:rPr>
          <w:rStyle w:val="normaltextrun"/>
        </w:rPr>
        <w:t>.</w:t>
      </w:r>
      <w:r w:rsidRPr="00316676">
        <w:rPr>
          <w:rStyle w:val="normaltextrun"/>
        </w:rPr>
        <w:t> </w:t>
      </w:r>
      <w:r w:rsidRPr="00316676">
        <w:rPr>
          <w:rStyle w:val="eop"/>
        </w:rPr>
        <w:t> </w:t>
      </w:r>
    </w:p>
    <w:p w14:paraId="3ED317AC" w14:textId="64CC49F5" w:rsidR="00824D65" w:rsidRPr="00B302B7" w:rsidRDefault="00A74556" w:rsidP="00316676">
      <w:pPr>
        <w:pStyle w:val="Heading3"/>
      </w:pPr>
      <w:r w:rsidRPr="00B302B7">
        <w:t xml:space="preserve">Te </w:t>
      </w:r>
      <w:proofErr w:type="spellStart"/>
      <w:r w:rsidRPr="00B302B7">
        <w:t>taunoa</w:t>
      </w:r>
      <w:proofErr w:type="spellEnd"/>
      <w:r w:rsidRPr="00B302B7">
        <w:t xml:space="preserve"> o te mahi </w:t>
      </w:r>
      <w:proofErr w:type="spellStart"/>
      <w:r w:rsidRPr="00B302B7">
        <w:t>pīngore</w:t>
      </w:r>
      <w:proofErr w:type="spellEnd"/>
      <w:r w:rsidRPr="00B302B7">
        <w:t xml:space="preserve"> – Flexible work by default</w:t>
      </w:r>
    </w:p>
    <w:p w14:paraId="1EB89692" w14:textId="467C7E42" w:rsidR="00A74556" w:rsidRPr="00316676" w:rsidRDefault="00A74556" w:rsidP="00316676">
      <w:pPr>
        <w:pStyle w:val="Bullet"/>
        <w:spacing w:before="240"/>
        <w:rPr>
          <w:rStyle w:val="eop"/>
        </w:rPr>
      </w:pPr>
      <w:r w:rsidRPr="00316676">
        <w:rPr>
          <w:rStyle w:val="normaltextrun"/>
        </w:rPr>
        <w:t xml:space="preserve">We have reviewed our flexible-by-default </w:t>
      </w:r>
      <w:r w:rsidR="002F1CC6" w:rsidRPr="00316676">
        <w:rPr>
          <w:rStyle w:val="normaltextrun"/>
        </w:rPr>
        <w:t>practices</w:t>
      </w:r>
      <w:r w:rsidRPr="00316676">
        <w:rPr>
          <w:rStyle w:val="normaltextrun"/>
        </w:rPr>
        <w:t xml:space="preserve"> and sought extensive employee engagement on this topic.</w:t>
      </w:r>
      <w:r w:rsidR="002F1CC6" w:rsidRPr="00316676">
        <w:rPr>
          <w:rStyle w:val="eop"/>
        </w:rPr>
        <w:t xml:space="preserve"> Further work is planned for </w:t>
      </w:r>
      <w:r w:rsidR="00910D39" w:rsidRPr="00B302B7">
        <w:rPr>
          <w:rStyle w:val="eop"/>
        </w:rPr>
        <w:t>2024</w:t>
      </w:r>
      <w:r w:rsidR="00435672" w:rsidRPr="00316676">
        <w:rPr>
          <w:rStyle w:val="eop"/>
        </w:rPr>
        <w:t>.</w:t>
      </w:r>
    </w:p>
    <w:sectPr w:rsidR="00A74556" w:rsidRPr="00316676" w:rsidSect="008A7498">
      <w:footerReference w:type="even" r:id="rId33"/>
      <w:footerReference w:type="default" r:id="rId34"/>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3334" w14:textId="77777777" w:rsidR="009572E0" w:rsidRDefault="009572E0" w:rsidP="0080531E">
      <w:pPr>
        <w:spacing w:before="0" w:after="0" w:line="240" w:lineRule="auto"/>
      </w:pPr>
      <w:r>
        <w:separator/>
      </w:r>
    </w:p>
    <w:p w14:paraId="74C238FD" w14:textId="77777777" w:rsidR="009572E0" w:rsidRDefault="009572E0"/>
  </w:endnote>
  <w:endnote w:type="continuationSeparator" w:id="0">
    <w:p w14:paraId="62C6286B" w14:textId="77777777" w:rsidR="009572E0" w:rsidRDefault="009572E0" w:rsidP="0080531E">
      <w:pPr>
        <w:spacing w:before="0" w:after="0" w:line="240" w:lineRule="auto"/>
      </w:pPr>
      <w:r>
        <w:continuationSeparator/>
      </w:r>
    </w:p>
    <w:p w14:paraId="67098203" w14:textId="77777777" w:rsidR="009572E0" w:rsidRDefault="009572E0"/>
  </w:endnote>
  <w:endnote w:type="continuationNotice" w:id="1">
    <w:p w14:paraId="535657C5" w14:textId="77777777" w:rsidR="009572E0" w:rsidRDefault="009572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EBFA" w14:textId="77777777" w:rsidR="00FA091D" w:rsidRDefault="00CD3EA4">
    <w:r>
      <w:cr/>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ED2" w14:textId="101EF65E" w:rsidR="00E5210B" w:rsidRDefault="00E5210B" w:rsidP="009F1D7F">
    <w:pPr>
      <w:spacing w:before="0" w:after="0"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4734" w14:textId="77777777" w:rsidR="00FA091D" w:rsidRDefault="00CD3EA4">
    <w:r>
      <w:cr/>
    </w:r>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5CBB"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9E9"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222" w14:textId="473866C6"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D3242">
      <w:rPr>
        <w:noProof/>
      </w:rPr>
      <w:t>8</w:t>
    </w:r>
    <w:r w:rsidRPr="004F458A">
      <w:rPr>
        <w:b/>
      </w:rPr>
      <w:fldChar w:fldCharType="end"/>
    </w:r>
    <w:r>
      <w:tab/>
    </w:r>
    <w:r w:rsidR="00535799">
      <w:t>Gender and ethnic pay gaps action plan: July 2022 – June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718" w14:textId="01262E05" w:rsidR="00E453AB" w:rsidRDefault="00E5210B" w:rsidP="00CD25E1">
    <w:pPr>
      <w:pStyle w:val="Footerodd"/>
    </w:pPr>
    <w:r>
      <w:tab/>
    </w:r>
    <w:r w:rsidR="00535799">
      <w:t>Gender and ethnic pay gaps action plan: July 2022 – June 2024</w:t>
    </w:r>
    <w:r>
      <w:tab/>
    </w:r>
    <w:r w:rsidR="008540A6">
      <w:fldChar w:fldCharType="begin"/>
    </w:r>
    <w:r w:rsidR="008540A6">
      <w:instrText xml:space="preserve"> PAGE   \* MERGEFORMAT </w:instrText>
    </w:r>
    <w:r w:rsidR="008540A6">
      <w:fldChar w:fldCharType="separate"/>
    </w:r>
    <w:r w:rsidR="005D3242">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889B" w14:textId="77777777" w:rsidR="009572E0" w:rsidRDefault="009572E0" w:rsidP="00CB5C5F">
      <w:pPr>
        <w:spacing w:before="0" w:after="80" w:line="240" w:lineRule="auto"/>
      </w:pPr>
      <w:r>
        <w:separator/>
      </w:r>
    </w:p>
  </w:footnote>
  <w:footnote w:type="continuationSeparator" w:id="0">
    <w:p w14:paraId="24176B44" w14:textId="77777777" w:rsidR="009572E0" w:rsidRDefault="009572E0" w:rsidP="0080531E">
      <w:pPr>
        <w:spacing w:before="0" w:after="0" w:line="240" w:lineRule="auto"/>
      </w:pPr>
      <w:r>
        <w:continuationSeparator/>
      </w:r>
    </w:p>
    <w:p w14:paraId="317AE619" w14:textId="77777777" w:rsidR="009572E0" w:rsidRDefault="009572E0"/>
  </w:footnote>
  <w:footnote w:type="continuationNotice" w:id="1">
    <w:p w14:paraId="12CF830B" w14:textId="77777777" w:rsidR="009572E0" w:rsidRDefault="009572E0">
      <w:pPr>
        <w:spacing w:before="0" w:after="0" w:line="240" w:lineRule="auto"/>
      </w:pPr>
    </w:p>
  </w:footnote>
  <w:footnote w:id="2">
    <w:p w14:paraId="3B816DBF" w14:textId="77777777" w:rsidR="00546997" w:rsidRDefault="00546997" w:rsidP="00546997">
      <w:pPr>
        <w:pStyle w:val="FootnoteText"/>
      </w:pPr>
      <w:r>
        <w:rPr>
          <w:rStyle w:val="FootnoteReference"/>
        </w:rPr>
        <w:footnoteRef/>
      </w:r>
      <w:r>
        <w:t xml:space="preserve"> </w:t>
      </w:r>
      <w:r>
        <w:tab/>
        <w:t>The within-band gender pay gap as at 31 October 2023 is: -1.1%, -1.0% and 1.1% for band 15, 17 and 20 respectively. The within-band ethnic pay gap as at 31 October 2023 is: -0.2%, -0.4% and 0.5% for band 15, 17 and 20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1980" w14:textId="77777777" w:rsidR="00FA091D" w:rsidRDefault="00CD3EA4">
    <w:r>
      <w:cr/>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43E" w14:textId="3A4F528E" w:rsidR="00DE7BF8" w:rsidRPr="00DE7BF8" w:rsidRDefault="00DE7BF8" w:rsidP="009F1D7F">
    <w:pPr>
      <w:pStyle w:val="Header"/>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7800" w14:textId="77777777" w:rsidR="00FA091D" w:rsidRDefault="00CD3EA4">
    <w:r>
      <w:cr/>
    </w:r>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FDC"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0B1"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F9A"/>
    <w:multiLevelType w:val="multilevel"/>
    <w:tmpl w:val="FBD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E9E698D"/>
    <w:multiLevelType w:val="hybridMultilevel"/>
    <w:tmpl w:val="449A2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8C797C"/>
    <w:multiLevelType w:val="multilevel"/>
    <w:tmpl w:val="AD8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31790"/>
    <w:multiLevelType w:val="hybridMultilevel"/>
    <w:tmpl w:val="6E32D7A2"/>
    <w:lvl w:ilvl="0" w:tplc="DA9A02F8">
      <w:start w:val="1"/>
      <w:numFmt w:val="bullet"/>
      <w:lvlText w:val="•"/>
      <w:lvlJc w:val="left"/>
      <w:pPr>
        <w:tabs>
          <w:tab w:val="num" w:pos="720"/>
        </w:tabs>
        <w:ind w:left="720" w:hanging="360"/>
      </w:pPr>
      <w:rPr>
        <w:rFonts w:ascii="Arial" w:hAnsi="Arial" w:hint="default"/>
      </w:rPr>
    </w:lvl>
    <w:lvl w:ilvl="1" w:tplc="2C668F72" w:tentative="1">
      <w:start w:val="1"/>
      <w:numFmt w:val="bullet"/>
      <w:lvlText w:val="•"/>
      <w:lvlJc w:val="left"/>
      <w:pPr>
        <w:tabs>
          <w:tab w:val="num" w:pos="1440"/>
        </w:tabs>
        <w:ind w:left="1440" w:hanging="360"/>
      </w:pPr>
      <w:rPr>
        <w:rFonts w:ascii="Arial" w:hAnsi="Arial" w:hint="default"/>
      </w:rPr>
    </w:lvl>
    <w:lvl w:ilvl="2" w:tplc="91ECB3A6" w:tentative="1">
      <w:start w:val="1"/>
      <w:numFmt w:val="bullet"/>
      <w:lvlText w:val="•"/>
      <w:lvlJc w:val="left"/>
      <w:pPr>
        <w:tabs>
          <w:tab w:val="num" w:pos="2160"/>
        </w:tabs>
        <w:ind w:left="2160" w:hanging="360"/>
      </w:pPr>
      <w:rPr>
        <w:rFonts w:ascii="Arial" w:hAnsi="Arial" w:hint="default"/>
      </w:rPr>
    </w:lvl>
    <w:lvl w:ilvl="3" w:tplc="5FE444FA" w:tentative="1">
      <w:start w:val="1"/>
      <w:numFmt w:val="bullet"/>
      <w:lvlText w:val="•"/>
      <w:lvlJc w:val="left"/>
      <w:pPr>
        <w:tabs>
          <w:tab w:val="num" w:pos="2880"/>
        </w:tabs>
        <w:ind w:left="2880" w:hanging="360"/>
      </w:pPr>
      <w:rPr>
        <w:rFonts w:ascii="Arial" w:hAnsi="Arial" w:hint="default"/>
      </w:rPr>
    </w:lvl>
    <w:lvl w:ilvl="4" w:tplc="975AE9D0" w:tentative="1">
      <w:start w:val="1"/>
      <w:numFmt w:val="bullet"/>
      <w:lvlText w:val="•"/>
      <w:lvlJc w:val="left"/>
      <w:pPr>
        <w:tabs>
          <w:tab w:val="num" w:pos="3600"/>
        </w:tabs>
        <w:ind w:left="3600" w:hanging="360"/>
      </w:pPr>
      <w:rPr>
        <w:rFonts w:ascii="Arial" w:hAnsi="Arial" w:hint="default"/>
      </w:rPr>
    </w:lvl>
    <w:lvl w:ilvl="5" w:tplc="8F7CEF06" w:tentative="1">
      <w:start w:val="1"/>
      <w:numFmt w:val="bullet"/>
      <w:lvlText w:val="•"/>
      <w:lvlJc w:val="left"/>
      <w:pPr>
        <w:tabs>
          <w:tab w:val="num" w:pos="4320"/>
        </w:tabs>
        <w:ind w:left="4320" w:hanging="360"/>
      </w:pPr>
      <w:rPr>
        <w:rFonts w:ascii="Arial" w:hAnsi="Arial" w:hint="default"/>
      </w:rPr>
    </w:lvl>
    <w:lvl w:ilvl="6" w:tplc="48180CF0" w:tentative="1">
      <w:start w:val="1"/>
      <w:numFmt w:val="bullet"/>
      <w:lvlText w:val="•"/>
      <w:lvlJc w:val="left"/>
      <w:pPr>
        <w:tabs>
          <w:tab w:val="num" w:pos="5040"/>
        </w:tabs>
        <w:ind w:left="5040" w:hanging="360"/>
      </w:pPr>
      <w:rPr>
        <w:rFonts w:ascii="Arial" w:hAnsi="Arial" w:hint="default"/>
      </w:rPr>
    </w:lvl>
    <w:lvl w:ilvl="7" w:tplc="92F6720C" w:tentative="1">
      <w:start w:val="1"/>
      <w:numFmt w:val="bullet"/>
      <w:lvlText w:val="•"/>
      <w:lvlJc w:val="left"/>
      <w:pPr>
        <w:tabs>
          <w:tab w:val="num" w:pos="5760"/>
        </w:tabs>
        <w:ind w:left="5760" w:hanging="360"/>
      </w:pPr>
      <w:rPr>
        <w:rFonts w:ascii="Arial" w:hAnsi="Arial" w:hint="default"/>
      </w:rPr>
    </w:lvl>
    <w:lvl w:ilvl="8" w:tplc="96E2C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4DC415A"/>
    <w:multiLevelType w:val="multilevel"/>
    <w:tmpl w:val="BDB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6F38DB"/>
    <w:multiLevelType w:val="hybridMultilevel"/>
    <w:tmpl w:val="EEDC3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87405D8"/>
    <w:multiLevelType w:val="hybridMultilevel"/>
    <w:tmpl w:val="73DEA716"/>
    <w:lvl w:ilvl="0" w:tplc="45CADF6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9B3C50"/>
    <w:multiLevelType w:val="multilevel"/>
    <w:tmpl w:val="04A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57777"/>
    <w:multiLevelType w:val="multilevel"/>
    <w:tmpl w:val="BDB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1" w15:restartNumberingAfterBreak="0">
    <w:nsid w:val="490F191E"/>
    <w:multiLevelType w:val="hybridMultilevel"/>
    <w:tmpl w:val="AD8EC1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3" w15:restartNumberingAfterBreak="0">
    <w:nsid w:val="53DE26CF"/>
    <w:multiLevelType w:val="hybridMultilevel"/>
    <w:tmpl w:val="F816F50E"/>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4" w15:restartNumberingAfterBreak="0">
    <w:nsid w:val="58CD7EF3"/>
    <w:multiLevelType w:val="hybridMultilevel"/>
    <w:tmpl w:val="2D1E2AC0"/>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5" w15:restartNumberingAfterBreak="0">
    <w:nsid w:val="5EE420A3"/>
    <w:multiLevelType w:val="multilevel"/>
    <w:tmpl w:val="915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D70965"/>
    <w:multiLevelType w:val="hybridMultilevel"/>
    <w:tmpl w:val="2E54A440"/>
    <w:lvl w:ilvl="0" w:tplc="14090003">
      <w:numFmt w:val="bullet"/>
      <w:lvlText w:val="-"/>
      <w:lvlJc w:val="left"/>
      <w:pPr>
        <w:ind w:left="1004" w:hanging="360"/>
      </w:pPr>
      <w:rPr>
        <w:rFonts w:ascii="Calibri" w:eastAsiaTheme="minorEastAsia" w:hAnsi="Calibri" w:cstheme="minorBidi"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72A5007D"/>
    <w:multiLevelType w:val="multilevel"/>
    <w:tmpl w:val="DFF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24B17"/>
    <w:multiLevelType w:val="hybridMultilevel"/>
    <w:tmpl w:val="DD161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2C1610"/>
    <w:multiLevelType w:val="hybridMultilevel"/>
    <w:tmpl w:val="292618AC"/>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3" w15:restartNumberingAfterBreak="0">
    <w:nsid w:val="7DD364A1"/>
    <w:multiLevelType w:val="hybridMultilevel"/>
    <w:tmpl w:val="74D4510A"/>
    <w:lvl w:ilvl="0" w:tplc="599AD068">
      <w:start w:val="1"/>
      <w:numFmt w:val="bullet"/>
      <w:lvlText w:val="•"/>
      <w:lvlJc w:val="left"/>
      <w:pPr>
        <w:tabs>
          <w:tab w:val="num" w:pos="720"/>
        </w:tabs>
        <w:ind w:left="720" w:hanging="360"/>
      </w:pPr>
      <w:rPr>
        <w:rFonts w:ascii="Arial" w:hAnsi="Arial" w:hint="default"/>
      </w:rPr>
    </w:lvl>
    <w:lvl w:ilvl="1" w:tplc="C27825CC" w:tentative="1">
      <w:start w:val="1"/>
      <w:numFmt w:val="bullet"/>
      <w:lvlText w:val="•"/>
      <w:lvlJc w:val="left"/>
      <w:pPr>
        <w:tabs>
          <w:tab w:val="num" w:pos="1440"/>
        </w:tabs>
        <w:ind w:left="1440" w:hanging="360"/>
      </w:pPr>
      <w:rPr>
        <w:rFonts w:ascii="Arial" w:hAnsi="Arial" w:hint="default"/>
      </w:rPr>
    </w:lvl>
    <w:lvl w:ilvl="2" w:tplc="8B6AE8C0" w:tentative="1">
      <w:start w:val="1"/>
      <w:numFmt w:val="bullet"/>
      <w:lvlText w:val="•"/>
      <w:lvlJc w:val="left"/>
      <w:pPr>
        <w:tabs>
          <w:tab w:val="num" w:pos="2160"/>
        </w:tabs>
        <w:ind w:left="2160" w:hanging="360"/>
      </w:pPr>
      <w:rPr>
        <w:rFonts w:ascii="Arial" w:hAnsi="Arial" w:hint="default"/>
      </w:rPr>
    </w:lvl>
    <w:lvl w:ilvl="3" w:tplc="D2E8843C" w:tentative="1">
      <w:start w:val="1"/>
      <w:numFmt w:val="bullet"/>
      <w:lvlText w:val="•"/>
      <w:lvlJc w:val="left"/>
      <w:pPr>
        <w:tabs>
          <w:tab w:val="num" w:pos="2880"/>
        </w:tabs>
        <w:ind w:left="2880" w:hanging="360"/>
      </w:pPr>
      <w:rPr>
        <w:rFonts w:ascii="Arial" w:hAnsi="Arial" w:hint="default"/>
      </w:rPr>
    </w:lvl>
    <w:lvl w:ilvl="4" w:tplc="85FCA5AC" w:tentative="1">
      <w:start w:val="1"/>
      <w:numFmt w:val="bullet"/>
      <w:lvlText w:val="•"/>
      <w:lvlJc w:val="left"/>
      <w:pPr>
        <w:tabs>
          <w:tab w:val="num" w:pos="3600"/>
        </w:tabs>
        <w:ind w:left="3600" w:hanging="360"/>
      </w:pPr>
      <w:rPr>
        <w:rFonts w:ascii="Arial" w:hAnsi="Arial" w:hint="default"/>
      </w:rPr>
    </w:lvl>
    <w:lvl w:ilvl="5" w:tplc="4FACEFA0" w:tentative="1">
      <w:start w:val="1"/>
      <w:numFmt w:val="bullet"/>
      <w:lvlText w:val="•"/>
      <w:lvlJc w:val="left"/>
      <w:pPr>
        <w:tabs>
          <w:tab w:val="num" w:pos="4320"/>
        </w:tabs>
        <w:ind w:left="4320" w:hanging="360"/>
      </w:pPr>
      <w:rPr>
        <w:rFonts w:ascii="Arial" w:hAnsi="Arial" w:hint="default"/>
      </w:rPr>
    </w:lvl>
    <w:lvl w:ilvl="6" w:tplc="96FA7BE4" w:tentative="1">
      <w:start w:val="1"/>
      <w:numFmt w:val="bullet"/>
      <w:lvlText w:val="•"/>
      <w:lvlJc w:val="left"/>
      <w:pPr>
        <w:tabs>
          <w:tab w:val="num" w:pos="5040"/>
        </w:tabs>
        <w:ind w:left="5040" w:hanging="360"/>
      </w:pPr>
      <w:rPr>
        <w:rFonts w:ascii="Arial" w:hAnsi="Arial" w:hint="default"/>
      </w:rPr>
    </w:lvl>
    <w:lvl w:ilvl="7" w:tplc="679C48BC" w:tentative="1">
      <w:start w:val="1"/>
      <w:numFmt w:val="bullet"/>
      <w:lvlText w:val="•"/>
      <w:lvlJc w:val="left"/>
      <w:pPr>
        <w:tabs>
          <w:tab w:val="num" w:pos="5760"/>
        </w:tabs>
        <w:ind w:left="5760" w:hanging="360"/>
      </w:pPr>
      <w:rPr>
        <w:rFonts w:ascii="Arial" w:hAnsi="Arial" w:hint="default"/>
      </w:rPr>
    </w:lvl>
    <w:lvl w:ilvl="8" w:tplc="A11C3C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FE35CA"/>
    <w:multiLevelType w:val="hybridMultilevel"/>
    <w:tmpl w:val="6BBEC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E26014"/>
    <w:multiLevelType w:val="hybridMultilevel"/>
    <w:tmpl w:val="40E03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6461111">
    <w:abstractNumId w:val="13"/>
  </w:num>
  <w:num w:numId="2" w16cid:durableId="353383823">
    <w:abstractNumId w:val="22"/>
  </w:num>
  <w:num w:numId="3" w16cid:durableId="673647966">
    <w:abstractNumId w:val="17"/>
  </w:num>
  <w:num w:numId="4" w16cid:durableId="1214390197">
    <w:abstractNumId w:val="12"/>
  </w:num>
  <w:num w:numId="5" w16cid:durableId="2121534700">
    <w:abstractNumId w:val="7"/>
  </w:num>
  <w:num w:numId="6" w16cid:durableId="1791047814">
    <w:abstractNumId w:val="20"/>
  </w:num>
  <w:num w:numId="7" w16cid:durableId="166023046">
    <w:abstractNumId w:val="19"/>
  </w:num>
  <w:num w:numId="8" w16cid:durableId="2046517330">
    <w:abstractNumId w:val="30"/>
  </w:num>
  <w:num w:numId="9" w16cid:durableId="226653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0862402">
    <w:abstractNumId w:val="11"/>
  </w:num>
  <w:num w:numId="11" w16cid:durableId="890576708">
    <w:abstractNumId w:val="27"/>
  </w:num>
  <w:num w:numId="12" w16cid:durableId="2079008919">
    <w:abstractNumId w:val="2"/>
  </w:num>
  <w:num w:numId="13" w16cid:durableId="1262300504">
    <w:abstractNumId w:val="9"/>
  </w:num>
  <w:num w:numId="14" w16cid:durableId="1170482057">
    <w:abstractNumId w:val="16"/>
  </w:num>
  <w:num w:numId="15" w16cid:durableId="1615593972">
    <w:abstractNumId w:val="6"/>
  </w:num>
  <w:num w:numId="16" w16cid:durableId="967904304">
    <w:abstractNumId w:val="28"/>
  </w:num>
  <w:num w:numId="17" w16cid:durableId="125006200">
    <w:abstractNumId w:val="1"/>
  </w:num>
  <w:num w:numId="18" w16cid:durableId="758722265">
    <w:abstractNumId w:val="34"/>
  </w:num>
  <w:num w:numId="19" w16cid:durableId="1431588221">
    <w:abstractNumId w:val="35"/>
  </w:num>
  <w:num w:numId="20" w16cid:durableId="331952524">
    <w:abstractNumId w:val="31"/>
  </w:num>
  <w:num w:numId="21" w16cid:durableId="413550878">
    <w:abstractNumId w:val="23"/>
  </w:num>
  <w:num w:numId="22" w16cid:durableId="1350373533">
    <w:abstractNumId w:val="32"/>
  </w:num>
  <w:num w:numId="23" w16cid:durableId="361178009">
    <w:abstractNumId w:val="24"/>
  </w:num>
  <w:num w:numId="24" w16cid:durableId="1877696007">
    <w:abstractNumId w:val="3"/>
  </w:num>
  <w:num w:numId="25" w16cid:durableId="1881355041">
    <w:abstractNumId w:val="10"/>
  </w:num>
  <w:num w:numId="26" w16cid:durableId="1013612416">
    <w:abstractNumId w:val="5"/>
  </w:num>
  <w:num w:numId="27" w16cid:durableId="381712756">
    <w:abstractNumId w:val="33"/>
  </w:num>
  <w:num w:numId="28" w16cid:durableId="644357485">
    <w:abstractNumId w:val="21"/>
  </w:num>
  <w:num w:numId="29" w16cid:durableId="361830250">
    <w:abstractNumId w:val="4"/>
  </w:num>
  <w:num w:numId="30" w16cid:durableId="434403049">
    <w:abstractNumId w:val="15"/>
  </w:num>
  <w:num w:numId="31" w16cid:durableId="322970549">
    <w:abstractNumId w:val="25"/>
  </w:num>
  <w:num w:numId="32" w16cid:durableId="2122912446">
    <w:abstractNumId w:val="29"/>
  </w:num>
  <w:num w:numId="33" w16cid:durableId="1630210128">
    <w:abstractNumId w:val="0"/>
  </w:num>
  <w:num w:numId="34" w16cid:durableId="380256086">
    <w:abstractNumId w:val="18"/>
  </w:num>
  <w:num w:numId="35" w16cid:durableId="1497064281">
    <w:abstractNumId w:val="14"/>
  </w:num>
  <w:num w:numId="36" w16cid:durableId="1215308914">
    <w:abstractNumId w:val="26"/>
  </w:num>
  <w:num w:numId="37" w16cid:durableId="160106041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16"/>
    <w:rsid w:val="00000792"/>
    <w:rsid w:val="00000D78"/>
    <w:rsid w:val="00000F04"/>
    <w:rsid w:val="00001148"/>
    <w:rsid w:val="000017DD"/>
    <w:rsid w:val="000024B6"/>
    <w:rsid w:val="00002C13"/>
    <w:rsid w:val="00003C4F"/>
    <w:rsid w:val="00003EE9"/>
    <w:rsid w:val="00004546"/>
    <w:rsid w:val="00004E0A"/>
    <w:rsid w:val="00004FD3"/>
    <w:rsid w:val="00005CE0"/>
    <w:rsid w:val="000060E7"/>
    <w:rsid w:val="000068CA"/>
    <w:rsid w:val="00006DF5"/>
    <w:rsid w:val="00006F95"/>
    <w:rsid w:val="00007023"/>
    <w:rsid w:val="0000709F"/>
    <w:rsid w:val="000071D6"/>
    <w:rsid w:val="000071DF"/>
    <w:rsid w:val="0000782A"/>
    <w:rsid w:val="00007BF4"/>
    <w:rsid w:val="00007F2D"/>
    <w:rsid w:val="00007FAC"/>
    <w:rsid w:val="00010240"/>
    <w:rsid w:val="0001050C"/>
    <w:rsid w:val="0001068E"/>
    <w:rsid w:val="00010A9C"/>
    <w:rsid w:val="00010ABA"/>
    <w:rsid w:val="00010E15"/>
    <w:rsid w:val="00010F57"/>
    <w:rsid w:val="0001100C"/>
    <w:rsid w:val="00011188"/>
    <w:rsid w:val="000119DB"/>
    <w:rsid w:val="00012555"/>
    <w:rsid w:val="00014236"/>
    <w:rsid w:val="00014648"/>
    <w:rsid w:val="000148F6"/>
    <w:rsid w:val="00014E42"/>
    <w:rsid w:val="00015217"/>
    <w:rsid w:val="00015737"/>
    <w:rsid w:val="000159D2"/>
    <w:rsid w:val="00015BD4"/>
    <w:rsid w:val="00016264"/>
    <w:rsid w:val="0001688F"/>
    <w:rsid w:val="00016993"/>
    <w:rsid w:val="00016CAB"/>
    <w:rsid w:val="00016E5B"/>
    <w:rsid w:val="0001749B"/>
    <w:rsid w:val="00017621"/>
    <w:rsid w:val="00017D75"/>
    <w:rsid w:val="00017FE5"/>
    <w:rsid w:val="00020834"/>
    <w:rsid w:val="00021910"/>
    <w:rsid w:val="00021D29"/>
    <w:rsid w:val="00022E8D"/>
    <w:rsid w:val="00023376"/>
    <w:rsid w:val="0002348A"/>
    <w:rsid w:val="0002350B"/>
    <w:rsid w:val="000235B5"/>
    <w:rsid w:val="00023BDA"/>
    <w:rsid w:val="00023DC0"/>
    <w:rsid w:val="00024708"/>
    <w:rsid w:val="00024D4B"/>
    <w:rsid w:val="00024EE7"/>
    <w:rsid w:val="000253EF"/>
    <w:rsid w:val="00025E86"/>
    <w:rsid w:val="00025EFB"/>
    <w:rsid w:val="00025F96"/>
    <w:rsid w:val="00025FAB"/>
    <w:rsid w:val="00026407"/>
    <w:rsid w:val="00026E89"/>
    <w:rsid w:val="000270BE"/>
    <w:rsid w:val="000275A3"/>
    <w:rsid w:val="00027C6C"/>
    <w:rsid w:val="00027D9A"/>
    <w:rsid w:val="00027E2F"/>
    <w:rsid w:val="00030317"/>
    <w:rsid w:val="00030558"/>
    <w:rsid w:val="00030699"/>
    <w:rsid w:val="00030725"/>
    <w:rsid w:val="00030DB8"/>
    <w:rsid w:val="00030E66"/>
    <w:rsid w:val="00031A83"/>
    <w:rsid w:val="00031AA1"/>
    <w:rsid w:val="00031DD1"/>
    <w:rsid w:val="0003213A"/>
    <w:rsid w:val="00032A81"/>
    <w:rsid w:val="00033AA3"/>
    <w:rsid w:val="00033C4D"/>
    <w:rsid w:val="000340D8"/>
    <w:rsid w:val="0003427D"/>
    <w:rsid w:val="0003452D"/>
    <w:rsid w:val="000348C6"/>
    <w:rsid w:val="00034DFA"/>
    <w:rsid w:val="000357ED"/>
    <w:rsid w:val="00035E15"/>
    <w:rsid w:val="00036022"/>
    <w:rsid w:val="0003640E"/>
    <w:rsid w:val="0003672B"/>
    <w:rsid w:val="0003688A"/>
    <w:rsid w:val="000368FC"/>
    <w:rsid w:val="00036A0D"/>
    <w:rsid w:val="00036DA3"/>
    <w:rsid w:val="000379BF"/>
    <w:rsid w:val="00037A27"/>
    <w:rsid w:val="00037BEC"/>
    <w:rsid w:val="000400D9"/>
    <w:rsid w:val="0004035C"/>
    <w:rsid w:val="00040860"/>
    <w:rsid w:val="00040CED"/>
    <w:rsid w:val="00040EA1"/>
    <w:rsid w:val="0004205F"/>
    <w:rsid w:val="000421F9"/>
    <w:rsid w:val="000423C6"/>
    <w:rsid w:val="000427DA"/>
    <w:rsid w:val="0004280C"/>
    <w:rsid w:val="00042EDB"/>
    <w:rsid w:val="00043261"/>
    <w:rsid w:val="00043764"/>
    <w:rsid w:val="00044280"/>
    <w:rsid w:val="00044305"/>
    <w:rsid w:val="00044A50"/>
    <w:rsid w:val="00044C65"/>
    <w:rsid w:val="000458C7"/>
    <w:rsid w:val="00045991"/>
    <w:rsid w:val="00045E5C"/>
    <w:rsid w:val="00045F45"/>
    <w:rsid w:val="00045F6F"/>
    <w:rsid w:val="00046288"/>
    <w:rsid w:val="00046474"/>
    <w:rsid w:val="0004671B"/>
    <w:rsid w:val="000475F5"/>
    <w:rsid w:val="00047941"/>
    <w:rsid w:val="000502CC"/>
    <w:rsid w:val="00050A22"/>
    <w:rsid w:val="00050E27"/>
    <w:rsid w:val="0005144F"/>
    <w:rsid w:val="0005178E"/>
    <w:rsid w:val="00051AF1"/>
    <w:rsid w:val="00051C6E"/>
    <w:rsid w:val="00051D42"/>
    <w:rsid w:val="000520E1"/>
    <w:rsid w:val="000538A1"/>
    <w:rsid w:val="00053F13"/>
    <w:rsid w:val="00054BE9"/>
    <w:rsid w:val="00055375"/>
    <w:rsid w:val="000555FC"/>
    <w:rsid w:val="00056319"/>
    <w:rsid w:val="000564E7"/>
    <w:rsid w:val="00056770"/>
    <w:rsid w:val="00056C1E"/>
    <w:rsid w:val="00057386"/>
    <w:rsid w:val="000573BF"/>
    <w:rsid w:val="00057A3B"/>
    <w:rsid w:val="00057A77"/>
    <w:rsid w:val="00057EEF"/>
    <w:rsid w:val="00060A7F"/>
    <w:rsid w:val="000619CB"/>
    <w:rsid w:val="00062387"/>
    <w:rsid w:val="0006300A"/>
    <w:rsid w:val="000632FF"/>
    <w:rsid w:val="000636B9"/>
    <w:rsid w:val="000640F0"/>
    <w:rsid w:val="0006434D"/>
    <w:rsid w:val="000643A1"/>
    <w:rsid w:val="00064679"/>
    <w:rsid w:val="00064A13"/>
    <w:rsid w:val="00064AF4"/>
    <w:rsid w:val="00064DB1"/>
    <w:rsid w:val="00065280"/>
    <w:rsid w:val="00065BA3"/>
    <w:rsid w:val="00065D3B"/>
    <w:rsid w:val="000667E9"/>
    <w:rsid w:val="00066824"/>
    <w:rsid w:val="00066826"/>
    <w:rsid w:val="00067128"/>
    <w:rsid w:val="000675CD"/>
    <w:rsid w:val="00067872"/>
    <w:rsid w:val="000678AC"/>
    <w:rsid w:val="000703B2"/>
    <w:rsid w:val="00070FBF"/>
    <w:rsid w:val="000711EE"/>
    <w:rsid w:val="00071492"/>
    <w:rsid w:val="0007180E"/>
    <w:rsid w:val="00071AE4"/>
    <w:rsid w:val="00071CB5"/>
    <w:rsid w:val="00071CCB"/>
    <w:rsid w:val="00071D03"/>
    <w:rsid w:val="00072058"/>
    <w:rsid w:val="0007232B"/>
    <w:rsid w:val="00072426"/>
    <w:rsid w:val="000735A2"/>
    <w:rsid w:val="00073712"/>
    <w:rsid w:val="00073AF9"/>
    <w:rsid w:val="00074147"/>
    <w:rsid w:val="0007421B"/>
    <w:rsid w:val="000748A4"/>
    <w:rsid w:val="0007517E"/>
    <w:rsid w:val="0007549E"/>
    <w:rsid w:val="00075FE1"/>
    <w:rsid w:val="00076667"/>
    <w:rsid w:val="00077108"/>
    <w:rsid w:val="00077473"/>
    <w:rsid w:val="00077481"/>
    <w:rsid w:val="000775CC"/>
    <w:rsid w:val="000776F9"/>
    <w:rsid w:val="00077AC1"/>
    <w:rsid w:val="00077DD1"/>
    <w:rsid w:val="00077E3A"/>
    <w:rsid w:val="00077EE0"/>
    <w:rsid w:val="000802F9"/>
    <w:rsid w:val="0008145A"/>
    <w:rsid w:val="0008162D"/>
    <w:rsid w:val="00082248"/>
    <w:rsid w:val="000831C8"/>
    <w:rsid w:val="00083BCC"/>
    <w:rsid w:val="00083F5E"/>
    <w:rsid w:val="00083FF2"/>
    <w:rsid w:val="00084EE5"/>
    <w:rsid w:val="00084FDB"/>
    <w:rsid w:val="00085018"/>
    <w:rsid w:val="0008505C"/>
    <w:rsid w:val="00085C46"/>
    <w:rsid w:val="0008686A"/>
    <w:rsid w:val="00087175"/>
    <w:rsid w:val="00087D35"/>
    <w:rsid w:val="00090410"/>
    <w:rsid w:val="00091796"/>
    <w:rsid w:val="00091BA2"/>
    <w:rsid w:val="00091CB0"/>
    <w:rsid w:val="0009218F"/>
    <w:rsid w:val="000929B8"/>
    <w:rsid w:val="000929CA"/>
    <w:rsid w:val="00092BD5"/>
    <w:rsid w:val="00094344"/>
    <w:rsid w:val="000946EE"/>
    <w:rsid w:val="000953C6"/>
    <w:rsid w:val="000953F4"/>
    <w:rsid w:val="0009590C"/>
    <w:rsid w:val="000959E7"/>
    <w:rsid w:val="00095C45"/>
    <w:rsid w:val="00095E7D"/>
    <w:rsid w:val="000964DE"/>
    <w:rsid w:val="000970E7"/>
    <w:rsid w:val="000972AB"/>
    <w:rsid w:val="00097B40"/>
    <w:rsid w:val="00097D0E"/>
    <w:rsid w:val="000A06F6"/>
    <w:rsid w:val="000A109B"/>
    <w:rsid w:val="000A1344"/>
    <w:rsid w:val="000A17EA"/>
    <w:rsid w:val="000A1C7A"/>
    <w:rsid w:val="000A2345"/>
    <w:rsid w:val="000A2394"/>
    <w:rsid w:val="000A31C1"/>
    <w:rsid w:val="000A32C5"/>
    <w:rsid w:val="000A3411"/>
    <w:rsid w:val="000A34CA"/>
    <w:rsid w:val="000A426F"/>
    <w:rsid w:val="000A4559"/>
    <w:rsid w:val="000A45FD"/>
    <w:rsid w:val="000A477B"/>
    <w:rsid w:val="000A52AD"/>
    <w:rsid w:val="000A558D"/>
    <w:rsid w:val="000A5611"/>
    <w:rsid w:val="000A563C"/>
    <w:rsid w:val="000A59C5"/>
    <w:rsid w:val="000A5DEA"/>
    <w:rsid w:val="000A5EBD"/>
    <w:rsid w:val="000A7658"/>
    <w:rsid w:val="000A7C69"/>
    <w:rsid w:val="000A7D75"/>
    <w:rsid w:val="000A7F0F"/>
    <w:rsid w:val="000A7F4C"/>
    <w:rsid w:val="000B02BC"/>
    <w:rsid w:val="000B0498"/>
    <w:rsid w:val="000B0C86"/>
    <w:rsid w:val="000B0F36"/>
    <w:rsid w:val="000B1126"/>
    <w:rsid w:val="000B136A"/>
    <w:rsid w:val="000B1528"/>
    <w:rsid w:val="000B1942"/>
    <w:rsid w:val="000B1AAF"/>
    <w:rsid w:val="000B1BED"/>
    <w:rsid w:val="000B1D23"/>
    <w:rsid w:val="000B1D2B"/>
    <w:rsid w:val="000B2240"/>
    <w:rsid w:val="000B2477"/>
    <w:rsid w:val="000B2600"/>
    <w:rsid w:val="000B2FAE"/>
    <w:rsid w:val="000B36F9"/>
    <w:rsid w:val="000B4074"/>
    <w:rsid w:val="000B4732"/>
    <w:rsid w:val="000B47B1"/>
    <w:rsid w:val="000B4BCD"/>
    <w:rsid w:val="000B66DC"/>
    <w:rsid w:val="000B6D1F"/>
    <w:rsid w:val="000C062F"/>
    <w:rsid w:val="000C070A"/>
    <w:rsid w:val="000C17E7"/>
    <w:rsid w:val="000C293B"/>
    <w:rsid w:val="000C3254"/>
    <w:rsid w:val="000C3270"/>
    <w:rsid w:val="000C3419"/>
    <w:rsid w:val="000C45CF"/>
    <w:rsid w:val="000C577E"/>
    <w:rsid w:val="000C6536"/>
    <w:rsid w:val="000C6A80"/>
    <w:rsid w:val="000C7164"/>
    <w:rsid w:val="000D01A2"/>
    <w:rsid w:val="000D04BA"/>
    <w:rsid w:val="000D0B6E"/>
    <w:rsid w:val="000D0D65"/>
    <w:rsid w:val="000D12E0"/>
    <w:rsid w:val="000D1944"/>
    <w:rsid w:val="000D19B8"/>
    <w:rsid w:val="000D1DD9"/>
    <w:rsid w:val="000D1E1F"/>
    <w:rsid w:val="000D2172"/>
    <w:rsid w:val="000D28CE"/>
    <w:rsid w:val="000D293C"/>
    <w:rsid w:val="000D2BC1"/>
    <w:rsid w:val="000D337B"/>
    <w:rsid w:val="000D385A"/>
    <w:rsid w:val="000D38C2"/>
    <w:rsid w:val="000D3CA7"/>
    <w:rsid w:val="000D4FF6"/>
    <w:rsid w:val="000D50E4"/>
    <w:rsid w:val="000D5561"/>
    <w:rsid w:val="000D585B"/>
    <w:rsid w:val="000D5B16"/>
    <w:rsid w:val="000D5F03"/>
    <w:rsid w:val="000D5F18"/>
    <w:rsid w:val="000D5FD6"/>
    <w:rsid w:val="000D6201"/>
    <w:rsid w:val="000D6488"/>
    <w:rsid w:val="000D7088"/>
    <w:rsid w:val="000D770B"/>
    <w:rsid w:val="000D788E"/>
    <w:rsid w:val="000D7DA7"/>
    <w:rsid w:val="000E023E"/>
    <w:rsid w:val="000E10F9"/>
    <w:rsid w:val="000E12B0"/>
    <w:rsid w:val="000E1BC8"/>
    <w:rsid w:val="000E1D32"/>
    <w:rsid w:val="000E1E2C"/>
    <w:rsid w:val="000E26D8"/>
    <w:rsid w:val="000E2B94"/>
    <w:rsid w:val="000E3156"/>
    <w:rsid w:val="000E35B6"/>
    <w:rsid w:val="000E3824"/>
    <w:rsid w:val="000E3BB8"/>
    <w:rsid w:val="000E3D9B"/>
    <w:rsid w:val="000E3DFD"/>
    <w:rsid w:val="000E41EB"/>
    <w:rsid w:val="000E4261"/>
    <w:rsid w:val="000E43E1"/>
    <w:rsid w:val="000E4697"/>
    <w:rsid w:val="000E4BD2"/>
    <w:rsid w:val="000E5310"/>
    <w:rsid w:val="000E53AA"/>
    <w:rsid w:val="000E54DE"/>
    <w:rsid w:val="000E58C5"/>
    <w:rsid w:val="000E6203"/>
    <w:rsid w:val="000E64CB"/>
    <w:rsid w:val="000E68FD"/>
    <w:rsid w:val="000E7116"/>
    <w:rsid w:val="000E722C"/>
    <w:rsid w:val="000E74EE"/>
    <w:rsid w:val="000E755B"/>
    <w:rsid w:val="000E786F"/>
    <w:rsid w:val="000E7B58"/>
    <w:rsid w:val="000E7DA7"/>
    <w:rsid w:val="000E7F08"/>
    <w:rsid w:val="000E7FA0"/>
    <w:rsid w:val="000F00BA"/>
    <w:rsid w:val="000F02F8"/>
    <w:rsid w:val="000F0409"/>
    <w:rsid w:val="000F049F"/>
    <w:rsid w:val="000F0642"/>
    <w:rsid w:val="000F07FA"/>
    <w:rsid w:val="000F0A73"/>
    <w:rsid w:val="000F0AD8"/>
    <w:rsid w:val="000F0B5E"/>
    <w:rsid w:val="000F0DD2"/>
    <w:rsid w:val="000F1D43"/>
    <w:rsid w:val="000F1FFF"/>
    <w:rsid w:val="000F20AA"/>
    <w:rsid w:val="000F2651"/>
    <w:rsid w:val="000F282E"/>
    <w:rsid w:val="000F2E08"/>
    <w:rsid w:val="000F339C"/>
    <w:rsid w:val="000F348D"/>
    <w:rsid w:val="000F369A"/>
    <w:rsid w:val="000F4303"/>
    <w:rsid w:val="000F4463"/>
    <w:rsid w:val="000F47D9"/>
    <w:rsid w:val="000F4FF2"/>
    <w:rsid w:val="000F5285"/>
    <w:rsid w:val="000F52E0"/>
    <w:rsid w:val="000F53A9"/>
    <w:rsid w:val="000F557E"/>
    <w:rsid w:val="000F56B9"/>
    <w:rsid w:val="000F5CF9"/>
    <w:rsid w:val="000F6194"/>
    <w:rsid w:val="000F6319"/>
    <w:rsid w:val="000F6464"/>
    <w:rsid w:val="000F6628"/>
    <w:rsid w:val="000F6C25"/>
    <w:rsid w:val="000F6CFC"/>
    <w:rsid w:val="000F76EB"/>
    <w:rsid w:val="000F775B"/>
    <w:rsid w:val="000F78AE"/>
    <w:rsid w:val="000F7E25"/>
    <w:rsid w:val="00100479"/>
    <w:rsid w:val="001007EE"/>
    <w:rsid w:val="00100F76"/>
    <w:rsid w:val="0010148E"/>
    <w:rsid w:val="001014AD"/>
    <w:rsid w:val="001017F9"/>
    <w:rsid w:val="00101CE6"/>
    <w:rsid w:val="0010253C"/>
    <w:rsid w:val="00102841"/>
    <w:rsid w:val="00102BD1"/>
    <w:rsid w:val="00103B4D"/>
    <w:rsid w:val="001040E3"/>
    <w:rsid w:val="0010486A"/>
    <w:rsid w:val="001048E4"/>
    <w:rsid w:val="0010561C"/>
    <w:rsid w:val="00105C0F"/>
    <w:rsid w:val="00105E39"/>
    <w:rsid w:val="00106561"/>
    <w:rsid w:val="00106C65"/>
    <w:rsid w:val="00106D63"/>
    <w:rsid w:val="00106DBF"/>
    <w:rsid w:val="001075F3"/>
    <w:rsid w:val="001077BB"/>
    <w:rsid w:val="00107A01"/>
    <w:rsid w:val="00107C23"/>
    <w:rsid w:val="00107F98"/>
    <w:rsid w:val="00110307"/>
    <w:rsid w:val="00110C7F"/>
    <w:rsid w:val="00110EE2"/>
    <w:rsid w:val="00111A88"/>
    <w:rsid w:val="0011221A"/>
    <w:rsid w:val="00112F18"/>
    <w:rsid w:val="00113074"/>
    <w:rsid w:val="00113283"/>
    <w:rsid w:val="0011337B"/>
    <w:rsid w:val="001137AE"/>
    <w:rsid w:val="00113B20"/>
    <w:rsid w:val="001147B3"/>
    <w:rsid w:val="001148F7"/>
    <w:rsid w:val="00114991"/>
    <w:rsid w:val="001149B2"/>
    <w:rsid w:val="00114C2D"/>
    <w:rsid w:val="00115125"/>
    <w:rsid w:val="001152F2"/>
    <w:rsid w:val="001157D7"/>
    <w:rsid w:val="00116127"/>
    <w:rsid w:val="00116382"/>
    <w:rsid w:val="00116484"/>
    <w:rsid w:val="00116ACF"/>
    <w:rsid w:val="00116BA3"/>
    <w:rsid w:val="00116D5C"/>
    <w:rsid w:val="00116DCA"/>
    <w:rsid w:val="001172B2"/>
    <w:rsid w:val="00117B58"/>
    <w:rsid w:val="00117C7C"/>
    <w:rsid w:val="00117F9B"/>
    <w:rsid w:val="001200F9"/>
    <w:rsid w:val="0012072A"/>
    <w:rsid w:val="001207D8"/>
    <w:rsid w:val="00120E33"/>
    <w:rsid w:val="00120EC8"/>
    <w:rsid w:val="00121211"/>
    <w:rsid w:val="00121628"/>
    <w:rsid w:val="0012167D"/>
    <w:rsid w:val="00121952"/>
    <w:rsid w:val="00122189"/>
    <w:rsid w:val="00122280"/>
    <w:rsid w:val="00122607"/>
    <w:rsid w:val="00122C07"/>
    <w:rsid w:val="00122D42"/>
    <w:rsid w:val="00123345"/>
    <w:rsid w:val="00123C46"/>
    <w:rsid w:val="00124178"/>
    <w:rsid w:val="00124338"/>
    <w:rsid w:val="00124700"/>
    <w:rsid w:val="0012470B"/>
    <w:rsid w:val="00124758"/>
    <w:rsid w:val="00124803"/>
    <w:rsid w:val="001251FA"/>
    <w:rsid w:val="0012522D"/>
    <w:rsid w:val="0012533D"/>
    <w:rsid w:val="00125C75"/>
    <w:rsid w:val="00125C7E"/>
    <w:rsid w:val="00126BFC"/>
    <w:rsid w:val="00126F56"/>
    <w:rsid w:val="00127314"/>
    <w:rsid w:val="00127945"/>
    <w:rsid w:val="00127D94"/>
    <w:rsid w:val="00127E90"/>
    <w:rsid w:val="001302C1"/>
    <w:rsid w:val="001306D3"/>
    <w:rsid w:val="00130CC0"/>
    <w:rsid w:val="001310BF"/>
    <w:rsid w:val="0013223C"/>
    <w:rsid w:val="0013237A"/>
    <w:rsid w:val="0013310D"/>
    <w:rsid w:val="00133E73"/>
    <w:rsid w:val="00133FDB"/>
    <w:rsid w:val="00134F4A"/>
    <w:rsid w:val="001356A8"/>
    <w:rsid w:val="00135D91"/>
    <w:rsid w:val="00135E4E"/>
    <w:rsid w:val="00136246"/>
    <w:rsid w:val="001364D4"/>
    <w:rsid w:val="00136CA0"/>
    <w:rsid w:val="001371C8"/>
    <w:rsid w:val="001372ED"/>
    <w:rsid w:val="00137E79"/>
    <w:rsid w:val="001405D6"/>
    <w:rsid w:val="00140FEF"/>
    <w:rsid w:val="00141E3F"/>
    <w:rsid w:val="00142B50"/>
    <w:rsid w:val="00143225"/>
    <w:rsid w:val="00143873"/>
    <w:rsid w:val="001439E9"/>
    <w:rsid w:val="00143C55"/>
    <w:rsid w:val="00143ED4"/>
    <w:rsid w:val="0014438D"/>
    <w:rsid w:val="0014495B"/>
    <w:rsid w:val="00144C6F"/>
    <w:rsid w:val="00145089"/>
    <w:rsid w:val="001451E7"/>
    <w:rsid w:val="00145DAE"/>
    <w:rsid w:val="00145E8E"/>
    <w:rsid w:val="00146247"/>
    <w:rsid w:val="001462E3"/>
    <w:rsid w:val="00146B1C"/>
    <w:rsid w:val="00146B3B"/>
    <w:rsid w:val="0014720C"/>
    <w:rsid w:val="001472C2"/>
    <w:rsid w:val="00147458"/>
    <w:rsid w:val="00147E21"/>
    <w:rsid w:val="0015035F"/>
    <w:rsid w:val="00150BA8"/>
    <w:rsid w:val="00150D19"/>
    <w:rsid w:val="0015181B"/>
    <w:rsid w:val="00151A9F"/>
    <w:rsid w:val="0015201C"/>
    <w:rsid w:val="00152B87"/>
    <w:rsid w:val="00152DC6"/>
    <w:rsid w:val="00153809"/>
    <w:rsid w:val="00153A96"/>
    <w:rsid w:val="00153D1C"/>
    <w:rsid w:val="001543E2"/>
    <w:rsid w:val="00155B43"/>
    <w:rsid w:val="001565A2"/>
    <w:rsid w:val="001567C3"/>
    <w:rsid w:val="00156A12"/>
    <w:rsid w:val="00157B3F"/>
    <w:rsid w:val="00157F8A"/>
    <w:rsid w:val="00160065"/>
    <w:rsid w:val="00160C3D"/>
    <w:rsid w:val="00161B24"/>
    <w:rsid w:val="00161C41"/>
    <w:rsid w:val="00161DD5"/>
    <w:rsid w:val="00161F63"/>
    <w:rsid w:val="0016218B"/>
    <w:rsid w:val="00162319"/>
    <w:rsid w:val="00162B05"/>
    <w:rsid w:val="001632AE"/>
    <w:rsid w:val="001633A4"/>
    <w:rsid w:val="001634D6"/>
    <w:rsid w:val="00163D82"/>
    <w:rsid w:val="00163FA3"/>
    <w:rsid w:val="001648DD"/>
    <w:rsid w:val="00165705"/>
    <w:rsid w:val="0016590B"/>
    <w:rsid w:val="00165994"/>
    <w:rsid w:val="00165CCB"/>
    <w:rsid w:val="00166389"/>
    <w:rsid w:val="00166684"/>
    <w:rsid w:val="00166E03"/>
    <w:rsid w:val="00167AA0"/>
    <w:rsid w:val="00167E4C"/>
    <w:rsid w:val="00170AC2"/>
    <w:rsid w:val="00171449"/>
    <w:rsid w:val="0017199C"/>
    <w:rsid w:val="00171B14"/>
    <w:rsid w:val="00171C7E"/>
    <w:rsid w:val="00171F35"/>
    <w:rsid w:val="00171FA4"/>
    <w:rsid w:val="001722D3"/>
    <w:rsid w:val="00172552"/>
    <w:rsid w:val="00172873"/>
    <w:rsid w:val="00172CF7"/>
    <w:rsid w:val="0017319E"/>
    <w:rsid w:val="0017322F"/>
    <w:rsid w:val="00173A1F"/>
    <w:rsid w:val="00173A47"/>
    <w:rsid w:val="00173BC3"/>
    <w:rsid w:val="00174128"/>
    <w:rsid w:val="001742D2"/>
    <w:rsid w:val="0017481C"/>
    <w:rsid w:val="00175C34"/>
    <w:rsid w:val="00175F9A"/>
    <w:rsid w:val="0017677F"/>
    <w:rsid w:val="00176E98"/>
    <w:rsid w:val="00177996"/>
    <w:rsid w:val="00177D4D"/>
    <w:rsid w:val="00180389"/>
    <w:rsid w:val="0018047A"/>
    <w:rsid w:val="00180B3F"/>
    <w:rsid w:val="00180C83"/>
    <w:rsid w:val="00180CE5"/>
    <w:rsid w:val="00181061"/>
    <w:rsid w:val="0018142F"/>
    <w:rsid w:val="0018175B"/>
    <w:rsid w:val="00181779"/>
    <w:rsid w:val="001820A3"/>
    <w:rsid w:val="001824F7"/>
    <w:rsid w:val="00182FF7"/>
    <w:rsid w:val="0018332A"/>
    <w:rsid w:val="00183D80"/>
    <w:rsid w:val="001842C8"/>
    <w:rsid w:val="00184646"/>
    <w:rsid w:val="00184DBB"/>
    <w:rsid w:val="00185044"/>
    <w:rsid w:val="001850DB"/>
    <w:rsid w:val="00185263"/>
    <w:rsid w:val="0018599C"/>
    <w:rsid w:val="00185D18"/>
    <w:rsid w:val="00185D33"/>
    <w:rsid w:val="00185F99"/>
    <w:rsid w:val="001869EE"/>
    <w:rsid w:val="00186C53"/>
    <w:rsid w:val="00186C61"/>
    <w:rsid w:val="00186D00"/>
    <w:rsid w:val="0018743A"/>
    <w:rsid w:val="00190A57"/>
    <w:rsid w:val="00190B3F"/>
    <w:rsid w:val="0019122C"/>
    <w:rsid w:val="00191908"/>
    <w:rsid w:val="00191AA4"/>
    <w:rsid w:val="00191E1D"/>
    <w:rsid w:val="0019214A"/>
    <w:rsid w:val="00192D5A"/>
    <w:rsid w:val="00192DF3"/>
    <w:rsid w:val="0019301F"/>
    <w:rsid w:val="00193286"/>
    <w:rsid w:val="001933E0"/>
    <w:rsid w:val="001935D9"/>
    <w:rsid w:val="001937B8"/>
    <w:rsid w:val="00193BCF"/>
    <w:rsid w:val="00194BB7"/>
    <w:rsid w:val="00194C19"/>
    <w:rsid w:val="00194CC5"/>
    <w:rsid w:val="00194DC0"/>
    <w:rsid w:val="001951B2"/>
    <w:rsid w:val="0019565D"/>
    <w:rsid w:val="00195C1D"/>
    <w:rsid w:val="00195EE1"/>
    <w:rsid w:val="00196B1B"/>
    <w:rsid w:val="00196F40"/>
    <w:rsid w:val="00197413"/>
    <w:rsid w:val="00197483"/>
    <w:rsid w:val="00197564"/>
    <w:rsid w:val="00197924"/>
    <w:rsid w:val="00197EC2"/>
    <w:rsid w:val="00197ECE"/>
    <w:rsid w:val="00197F1B"/>
    <w:rsid w:val="001A0957"/>
    <w:rsid w:val="001A14E2"/>
    <w:rsid w:val="001A1CED"/>
    <w:rsid w:val="001A25D4"/>
    <w:rsid w:val="001A279B"/>
    <w:rsid w:val="001A2DC3"/>
    <w:rsid w:val="001A2E87"/>
    <w:rsid w:val="001A3604"/>
    <w:rsid w:val="001A3869"/>
    <w:rsid w:val="001A38C2"/>
    <w:rsid w:val="001A598D"/>
    <w:rsid w:val="001A5DC8"/>
    <w:rsid w:val="001A5F93"/>
    <w:rsid w:val="001A64C4"/>
    <w:rsid w:val="001A65C8"/>
    <w:rsid w:val="001A732E"/>
    <w:rsid w:val="001A7F30"/>
    <w:rsid w:val="001A7F68"/>
    <w:rsid w:val="001B03F7"/>
    <w:rsid w:val="001B06E2"/>
    <w:rsid w:val="001B0E05"/>
    <w:rsid w:val="001B103A"/>
    <w:rsid w:val="001B103D"/>
    <w:rsid w:val="001B1070"/>
    <w:rsid w:val="001B1513"/>
    <w:rsid w:val="001B1767"/>
    <w:rsid w:val="001B2453"/>
    <w:rsid w:val="001B25D7"/>
    <w:rsid w:val="001B36C7"/>
    <w:rsid w:val="001B3D48"/>
    <w:rsid w:val="001B58E2"/>
    <w:rsid w:val="001B5AF9"/>
    <w:rsid w:val="001B621C"/>
    <w:rsid w:val="001B6600"/>
    <w:rsid w:val="001B6B9B"/>
    <w:rsid w:val="001B6C27"/>
    <w:rsid w:val="001B7040"/>
    <w:rsid w:val="001B7144"/>
    <w:rsid w:val="001B7BDA"/>
    <w:rsid w:val="001B7E91"/>
    <w:rsid w:val="001C147E"/>
    <w:rsid w:val="001C151B"/>
    <w:rsid w:val="001C1773"/>
    <w:rsid w:val="001C18F5"/>
    <w:rsid w:val="001C19E5"/>
    <w:rsid w:val="001C3507"/>
    <w:rsid w:val="001C3800"/>
    <w:rsid w:val="001C3C7B"/>
    <w:rsid w:val="001C4761"/>
    <w:rsid w:val="001C4EA3"/>
    <w:rsid w:val="001C5472"/>
    <w:rsid w:val="001C6122"/>
    <w:rsid w:val="001C61B9"/>
    <w:rsid w:val="001C6587"/>
    <w:rsid w:val="001C69BE"/>
    <w:rsid w:val="001C6A76"/>
    <w:rsid w:val="001C6DB5"/>
    <w:rsid w:val="001C71AC"/>
    <w:rsid w:val="001C7316"/>
    <w:rsid w:val="001C7E5C"/>
    <w:rsid w:val="001C7F50"/>
    <w:rsid w:val="001D00CC"/>
    <w:rsid w:val="001D02A0"/>
    <w:rsid w:val="001D02B8"/>
    <w:rsid w:val="001D0494"/>
    <w:rsid w:val="001D07B7"/>
    <w:rsid w:val="001D1719"/>
    <w:rsid w:val="001D171B"/>
    <w:rsid w:val="001D1732"/>
    <w:rsid w:val="001D1E2E"/>
    <w:rsid w:val="001D2203"/>
    <w:rsid w:val="001D23E2"/>
    <w:rsid w:val="001D255C"/>
    <w:rsid w:val="001D2DEF"/>
    <w:rsid w:val="001D30BB"/>
    <w:rsid w:val="001D3816"/>
    <w:rsid w:val="001D42FB"/>
    <w:rsid w:val="001D488C"/>
    <w:rsid w:val="001D4CDF"/>
    <w:rsid w:val="001D4F88"/>
    <w:rsid w:val="001D5597"/>
    <w:rsid w:val="001D578D"/>
    <w:rsid w:val="001D5818"/>
    <w:rsid w:val="001D5CFC"/>
    <w:rsid w:val="001D653A"/>
    <w:rsid w:val="001D6926"/>
    <w:rsid w:val="001D7DEE"/>
    <w:rsid w:val="001E00E5"/>
    <w:rsid w:val="001E0298"/>
    <w:rsid w:val="001E02CB"/>
    <w:rsid w:val="001E104B"/>
    <w:rsid w:val="001E14FD"/>
    <w:rsid w:val="001E1795"/>
    <w:rsid w:val="001E180F"/>
    <w:rsid w:val="001E18D7"/>
    <w:rsid w:val="001E1C33"/>
    <w:rsid w:val="001E1C64"/>
    <w:rsid w:val="001E1CEC"/>
    <w:rsid w:val="001E2ECB"/>
    <w:rsid w:val="001E38CF"/>
    <w:rsid w:val="001E442D"/>
    <w:rsid w:val="001E4B64"/>
    <w:rsid w:val="001E552A"/>
    <w:rsid w:val="001E57B9"/>
    <w:rsid w:val="001E666C"/>
    <w:rsid w:val="001E6E8D"/>
    <w:rsid w:val="001E7EE4"/>
    <w:rsid w:val="001E7F76"/>
    <w:rsid w:val="001F0FAF"/>
    <w:rsid w:val="001F139F"/>
    <w:rsid w:val="001F1E75"/>
    <w:rsid w:val="001F2160"/>
    <w:rsid w:val="001F2805"/>
    <w:rsid w:val="001F2E79"/>
    <w:rsid w:val="001F2F07"/>
    <w:rsid w:val="001F3123"/>
    <w:rsid w:val="001F334B"/>
    <w:rsid w:val="001F376D"/>
    <w:rsid w:val="001F3C2C"/>
    <w:rsid w:val="001F418C"/>
    <w:rsid w:val="001F44C6"/>
    <w:rsid w:val="001F4B2D"/>
    <w:rsid w:val="001F4B8D"/>
    <w:rsid w:val="001F4F40"/>
    <w:rsid w:val="001F50E0"/>
    <w:rsid w:val="001F594C"/>
    <w:rsid w:val="001F6999"/>
    <w:rsid w:val="001F69D3"/>
    <w:rsid w:val="001F69FC"/>
    <w:rsid w:val="001F6D62"/>
    <w:rsid w:val="001F7474"/>
    <w:rsid w:val="001F7675"/>
    <w:rsid w:val="00200083"/>
    <w:rsid w:val="00200FAE"/>
    <w:rsid w:val="0020102D"/>
    <w:rsid w:val="002010E2"/>
    <w:rsid w:val="0020178C"/>
    <w:rsid w:val="00201B73"/>
    <w:rsid w:val="00202517"/>
    <w:rsid w:val="00202ADB"/>
    <w:rsid w:val="00202BB7"/>
    <w:rsid w:val="00202CEA"/>
    <w:rsid w:val="00203FF2"/>
    <w:rsid w:val="0020435B"/>
    <w:rsid w:val="00204533"/>
    <w:rsid w:val="00204F2D"/>
    <w:rsid w:val="00205566"/>
    <w:rsid w:val="002063AA"/>
    <w:rsid w:val="002078B9"/>
    <w:rsid w:val="00207BE0"/>
    <w:rsid w:val="00207DD5"/>
    <w:rsid w:val="00210549"/>
    <w:rsid w:val="0021069E"/>
    <w:rsid w:val="00210804"/>
    <w:rsid w:val="0021088F"/>
    <w:rsid w:val="002113FE"/>
    <w:rsid w:val="00211445"/>
    <w:rsid w:val="00211737"/>
    <w:rsid w:val="0021181B"/>
    <w:rsid w:val="00211BBF"/>
    <w:rsid w:val="00211FF1"/>
    <w:rsid w:val="0021230F"/>
    <w:rsid w:val="002125B0"/>
    <w:rsid w:val="002125F6"/>
    <w:rsid w:val="00212A82"/>
    <w:rsid w:val="002138B2"/>
    <w:rsid w:val="00213C5A"/>
    <w:rsid w:val="00214031"/>
    <w:rsid w:val="00214EA2"/>
    <w:rsid w:val="002154AF"/>
    <w:rsid w:val="00215E01"/>
    <w:rsid w:val="00215F88"/>
    <w:rsid w:val="002160FA"/>
    <w:rsid w:val="002166DD"/>
    <w:rsid w:val="002168A2"/>
    <w:rsid w:val="00216AC3"/>
    <w:rsid w:val="002171C9"/>
    <w:rsid w:val="00217867"/>
    <w:rsid w:val="002205E4"/>
    <w:rsid w:val="00220980"/>
    <w:rsid w:val="002209E2"/>
    <w:rsid w:val="00220D67"/>
    <w:rsid w:val="002215F8"/>
    <w:rsid w:val="002219F2"/>
    <w:rsid w:val="00221F80"/>
    <w:rsid w:val="00222063"/>
    <w:rsid w:val="00222273"/>
    <w:rsid w:val="0022273A"/>
    <w:rsid w:val="00222BE8"/>
    <w:rsid w:val="00222D28"/>
    <w:rsid w:val="00223CF4"/>
    <w:rsid w:val="00224220"/>
    <w:rsid w:val="00224398"/>
    <w:rsid w:val="00224A81"/>
    <w:rsid w:val="00224E91"/>
    <w:rsid w:val="00225A7A"/>
    <w:rsid w:val="00225B4C"/>
    <w:rsid w:val="00225E1E"/>
    <w:rsid w:val="00226129"/>
    <w:rsid w:val="0022614D"/>
    <w:rsid w:val="00226266"/>
    <w:rsid w:val="00226AA2"/>
    <w:rsid w:val="00226D84"/>
    <w:rsid w:val="00227218"/>
    <w:rsid w:val="0022770A"/>
    <w:rsid w:val="00227B98"/>
    <w:rsid w:val="00227BEE"/>
    <w:rsid w:val="00227FB4"/>
    <w:rsid w:val="00230229"/>
    <w:rsid w:val="0023057E"/>
    <w:rsid w:val="00230CA4"/>
    <w:rsid w:val="002312BC"/>
    <w:rsid w:val="00231389"/>
    <w:rsid w:val="002337E5"/>
    <w:rsid w:val="002339D9"/>
    <w:rsid w:val="00233B17"/>
    <w:rsid w:val="00233B71"/>
    <w:rsid w:val="00233C06"/>
    <w:rsid w:val="00233F24"/>
    <w:rsid w:val="00234BBB"/>
    <w:rsid w:val="00235636"/>
    <w:rsid w:val="002356F4"/>
    <w:rsid w:val="00235F02"/>
    <w:rsid w:val="0023657E"/>
    <w:rsid w:val="00236582"/>
    <w:rsid w:val="00236D28"/>
    <w:rsid w:val="00236FEA"/>
    <w:rsid w:val="00237813"/>
    <w:rsid w:val="00237E73"/>
    <w:rsid w:val="00237FE4"/>
    <w:rsid w:val="00240656"/>
    <w:rsid w:val="00241610"/>
    <w:rsid w:val="00241AED"/>
    <w:rsid w:val="00241FBB"/>
    <w:rsid w:val="00242067"/>
    <w:rsid w:val="00242655"/>
    <w:rsid w:val="00243182"/>
    <w:rsid w:val="0024363A"/>
    <w:rsid w:val="00243928"/>
    <w:rsid w:val="00243946"/>
    <w:rsid w:val="00243B48"/>
    <w:rsid w:val="00243BC5"/>
    <w:rsid w:val="00243C7D"/>
    <w:rsid w:val="00243E9A"/>
    <w:rsid w:val="002440FA"/>
    <w:rsid w:val="0024435B"/>
    <w:rsid w:val="00244371"/>
    <w:rsid w:val="00244AF8"/>
    <w:rsid w:val="00244BC5"/>
    <w:rsid w:val="00244E68"/>
    <w:rsid w:val="002455F2"/>
    <w:rsid w:val="002456C5"/>
    <w:rsid w:val="00245ABE"/>
    <w:rsid w:val="00245C0B"/>
    <w:rsid w:val="00245F56"/>
    <w:rsid w:val="00246EAE"/>
    <w:rsid w:val="002470C6"/>
    <w:rsid w:val="00247116"/>
    <w:rsid w:val="0024711D"/>
    <w:rsid w:val="002471E5"/>
    <w:rsid w:val="00250236"/>
    <w:rsid w:val="00250AE1"/>
    <w:rsid w:val="00251026"/>
    <w:rsid w:val="002517A8"/>
    <w:rsid w:val="00251AED"/>
    <w:rsid w:val="00251EEE"/>
    <w:rsid w:val="00253177"/>
    <w:rsid w:val="002538B8"/>
    <w:rsid w:val="0025396F"/>
    <w:rsid w:val="0025408C"/>
    <w:rsid w:val="00254319"/>
    <w:rsid w:val="0025449A"/>
    <w:rsid w:val="0025539F"/>
    <w:rsid w:val="00255E49"/>
    <w:rsid w:val="00256388"/>
    <w:rsid w:val="00256E44"/>
    <w:rsid w:val="00257D54"/>
    <w:rsid w:val="00260165"/>
    <w:rsid w:val="00260919"/>
    <w:rsid w:val="00260EF8"/>
    <w:rsid w:val="002612AF"/>
    <w:rsid w:val="002612FD"/>
    <w:rsid w:val="002613C9"/>
    <w:rsid w:val="002613DC"/>
    <w:rsid w:val="00261755"/>
    <w:rsid w:val="002618F4"/>
    <w:rsid w:val="00261AAA"/>
    <w:rsid w:val="00261EFB"/>
    <w:rsid w:val="00262097"/>
    <w:rsid w:val="00262D20"/>
    <w:rsid w:val="00262F35"/>
    <w:rsid w:val="00262FEA"/>
    <w:rsid w:val="00262FF5"/>
    <w:rsid w:val="0026329B"/>
    <w:rsid w:val="002634AB"/>
    <w:rsid w:val="002638E0"/>
    <w:rsid w:val="00263C19"/>
    <w:rsid w:val="00263E9F"/>
    <w:rsid w:val="00264C91"/>
    <w:rsid w:val="00264F03"/>
    <w:rsid w:val="00264F8F"/>
    <w:rsid w:val="002655AE"/>
    <w:rsid w:val="0026591F"/>
    <w:rsid w:val="00265A65"/>
    <w:rsid w:val="002660F0"/>
    <w:rsid w:val="00266BCB"/>
    <w:rsid w:val="002675B6"/>
    <w:rsid w:val="00267A99"/>
    <w:rsid w:val="00267C80"/>
    <w:rsid w:val="00270271"/>
    <w:rsid w:val="00270A41"/>
    <w:rsid w:val="00271522"/>
    <w:rsid w:val="00272174"/>
    <w:rsid w:val="002721A6"/>
    <w:rsid w:val="002722E0"/>
    <w:rsid w:val="002730EC"/>
    <w:rsid w:val="00273100"/>
    <w:rsid w:val="002735CC"/>
    <w:rsid w:val="002739FA"/>
    <w:rsid w:val="00273B4E"/>
    <w:rsid w:val="00274588"/>
    <w:rsid w:val="002745B3"/>
    <w:rsid w:val="00274A67"/>
    <w:rsid w:val="00274AA2"/>
    <w:rsid w:val="00274F5D"/>
    <w:rsid w:val="0027544D"/>
    <w:rsid w:val="002756EF"/>
    <w:rsid w:val="00275708"/>
    <w:rsid w:val="00276208"/>
    <w:rsid w:val="002768CF"/>
    <w:rsid w:val="00276F82"/>
    <w:rsid w:val="00277EE8"/>
    <w:rsid w:val="002805DF"/>
    <w:rsid w:val="0028092D"/>
    <w:rsid w:val="0028141B"/>
    <w:rsid w:val="002815D9"/>
    <w:rsid w:val="00282317"/>
    <w:rsid w:val="0028259C"/>
    <w:rsid w:val="0028284A"/>
    <w:rsid w:val="00282D25"/>
    <w:rsid w:val="00282DF9"/>
    <w:rsid w:val="00282EAA"/>
    <w:rsid w:val="00283A44"/>
    <w:rsid w:val="00283B3E"/>
    <w:rsid w:val="002850BB"/>
    <w:rsid w:val="002850EF"/>
    <w:rsid w:val="0028529F"/>
    <w:rsid w:val="00285687"/>
    <w:rsid w:val="00285A00"/>
    <w:rsid w:val="00286AE3"/>
    <w:rsid w:val="00287649"/>
    <w:rsid w:val="00287A58"/>
    <w:rsid w:val="00287D1B"/>
    <w:rsid w:val="00287DAB"/>
    <w:rsid w:val="00287F20"/>
    <w:rsid w:val="00287FB6"/>
    <w:rsid w:val="002900C5"/>
    <w:rsid w:val="002901E0"/>
    <w:rsid w:val="0029075B"/>
    <w:rsid w:val="00290B87"/>
    <w:rsid w:val="00290BB1"/>
    <w:rsid w:val="0029139F"/>
    <w:rsid w:val="00291BC1"/>
    <w:rsid w:val="002928EC"/>
    <w:rsid w:val="002933B7"/>
    <w:rsid w:val="002933CA"/>
    <w:rsid w:val="00293A8F"/>
    <w:rsid w:val="002941B2"/>
    <w:rsid w:val="00295155"/>
    <w:rsid w:val="00295CE7"/>
    <w:rsid w:val="00295D51"/>
    <w:rsid w:val="00296203"/>
    <w:rsid w:val="00296300"/>
    <w:rsid w:val="00296428"/>
    <w:rsid w:val="0029643D"/>
    <w:rsid w:val="00296DFD"/>
    <w:rsid w:val="00296F33"/>
    <w:rsid w:val="0029706A"/>
    <w:rsid w:val="002972EE"/>
    <w:rsid w:val="0029746D"/>
    <w:rsid w:val="002979B8"/>
    <w:rsid w:val="00297F01"/>
    <w:rsid w:val="002A02D0"/>
    <w:rsid w:val="002A052D"/>
    <w:rsid w:val="002A06C8"/>
    <w:rsid w:val="002A08EC"/>
    <w:rsid w:val="002A09DD"/>
    <w:rsid w:val="002A0A6A"/>
    <w:rsid w:val="002A0DF8"/>
    <w:rsid w:val="002A11A9"/>
    <w:rsid w:val="002A16DF"/>
    <w:rsid w:val="002A176B"/>
    <w:rsid w:val="002A1928"/>
    <w:rsid w:val="002A1EF7"/>
    <w:rsid w:val="002A1F1F"/>
    <w:rsid w:val="002A21B5"/>
    <w:rsid w:val="002A260A"/>
    <w:rsid w:val="002A2631"/>
    <w:rsid w:val="002A2984"/>
    <w:rsid w:val="002A2A0C"/>
    <w:rsid w:val="002A2BB6"/>
    <w:rsid w:val="002A30E0"/>
    <w:rsid w:val="002A310C"/>
    <w:rsid w:val="002A3521"/>
    <w:rsid w:val="002A35C5"/>
    <w:rsid w:val="002A37E1"/>
    <w:rsid w:val="002A38D7"/>
    <w:rsid w:val="002A3B61"/>
    <w:rsid w:val="002A402A"/>
    <w:rsid w:val="002A45AA"/>
    <w:rsid w:val="002A4B0B"/>
    <w:rsid w:val="002A4B6F"/>
    <w:rsid w:val="002A4FFF"/>
    <w:rsid w:val="002A502A"/>
    <w:rsid w:val="002A516B"/>
    <w:rsid w:val="002A533C"/>
    <w:rsid w:val="002A56E1"/>
    <w:rsid w:val="002A58AE"/>
    <w:rsid w:val="002A5930"/>
    <w:rsid w:val="002A59BD"/>
    <w:rsid w:val="002A5FE0"/>
    <w:rsid w:val="002A64C2"/>
    <w:rsid w:val="002A75CA"/>
    <w:rsid w:val="002A7889"/>
    <w:rsid w:val="002A799A"/>
    <w:rsid w:val="002A7FBC"/>
    <w:rsid w:val="002B097D"/>
    <w:rsid w:val="002B1015"/>
    <w:rsid w:val="002B11B2"/>
    <w:rsid w:val="002B18F7"/>
    <w:rsid w:val="002B39C8"/>
    <w:rsid w:val="002B3ED7"/>
    <w:rsid w:val="002B4778"/>
    <w:rsid w:val="002B4DAB"/>
    <w:rsid w:val="002B6B30"/>
    <w:rsid w:val="002B6C0E"/>
    <w:rsid w:val="002B711F"/>
    <w:rsid w:val="002B744D"/>
    <w:rsid w:val="002B7582"/>
    <w:rsid w:val="002B75B2"/>
    <w:rsid w:val="002B79B7"/>
    <w:rsid w:val="002B7F17"/>
    <w:rsid w:val="002C141D"/>
    <w:rsid w:val="002C19C0"/>
    <w:rsid w:val="002C1CFB"/>
    <w:rsid w:val="002C2087"/>
    <w:rsid w:val="002C2485"/>
    <w:rsid w:val="002C25E0"/>
    <w:rsid w:val="002C2A2D"/>
    <w:rsid w:val="002C36C0"/>
    <w:rsid w:val="002C3928"/>
    <w:rsid w:val="002C3B33"/>
    <w:rsid w:val="002C40FC"/>
    <w:rsid w:val="002C435E"/>
    <w:rsid w:val="002C43BB"/>
    <w:rsid w:val="002C44AB"/>
    <w:rsid w:val="002C4566"/>
    <w:rsid w:val="002C49A3"/>
    <w:rsid w:val="002C49D6"/>
    <w:rsid w:val="002C502A"/>
    <w:rsid w:val="002C5E39"/>
    <w:rsid w:val="002C5FA2"/>
    <w:rsid w:val="002C68EF"/>
    <w:rsid w:val="002C72E8"/>
    <w:rsid w:val="002C75FD"/>
    <w:rsid w:val="002C78C9"/>
    <w:rsid w:val="002C7A02"/>
    <w:rsid w:val="002C7BD4"/>
    <w:rsid w:val="002D00EC"/>
    <w:rsid w:val="002D0107"/>
    <w:rsid w:val="002D0541"/>
    <w:rsid w:val="002D062E"/>
    <w:rsid w:val="002D0D43"/>
    <w:rsid w:val="002D15C2"/>
    <w:rsid w:val="002D1B14"/>
    <w:rsid w:val="002D25DA"/>
    <w:rsid w:val="002D275E"/>
    <w:rsid w:val="002D2B10"/>
    <w:rsid w:val="002D2DB5"/>
    <w:rsid w:val="002D386A"/>
    <w:rsid w:val="002D3D12"/>
    <w:rsid w:val="002D4100"/>
    <w:rsid w:val="002D477F"/>
    <w:rsid w:val="002D4AF7"/>
    <w:rsid w:val="002D4CA9"/>
    <w:rsid w:val="002D4F48"/>
    <w:rsid w:val="002D519B"/>
    <w:rsid w:val="002D5EED"/>
    <w:rsid w:val="002D60FC"/>
    <w:rsid w:val="002D621E"/>
    <w:rsid w:val="002D6483"/>
    <w:rsid w:val="002D66DA"/>
    <w:rsid w:val="002D6B39"/>
    <w:rsid w:val="002D6B6B"/>
    <w:rsid w:val="002D7027"/>
    <w:rsid w:val="002D70DC"/>
    <w:rsid w:val="002D7281"/>
    <w:rsid w:val="002D758B"/>
    <w:rsid w:val="002D75BF"/>
    <w:rsid w:val="002D79BC"/>
    <w:rsid w:val="002D7E58"/>
    <w:rsid w:val="002E0D31"/>
    <w:rsid w:val="002E0EFA"/>
    <w:rsid w:val="002E1073"/>
    <w:rsid w:val="002E1117"/>
    <w:rsid w:val="002E12EC"/>
    <w:rsid w:val="002E1348"/>
    <w:rsid w:val="002E146D"/>
    <w:rsid w:val="002E1803"/>
    <w:rsid w:val="002E1DDA"/>
    <w:rsid w:val="002E272B"/>
    <w:rsid w:val="002E29F8"/>
    <w:rsid w:val="002E2C52"/>
    <w:rsid w:val="002E342B"/>
    <w:rsid w:val="002E3A6E"/>
    <w:rsid w:val="002E3B81"/>
    <w:rsid w:val="002E3D08"/>
    <w:rsid w:val="002E3E1D"/>
    <w:rsid w:val="002E3EEA"/>
    <w:rsid w:val="002E4D08"/>
    <w:rsid w:val="002E4DA5"/>
    <w:rsid w:val="002E52B8"/>
    <w:rsid w:val="002E548E"/>
    <w:rsid w:val="002E58C9"/>
    <w:rsid w:val="002E5DBF"/>
    <w:rsid w:val="002E5E01"/>
    <w:rsid w:val="002E60F5"/>
    <w:rsid w:val="002E6536"/>
    <w:rsid w:val="002E6592"/>
    <w:rsid w:val="002E69F5"/>
    <w:rsid w:val="002E6CAA"/>
    <w:rsid w:val="002E73EC"/>
    <w:rsid w:val="002E7D1F"/>
    <w:rsid w:val="002F023D"/>
    <w:rsid w:val="002F037A"/>
    <w:rsid w:val="002F10EC"/>
    <w:rsid w:val="002F1136"/>
    <w:rsid w:val="002F1231"/>
    <w:rsid w:val="002F1521"/>
    <w:rsid w:val="002F15EE"/>
    <w:rsid w:val="002F1CC6"/>
    <w:rsid w:val="002F28DD"/>
    <w:rsid w:val="002F2D7F"/>
    <w:rsid w:val="002F34BB"/>
    <w:rsid w:val="002F3632"/>
    <w:rsid w:val="002F3AFB"/>
    <w:rsid w:val="002F3C41"/>
    <w:rsid w:val="002F42F5"/>
    <w:rsid w:val="002F4B21"/>
    <w:rsid w:val="002F4C8E"/>
    <w:rsid w:val="002F5076"/>
    <w:rsid w:val="002F50BE"/>
    <w:rsid w:val="002F55D1"/>
    <w:rsid w:val="002F5839"/>
    <w:rsid w:val="002F64D9"/>
    <w:rsid w:val="002F651D"/>
    <w:rsid w:val="002F6648"/>
    <w:rsid w:val="002F67F0"/>
    <w:rsid w:val="002F6DA7"/>
    <w:rsid w:val="002F6E44"/>
    <w:rsid w:val="002F7133"/>
    <w:rsid w:val="002F74FD"/>
    <w:rsid w:val="002F787B"/>
    <w:rsid w:val="002F7974"/>
    <w:rsid w:val="002F7D01"/>
    <w:rsid w:val="0030005C"/>
    <w:rsid w:val="00300369"/>
    <w:rsid w:val="003003C2"/>
    <w:rsid w:val="00300DCA"/>
    <w:rsid w:val="003013F1"/>
    <w:rsid w:val="00301D0A"/>
    <w:rsid w:val="003027B8"/>
    <w:rsid w:val="0030293F"/>
    <w:rsid w:val="00302947"/>
    <w:rsid w:val="003029F0"/>
    <w:rsid w:val="00302B95"/>
    <w:rsid w:val="00302C50"/>
    <w:rsid w:val="003030A1"/>
    <w:rsid w:val="003031C2"/>
    <w:rsid w:val="003036DB"/>
    <w:rsid w:val="00303861"/>
    <w:rsid w:val="00303C81"/>
    <w:rsid w:val="0030422B"/>
    <w:rsid w:val="00304FFF"/>
    <w:rsid w:val="00305410"/>
    <w:rsid w:val="00305557"/>
    <w:rsid w:val="0030561F"/>
    <w:rsid w:val="0030580D"/>
    <w:rsid w:val="00305CA3"/>
    <w:rsid w:val="00306E5C"/>
    <w:rsid w:val="00306EF0"/>
    <w:rsid w:val="0030701F"/>
    <w:rsid w:val="003078BC"/>
    <w:rsid w:val="00307B56"/>
    <w:rsid w:val="00307C19"/>
    <w:rsid w:val="0031002F"/>
    <w:rsid w:val="00310732"/>
    <w:rsid w:val="00310BC9"/>
    <w:rsid w:val="003111A6"/>
    <w:rsid w:val="00311762"/>
    <w:rsid w:val="00311E98"/>
    <w:rsid w:val="00312215"/>
    <w:rsid w:val="003123F1"/>
    <w:rsid w:val="0031249C"/>
    <w:rsid w:val="003125C3"/>
    <w:rsid w:val="00312896"/>
    <w:rsid w:val="00313E28"/>
    <w:rsid w:val="00313EAC"/>
    <w:rsid w:val="003142F4"/>
    <w:rsid w:val="0031454E"/>
    <w:rsid w:val="0031611F"/>
    <w:rsid w:val="00316676"/>
    <w:rsid w:val="00316A8B"/>
    <w:rsid w:val="00317A33"/>
    <w:rsid w:val="00317B8E"/>
    <w:rsid w:val="00320098"/>
    <w:rsid w:val="00320339"/>
    <w:rsid w:val="00321214"/>
    <w:rsid w:val="003213D5"/>
    <w:rsid w:val="003223DE"/>
    <w:rsid w:val="00323737"/>
    <w:rsid w:val="00323AD6"/>
    <w:rsid w:val="00323F27"/>
    <w:rsid w:val="00324179"/>
    <w:rsid w:val="00324285"/>
    <w:rsid w:val="003242EF"/>
    <w:rsid w:val="00324CCA"/>
    <w:rsid w:val="00325339"/>
    <w:rsid w:val="003255AA"/>
    <w:rsid w:val="003262DA"/>
    <w:rsid w:val="003265F1"/>
    <w:rsid w:val="003279F6"/>
    <w:rsid w:val="003304DA"/>
    <w:rsid w:val="003308BB"/>
    <w:rsid w:val="003314B6"/>
    <w:rsid w:val="00331A20"/>
    <w:rsid w:val="00331E65"/>
    <w:rsid w:val="00332005"/>
    <w:rsid w:val="00333107"/>
    <w:rsid w:val="0033343B"/>
    <w:rsid w:val="00333633"/>
    <w:rsid w:val="0033393C"/>
    <w:rsid w:val="00333CB2"/>
    <w:rsid w:val="00334219"/>
    <w:rsid w:val="00335122"/>
    <w:rsid w:val="003357EE"/>
    <w:rsid w:val="003363AA"/>
    <w:rsid w:val="003363B9"/>
    <w:rsid w:val="00336BBB"/>
    <w:rsid w:val="00336F79"/>
    <w:rsid w:val="00337368"/>
    <w:rsid w:val="0033766D"/>
    <w:rsid w:val="0033778F"/>
    <w:rsid w:val="00337B4D"/>
    <w:rsid w:val="00337DF2"/>
    <w:rsid w:val="003407A9"/>
    <w:rsid w:val="00340BA3"/>
    <w:rsid w:val="00340BAF"/>
    <w:rsid w:val="00340BC6"/>
    <w:rsid w:val="00340C2B"/>
    <w:rsid w:val="00340F9A"/>
    <w:rsid w:val="00340FBE"/>
    <w:rsid w:val="00341018"/>
    <w:rsid w:val="00341723"/>
    <w:rsid w:val="00341758"/>
    <w:rsid w:val="00341E2D"/>
    <w:rsid w:val="003420D9"/>
    <w:rsid w:val="003423E0"/>
    <w:rsid w:val="0034301A"/>
    <w:rsid w:val="003434D5"/>
    <w:rsid w:val="00343D76"/>
    <w:rsid w:val="00343EDF"/>
    <w:rsid w:val="003440FA"/>
    <w:rsid w:val="00344DFD"/>
    <w:rsid w:val="003451D3"/>
    <w:rsid w:val="00345AEF"/>
    <w:rsid w:val="00346631"/>
    <w:rsid w:val="0034686C"/>
    <w:rsid w:val="00346AAD"/>
    <w:rsid w:val="00346AC4"/>
    <w:rsid w:val="00346D96"/>
    <w:rsid w:val="0034736A"/>
    <w:rsid w:val="0034747C"/>
    <w:rsid w:val="00347954"/>
    <w:rsid w:val="00347B6C"/>
    <w:rsid w:val="003502EF"/>
    <w:rsid w:val="0035100B"/>
    <w:rsid w:val="003510B6"/>
    <w:rsid w:val="0035138F"/>
    <w:rsid w:val="0035151C"/>
    <w:rsid w:val="00351972"/>
    <w:rsid w:val="00352254"/>
    <w:rsid w:val="003522A3"/>
    <w:rsid w:val="0035344D"/>
    <w:rsid w:val="003535D2"/>
    <w:rsid w:val="00353929"/>
    <w:rsid w:val="00353F9E"/>
    <w:rsid w:val="003540D1"/>
    <w:rsid w:val="003545BF"/>
    <w:rsid w:val="00354837"/>
    <w:rsid w:val="0035586A"/>
    <w:rsid w:val="00355E2D"/>
    <w:rsid w:val="0035611A"/>
    <w:rsid w:val="00356C3D"/>
    <w:rsid w:val="00356E67"/>
    <w:rsid w:val="00357751"/>
    <w:rsid w:val="00357875"/>
    <w:rsid w:val="00360ABD"/>
    <w:rsid w:val="00360B75"/>
    <w:rsid w:val="00360D00"/>
    <w:rsid w:val="00360FA9"/>
    <w:rsid w:val="0036151C"/>
    <w:rsid w:val="00361A9B"/>
    <w:rsid w:val="00362A10"/>
    <w:rsid w:val="00362CC9"/>
    <w:rsid w:val="00362CCF"/>
    <w:rsid w:val="003631DB"/>
    <w:rsid w:val="003633FA"/>
    <w:rsid w:val="00363FAA"/>
    <w:rsid w:val="00364524"/>
    <w:rsid w:val="0036513A"/>
    <w:rsid w:val="00365237"/>
    <w:rsid w:val="0036559C"/>
    <w:rsid w:val="0036587E"/>
    <w:rsid w:val="00365A75"/>
    <w:rsid w:val="00365B67"/>
    <w:rsid w:val="003660CD"/>
    <w:rsid w:val="0036629B"/>
    <w:rsid w:val="00366AC2"/>
    <w:rsid w:val="00366B08"/>
    <w:rsid w:val="00367496"/>
    <w:rsid w:val="003678BE"/>
    <w:rsid w:val="003700F8"/>
    <w:rsid w:val="003707EC"/>
    <w:rsid w:val="00370949"/>
    <w:rsid w:val="00371697"/>
    <w:rsid w:val="0037243B"/>
    <w:rsid w:val="0037251C"/>
    <w:rsid w:val="0037272C"/>
    <w:rsid w:val="00372B9A"/>
    <w:rsid w:val="00372C15"/>
    <w:rsid w:val="00372F6B"/>
    <w:rsid w:val="003731BF"/>
    <w:rsid w:val="00373DFE"/>
    <w:rsid w:val="00374054"/>
    <w:rsid w:val="00374231"/>
    <w:rsid w:val="0037474D"/>
    <w:rsid w:val="00374F2A"/>
    <w:rsid w:val="00375287"/>
    <w:rsid w:val="0037554B"/>
    <w:rsid w:val="00375791"/>
    <w:rsid w:val="00375826"/>
    <w:rsid w:val="00375994"/>
    <w:rsid w:val="00375AC8"/>
    <w:rsid w:val="00375C13"/>
    <w:rsid w:val="00375C59"/>
    <w:rsid w:val="00375E05"/>
    <w:rsid w:val="00375E48"/>
    <w:rsid w:val="00376BB7"/>
    <w:rsid w:val="00376EEE"/>
    <w:rsid w:val="00377BA1"/>
    <w:rsid w:val="00377FF0"/>
    <w:rsid w:val="00380498"/>
    <w:rsid w:val="00380616"/>
    <w:rsid w:val="00380E59"/>
    <w:rsid w:val="00381022"/>
    <w:rsid w:val="003814B8"/>
    <w:rsid w:val="00381510"/>
    <w:rsid w:val="00381FC5"/>
    <w:rsid w:val="00382876"/>
    <w:rsid w:val="00382909"/>
    <w:rsid w:val="00382EE1"/>
    <w:rsid w:val="00384258"/>
    <w:rsid w:val="003845BD"/>
    <w:rsid w:val="00384AED"/>
    <w:rsid w:val="00385131"/>
    <w:rsid w:val="0038620B"/>
    <w:rsid w:val="00386283"/>
    <w:rsid w:val="003867DC"/>
    <w:rsid w:val="00386AA6"/>
    <w:rsid w:val="00386B3D"/>
    <w:rsid w:val="00386BE4"/>
    <w:rsid w:val="00387647"/>
    <w:rsid w:val="0038791A"/>
    <w:rsid w:val="00390056"/>
    <w:rsid w:val="003901BD"/>
    <w:rsid w:val="0039055C"/>
    <w:rsid w:val="00390718"/>
    <w:rsid w:val="00390767"/>
    <w:rsid w:val="00390883"/>
    <w:rsid w:val="00391470"/>
    <w:rsid w:val="003920C4"/>
    <w:rsid w:val="00392184"/>
    <w:rsid w:val="00392652"/>
    <w:rsid w:val="003926C5"/>
    <w:rsid w:val="00392B41"/>
    <w:rsid w:val="00393FC9"/>
    <w:rsid w:val="0039456F"/>
    <w:rsid w:val="003945C8"/>
    <w:rsid w:val="0039480D"/>
    <w:rsid w:val="00395446"/>
    <w:rsid w:val="00395625"/>
    <w:rsid w:val="00396249"/>
    <w:rsid w:val="00396255"/>
    <w:rsid w:val="00396725"/>
    <w:rsid w:val="00396748"/>
    <w:rsid w:val="003971A5"/>
    <w:rsid w:val="00397216"/>
    <w:rsid w:val="00397A28"/>
    <w:rsid w:val="00397E94"/>
    <w:rsid w:val="00397F05"/>
    <w:rsid w:val="003A0442"/>
    <w:rsid w:val="003A0899"/>
    <w:rsid w:val="003A1512"/>
    <w:rsid w:val="003A1EB7"/>
    <w:rsid w:val="003A23F3"/>
    <w:rsid w:val="003A2D82"/>
    <w:rsid w:val="003A337C"/>
    <w:rsid w:val="003A36DA"/>
    <w:rsid w:val="003A38F1"/>
    <w:rsid w:val="003A391C"/>
    <w:rsid w:val="003A3AD5"/>
    <w:rsid w:val="003A3D1B"/>
    <w:rsid w:val="003A3F39"/>
    <w:rsid w:val="003A41A6"/>
    <w:rsid w:val="003A4296"/>
    <w:rsid w:val="003A4549"/>
    <w:rsid w:val="003A49B3"/>
    <w:rsid w:val="003A5364"/>
    <w:rsid w:val="003A55B4"/>
    <w:rsid w:val="003A613F"/>
    <w:rsid w:val="003A61B6"/>
    <w:rsid w:val="003A623F"/>
    <w:rsid w:val="003A71AD"/>
    <w:rsid w:val="003A7D1D"/>
    <w:rsid w:val="003B0225"/>
    <w:rsid w:val="003B0324"/>
    <w:rsid w:val="003B0494"/>
    <w:rsid w:val="003B0AAE"/>
    <w:rsid w:val="003B0B73"/>
    <w:rsid w:val="003B1177"/>
    <w:rsid w:val="003B1688"/>
    <w:rsid w:val="003B182F"/>
    <w:rsid w:val="003B1FA4"/>
    <w:rsid w:val="003B1FE6"/>
    <w:rsid w:val="003B2505"/>
    <w:rsid w:val="003B30F5"/>
    <w:rsid w:val="003B3106"/>
    <w:rsid w:val="003B3974"/>
    <w:rsid w:val="003B39E0"/>
    <w:rsid w:val="003B3B2D"/>
    <w:rsid w:val="003B3DAB"/>
    <w:rsid w:val="003B404D"/>
    <w:rsid w:val="003B4B34"/>
    <w:rsid w:val="003B4CDA"/>
    <w:rsid w:val="003B4F2D"/>
    <w:rsid w:val="003B5994"/>
    <w:rsid w:val="003B5BD9"/>
    <w:rsid w:val="003B5F91"/>
    <w:rsid w:val="003B64A3"/>
    <w:rsid w:val="003B6DB8"/>
    <w:rsid w:val="003B72B9"/>
    <w:rsid w:val="003C071B"/>
    <w:rsid w:val="003C0887"/>
    <w:rsid w:val="003C08AF"/>
    <w:rsid w:val="003C0C01"/>
    <w:rsid w:val="003C0C72"/>
    <w:rsid w:val="003C1ED5"/>
    <w:rsid w:val="003C24C7"/>
    <w:rsid w:val="003C2678"/>
    <w:rsid w:val="003C2EDD"/>
    <w:rsid w:val="003C3220"/>
    <w:rsid w:val="003C34CB"/>
    <w:rsid w:val="003C3793"/>
    <w:rsid w:val="003C3A47"/>
    <w:rsid w:val="003C3A79"/>
    <w:rsid w:val="003C4352"/>
    <w:rsid w:val="003C48F2"/>
    <w:rsid w:val="003C5177"/>
    <w:rsid w:val="003C52B0"/>
    <w:rsid w:val="003C5911"/>
    <w:rsid w:val="003C5C31"/>
    <w:rsid w:val="003C5CDB"/>
    <w:rsid w:val="003C5DAE"/>
    <w:rsid w:val="003C6263"/>
    <w:rsid w:val="003C6465"/>
    <w:rsid w:val="003C6549"/>
    <w:rsid w:val="003C65E4"/>
    <w:rsid w:val="003C7242"/>
    <w:rsid w:val="003C7712"/>
    <w:rsid w:val="003C7813"/>
    <w:rsid w:val="003C7862"/>
    <w:rsid w:val="003C7ECD"/>
    <w:rsid w:val="003D007D"/>
    <w:rsid w:val="003D01A1"/>
    <w:rsid w:val="003D04D6"/>
    <w:rsid w:val="003D04F6"/>
    <w:rsid w:val="003D0E55"/>
    <w:rsid w:val="003D18CC"/>
    <w:rsid w:val="003D209E"/>
    <w:rsid w:val="003D3583"/>
    <w:rsid w:val="003D367F"/>
    <w:rsid w:val="003D391E"/>
    <w:rsid w:val="003D3B6F"/>
    <w:rsid w:val="003D40E8"/>
    <w:rsid w:val="003D4243"/>
    <w:rsid w:val="003D455E"/>
    <w:rsid w:val="003D4B1C"/>
    <w:rsid w:val="003D4DAB"/>
    <w:rsid w:val="003D5545"/>
    <w:rsid w:val="003D5785"/>
    <w:rsid w:val="003D5A2D"/>
    <w:rsid w:val="003D5A9D"/>
    <w:rsid w:val="003D62C0"/>
    <w:rsid w:val="003D65F6"/>
    <w:rsid w:val="003D6911"/>
    <w:rsid w:val="003D6C63"/>
    <w:rsid w:val="003D7E4B"/>
    <w:rsid w:val="003D7F61"/>
    <w:rsid w:val="003E0035"/>
    <w:rsid w:val="003E097D"/>
    <w:rsid w:val="003E0C14"/>
    <w:rsid w:val="003E0D6F"/>
    <w:rsid w:val="003E1591"/>
    <w:rsid w:val="003E1ACF"/>
    <w:rsid w:val="003E216C"/>
    <w:rsid w:val="003E229A"/>
    <w:rsid w:val="003E236E"/>
    <w:rsid w:val="003E259D"/>
    <w:rsid w:val="003E26BA"/>
    <w:rsid w:val="003E28D5"/>
    <w:rsid w:val="003E2906"/>
    <w:rsid w:val="003E2969"/>
    <w:rsid w:val="003E2C1A"/>
    <w:rsid w:val="003E330F"/>
    <w:rsid w:val="003E3478"/>
    <w:rsid w:val="003E35D1"/>
    <w:rsid w:val="003E3AE2"/>
    <w:rsid w:val="003E3FCA"/>
    <w:rsid w:val="003E4E74"/>
    <w:rsid w:val="003E51B7"/>
    <w:rsid w:val="003E584B"/>
    <w:rsid w:val="003E5F7D"/>
    <w:rsid w:val="003E64ED"/>
    <w:rsid w:val="003E6520"/>
    <w:rsid w:val="003E67E7"/>
    <w:rsid w:val="003E6B25"/>
    <w:rsid w:val="003E6B3C"/>
    <w:rsid w:val="003E6B95"/>
    <w:rsid w:val="003E6BF5"/>
    <w:rsid w:val="003E70FF"/>
    <w:rsid w:val="003E724A"/>
    <w:rsid w:val="003E7F1B"/>
    <w:rsid w:val="003F030B"/>
    <w:rsid w:val="003F0679"/>
    <w:rsid w:val="003F0B41"/>
    <w:rsid w:val="003F1E39"/>
    <w:rsid w:val="003F1F3F"/>
    <w:rsid w:val="003F229D"/>
    <w:rsid w:val="003F25F0"/>
    <w:rsid w:val="003F2D5B"/>
    <w:rsid w:val="003F3147"/>
    <w:rsid w:val="003F5347"/>
    <w:rsid w:val="003F5501"/>
    <w:rsid w:val="003F5728"/>
    <w:rsid w:val="003F5AD2"/>
    <w:rsid w:val="003F5CA4"/>
    <w:rsid w:val="003F6D50"/>
    <w:rsid w:val="003F7006"/>
    <w:rsid w:val="003F7260"/>
    <w:rsid w:val="003F7507"/>
    <w:rsid w:val="003F7C72"/>
    <w:rsid w:val="003F7D10"/>
    <w:rsid w:val="0040009D"/>
    <w:rsid w:val="004009E3"/>
    <w:rsid w:val="00401000"/>
    <w:rsid w:val="004016C6"/>
    <w:rsid w:val="0040179A"/>
    <w:rsid w:val="00401856"/>
    <w:rsid w:val="00401E03"/>
    <w:rsid w:val="004022E4"/>
    <w:rsid w:val="004026E1"/>
    <w:rsid w:val="004028A2"/>
    <w:rsid w:val="00402B99"/>
    <w:rsid w:val="00402FEB"/>
    <w:rsid w:val="00403344"/>
    <w:rsid w:val="004039E3"/>
    <w:rsid w:val="00403C82"/>
    <w:rsid w:val="004048D0"/>
    <w:rsid w:val="00404C44"/>
    <w:rsid w:val="00404EE8"/>
    <w:rsid w:val="0040510D"/>
    <w:rsid w:val="0040512D"/>
    <w:rsid w:val="004057E8"/>
    <w:rsid w:val="00406029"/>
    <w:rsid w:val="0040602F"/>
    <w:rsid w:val="00406AFB"/>
    <w:rsid w:val="00407382"/>
    <w:rsid w:val="0040791B"/>
    <w:rsid w:val="00410D4B"/>
    <w:rsid w:val="00411958"/>
    <w:rsid w:val="00411B2A"/>
    <w:rsid w:val="00412100"/>
    <w:rsid w:val="00412973"/>
    <w:rsid w:val="00412D42"/>
    <w:rsid w:val="00412DA4"/>
    <w:rsid w:val="00412EB6"/>
    <w:rsid w:val="0041351F"/>
    <w:rsid w:val="004137C8"/>
    <w:rsid w:val="00413BF9"/>
    <w:rsid w:val="00413C25"/>
    <w:rsid w:val="00414316"/>
    <w:rsid w:val="00414416"/>
    <w:rsid w:val="004152CC"/>
    <w:rsid w:val="00415531"/>
    <w:rsid w:val="0041557F"/>
    <w:rsid w:val="004155B3"/>
    <w:rsid w:val="004156AF"/>
    <w:rsid w:val="00415996"/>
    <w:rsid w:val="00416330"/>
    <w:rsid w:val="004174D7"/>
    <w:rsid w:val="004176C7"/>
    <w:rsid w:val="00417877"/>
    <w:rsid w:val="00417B73"/>
    <w:rsid w:val="00417D9F"/>
    <w:rsid w:val="0042007F"/>
    <w:rsid w:val="00420229"/>
    <w:rsid w:val="004202E9"/>
    <w:rsid w:val="004206AB"/>
    <w:rsid w:val="00420DBA"/>
    <w:rsid w:val="00420FB5"/>
    <w:rsid w:val="00421311"/>
    <w:rsid w:val="0042139F"/>
    <w:rsid w:val="00422344"/>
    <w:rsid w:val="0042241F"/>
    <w:rsid w:val="0042299C"/>
    <w:rsid w:val="00422E13"/>
    <w:rsid w:val="0042305E"/>
    <w:rsid w:val="0042350F"/>
    <w:rsid w:val="00423599"/>
    <w:rsid w:val="0042384C"/>
    <w:rsid w:val="00423893"/>
    <w:rsid w:val="00423BC9"/>
    <w:rsid w:val="00423DE5"/>
    <w:rsid w:val="004255B4"/>
    <w:rsid w:val="00425EE4"/>
    <w:rsid w:val="00426079"/>
    <w:rsid w:val="00426766"/>
    <w:rsid w:val="004267D0"/>
    <w:rsid w:val="00426F0F"/>
    <w:rsid w:val="004279CA"/>
    <w:rsid w:val="00427A82"/>
    <w:rsid w:val="00427AE5"/>
    <w:rsid w:val="00427E5C"/>
    <w:rsid w:val="00427EA2"/>
    <w:rsid w:val="00430115"/>
    <w:rsid w:val="004307DA"/>
    <w:rsid w:val="00430A10"/>
    <w:rsid w:val="00430A4B"/>
    <w:rsid w:val="00430B2F"/>
    <w:rsid w:val="0043176B"/>
    <w:rsid w:val="00431C46"/>
    <w:rsid w:val="004322F9"/>
    <w:rsid w:val="004327E6"/>
    <w:rsid w:val="004329DC"/>
    <w:rsid w:val="00432AC6"/>
    <w:rsid w:val="00433FD7"/>
    <w:rsid w:val="00434C5E"/>
    <w:rsid w:val="00435672"/>
    <w:rsid w:val="00435765"/>
    <w:rsid w:val="00435AB3"/>
    <w:rsid w:val="004360B6"/>
    <w:rsid w:val="004362E5"/>
    <w:rsid w:val="00436356"/>
    <w:rsid w:val="004363F3"/>
    <w:rsid w:val="0043706C"/>
    <w:rsid w:val="00440722"/>
    <w:rsid w:val="00440800"/>
    <w:rsid w:val="00440C87"/>
    <w:rsid w:val="00441711"/>
    <w:rsid w:val="00441C00"/>
    <w:rsid w:val="00441ED4"/>
    <w:rsid w:val="00441F48"/>
    <w:rsid w:val="00441FE0"/>
    <w:rsid w:val="004423F5"/>
    <w:rsid w:val="004425D9"/>
    <w:rsid w:val="00443102"/>
    <w:rsid w:val="00443244"/>
    <w:rsid w:val="004444BA"/>
    <w:rsid w:val="00444AF6"/>
    <w:rsid w:val="00444BF9"/>
    <w:rsid w:val="0044519D"/>
    <w:rsid w:val="00445544"/>
    <w:rsid w:val="00445C0B"/>
    <w:rsid w:val="00446195"/>
    <w:rsid w:val="00446422"/>
    <w:rsid w:val="00447CD0"/>
    <w:rsid w:val="00447FC2"/>
    <w:rsid w:val="004502F4"/>
    <w:rsid w:val="004504B7"/>
    <w:rsid w:val="004506F4"/>
    <w:rsid w:val="004509D1"/>
    <w:rsid w:val="00450A42"/>
    <w:rsid w:val="004513A5"/>
    <w:rsid w:val="004515F6"/>
    <w:rsid w:val="004517F8"/>
    <w:rsid w:val="00451C50"/>
    <w:rsid w:val="00451D50"/>
    <w:rsid w:val="00452EC4"/>
    <w:rsid w:val="00453340"/>
    <w:rsid w:val="00453775"/>
    <w:rsid w:val="00453785"/>
    <w:rsid w:val="00453890"/>
    <w:rsid w:val="00454380"/>
    <w:rsid w:val="0045470C"/>
    <w:rsid w:val="004552C8"/>
    <w:rsid w:val="0045536C"/>
    <w:rsid w:val="00455A07"/>
    <w:rsid w:val="00455AEB"/>
    <w:rsid w:val="0045603C"/>
    <w:rsid w:val="00456053"/>
    <w:rsid w:val="00456068"/>
    <w:rsid w:val="004567A1"/>
    <w:rsid w:val="00456896"/>
    <w:rsid w:val="00456ADA"/>
    <w:rsid w:val="00456B0D"/>
    <w:rsid w:val="00456BBB"/>
    <w:rsid w:val="00456D70"/>
    <w:rsid w:val="00457135"/>
    <w:rsid w:val="0045770D"/>
    <w:rsid w:val="0045790F"/>
    <w:rsid w:val="00457C8D"/>
    <w:rsid w:val="00457D63"/>
    <w:rsid w:val="00457E21"/>
    <w:rsid w:val="0046007E"/>
    <w:rsid w:val="0046024B"/>
    <w:rsid w:val="0046062B"/>
    <w:rsid w:val="004606C8"/>
    <w:rsid w:val="00460E36"/>
    <w:rsid w:val="00461155"/>
    <w:rsid w:val="004611A5"/>
    <w:rsid w:val="0046218C"/>
    <w:rsid w:val="004623D4"/>
    <w:rsid w:val="0046247F"/>
    <w:rsid w:val="004629A0"/>
    <w:rsid w:val="00462F39"/>
    <w:rsid w:val="00463944"/>
    <w:rsid w:val="0046404F"/>
    <w:rsid w:val="004649FB"/>
    <w:rsid w:val="00464D38"/>
    <w:rsid w:val="0046512A"/>
    <w:rsid w:val="00465234"/>
    <w:rsid w:val="00465B24"/>
    <w:rsid w:val="00465F66"/>
    <w:rsid w:val="00466858"/>
    <w:rsid w:val="00466AD4"/>
    <w:rsid w:val="00466D0F"/>
    <w:rsid w:val="00467544"/>
    <w:rsid w:val="004676BA"/>
    <w:rsid w:val="0046784C"/>
    <w:rsid w:val="004678DA"/>
    <w:rsid w:val="00467AB7"/>
    <w:rsid w:val="00467DD9"/>
    <w:rsid w:val="00467ECB"/>
    <w:rsid w:val="004700A9"/>
    <w:rsid w:val="004710C3"/>
    <w:rsid w:val="00471459"/>
    <w:rsid w:val="004714BB"/>
    <w:rsid w:val="00471F7E"/>
    <w:rsid w:val="00472274"/>
    <w:rsid w:val="004722D4"/>
    <w:rsid w:val="00472AD0"/>
    <w:rsid w:val="00472D9C"/>
    <w:rsid w:val="00472E86"/>
    <w:rsid w:val="0047321B"/>
    <w:rsid w:val="00473B60"/>
    <w:rsid w:val="00474F17"/>
    <w:rsid w:val="00475AFF"/>
    <w:rsid w:val="00475D30"/>
    <w:rsid w:val="00476317"/>
    <w:rsid w:val="004765F4"/>
    <w:rsid w:val="00476B4D"/>
    <w:rsid w:val="00476CBC"/>
    <w:rsid w:val="00476E6C"/>
    <w:rsid w:val="00476FDC"/>
    <w:rsid w:val="00477282"/>
    <w:rsid w:val="004772B9"/>
    <w:rsid w:val="00477947"/>
    <w:rsid w:val="00477A5B"/>
    <w:rsid w:val="00477BBE"/>
    <w:rsid w:val="004800D7"/>
    <w:rsid w:val="00480FA1"/>
    <w:rsid w:val="00481FD7"/>
    <w:rsid w:val="00482DE5"/>
    <w:rsid w:val="00483266"/>
    <w:rsid w:val="0048352E"/>
    <w:rsid w:val="00483547"/>
    <w:rsid w:val="004836A9"/>
    <w:rsid w:val="00483B23"/>
    <w:rsid w:val="004840D7"/>
    <w:rsid w:val="004846F4"/>
    <w:rsid w:val="00485AC1"/>
    <w:rsid w:val="00485C26"/>
    <w:rsid w:val="00485EC0"/>
    <w:rsid w:val="00485F68"/>
    <w:rsid w:val="00486D48"/>
    <w:rsid w:val="004875E1"/>
    <w:rsid w:val="00487B37"/>
    <w:rsid w:val="00490636"/>
    <w:rsid w:val="00490E9F"/>
    <w:rsid w:val="00490FF0"/>
    <w:rsid w:val="004910FE"/>
    <w:rsid w:val="00491198"/>
    <w:rsid w:val="004917E0"/>
    <w:rsid w:val="00491BF6"/>
    <w:rsid w:val="00491FED"/>
    <w:rsid w:val="004924AC"/>
    <w:rsid w:val="00492F82"/>
    <w:rsid w:val="00493B85"/>
    <w:rsid w:val="004941C3"/>
    <w:rsid w:val="004943C2"/>
    <w:rsid w:val="004947DC"/>
    <w:rsid w:val="00494918"/>
    <w:rsid w:val="00494C65"/>
    <w:rsid w:val="00494F0C"/>
    <w:rsid w:val="00495557"/>
    <w:rsid w:val="0049618D"/>
    <w:rsid w:val="004965EF"/>
    <w:rsid w:val="0049719D"/>
    <w:rsid w:val="00497FCD"/>
    <w:rsid w:val="004A01A3"/>
    <w:rsid w:val="004A0623"/>
    <w:rsid w:val="004A095C"/>
    <w:rsid w:val="004A0D1E"/>
    <w:rsid w:val="004A0E66"/>
    <w:rsid w:val="004A0EEC"/>
    <w:rsid w:val="004A130F"/>
    <w:rsid w:val="004A17EF"/>
    <w:rsid w:val="004A1BDA"/>
    <w:rsid w:val="004A22DA"/>
    <w:rsid w:val="004A2700"/>
    <w:rsid w:val="004A2EC4"/>
    <w:rsid w:val="004A36C8"/>
    <w:rsid w:val="004A3721"/>
    <w:rsid w:val="004A3742"/>
    <w:rsid w:val="004A37B8"/>
    <w:rsid w:val="004A3B5B"/>
    <w:rsid w:val="004A3CC2"/>
    <w:rsid w:val="004A3ED3"/>
    <w:rsid w:val="004A47BC"/>
    <w:rsid w:val="004A4AC6"/>
    <w:rsid w:val="004A4B79"/>
    <w:rsid w:val="004A61BF"/>
    <w:rsid w:val="004A7469"/>
    <w:rsid w:val="004A7AD5"/>
    <w:rsid w:val="004B1199"/>
    <w:rsid w:val="004B16C4"/>
    <w:rsid w:val="004B1867"/>
    <w:rsid w:val="004B2191"/>
    <w:rsid w:val="004B2A64"/>
    <w:rsid w:val="004B2E43"/>
    <w:rsid w:val="004B3B53"/>
    <w:rsid w:val="004B3F9A"/>
    <w:rsid w:val="004B41DA"/>
    <w:rsid w:val="004B470D"/>
    <w:rsid w:val="004B4764"/>
    <w:rsid w:val="004B4846"/>
    <w:rsid w:val="004B4C3A"/>
    <w:rsid w:val="004B5394"/>
    <w:rsid w:val="004B5BDD"/>
    <w:rsid w:val="004B65AE"/>
    <w:rsid w:val="004B6A72"/>
    <w:rsid w:val="004B6E9E"/>
    <w:rsid w:val="004B6F66"/>
    <w:rsid w:val="004B6F83"/>
    <w:rsid w:val="004B7C29"/>
    <w:rsid w:val="004B7D8E"/>
    <w:rsid w:val="004B7FAE"/>
    <w:rsid w:val="004C06E5"/>
    <w:rsid w:val="004C12A7"/>
    <w:rsid w:val="004C1346"/>
    <w:rsid w:val="004C1B7D"/>
    <w:rsid w:val="004C1E3C"/>
    <w:rsid w:val="004C25F0"/>
    <w:rsid w:val="004C26DD"/>
    <w:rsid w:val="004C27A4"/>
    <w:rsid w:val="004C2B5D"/>
    <w:rsid w:val="004C2D68"/>
    <w:rsid w:val="004C2E7A"/>
    <w:rsid w:val="004C2F56"/>
    <w:rsid w:val="004C303C"/>
    <w:rsid w:val="004C339D"/>
    <w:rsid w:val="004C33E8"/>
    <w:rsid w:val="004C3568"/>
    <w:rsid w:val="004C3BE6"/>
    <w:rsid w:val="004C4307"/>
    <w:rsid w:val="004C4309"/>
    <w:rsid w:val="004C4848"/>
    <w:rsid w:val="004C49E3"/>
    <w:rsid w:val="004C4E8A"/>
    <w:rsid w:val="004C514A"/>
    <w:rsid w:val="004C645A"/>
    <w:rsid w:val="004C6572"/>
    <w:rsid w:val="004C668C"/>
    <w:rsid w:val="004C684D"/>
    <w:rsid w:val="004C6D4F"/>
    <w:rsid w:val="004C7541"/>
    <w:rsid w:val="004D06D0"/>
    <w:rsid w:val="004D0901"/>
    <w:rsid w:val="004D1E71"/>
    <w:rsid w:val="004D241F"/>
    <w:rsid w:val="004D2CDF"/>
    <w:rsid w:val="004D33CE"/>
    <w:rsid w:val="004D387B"/>
    <w:rsid w:val="004D3D91"/>
    <w:rsid w:val="004D4AAE"/>
    <w:rsid w:val="004D4D8C"/>
    <w:rsid w:val="004D7C86"/>
    <w:rsid w:val="004E0197"/>
    <w:rsid w:val="004E0388"/>
    <w:rsid w:val="004E0BFC"/>
    <w:rsid w:val="004E1122"/>
    <w:rsid w:val="004E1409"/>
    <w:rsid w:val="004E1A87"/>
    <w:rsid w:val="004E1AC5"/>
    <w:rsid w:val="004E1BB0"/>
    <w:rsid w:val="004E1D80"/>
    <w:rsid w:val="004E2A4B"/>
    <w:rsid w:val="004E2E13"/>
    <w:rsid w:val="004E3030"/>
    <w:rsid w:val="004E3311"/>
    <w:rsid w:val="004E38EC"/>
    <w:rsid w:val="004E3933"/>
    <w:rsid w:val="004E4549"/>
    <w:rsid w:val="004E4C83"/>
    <w:rsid w:val="004E4D53"/>
    <w:rsid w:val="004E4D84"/>
    <w:rsid w:val="004E4EBC"/>
    <w:rsid w:val="004E5104"/>
    <w:rsid w:val="004E5342"/>
    <w:rsid w:val="004E5755"/>
    <w:rsid w:val="004E5B06"/>
    <w:rsid w:val="004E5FA8"/>
    <w:rsid w:val="004E6035"/>
    <w:rsid w:val="004E684C"/>
    <w:rsid w:val="004E6FF1"/>
    <w:rsid w:val="004E76DB"/>
    <w:rsid w:val="004F1F90"/>
    <w:rsid w:val="004F2401"/>
    <w:rsid w:val="004F2774"/>
    <w:rsid w:val="004F2A44"/>
    <w:rsid w:val="004F2CB3"/>
    <w:rsid w:val="004F2DAD"/>
    <w:rsid w:val="004F34F7"/>
    <w:rsid w:val="004F55D6"/>
    <w:rsid w:val="004F565A"/>
    <w:rsid w:val="004F571B"/>
    <w:rsid w:val="004F637D"/>
    <w:rsid w:val="004F64EB"/>
    <w:rsid w:val="004F6D3B"/>
    <w:rsid w:val="004F7437"/>
    <w:rsid w:val="004F770D"/>
    <w:rsid w:val="004F7A74"/>
    <w:rsid w:val="004F7DD2"/>
    <w:rsid w:val="00500250"/>
    <w:rsid w:val="00500264"/>
    <w:rsid w:val="00500824"/>
    <w:rsid w:val="00500DAB"/>
    <w:rsid w:val="00501144"/>
    <w:rsid w:val="005013EF"/>
    <w:rsid w:val="0050166C"/>
    <w:rsid w:val="005019E0"/>
    <w:rsid w:val="0050211F"/>
    <w:rsid w:val="005022E7"/>
    <w:rsid w:val="00502360"/>
    <w:rsid w:val="00502A93"/>
    <w:rsid w:val="00504136"/>
    <w:rsid w:val="00504EC2"/>
    <w:rsid w:val="005052F8"/>
    <w:rsid w:val="005059AB"/>
    <w:rsid w:val="00506083"/>
    <w:rsid w:val="00506357"/>
    <w:rsid w:val="005067C7"/>
    <w:rsid w:val="005068D6"/>
    <w:rsid w:val="00506B86"/>
    <w:rsid w:val="00506C5F"/>
    <w:rsid w:val="00506EEC"/>
    <w:rsid w:val="00506FD4"/>
    <w:rsid w:val="00507F59"/>
    <w:rsid w:val="00510683"/>
    <w:rsid w:val="00510733"/>
    <w:rsid w:val="005107FF"/>
    <w:rsid w:val="00510CBC"/>
    <w:rsid w:val="0051102D"/>
    <w:rsid w:val="005112A5"/>
    <w:rsid w:val="00511337"/>
    <w:rsid w:val="005114D0"/>
    <w:rsid w:val="00511F48"/>
    <w:rsid w:val="00512231"/>
    <w:rsid w:val="00512448"/>
    <w:rsid w:val="0051253A"/>
    <w:rsid w:val="005125B7"/>
    <w:rsid w:val="0051266C"/>
    <w:rsid w:val="00513B72"/>
    <w:rsid w:val="005140E6"/>
    <w:rsid w:val="00514394"/>
    <w:rsid w:val="00515277"/>
    <w:rsid w:val="005158A6"/>
    <w:rsid w:val="005158C2"/>
    <w:rsid w:val="0051672A"/>
    <w:rsid w:val="005169DE"/>
    <w:rsid w:val="0051754D"/>
    <w:rsid w:val="005177F7"/>
    <w:rsid w:val="00517839"/>
    <w:rsid w:val="0051785D"/>
    <w:rsid w:val="00517913"/>
    <w:rsid w:val="00517931"/>
    <w:rsid w:val="00517A76"/>
    <w:rsid w:val="00517C5E"/>
    <w:rsid w:val="00517FE0"/>
    <w:rsid w:val="00520057"/>
    <w:rsid w:val="0052005F"/>
    <w:rsid w:val="00520200"/>
    <w:rsid w:val="00520E2D"/>
    <w:rsid w:val="00520F04"/>
    <w:rsid w:val="00521717"/>
    <w:rsid w:val="00521A10"/>
    <w:rsid w:val="005224B2"/>
    <w:rsid w:val="00523B23"/>
    <w:rsid w:val="00523DFA"/>
    <w:rsid w:val="005245CE"/>
    <w:rsid w:val="0052495E"/>
    <w:rsid w:val="00524B41"/>
    <w:rsid w:val="00524D41"/>
    <w:rsid w:val="00525345"/>
    <w:rsid w:val="005254BC"/>
    <w:rsid w:val="005256FC"/>
    <w:rsid w:val="00526C27"/>
    <w:rsid w:val="00526CFE"/>
    <w:rsid w:val="00526DFF"/>
    <w:rsid w:val="00527473"/>
    <w:rsid w:val="00527EF9"/>
    <w:rsid w:val="00527F7B"/>
    <w:rsid w:val="005305FF"/>
    <w:rsid w:val="00530C9B"/>
    <w:rsid w:val="00532334"/>
    <w:rsid w:val="005324AF"/>
    <w:rsid w:val="00533052"/>
    <w:rsid w:val="00533A17"/>
    <w:rsid w:val="0053402C"/>
    <w:rsid w:val="00534090"/>
    <w:rsid w:val="0053469E"/>
    <w:rsid w:val="00534ABA"/>
    <w:rsid w:val="00535799"/>
    <w:rsid w:val="00535973"/>
    <w:rsid w:val="00535FFF"/>
    <w:rsid w:val="0053616F"/>
    <w:rsid w:val="005368AD"/>
    <w:rsid w:val="00536DF9"/>
    <w:rsid w:val="005370BC"/>
    <w:rsid w:val="00537AFE"/>
    <w:rsid w:val="00537B35"/>
    <w:rsid w:val="00537B47"/>
    <w:rsid w:val="00537DE7"/>
    <w:rsid w:val="00537EC4"/>
    <w:rsid w:val="00537FE4"/>
    <w:rsid w:val="0054027D"/>
    <w:rsid w:val="00541222"/>
    <w:rsid w:val="00541A8D"/>
    <w:rsid w:val="00541C25"/>
    <w:rsid w:val="00542F61"/>
    <w:rsid w:val="00543C4E"/>
    <w:rsid w:val="00543E7F"/>
    <w:rsid w:val="00544DA0"/>
    <w:rsid w:val="00544EC1"/>
    <w:rsid w:val="005454BD"/>
    <w:rsid w:val="005457E4"/>
    <w:rsid w:val="00545D76"/>
    <w:rsid w:val="005463D4"/>
    <w:rsid w:val="00546997"/>
    <w:rsid w:val="00546C49"/>
    <w:rsid w:val="00546CD6"/>
    <w:rsid w:val="0055010B"/>
    <w:rsid w:val="00550D59"/>
    <w:rsid w:val="0055110D"/>
    <w:rsid w:val="0055182C"/>
    <w:rsid w:val="00551F81"/>
    <w:rsid w:val="0055210F"/>
    <w:rsid w:val="0055228C"/>
    <w:rsid w:val="00552A3B"/>
    <w:rsid w:val="00552AE7"/>
    <w:rsid w:val="00552CD7"/>
    <w:rsid w:val="005533BE"/>
    <w:rsid w:val="005534E5"/>
    <w:rsid w:val="00553B91"/>
    <w:rsid w:val="00554A66"/>
    <w:rsid w:val="00554B30"/>
    <w:rsid w:val="00554FFB"/>
    <w:rsid w:val="00555890"/>
    <w:rsid w:val="00556301"/>
    <w:rsid w:val="005568DE"/>
    <w:rsid w:val="005579A3"/>
    <w:rsid w:val="00557C50"/>
    <w:rsid w:val="005606B6"/>
    <w:rsid w:val="005608D6"/>
    <w:rsid w:val="00560CC1"/>
    <w:rsid w:val="00560F19"/>
    <w:rsid w:val="00561E6B"/>
    <w:rsid w:val="005621D2"/>
    <w:rsid w:val="005621E0"/>
    <w:rsid w:val="00562D90"/>
    <w:rsid w:val="00563317"/>
    <w:rsid w:val="00563A23"/>
    <w:rsid w:val="00563A5A"/>
    <w:rsid w:val="00563A6B"/>
    <w:rsid w:val="00563C61"/>
    <w:rsid w:val="00563ECB"/>
    <w:rsid w:val="00563F47"/>
    <w:rsid w:val="005640BB"/>
    <w:rsid w:val="00564C23"/>
    <w:rsid w:val="005653C8"/>
    <w:rsid w:val="00565406"/>
    <w:rsid w:val="00565570"/>
    <w:rsid w:val="005657DD"/>
    <w:rsid w:val="00565B29"/>
    <w:rsid w:val="005664CC"/>
    <w:rsid w:val="0056664B"/>
    <w:rsid w:val="00566BFE"/>
    <w:rsid w:val="00567257"/>
    <w:rsid w:val="00567588"/>
    <w:rsid w:val="00567992"/>
    <w:rsid w:val="00567C3C"/>
    <w:rsid w:val="005702F8"/>
    <w:rsid w:val="00570AC3"/>
    <w:rsid w:val="00571231"/>
    <w:rsid w:val="005712B5"/>
    <w:rsid w:val="005713F6"/>
    <w:rsid w:val="00571767"/>
    <w:rsid w:val="00571E44"/>
    <w:rsid w:val="00573E61"/>
    <w:rsid w:val="00573EF3"/>
    <w:rsid w:val="00573FBF"/>
    <w:rsid w:val="0057411B"/>
    <w:rsid w:val="00574525"/>
    <w:rsid w:val="00574778"/>
    <w:rsid w:val="0057498F"/>
    <w:rsid w:val="00574DE9"/>
    <w:rsid w:val="00575DF4"/>
    <w:rsid w:val="0057666C"/>
    <w:rsid w:val="00576A8F"/>
    <w:rsid w:val="00576FD4"/>
    <w:rsid w:val="005771DC"/>
    <w:rsid w:val="0057724B"/>
    <w:rsid w:val="0057729B"/>
    <w:rsid w:val="0057765D"/>
    <w:rsid w:val="005777FC"/>
    <w:rsid w:val="005808EB"/>
    <w:rsid w:val="00580D37"/>
    <w:rsid w:val="005811EA"/>
    <w:rsid w:val="00581819"/>
    <w:rsid w:val="00581F83"/>
    <w:rsid w:val="00581FA0"/>
    <w:rsid w:val="00582B90"/>
    <w:rsid w:val="005831A7"/>
    <w:rsid w:val="00583321"/>
    <w:rsid w:val="0058341E"/>
    <w:rsid w:val="005846B5"/>
    <w:rsid w:val="00584818"/>
    <w:rsid w:val="00584F3A"/>
    <w:rsid w:val="005852EB"/>
    <w:rsid w:val="005853AB"/>
    <w:rsid w:val="0058566E"/>
    <w:rsid w:val="00585748"/>
    <w:rsid w:val="005859C5"/>
    <w:rsid w:val="00585C79"/>
    <w:rsid w:val="00585FD0"/>
    <w:rsid w:val="00586144"/>
    <w:rsid w:val="005863F5"/>
    <w:rsid w:val="005864DB"/>
    <w:rsid w:val="005864DE"/>
    <w:rsid w:val="00587785"/>
    <w:rsid w:val="0058788D"/>
    <w:rsid w:val="00587995"/>
    <w:rsid w:val="00587E29"/>
    <w:rsid w:val="00587FE6"/>
    <w:rsid w:val="00590385"/>
    <w:rsid w:val="00590D26"/>
    <w:rsid w:val="00591246"/>
    <w:rsid w:val="00591698"/>
    <w:rsid w:val="0059170C"/>
    <w:rsid w:val="0059326E"/>
    <w:rsid w:val="00593A5A"/>
    <w:rsid w:val="00593B87"/>
    <w:rsid w:val="00593C1C"/>
    <w:rsid w:val="00593E94"/>
    <w:rsid w:val="00594143"/>
    <w:rsid w:val="00594543"/>
    <w:rsid w:val="00594612"/>
    <w:rsid w:val="00595873"/>
    <w:rsid w:val="00595CDD"/>
    <w:rsid w:val="00595DB8"/>
    <w:rsid w:val="005964BB"/>
    <w:rsid w:val="00596A70"/>
    <w:rsid w:val="00596BD3"/>
    <w:rsid w:val="00596BE7"/>
    <w:rsid w:val="00596C3E"/>
    <w:rsid w:val="005977DD"/>
    <w:rsid w:val="005A04BD"/>
    <w:rsid w:val="005A0A3F"/>
    <w:rsid w:val="005A114F"/>
    <w:rsid w:val="005A1920"/>
    <w:rsid w:val="005A19B3"/>
    <w:rsid w:val="005A1B05"/>
    <w:rsid w:val="005A1F49"/>
    <w:rsid w:val="005A2364"/>
    <w:rsid w:val="005A2480"/>
    <w:rsid w:val="005A29BC"/>
    <w:rsid w:val="005A2B2C"/>
    <w:rsid w:val="005A2D6B"/>
    <w:rsid w:val="005A3252"/>
    <w:rsid w:val="005A33F7"/>
    <w:rsid w:val="005A39FD"/>
    <w:rsid w:val="005A3A7B"/>
    <w:rsid w:val="005A40CF"/>
    <w:rsid w:val="005A4A1A"/>
    <w:rsid w:val="005A4A9C"/>
    <w:rsid w:val="005A4AB9"/>
    <w:rsid w:val="005A4BAE"/>
    <w:rsid w:val="005A4F39"/>
    <w:rsid w:val="005A5648"/>
    <w:rsid w:val="005A574D"/>
    <w:rsid w:val="005A5B5C"/>
    <w:rsid w:val="005A6E93"/>
    <w:rsid w:val="005A707A"/>
    <w:rsid w:val="005A7340"/>
    <w:rsid w:val="005A7507"/>
    <w:rsid w:val="005A7F93"/>
    <w:rsid w:val="005B012D"/>
    <w:rsid w:val="005B07EA"/>
    <w:rsid w:val="005B0B20"/>
    <w:rsid w:val="005B0BD6"/>
    <w:rsid w:val="005B0EFB"/>
    <w:rsid w:val="005B1060"/>
    <w:rsid w:val="005B10E6"/>
    <w:rsid w:val="005B12B9"/>
    <w:rsid w:val="005B17C1"/>
    <w:rsid w:val="005B208A"/>
    <w:rsid w:val="005B2154"/>
    <w:rsid w:val="005B3737"/>
    <w:rsid w:val="005B3796"/>
    <w:rsid w:val="005B3A42"/>
    <w:rsid w:val="005B4AB5"/>
    <w:rsid w:val="005B4C52"/>
    <w:rsid w:val="005B4CAF"/>
    <w:rsid w:val="005B57F0"/>
    <w:rsid w:val="005B5D40"/>
    <w:rsid w:val="005B5EFC"/>
    <w:rsid w:val="005B6412"/>
    <w:rsid w:val="005B6698"/>
    <w:rsid w:val="005B68A7"/>
    <w:rsid w:val="005B6AC3"/>
    <w:rsid w:val="005B7892"/>
    <w:rsid w:val="005C055E"/>
    <w:rsid w:val="005C0FA1"/>
    <w:rsid w:val="005C13F3"/>
    <w:rsid w:val="005C1615"/>
    <w:rsid w:val="005C1739"/>
    <w:rsid w:val="005C1D98"/>
    <w:rsid w:val="005C1DA5"/>
    <w:rsid w:val="005C217D"/>
    <w:rsid w:val="005C2559"/>
    <w:rsid w:val="005C2873"/>
    <w:rsid w:val="005C34FC"/>
    <w:rsid w:val="005C3873"/>
    <w:rsid w:val="005C3B5C"/>
    <w:rsid w:val="005C3C7F"/>
    <w:rsid w:val="005C4E5C"/>
    <w:rsid w:val="005C5143"/>
    <w:rsid w:val="005C54CD"/>
    <w:rsid w:val="005C5639"/>
    <w:rsid w:val="005C5742"/>
    <w:rsid w:val="005C65CE"/>
    <w:rsid w:val="005C6AE0"/>
    <w:rsid w:val="005C7318"/>
    <w:rsid w:val="005C75C1"/>
    <w:rsid w:val="005C760E"/>
    <w:rsid w:val="005C7A25"/>
    <w:rsid w:val="005C7E9E"/>
    <w:rsid w:val="005D016A"/>
    <w:rsid w:val="005D051A"/>
    <w:rsid w:val="005D0AD0"/>
    <w:rsid w:val="005D0ED1"/>
    <w:rsid w:val="005D18BD"/>
    <w:rsid w:val="005D18C9"/>
    <w:rsid w:val="005D1A92"/>
    <w:rsid w:val="005D1B72"/>
    <w:rsid w:val="005D2471"/>
    <w:rsid w:val="005D25A3"/>
    <w:rsid w:val="005D2779"/>
    <w:rsid w:val="005D2C9F"/>
    <w:rsid w:val="005D2E3E"/>
    <w:rsid w:val="005D30D7"/>
    <w:rsid w:val="005D3242"/>
    <w:rsid w:val="005D3336"/>
    <w:rsid w:val="005D339E"/>
    <w:rsid w:val="005D433B"/>
    <w:rsid w:val="005D48FE"/>
    <w:rsid w:val="005D4EA8"/>
    <w:rsid w:val="005D53E2"/>
    <w:rsid w:val="005D5DDD"/>
    <w:rsid w:val="005D5EDB"/>
    <w:rsid w:val="005D610C"/>
    <w:rsid w:val="005D6CA8"/>
    <w:rsid w:val="005D74E7"/>
    <w:rsid w:val="005D7525"/>
    <w:rsid w:val="005D7EBD"/>
    <w:rsid w:val="005D7F7B"/>
    <w:rsid w:val="005E0081"/>
    <w:rsid w:val="005E047E"/>
    <w:rsid w:val="005E19B0"/>
    <w:rsid w:val="005E1A8B"/>
    <w:rsid w:val="005E1B22"/>
    <w:rsid w:val="005E23B1"/>
    <w:rsid w:val="005E3BCD"/>
    <w:rsid w:val="005E427E"/>
    <w:rsid w:val="005E4A87"/>
    <w:rsid w:val="005E4DA5"/>
    <w:rsid w:val="005E503E"/>
    <w:rsid w:val="005E5174"/>
    <w:rsid w:val="005E5599"/>
    <w:rsid w:val="005E59C7"/>
    <w:rsid w:val="005E5B8C"/>
    <w:rsid w:val="005E5DE3"/>
    <w:rsid w:val="005E5E7B"/>
    <w:rsid w:val="005E6095"/>
    <w:rsid w:val="005E6A3F"/>
    <w:rsid w:val="005E6BC8"/>
    <w:rsid w:val="005E6D79"/>
    <w:rsid w:val="005E6DB8"/>
    <w:rsid w:val="005E7228"/>
    <w:rsid w:val="005E7284"/>
    <w:rsid w:val="005E7BAC"/>
    <w:rsid w:val="005E7C86"/>
    <w:rsid w:val="005F081A"/>
    <w:rsid w:val="005F0982"/>
    <w:rsid w:val="005F0E5C"/>
    <w:rsid w:val="005F134E"/>
    <w:rsid w:val="005F1365"/>
    <w:rsid w:val="005F1E0B"/>
    <w:rsid w:val="005F204C"/>
    <w:rsid w:val="005F2305"/>
    <w:rsid w:val="005F279D"/>
    <w:rsid w:val="005F2C1F"/>
    <w:rsid w:val="005F2E44"/>
    <w:rsid w:val="005F3148"/>
    <w:rsid w:val="005F3690"/>
    <w:rsid w:val="005F37AF"/>
    <w:rsid w:val="005F3986"/>
    <w:rsid w:val="005F4A4A"/>
    <w:rsid w:val="005F4C57"/>
    <w:rsid w:val="005F4EC8"/>
    <w:rsid w:val="005F6774"/>
    <w:rsid w:val="005F7707"/>
    <w:rsid w:val="005F78DF"/>
    <w:rsid w:val="005F79AA"/>
    <w:rsid w:val="005F7CAC"/>
    <w:rsid w:val="0060044B"/>
    <w:rsid w:val="006013D7"/>
    <w:rsid w:val="006014DB"/>
    <w:rsid w:val="00601587"/>
    <w:rsid w:val="00602079"/>
    <w:rsid w:val="006022F3"/>
    <w:rsid w:val="00602579"/>
    <w:rsid w:val="00602BA4"/>
    <w:rsid w:val="00602DA2"/>
    <w:rsid w:val="00602FF4"/>
    <w:rsid w:val="00603228"/>
    <w:rsid w:val="00603AE6"/>
    <w:rsid w:val="00603C76"/>
    <w:rsid w:val="00604ACD"/>
    <w:rsid w:val="00604C15"/>
    <w:rsid w:val="00604DC2"/>
    <w:rsid w:val="006060C4"/>
    <w:rsid w:val="00606157"/>
    <w:rsid w:val="006061B5"/>
    <w:rsid w:val="00606CD0"/>
    <w:rsid w:val="00607C35"/>
    <w:rsid w:val="00610257"/>
    <w:rsid w:val="00611777"/>
    <w:rsid w:val="0061189F"/>
    <w:rsid w:val="00611CC6"/>
    <w:rsid w:val="0061219B"/>
    <w:rsid w:val="00612B8A"/>
    <w:rsid w:val="00612D05"/>
    <w:rsid w:val="006135A4"/>
    <w:rsid w:val="00613AD9"/>
    <w:rsid w:val="00613FB6"/>
    <w:rsid w:val="006140C6"/>
    <w:rsid w:val="00614134"/>
    <w:rsid w:val="00614169"/>
    <w:rsid w:val="00614241"/>
    <w:rsid w:val="00614270"/>
    <w:rsid w:val="0061428D"/>
    <w:rsid w:val="00615411"/>
    <w:rsid w:val="0061599E"/>
    <w:rsid w:val="00615AC7"/>
    <w:rsid w:val="006162E6"/>
    <w:rsid w:val="006171A5"/>
    <w:rsid w:val="00617A1D"/>
    <w:rsid w:val="00617C1D"/>
    <w:rsid w:val="00620309"/>
    <w:rsid w:val="006206A2"/>
    <w:rsid w:val="0062077F"/>
    <w:rsid w:val="00620CA9"/>
    <w:rsid w:val="0062159D"/>
    <w:rsid w:val="00621680"/>
    <w:rsid w:val="00621BD4"/>
    <w:rsid w:val="00621EC5"/>
    <w:rsid w:val="006223E0"/>
    <w:rsid w:val="006224D0"/>
    <w:rsid w:val="00622557"/>
    <w:rsid w:val="0062280C"/>
    <w:rsid w:val="006228DF"/>
    <w:rsid w:val="00622BCE"/>
    <w:rsid w:val="00622E29"/>
    <w:rsid w:val="00623643"/>
    <w:rsid w:val="0062381D"/>
    <w:rsid w:val="00624018"/>
    <w:rsid w:val="006240C4"/>
    <w:rsid w:val="00624B3C"/>
    <w:rsid w:val="00624BCC"/>
    <w:rsid w:val="00624F65"/>
    <w:rsid w:val="006252E4"/>
    <w:rsid w:val="00625304"/>
    <w:rsid w:val="0062581B"/>
    <w:rsid w:val="006261F4"/>
    <w:rsid w:val="00626EB0"/>
    <w:rsid w:val="00627694"/>
    <w:rsid w:val="0062781C"/>
    <w:rsid w:val="006302E0"/>
    <w:rsid w:val="00630771"/>
    <w:rsid w:val="006309E2"/>
    <w:rsid w:val="00630F3F"/>
    <w:rsid w:val="006311C1"/>
    <w:rsid w:val="006312B2"/>
    <w:rsid w:val="0063164E"/>
    <w:rsid w:val="0063191D"/>
    <w:rsid w:val="0063202C"/>
    <w:rsid w:val="00632049"/>
    <w:rsid w:val="00632FE6"/>
    <w:rsid w:val="00633488"/>
    <w:rsid w:val="00633581"/>
    <w:rsid w:val="006337BC"/>
    <w:rsid w:val="006339AF"/>
    <w:rsid w:val="00633C47"/>
    <w:rsid w:val="00633CCB"/>
    <w:rsid w:val="006348F7"/>
    <w:rsid w:val="0063512D"/>
    <w:rsid w:val="006358FB"/>
    <w:rsid w:val="00635AC1"/>
    <w:rsid w:val="00635AE2"/>
    <w:rsid w:val="00635E1E"/>
    <w:rsid w:val="0063677C"/>
    <w:rsid w:val="00636972"/>
    <w:rsid w:val="00636B69"/>
    <w:rsid w:val="00636BC2"/>
    <w:rsid w:val="00637354"/>
    <w:rsid w:val="00637A10"/>
    <w:rsid w:val="00637E68"/>
    <w:rsid w:val="006404B1"/>
    <w:rsid w:val="006404D1"/>
    <w:rsid w:val="00640F35"/>
    <w:rsid w:val="00640F43"/>
    <w:rsid w:val="006412CA"/>
    <w:rsid w:val="006420DA"/>
    <w:rsid w:val="00642359"/>
    <w:rsid w:val="00642A0A"/>
    <w:rsid w:val="00643953"/>
    <w:rsid w:val="00643AC1"/>
    <w:rsid w:val="00643D62"/>
    <w:rsid w:val="00643FF7"/>
    <w:rsid w:val="00644A5E"/>
    <w:rsid w:val="00644A6C"/>
    <w:rsid w:val="00644D69"/>
    <w:rsid w:val="006452E5"/>
    <w:rsid w:val="006457A8"/>
    <w:rsid w:val="00645EA0"/>
    <w:rsid w:val="00645F76"/>
    <w:rsid w:val="006460C4"/>
    <w:rsid w:val="00646EB0"/>
    <w:rsid w:val="0064714D"/>
    <w:rsid w:val="0064727D"/>
    <w:rsid w:val="00647B32"/>
    <w:rsid w:val="00647C27"/>
    <w:rsid w:val="0065007B"/>
    <w:rsid w:val="006502BF"/>
    <w:rsid w:val="006519E6"/>
    <w:rsid w:val="00651CDE"/>
    <w:rsid w:val="00652326"/>
    <w:rsid w:val="006524F6"/>
    <w:rsid w:val="0065284F"/>
    <w:rsid w:val="00652907"/>
    <w:rsid w:val="00652E06"/>
    <w:rsid w:val="00653D76"/>
    <w:rsid w:val="00653FC4"/>
    <w:rsid w:val="006546E7"/>
    <w:rsid w:val="00654937"/>
    <w:rsid w:val="006549A0"/>
    <w:rsid w:val="00654F91"/>
    <w:rsid w:val="006551E5"/>
    <w:rsid w:val="00655361"/>
    <w:rsid w:val="00656253"/>
    <w:rsid w:val="00656799"/>
    <w:rsid w:val="00656AAE"/>
    <w:rsid w:val="00656AE3"/>
    <w:rsid w:val="00656B3A"/>
    <w:rsid w:val="00656B77"/>
    <w:rsid w:val="00656E72"/>
    <w:rsid w:val="00657408"/>
    <w:rsid w:val="006578A1"/>
    <w:rsid w:val="0066137B"/>
    <w:rsid w:val="0066174E"/>
    <w:rsid w:val="00661BBB"/>
    <w:rsid w:val="00661E57"/>
    <w:rsid w:val="0066211B"/>
    <w:rsid w:val="006629E4"/>
    <w:rsid w:val="0066352E"/>
    <w:rsid w:val="00663783"/>
    <w:rsid w:val="00663B2B"/>
    <w:rsid w:val="00663E47"/>
    <w:rsid w:val="00664313"/>
    <w:rsid w:val="006644A7"/>
    <w:rsid w:val="00664BDE"/>
    <w:rsid w:val="006652B3"/>
    <w:rsid w:val="006654F3"/>
    <w:rsid w:val="0066565B"/>
    <w:rsid w:val="00665C44"/>
    <w:rsid w:val="00665D9D"/>
    <w:rsid w:val="00666284"/>
    <w:rsid w:val="006667F3"/>
    <w:rsid w:val="00666ACC"/>
    <w:rsid w:val="00667AEA"/>
    <w:rsid w:val="00670257"/>
    <w:rsid w:val="006704FA"/>
    <w:rsid w:val="00670687"/>
    <w:rsid w:val="00670B4B"/>
    <w:rsid w:val="00670DC5"/>
    <w:rsid w:val="006715B9"/>
    <w:rsid w:val="00671652"/>
    <w:rsid w:val="00671A22"/>
    <w:rsid w:val="00671FAA"/>
    <w:rsid w:val="00673757"/>
    <w:rsid w:val="00675DA5"/>
    <w:rsid w:val="00675F44"/>
    <w:rsid w:val="0067636B"/>
    <w:rsid w:val="00676459"/>
    <w:rsid w:val="00676BA3"/>
    <w:rsid w:val="00680482"/>
    <w:rsid w:val="006808DC"/>
    <w:rsid w:val="00680BE2"/>
    <w:rsid w:val="00680E25"/>
    <w:rsid w:val="006816B6"/>
    <w:rsid w:val="006820EB"/>
    <w:rsid w:val="00682128"/>
    <w:rsid w:val="0068220C"/>
    <w:rsid w:val="0068235E"/>
    <w:rsid w:val="00682AB1"/>
    <w:rsid w:val="00682E9D"/>
    <w:rsid w:val="00682E9F"/>
    <w:rsid w:val="00683252"/>
    <w:rsid w:val="0068343A"/>
    <w:rsid w:val="006834D4"/>
    <w:rsid w:val="006837DB"/>
    <w:rsid w:val="0068413D"/>
    <w:rsid w:val="006844BA"/>
    <w:rsid w:val="006845A2"/>
    <w:rsid w:val="00684635"/>
    <w:rsid w:val="00684BF8"/>
    <w:rsid w:val="00684D9B"/>
    <w:rsid w:val="006858AA"/>
    <w:rsid w:val="00685BCF"/>
    <w:rsid w:val="006871D0"/>
    <w:rsid w:val="0068751F"/>
    <w:rsid w:val="00687694"/>
    <w:rsid w:val="00687A9D"/>
    <w:rsid w:val="006900D1"/>
    <w:rsid w:val="00690297"/>
    <w:rsid w:val="00690E23"/>
    <w:rsid w:val="0069115A"/>
    <w:rsid w:val="006912F1"/>
    <w:rsid w:val="00691387"/>
    <w:rsid w:val="00691C75"/>
    <w:rsid w:val="006927F2"/>
    <w:rsid w:val="006928D6"/>
    <w:rsid w:val="00692A76"/>
    <w:rsid w:val="006931DB"/>
    <w:rsid w:val="006931E1"/>
    <w:rsid w:val="006939AB"/>
    <w:rsid w:val="006939E7"/>
    <w:rsid w:val="00694310"/>
    <w:rsid w:val="00694452"/>
    <w:rsid w:val="00694700"/>
    <w:rsid w:val="00694803"/>
    <w:rsid w:val="00694CE8"/>
    <w:rsid w:val="0069569E"/>
    <w:rsid w:val="006956C6"/>
    <w:rsid w:val="00695C61"/>
    <w:rsid w:val="00696EE3"/>
    <w:rsid w:val="0069715D"/>
    <w:rsid w:val="00697392"/>
    <w:rsid w:val="006973E5"/>
    <w:rsid w:val="00697664"/>
    <w:rsid w:val="00697681"/>
    <w:rsid w:val="0069770C"/>
    <w:rsid w:val="00697D71"/>
    <w:rsid w:val="006A08F2"/>
    <w:rsid w:val="006A0A90"/>
    <w:rsid w:val="006A151A"/>
    <w:rsid w:val="006A1B5A"/>
    <w:rsid w:val="006A1E62"/>
    <w:rsid w:val="006A1ECE"/>
    <w:rsid w:val="006A279B"/>
    <w:rsid w:val="006A28A8"/>
    <w:rsid w:val="006A2A12"/>
    <w:rsid w:val="006A2E9C"/>
    <w:rsid w:val="006A2FE4"/>
    <w:rsid w:val="006A35E0"/>
    <w:rsid w:val="006A377F"/>
    <w:rsid w:val="006A384A"/>
    <w:rsid w:val="006A3875"/>
    <w:rsid w:val="006A3D40"/>
    <w:rsid w:val="006A408E"/>
    <w:rsid w:val="006A4FFF"/>
    <w:rsid w:val="006A521A"/>
    <w:rsid w:val="006A561D"/>
    <w:rsid w:val="006A5A0C"/>
    <w:rsid w:val="006A5BA0"/>
    <w:rsid w:val="006A5BB1"/>
    <w:rsid w:val="006A5F88"/>
    <w:rsid w:val="006A60F9"/>
    <w:rsid w:val="006A7040"/>
    <w:rsid w:val="006A770F"/>
    <w:rsid w:val="006A7716"/>
    <w:rsid w:val="006A7B95"/>
    <w:rsid w:val="006A7D95"/>
    <w:rsid w:val="006B0492"/>
    <w:rsid w:val="006B120D"/>
    <w:rsid w:val="006B13C1"/>
    <w:rsid w:val="006B176E"/>
    <w:rsid w:val="006B1B41"/>
    <w:rsid w:val="006B1E39"/>
    <w:rsid w:val="006B28C3"/>
    <w:rsid w:val="006B2C58"/>
    <w:rsid w:val="006B2CC7"/>
    <w:rsid w:val="006B3698"/>
    <w:rsid w:val="006B3AF9"/>
    <w:rsid w:val="006B44C5"/>
    <w:rsid w:val="006B4F4E"/>
    <w:rsid w:val="006B555F"/>
    <w:rsid w:val="006B5688"/>
    <w:rsid w:val="006B5784"/>
    <w:rsid w:val="006B589F"/>
    <w:rsid w:val="006B5EF0"/>
    <w:rsid w:val="006B6242"/>
    <w:rsid w:val="006B6C7C"/>
    <w:rsid w:val="006B6EA4"/>
    <w:rsid w:val="006B7309"/>
    <w:rsid w:val="006B77BB"/>
    <w:rsid w:val="006B791A"/>
    <w:rsid w:val="006B7C7B"/>
    <w:rsid w:val="006B7F8F"/>
    <w:rsid w:val="006B7FC5"/>
    <w:rsid w:val="006C055E"/>
    <w:rsid w:val="006C0D13"/>
    <w:rsid w:val="006C187F"/>
    <w:rsid w:val="006C19BC"/>
    <w:rsid w:val="006C19D5"/>
    <w:rsid w:val="006C1B44"/>
    <w:rsid w:val="006C1F77"/>
    <w:rsid w:val="006C2211"/>
    <w:rsid w:val="006C3031"/>
    <w:rsid w:val="006C333F"/>
    <w:rsid w:val="006C3607"/>
    <w:rsid w:val="006C3990"/>
    <w:rsid w:val="006C3ED2"/>
    <w:rsid w:val="006C4233"/>
    <w:rsid w:val="006C42E7"/>
    <w:rsid w:val="006C4422"/>
    <w:rsid w:val="006C4AE7"/>
    <w:rsid w:val="006C5BEF"/>
    <w:rsid w:val="006C5CCA"/>
    <w:rsid w:val="006C625F"/>
    <w:rsid w:val="006C6738"/>
    <w:rsid w:val="006C6882"/>
    <w:rsid w:val="006C7278"/>
    <w:rsid w:val="006C78A6"/>
    <w:rsid w:val="006C7AB4"/>
    <w:rsid w:val="006C7E22"/>
    <w:rsid w:val="006D006B"/>
    <w:rsid w:val="006D038A"/>
    <w:rsid w:val="006D0B96"/>
    <w:rsid w:val="006D105C"/>
    <w:rsid w:val="006D1324"/>
    <w:rsid w:val="006D1ACE"/>
    <w:rsid w:val="006D1BB3"/>
    <w:rsid w:val="006D30E7"/>
    <w:rsid w:val="006D448B"/>
    <w:rsid w:val="006D48E7"/>
    <w:rsid w:val="006D4947"/>
    <w:rsid w:val="006D4EC5"/>
    <w:rsid w:val="006D5F16"/>
    <w:rsid w:val="006D63AD"/>
    <w:rsid w:val="006D6764"/>
    <w:rsid w:val="006D67D9"/>
    <w:rsid w:val="006D6C93"/>
    <w:rsid w:val="006D72AC"/>
    <w:rsid w:val="006D7573"/>
    <w:rsid w:val="006D7A1B"/>
    <w:rsid w:val="006E0094"/>
    <w:rsid w:val="006E0340"/>
    <w:rsid w:val="006E06F9"/>
    <w:rsid w:val="006E07A9"/>
    <w:rsid w:val="006E0D91"/>
    <w:rsid w:val="006E1706"/>
    <w:rsid w:val="006E2E7C"/>
    <w:rsid w:val="006E3782"/>
    <w:rsid w:val="006E3CB2"/>
    <w:rsid w:val="006E3DA8"/>
    <w:rsid w:val="006E3F17"/>
    <w:rsid w:val="006E5DAA"/>
    <w:rsid w:val="006E7006"/>
    <w:rsid w:val="006E79C4"/>
    <w:rsid w:val="006F0059"/>
    <w:rsid w:val="006F00E7"/>
    <w:rsid w:val="006F0B31"/>
    <w:rsid w:val="006F0F6E"/>
    <w:rsid w:val="006F1B22"/>
    <w:rsid w:val="006F1BA4"/>
    <w:rsid w:val="006F2259"/>
    <w:rsid w:val="006F23E1"/>
    <w:rsid w:val="006F2F8F"/>
    <w:rsid w:val="006F2FDA"/>
    <w:rsid w:val="006F2FE5"/>
    <w:rsid w:val="006F3460"/>
    <w:rsid w:val="006F34FE"/>
    <w:rsid w:val="006F3615"/>
    <w:rsid w:val="006F3ECA"/>
    <w:rsid w:val="006F3FA3"/>
    <w:rsid w:val="006F45D2"/>
    <w:rsid w:val="006F48BA"/>
    <w:rsid w:val="006F4AF9"/>
    <w:rsid w:val="006F54EB"/>
    <w:rsid w:val="006F5CC1"/>
    <w:rsid w:val="006F6654"/>
    <w:rsid w:val="006F67A5"/>
    <w:rsid w:val="006F762D"/>
    <w:rsid w:val="006F7B46"/>
    <w:rsid w:val="006F7FEB"/>
    <w:rsid w:val="007002C2"/>
    <w:rsid w:val="00700492"/>
    <w:rsid w:val="0070064F"/>
    <w:rsid w:val="007009AC"/>
    <w:rsid w:val="00700FAA"/>
    <w:rsid w:val="00701320"/>
    <w:rsid w:val="0070167E"/>
    <w:rsid w:val="00701E1B"/>
    <w:rsid w:val="007026A1"/>
    <w:rsid w:val="00702ED0"/>
    <w:rsid w:val="00703106"/>
    <w:rsid w:val="00703C09"/>
    <w:rsid w:val="007040B5"/>
    <w:rsid w:val="0070434A"/>
    <w:rsid w:val="007048C4"/>
    <w:rsid w:val="00704CC4"/>
    <w:rsid w:val="00705345"/>
    <w:rsid w:val="0070638D"/>
    <w:rsid w:val="007065F6"/>
    <w:rsid w:val="00706DBF"/>
    <w:rsid w:val="00707A59"/>
    <w:rsid w:val="00707B83"/>
    <w:rsid w:val="007101FB"/>
    <w:rsid w:val="0071046B"/>
    <w:rsid w:val="00710AC6"/>
    <w:rsid w:val="00710C1D"/>
    <w:rsid w:val="00710E96"/>
    <w:rsid w:val="007110A3"/>
    <w:rsid w:val="00711108"/>
    <w:rsid w:val="00711213"/>
    <w:rsid w:val="007112A1"/>
    <w:rsid w:val="007116F5"/>
    <w:rsid w:val="00711996"/>
    <w:rsid w:val="00711B3B"/>
    <w:rsid w:val="00711BA3"/>
    <w:rsid w:val="00711C9D"/>
    <w:rsid w:val="00711EE4"/>
    <w:rsid w:val="007125AD"/>
    <w:rsid w:val="00712816"/>
    <w:rsid w:val="00712B71"/>
    <w:rsid w:val="00712E55"/>
    <w:rsid w:val="00713023"/>
    <w:rsid w:val="0071322C"/>
    <w:rsid w:val="00713779"/>
    <w:rsid w:val="00713989"/>
    <w:rsid w:val="00713DCF"/>
    <w:rsid w:val="00714004"/>
    <w:rsid w:val="0071458E"/>
    <w:rsid w:val="007145C9"/>
    <w:rsid w:val="00714631"/>
    <w:rsid w:val="00714671"/>
    <w:rsid w:val="0071487F"/>
    <w:rsid w:val="00714B6E"/>
    <w:rsid w:val="0071512F"/>
    <w:rsid w:val="00716654"/>
    <w:rsid w:val="007169AC"/>
    <w:rsid w:val="007169DD"/>
    <w:rsid w:val="007175E3"/>
    <w:rsid w:val="00717679"/>
    <w:rsid w:val="00717B67"/>
    <w:rsid w:val="007206A2"/>
    <w:rsid w:val="00720B38"/>
    <w:rsid w:val="00720CA7"/>
    <w:rsid w:val="0072147B"/>
    <w:rsid w:val="0072181E"/>
    <w:rsid w:val="0072188E"/>
    <w:rsid w:val="00721B78"/>
    <w:rsid w:val="00722267"/>
    <w:rsid w:val="0072285E"/>
    <w:rsid w:val="00722C62"/>
    <w:rsid w:val="0072321F"/>
    <w:rsid w:val="00723295"/>
    <w:rsid w:val="007238E2"/>
    <w:rsid w:val="007239B4"/>
    <w:rsid w:val="00723D3F"/>
    <w:rsid w:val="00724446"/>
    <w:rsid w:val="00724584"/>
    <w:rsid w:val="007249B7"/>
    <w:rsid w:val="00724AA1"/>
    <w:rsid w:val="00724B79"/>
    <w:rsid w:val="00724D39"/>
    <w:rsid w:val="00724F05"/>
    <w:rsid w:val="007251C7"/>
    <w:rsid w:val="007257DC"/>
    <w:rsid w:val="00725A19"/>
    <w:rsid w:val="00725E79"/>
    <w:rsid w:val="0072601E"/>
    <w:rsid w:val="00726356"/>
    <w:rsid w:val="007268C7"/>
    <w:rsid w:val="00726AAB"/>
    <w:rsid w:val="00727077"/>
    <w:rsid w:val="00730AA8"/>
    <w:rsid w:val="00730EA6"/>
    <w:rsid w:val="00731C15"/>
    <w:rsid w:val="00732045"/>
    <w:rsid w:val="0073222C"/>
    <w:rsid w:val="007322A0"/>
    <w:rsid w:val="00732C1A"/>
    <w:rsid w:val="0073353E"/>
    <w:rsid w:val="00733CDC"/>
    <w:rsid w:val="00734B9A"/>
    <w:rsid w:val="007354FC"/>
    <w:rsid w:val="00735695"/>
    <w:rsid w:val="007360CB"/>
    <w:rsid w:val="007373DD"/>
    <w:rsid w:val="00737419"/>
    <w:rsid w:val="00737566"/>
    <w:rsid w:val="00737BCB"/>
    <w:rsid w:val="00741BA2"/>
    <w:rsid w:val="00741CF4"/>
    <w:rsid w:val="00741DCC"/>
    <w:rsid w:val="00741DE2"/>
    <w:rsid w:val="007421A1"/>
    <w:rsid w:val="007427FE"/>
    <w:rsid w:val="00742C51"/>
    <w:rsid w:val="00743445"/>
    <w:rsid w:val="0074395C"/>
    <w:rsid w:val="00743C1D"/>
    <w:rsid w:val="0074402E"/>
    <w:rsid w:val="00744032"/>
    <w:rsid w:val="00745891"/>
    <w:rsid w:val="00745AEA"/>
    <w:rsid w:val="00745E01"/>
    <w:rsid w:val="0074666B"/>
    <w:rsid w:val="007468D6"/>
    <w:rsid w:val="00746BFF"/>
    <w:rsid w:val="007473E1"/>
    <w:rsid w:val="007474AB"/>
    <w:rsid w:val="00747885"/>
    <w:rsid w:val="00747897"/>
    <w:rsid w:val="00747E47"/>
    <w:rsid w:val="00747F6A"/>
    <w:rsid w:val="00750192"/>
    <w:rsid w:val="007504E1"/>
    <w:rsid w:val="00750544"/>
    <w:rsid w:val="00750804"/>
    <w:rsid w:val="007509AB"/>
    <w:rsid w:val="00750C4D"/>
    <w:rsid w:val="007510D0"/>
    <w:rsid w:val="00751689"/>
    <w:rsid w:val="007524AA"/>
    <w:rsid w:val="00752D78"/>
    <w:rsid w:val="00753744"/>
    <w:rsid w:val="00753A93"/>
    <w:rsid w:val="00754B4B"/>
    <w:rsid w:val="00755663"/>
    <w:rsid w:val="00756386"/>
    <w:rsid w:val="00756603"/>
    <w:rsid w:val="00757356"/>
    <w:rsid w:val="007575C0"/>
    <w:rsid w:val="00757D2F"/>
    <w:rsid w:val="0076000E"/>
    <w:rsid w:val="00760B51"/>
    <w:rsid w:val="00760C00"/>
    <w:rsid w:val="007610E9"/>
    <w:rsid w:val="00761385"/>
    <w:rsid w:val="00761728"/>
    <w:rsid w:val="00761C6C"/>
    <w:rsid w:val="00762B72"/>
    <w:rsid w:val="00763CCB"/>
    <w:rsid w:val="0076409C"/>
    <w:rsid w:val="007641CE"/>
    <w:rsid w:val="007641E3"/>
    <w:rsid w:val="007642B4"/>
    <w:rsid w:val="00764C45"/>
    <w:rsid w:val="00764C7F"/>
    <w:rsid w:val="00764E38"/>
    <w:rsid w:val="00765C79"/>
    <w:rsid w:val="00765F9C"/>
    <w:rsid w:val="00766277"/>
    <w:rsid w:val="0076656A"/>
    <w:rsid w:val="00766701"/>
    <w:rsid w:val="00766911"/>
    <w:rsid w:val="0076778A"/>
    <w:rsid w:val="00767793"/>
    <w:rsid w:val="007679D8"/>
    <w:rsid w:val="00767B09"/>
    <w:rsid w:val="00770803"/>
    <w:rsid w:val="00771319"/>
    <w:rsid w:val="007713E8"/>
    <w:rsid w:val="00771794"/>
    <w:rsid w:val="00771CCF"/>
    <w:rsid w:val="00771E28"/>
    <w:rsid w:val="00771F7D"/>
    <w:rsid w:val="007720FF"/>
    <w:rsid w:val="007729B7"/>
    <w:rsid w:val="00772C3E"/>
    <w:rsid w:val="007736E8"/>
    <w:rsid w:val="00773DC0"/>
    <w:rsid w:val="00774382"/>
    <w:rsid w:val="00774400"/>
    <w:rsid w:val="007746F2"/>
    <w:rsid w:val="007747B3"/>
    <w:rsid w:val="00774ACE"/>
    <w:rsid w:val="00775350"/>
    <w:rsid w:val="00775823"/>
    <w:rsid w:val="00775841"/>
    <w:rsid w:val="00775F57"/>
    <w:rsid w:val="00775FA7"/>
    <w:rsid w:val="00776584"/>
    <w:rsid w:val="007769EF"/>
    <w:rsid w:val="00776D4F"/>
    <w:rsid w:val="00776DDC"/>
    <w:rsid w:val="00776EE8"/>
    <w:rsid w:val="007770F9"/>
    <w:rsid w:val="00777179"/>
    <w:rsid w:val="00777945"/>
    <w:rsid w:val="00777D40"/>
    <w:rsid w:val="00777F30"/>
    <w:rsid w:val="00780B8D"/>
    <w:rsid w:val="00780B8E"/>
    <w:rsid w:val="00781274"/>
    <w:rsid w:val="00781649"/>
    <w:rsid w:val="00781BD5"/>
    <w:rsid w:val="007823D6"/>
    <w:rsid w:val="0078254E"/>
    <w:rsid w:val="00782628"/>
    <w:rsid w:val="007826AB"/>
    <w:rsid w:val="007829B2"/>
    <w:rsid w:val="0078308C"/>
    <w:rsid w:val="00783898"/>
    <w:rsid w:val="007840E2"/>
    <w:rsid w:val="0078477E"/>
    <w:rsid w:val="00785410"/>
    <w:rsid w:val="0078569F"/>
    <w:rsid w:val="00785803"/>
    <w:rsid w:val="00785CEA"/>
    <w:rsid w:val="00785EB4"/>
    <w:rsid w:val="00786023"/>
    <w:rsid w:val="0078609A"/>
    <w:rsid w:val="00786114"/>
    <w:rsid w:val="00786F85"/>
    <w:rsid w:val="0078706D"/>
    <w:rsid w:val="0078731A"/>
    <w:rsid w:val="00787487"/>
    <w:rsid w:val="007875DA"/>
    <w:rsid w:val="007877BB"/>
    <w:rsid w:val="007906F1"/>
    <w:rsid w:val="00790EDA"/>
    <w:rsid w:val="00791349"/>
    <w:rsid w:val="00791D85"/>
    <w:rsid w:val="00791DAF"/>
    <w:rsid w:val="007924CA"/>
    <w:rsid w:val="00792B6F"/>
    <w:rsid w:val="00792BB4"/>
    <w:rsid w:val="0079306A"/>
    <w:rsid w:val="00794CBF"/>
    <w:rsid w:val="00795365"/>
    <w:rsid w:val="00795464"/>
    <w:rsid w:val="0079567E"/>
    <w:rsid w:val="007961D5"/>
    <w:rsid w:val="00796A6F"/>
    <w:rsid w:val="00796C5D"/>
    <w:rsid w:val="00797B06"/>
    <w:rsid w:val="00797B9C"/>
    <w:rsid w:val="007A0483"/>
    <w:rsid w:val="007A1065"/>
    <w:rsid w:val="007A1483"/>
    <w:rsid w:val="007A18EF"/>
    <w:rsid w:val="007A1CEF"/>
    <w:rsid w:val="007A1D86"/>
    <w:rsid w:val="007A2A97"/>
    <w:rsid w:val="007A2CDC"/>
    <w:rsid w:val="007A371B"/>
    <w:rsid w:val="007A3832"/>
    <w:rsid w:val="007A3A0F"/>
    <w:rsid w:val="007A3CF6"/>
    <w:rsid w:val="007A3E60"/>
    <w:rsid w:val="007A407D"/>
    <w:rsid w:val="007A4228"/>
    <w:rsid w:val="007A42C3"/>
    <w:rsid w:val="007A464F"/>
    <w:rsid w:val="007A4F3A"/>
    <w:rsid w:val="007A5035"/>
    <w:rsid w:val="007A6196"/>
    <w:rsid w:val="007A63D5"/>
    <w:rsid w:val="007A689A"/>
    <w:rsid w:val="007A68EA"/>
    <w:rsid w:val="007A6B7D"/>
    <w:rsid w:val="007A6FBB"/>
    <w:rsid w:val="007A7408"/>
    <w:rsid w:val="007A7629"/>
    <w:rsid w:val="007A7C5D"/>
    <w:rsid w:val="007B0734"/>
    <w:rsid w:val="007B0958"/>
    <w:rsid w:val="007B0A58"/>
    <w:rsid w:val="007B1027"/>
    <w:rsid w:val="007B1691"/>
    <w:rsid w:val="007B174F"/>
    <w:rsid w:val="007B1863"/>
    <w:rsid w:val="007B22E0"/>
    <w:rsid w:val="007B28CA"/>
    <w:rsid w:val="007B28F6"/>
    <w:rsid w:val="007B2B2C"/>
    <w:rsid w:val="007B358D"/>
    <w:rsid w:val="007B3876"/>
    <w:rsid w:val="007B3D93"/>
    <w:rsid w:val="007B4C75"/>
    <w:rsid w:val="007B5401"/>
    <w:rsid w:val="007B56DF"/>
    <w:rsid w:val="007B5FB4"/>
    <w:rsid w:val="007B65A4"/>
    <w:rsid w:val="007B6B2B"/>
    <w:rsid w:val="007B6D1F"/>
    <w:rsid w:val="007B762F"/>
    <w:rsid w:val="007B7949"/>
    <w:rsid w:val="007B7D30"/>
    <w:rsid w:val="007C09E1"/>
    <w:rsid w:val="007C0A76"/>
    <w:rsid w:val="007C0FA9"/>
    <w:rsid w:val="007C11E1"/>
    <w:rsid w:val="007C15C9"/>
    <w:rsid w:val="007C2413"/>
    <w:rsid w:val="007C25AE"/>
    <w:rsid w:val="007C303B"/>
    <w:rsid w:val="007C3152"/>
    <w:rsid w:val="007C333B"/>
    <w:rsid w:val="007C3914"/>
    <w:rsid w:val="007C3AF3"/>
    <w:rsid w:val="007C3CEA"/>
    <w:rsid w:val="007C3D92"/>
    <w:rsid w:val="007C3E98"/>
    <w:rsid w:val="007C3F7F"/>
    <w:rsid w:val="007C555D"/>
    <w:rsid w:val="007C5580"/>
    <w:rsid w:val="007C5A8F"/>
    <w:rsid w:val="007C5B38"/>
    <w:rsid w:val="007C73CD"/>
    <w:rsid w:val="007C76E8"/>
    <w:rsid w:val="007D016B"/>
    <w:rsid w:val="007D01E6"/>
    <w:rsid w:val="007D035E"/>
    <w:rsid w:val="007D0396"/>
    <w:rsid w:val="007D03C3"/>
    <w:rsid w:val="007D0644"/>
    <w:rsid w:val="007D1801"/>
    <w:rsid w:val="007D1FE0"/>
    <w:rsid w:val="007D20BB"/>
    <w:rsid w:val="007D213C"/>
    <w:rsid w:val="007D261E"/>
    <w:rsid w:val="007D2F61"/>
    <w:rsid w:val="007D3004"/>
    <w:rsid w:val="007D3471"/>
    <w:rsid w:val="007D3C04"/>
    <w:rsid w:val="007D3D0E"/>
    <w:rsid w:val="007D3D33"/>
    <w:rsid w:val="007D4160"/>
    <w:rsid w:val="007D41C2"/>
    <w:rsid w:val="007D4F02"/>
    <w:rsid w:val="007D527B"/>
    <w:rsid w:val="007D674C"/>
    <w:rsid w:val="007D6B7B"/>
    <w:rsid w:val="007D6CF1"/>
    <w:rsid w:val="007D6E57"/>
    <w:rsid w:val="007D7131"/>
    <w:rsid w:val="007D75CC"/>
    <w:rsid w:val="007D76A8"/>
    <w:rsid w:val="007D7BEC"/>
    <w:rsid w:val="007D7CE3"/>
    <w:rsid w:val="007E051A"/>
    <w:rsid w:val="007E0798"/>
    <w:rsid w:val="007E134A"/>
    <w:rsid w:val="007E1B72"/>
    <w:rsid w:val="007E2D81"/>
    <w:rsid w:val="007E3318"/>
    <w:rsid w:val="007E3EE3"/>
    <w:rsid w:val="007E5248"/>
    <w:rsid w:val="007E549D"/>
    <w:rsid w:val="007E54B3"/>
    <w:rsid w:val="007E57DE"/>
    <w:rsid w:val="007E5902"/>
    <w:rsid w:val="007E5FBA"/>
    <w:rsid w:val="007E6719"/>
    <w:rsid w:val="007E684A"/>
    <w:rsid w:val="007E68ED"/>
    <w:rsid w:val="007E69ED"/>
    <w:rsid w:val="007E6D18"/>
    <w:rsid w:val="007E7A60"/>
    <w:rsid w:val="007E7B2D"/>
    <w:rsid w:val="007F0221"/>
    <w:rsid w:val="007F034B"/>
    <w:rsid w:val="007F07B9"/>
    <w:rsid w:val="007F0928"/>
    <w:rsid w:val="007F15CE"/>
    <w:rsid w:val="007F1E88"/>
    <w:rsid w:val="007F2C18"/>
    <w:rsid w:val="007F2CD7"/>
    <w:rsid w:val="007F2DB1"/>
    <w:rsid w:val="007F2F64"/>
    <w:rsid w:val="007F3568"/>
    <w:rsid w:val="007F3B86"/>
    <w:rsid w:val="007F422D"/>
    <w:rsid w:val="007F4232"/>
    <w:rsid w:val="007F4278"/>
    <w:rsid w:val="007F49EC"/>
    <w:rsid w:val="007F4ADF"/>
    <w:rsid w:val="007F4DBA"/>
    <w:rsid w:val="007F4E4B"/>
    <w:rsid w:val="007F519C"/>
    <w:rsid w:val="007F534D"/>
    <w:rsid w:val="007F54A2"/>
    <w:rsid w:val="007F54FE"/>
    <w:rsid w:val="007F5535"/>
    <w:rsid w:val="007F5D32"/>
    <w:rsid w:val="007F6625"/>
    <w:rsid w:val="007F6E35"/>
    <w:rsid w:val="007F6F74"/>
    <w:rsid w:val="007F72DC"/>
    <w:rsid w:val="007F77ED"/>
    <w:rsid w:val="007F795F"/>
    <w:rsid w:val="007F7975"/>
    <w:rsid w:val="007F79F0"/>
    <w:rsid w:val="007F7D3B"/>
    <w:rsid w:val="007F7D74"/>
    <w:rsid w:val="00800248"/>
    <w:rsid w:val="0080069C"/>
    <w:rsid w:val="008006FD"/>
    <w:rsid w:val="0080148D"/>
    <w:rsid w:val="0080156B"/>
    <w:rsid w:val="00801A3A"/>
    <w:rsid w:val="00801F03"/>
    <w:rsid w:val="00803D90"/>
    <w:rsid w:val="00804114"/>
    <w:rsid w:val="00804634"/>
    <w:rsid w:val="008047E8"/>
    <w:rsid w:val="00804E3B"/>
    <w:rsid w:val="0080531E"/>
    <w:rsid w:val="00805C3D"/>
    <w:rsid w:val="00805C94"/>
    <w:rsid w:val="0080639B"/>
    <w:rsid w:val="0080667A"/>
    <w:rsid w:val="00806A52"/>
    <w:rsid w:val="00806DA2"/>
    <w:rsid w:val="00806F1D"/>
    <w:rsid w:val="00807223"/>
    <w:rsid w:val="008073E8"/>
    <w:rsid w:val="0080775D"/>
    <w:rsid w:val="008077ED"/>
    <w:rsid w:val="00807B6F"/>
    <w:rsid w:val="00807E93"/>
    <w:rsid w:val="00807FE3"/>
    <w:rsid w:val="00810172"/>
    <w:rsid w:val="00810762"/>
    <w:rsid w:val="00810858"/>
    <w:rsid w:val="00810EFF"/>
    <w:rsid w:val="008110F7"/>
    <w:rsid w:val="00811314"/>
    <w:rsid w:val="00811A39"/>
    <w:rsid w:val="0081291B"/>
    <w:rsid w:val="00813622"/>
    <w:rsid w:val="00813DCF"/>
    <w:rsid w:val="00813FAB"/>
    <w:rsid w:val="0081498C"/>
    <w:rsid w:val="008149B8"/>
    <w:rsid w:val="00814AE1"/>
    <w:rsid w:val="00815032"/>
    <w:rsid w:val="00815719"/>
    <w:rsid w:val="00815D31"/>
    <w:rsid w:val="0081601F"/>
    <w:rsid w:val="00816064"/>
    <w:rsid w:val="0081623E"/>
    <w:rsid w:val="0081625A"/>
    <w:rsid w:val="008164A4"/>
    <w:rsid w:val="00816A72"/>
    <w:rsid w:val="0081723A"/>
    <w:rsid w:val="008174B2"/>
    <w:rsid w:val="00817AAC"/>
    <w:rsid w:val="00817B68"/>
    <w:rsid w:val="00817CFF"/>
    <w:rsid w:val="00817D1C"/>
    <w:rsid w:val="0082000D"/>
    <w:rsid w:val="0082037E"/>
    <w:rsid w:val="00820C9C"/>
    <w:rsid w:val="00820F55"/>
    <w:rsid w:val="0082104E"/>
    <w:rsid w:val="00821572"/>
    <w:rsid w:val="008216DF"/>
    <w:rsid w:val="00821FD3"/>
    <w:rsid w:val="00822310"/>
    <w:rsid w:val="00822664"/>
    <w:rsid w:val="00823450"/>
    <w:rsid w:val="008235C9"/>
    <w:rsid w:val="00823794"/>
    <w:rsid w:val="008237F4"/>
    <w:rsid w:val="00823E3C"/>
    <w:rsid w:val="00823F67"/>
    <w:rsid w:val="00824022"/>
    <w:rsid w:val="00824140"/>
    <w:rsid w:val="00824191"/>
    <w:rsid w:val="00824485"/>
    <w:rsid w:val="0082481B"/>
    <w:rsid w:val="0082483A"/>
    <w:rsid w:val="00824A81"/>
    <w:rsid w:val="00824D65"/>
    <w:rsid w:val="008255EC"/>
    <w:rsid w:val="008257B8"/>
    <w:rsid w:val="008260ED"/>
    <w:rsid w:val="0082699D"/>
    <w:rsid w:val="00826E6B"/>
    <w:rsid w:val="008275FD"/>
    <w:rsid w:val="00827F0F"/>
    <w:rsid w:val="008301A1"/>
    <w:rsid w:val="008304B9"/>
    <w:rsid w:val="00830BA1"/>
    <w:rsid w:val="00830EB2"/>
    <w:rsid w:val="00831652"/>
    <w:rsid w:val="0083202E"/>
    <w:rsid w:val="0083304F"/>
    <w:rsid w:val="008334C9"/>
    <w:rsid w:val="00834023"/>
    <w:rsid w:val="00834122"/>
    <w:rsid w:val="00834CE4"/>
    <w:rsid w:val="008352C5"/>
    <w:rsid w:val="008358A6"/>
    <w:rsid w:val="008359FB"/>
    <w:rsid w:val="00835C56"/>
    <w:rsid w:val="00835FE0"/>
    <w:rsid w:val="008360FC"/>
    <w:rsid w:val="00836230"/>
    <w:rsid w:val="0083666D"/>
    <w:rsid w:val="00836E81"/>
    <w:rsid w:val="008370F4"/>
    <w:rsid w:val="008377C1"/>
    <w:rsid w:val="00837C90"/>
    <w:rsid w:val="00837EB1"/>
    <w:rsid w:val="0084042B"/>
    <w:rsid w:val="008409BB"/>
    <w:rsid w:val="00840F41"/>
    <w:rsid w:val="00841040"/>
    <w:rsid w:val="00841324"/>
    <w:rsid w:val="0084184A"/>
    <w:rsid w:val="00841961"/>
    <w:rsid w:val="008423F2"/>
    <w:rsid w:val="00842A30"/>
    <w:rsid w:val="00842A85"/>
    <w:rsid w:val="00842D9D"/>
    <w:rsid w:val="00842F71"/>
    <w:rsid w:val="00842FA0"/>
    <w:rsid w:val="00843179"/>
    <w:rsid w:val="0084386A"/>
    <w:rsid w:val="00843E0E"/>
    <w:rsid w:val="008442EA"/>
    <w:rsid w:val="00844589"/>
    <w:rsid w:val="00844794"/>
    <w:rsid w:val="00844CAB"/>
    <w:rsid w:val="00844FE7"/>
    <w:rsid w:val="0084530B"/>
    <w:rsid w:val="008453BD"/>
    <w:rsid w:val="00845969"/>
    <w:rsid w:val="00845A16"/>
    <w:rsid w:val="00845F37"/>
    <w:rsid w:val="00845FF5"/>
    <w:rsid w:val="00846001"/>
    <w:rsid w:val="0084615D"/>
    <w:rsid w:val="0084642A"/>
    <w:rsid w:val="008465C4"/>
    <w:rsid w:val="00846710"/>
    <w:rsid w:val="008467CE"/>
    <w:rsid w:val="008478ED"/>
    <w:rsid w:val="00850CE2"/>
    <w:rsid w:val="008514F6"/>
    <w:rsid w:val="00851728"/>
    <w:rsid w:val="00851DFF"/>
    <w:rsid w:val="00851F8B"/>
    <w:rsid w:val="00852C66"/>
    <w:rsid w:val="00853084"/>
    <w:rsid w:val="00853142"/>
    <w:rsid w:val="00853506"/>
    <w:rsid w:val="008537AA"/>
    <w:rsid w:val="00853B82"/>
    <w:rsid w:val="008540A6"/>
    <w:rsid w:val="00854420"/>
    <w:rsid w:val="00854481"/>
    <w:rsid w:val="008554CE"/>
    <w:rsid w:val="008555EF"/>
    <w:rsid w:val="008556A8"/>
    <w:rsid w:val="00855772"/>
    <w:rsid w:val="00855C47"/>
    <w:rsid w:val="00855EE1"/>
    <w:rsid w:val="00855F65"/>
    <w:rsid w:val="008560F0"/>
    <w:rsid w:val="00857591"/>
    <w:rsid w:val="00857673"/>
    <w:rsid w:val="0085786E"/>
    <w:rsid w:val="00857E5B"/>
    <w:rsid w:val="00857E88"/>
    <w:rsid w:val="008603E5"/>
    <w:rsid w:val="00860757"/>
    <w:rsid w:val="008612DB"/>
    <w:rsid w:val="00861B57"/>
    <w:rsid w:val="00861CD0"/>
    <w:rsid w:val="00862205"/>
    <w:rsid w:val="00862AC4"/>
    <w:rsid w:val="00862CD4"/>
    <w:rsid w:val="008633AC"/>
    <w:rsid w:val="008634E3"/>
    <w:rsid w:val="00864289"/>
    <w:rsid w:val="00864627"/>
    <w:rsid w:val="00864635"/>
    <w:rsid w:val="00864678"/>
    <w:rsid w:val="00864C1A"/>
    <w:rsid w:val="00865217"/>
    <w:rsid w:val="008658AA"/>
    <w:rsid w:val="00865CBD"/>
    <w:rsid w:val="00866B43"/>
    <w:rsid w:val="00866E37"/>
    <w:rsid w:val="00866F9E"/>
    <w:rsid w:val="008672E2"/>
    <w:rsid w:val="0086793D"/>
    <w:rsid w:val="00867B1C"/>
    <w:rsid w:val="0087035E"/>
    <w:rsid w:val="008704F9"/>
    <w:rsid w:val="008707B3"/>
    <w:rsid w:val="0087080C"/>
    <w:rsid w:val="00870C1D"/>
    <w:rsid w:val="008713D6"/>
    <w:rsid w:val="00871643"/>
    <w:rsid w:val="008717D7"/>
    <w:rsid w:val="00871D8E"/>
    <w:rsid w:val="00871F7A"/>
    <w:rsid w:val="0087278C"/>
    <w:rsid w:val="0087281D"/>
    <w:rsid w:val="008729CD"/>
    <w:rsid w:val="008732D8"/>
    <w:rsid w:val="00873377"/>
    <w:rsid w:val="00873577"/>
    <w:rsid w:val="008735B4"/>
    <w:rsid w:val="0087409F"/>
    <w:rsid w:val="00874D58"/>
    <w:rsid w:val="00875045"/>
    <w:rsid w:val="008750D2"/>
    <w:rsid w:val="0087544A"/>
    <w:rsid w:val="00875AB5"/>
    <w:rsid w:val="00875C91"/>
    <w:rsid w:val="00875F85"/>
    <w:rsid w:val="00876C6B"/>
    <w:rsid w:val="00876CB0"/>
    <w:rsid w:val="00876DC9"/>
    <w:rsid w:val="00877125"/>
    <w:rsid w:val="008776FA"/>
    <w:rsid w:val="008777C2"/>
    <w:rsid w:val="008809EB"/>
    <w:rsid w:val="0088123A"/>
    <w:rsid w:val="00881511"/>
    <w:rsid w:val="00881616"/>
    <w:rsid w:val="00882448"/>
    <w:rsid w:val="008829C1"/>
    <w:rsid w:val="00882F1D"/>
    <w:rsid w:val="00882F81"/>
    <w:rsid w:val="00882FF1"/>
    <w:rsid w:val="00883A4D"/>
    <w:rsid w:val="00883B21"/>
    <w:rsid w:val="00883DBE"/>
    <w:rsid w:val="00883F8F"/>
    <w:rsid w:val="00884235"/>
    <w:rsid w:val="00884868"/>
    <w:rsid w:val="00885285"/>
    <w:rsid w:val="00885985"/>
    <w:rsid w:val="00885AFD"/>
    <w:rsid w:val="00886080"/>
    <w:rsid w:val="008861AB"/>
    <w:rsid w:val="00886699"/>
    <w:rsid w:val="00886EC9"/>
    <w:rsid w:val="0088709A"/>
    <w:rsid w:val="008873CE"/>
    <w:rsid w:val="008876F0"/>
    <w:rsid w:val="00891373"/>
    <w:rsid w:val="0089199F"/>
    <w:rsid w:val="00891C32"/>
    <w:rsid w:val="00891D7F"/>
    <w:rsid w:val="00892265"/>
    <w:rsid w:val="0089233E"/>
    <w:rsid w:val="00893309"/>
    <w:rsid w:val="0089330E"/>
    <w:rsid w:val="00893A8E"/>
    <w:rsid w:val="00893E27"/>
    <w:rsid w:val="008945B5"/>
    <w:rsid w:val="008945F7"/>
    <w:rsid w:val="0089463D"/>
    <w:rsid w:val="00894E44"/>
    <w:rsid w:val="0089554F"/>
    <w:rsid w:val="008955E6"/>
    <w:rsid w:val="00895B5F"/>
    <w:rsid w:val="0089637C"/>
    <w:rsid w:val="00896712"/>
    <w:rsid w:val="00896870"/>
    <w:rsid w:val="008969BD"/>
    <w:rsid w:val="00896F07"/>
    <w:rsid w:val="00897540"/>
    <w:rsid w:val="008979C8"/>
    <w:rsid w:val="00897EB2"/>
    <w:rsid w:val="008A0131"/>
    <w:rsid w:val="008A040B"/>
    <w:rsid w:val="008A09A6"/>
    <w:rsid w:val="008A13BD"/>
    <w:rsid w:val="008A1596"/>
    <w:rsid w:val="008A1DDE"/>
    <w:rsid w:val="008A1EDF"/>
    <w:rsid w:val="008A1F66"/>
    <w:rsid w:val="008A2695"/>
    <w:rsid w:val="008A2AE1"/>
    <w:rsid w:val="008A2DC9"/>
    <w:rsid w:val="008A2FF1"/>
    <w:rsid w:val="008A32D4"/>
    <w:rsid w:val="008A367F"/>
    <w:rsid w:val="008A37AF"/>
    <w:rsid w:val="008A3D62"/>
    <w:rsid w:val="008A4024"/>
    <w:rsid w:val="008A448D"/>
    <w:rsid w:val="008A44BC"/>
    <w:rsid w:val="008A4A55"/>
    <w:rsid w:val="008A4BB4"/>
    <w:rsid w:val="008A4BF8"/>
    <w:rsid w:val="008A4D11"/>
    <w:rsid w:val="008A506F"/>
    <w:rsid w:val="008A5229"/>
    <w:rsid w:val="008A528A"/>
    <w:rsid w:val="008A5298"/>
    <w:rsid w:val="008A535A"/>
    <w:rsid w:val="008A5B3F"/>
    <w:rsid w:val="008A64A8"/>
    <w:rsid w:val="008A674A"/>
    <w:rsid w:val="008A67A9"/>
    <w:rsid w:val="008A720F"/>
    <w:rsid w:val="008A7498"/>
    <w:rsid w:val="008A7C72"/>
    <w:rsid w:val="008B04F2"/>
    <w:rsid w:val="008B0863"/>
    <w:rsid w:val="008B093F"/>
    <w:rsid w:val="008B0D0E"/>
    <w:rsid w:val="008B11E0"/>
    <w:rsid w:val="008B12BB"/>
    <w:rsid w:val="008B1411"/>
    <w:rsid w:val="008B17A2"/>
    <w:rsid w:val="008B25F2"/>
    <w:rsid w:val="008B2613"/>
    <w:rsid w:val="008B2643"/>
    <w:rsid w:val="008B2FAE"/>
    <w:rsid w:val="008B3308"/>
    <w:rsid w:val="008B3317"/>
    <w:rsid w:val="008B36E5"/>
    <w:rsid w:val="008B414B"/>
    <w:rsid w:val="008B4C6C"/>
    <w:rsid w:val="008B4E0E"/>
    <w:rsid w:val="008B4FB9"/>
    <w:rsid w:val="008B50ED"/>
    <w:rsid w:val="008B5715"/>
    <w:rsid w:val="008B5716"/>
    <w:rsid w:val="008B5A2D"/>
    <w:rsid w:val="008B5BC2"/>
    <w:rsid w:val="008B5E54"/>
    <w:rsid w:val="008B60BB"/>
    <w:rsid w:val="008B6732"/>
    <w:rsid w:val="008B68EC"/>
    <w:rsid w:val="008B6B9C"/>
    <w:rsid w:val="008B711E"/>
    <w:rsid w:val="008B734F"/>
    <w:rsid w:val="008B7DA7"/>
    <w:rsid w:val="008C042F"/>
    <w:rsid w:val="008C057B"/>
    <w:rsid w:val="008C0CAC"/>
    <w:rsid w:val="008C1386"/>
    <w:rsid w:val="008C13B4"/>
    <w:rsid w:val="008C14E9"/>
    <w:rsid w:val="008C1557"/>
    <w:rsid w:val="008C1608"/>
    <w:rsid w:val="008C18EA"/>
    <w:rsid w:val="008C1B8C"/>
    <w:rsid w:val="008C2306"/>
    <w:rsid w:val="008C26D1"/>
    <w:rsid w:val="008C2923"/>
    <w:rsid w:val="008C2B7F"/>
    <w:rsid w:val="008C36AC"/>
    <w:rsid w:val="008C3F93"/>
    <w:rsid w:val="008C4725"/>
    <w:rsid w:val="008C4953"/>
    <w:rsid w:val="008C4E44"/>
    <w:rsid w:val="008C4F59"/>
    <w:rsid w:val="008C6255"/>
    <w:rsid w:val="008C684B"/>
    <w:rsid w:val="008C6ABD"/>
    <w:rsid w:val="008C6F18"/>
    <w:rsid w:val="008C7255"/>
    <w:rsid w:val="008C7685"/>
    <w:rsid w:val="008D007A"/>
    <w:rsid w:val="008D07DE"/>
    <w:rsid w:val="008D0831"/>
    <w:rsid w:val="008D0E40"/>
    <w:rsid w:val="008D1998"/>
    <w:rsid w:val="008D1E7F"/>
    <w:rsid w:val="008D1E9C"/>
    <w:rsid w:val="008D2367"/>
    <w:rsid w:val="008D244D"/>
    <w:rsid w:val="008D3A1A"/>
    <w:rsid w:val="008D3A62"/>
    <w:rsid w:val="008D427A"/>
    <w:rsid w:val="008D4DD5"/>
    <w:rsid w:val="008D5657"/>
    <w:rsid w:val="008D5E59"/>
    <w:rsid w:val="008D6311"/>
    <w:rsid w:val="008D6749"/>
    <w:rsid w:val="008D6752"/>
    <w:rsid w:val="008D69E7"/>
    <w:rsid w:val="008D6BB1"/>
    <w:rsid w:val="008D6FC1"/>
    <w:rsid w:val="008E0140"/>
    <w:rsid w:val="008E0475"/>
    <w:rsid w:val="008E0688"/>
    <w:rsid w:val="008E0BC9"/>
    <w:rsid w:val="008E0BEF"/>
    <w:rsid w:val="008E103C"/>
    <w:rsid w:val="008E18CA"/>
    <w:rsid w:val="008E266D"/>
    <w:rsid w:val="008E2F0C"/>
    <w:rsid w:val="008E3E23"/>
    <w:rsid w:val="008E3FF0"/>
    <w:rsid w:val="008E4364"/>
    <w:rsid w:val="008E4619"/>
    <w:rsid w:val="008E5312"/>
    <w:rsid w:val="008E547B"/>
    <w:rsid w:val="008E54E2"/>
    <w:rsid w:val="008E5688"/>
    <w:rsid w:val="008E5DF8"/>
    <w:rsid w:val="008E7B10"/>
    <w:rsid w:val="008F0250"/>
    <w:rsid w:val="008F0B59"/>
    <w:rsid w:val="008F11F4"/>
    <w:rsid w:val="008F132A"/>
    <w:rsid w:val="008F1952"/>
    <w:rsid w:val="008F1C91"/>
    <w:rsid w:val="008F23A9"/>
    <w:rsid w:val="008F254D"/>
    <w:rsid w:val="008F2963"/>
    <w:rsid w:val="008F2D1A"/>
    <w:rsid w:val="008F310B"/>
    <w:rsid w:val="008F322B"/>
    <w:rsid w:val="008F34CB"/>
    <w:rsid w:val="008F3519"/>
    <w:rsid w:val="008F3AD3"/>
    <w:rsid w:val="008F3CA7"/>
    <w:rsid w:val="008F443F"/>
    <w:rsid w:val="008F4D6C"/>
    <w:rsid w:val="008F5960"/>
    <w:rsid w:val="008F5A4F"/>
    <w:rsid w:val="008F5DE5"/>
    <w:rsid w:val="008F5E42"/>
    <w:rsid w:val="008F63B1"/>
    <w:rsid w:val="008F6973"/>
    <w:rsid w:val="008F6E6A"/>
    <w:rsid w:val="008F7290"/>
    <w:rsid w:val="008F73EC"/>
    <w:rsid w:val="008F7AA7"/>
    <w:rsid w:val="008F7CAC"/>
    <w:rsid w:val="008F7F94"/>
    <w:rsid w:val="00900490"/>
    <w:rsid w:val="00900947"/>
    <w:rsid w:val="00900E0C"/>
    <w:rsid w:val="00900EB8"/>
    <w:rsid w:val="00900FBA"/>
    <w:rsid w:val="00901F26"/>
    <w:rsid w:val="00901FC8"/>
    <w:rsid w:val="009020A6"/>
    <w:rsid w:val="0090283D"/>
    <w:rsid w:val="00902C1F"/>
    <w:rsid w:val="00902E5B"/>
    <w:rsid w:val="009030E9"/>
    <w:rsid w:val="00903B2C"/>
    <w:rsid w:val="00903FD9"/>
    <w:rsid w:val="00904692"/>
    <w:rsid w:val="00904CF5"/>
    <w:rsid w:val="00905259"/>
    <w:rsid w:val="0090556C"/>
    <w:rsid w:val="00905633"/>
    <w:rsid w:val="00905EAE"/>
    <w:rsid w:val="009060C4"/>
    <w:rsid w:val="00906C91"/>
    <w:rsid w:val="00906C95"/>
    <w:rsid w:val="00906F76"/>
    <w:rsid w:val="0090709E"/>
    <w:rsid w:val="0090759B"/>
    <w:rsid w:val="00907656"/>
    <w:rsid w:val="00907E47"/>
    <w:rsid w:val="00910D39"/>
    <w:rsid w:val="009115EF"/>
    <w:rsid w:val="009116DD"/>
    <w:rsid w:val="00912D1C"/>
    <w:rsid w:val="00912D28"/>
    <w:rsid w:val="00913019"/>
    <w:rsid w:val="00913920"/>
    <w:rsid w:val="0091392C"/>
    <w:rsid w:val="00913F1E"/>
    <w:rsid w:val="00913FB2"/>
    <w:rsid w:val="009140C4"/>
    <w:rsid w:val="009143BA"/>
    <w:rsid w:val="009144A9"/>
    <w:rsid w:val="0091468B"/>
    <w:rsid w:val="0091526F"/>
    <w:rsid w:val="009153D2"/>
    <w:rsid w:val="00916286"/>
    <w:rsid w:val="00916595"/>
    <w:rsid w:val="00916930"/>
    <w:rsid w:val="00916C47"/>
    <w:rsid w:val="00916C81"/>
    <w:rsid w:val="009171AD"/>
    <w:rsid w:val="00917569"/>
    <w:rsid w:val="00917749"/>
    <w:rsid w:val="00920174"/>
    <w:rsid w:val="00920642"/>
    <w:rsid w:val="00920A31"/>
    <w:rsid w:val="0092135D"/>
    <w:rsid w:val="009219D2"/>
    <w:rsid w:val="00921A4E"/>
    <w:rsid w:val="00921B41"/>
    <w:rsid w:val="00921E37"/>
    <w:rsid w:val="00922511"/>
    <w:rsid w:val="009229B0"/>
    <w:rsid w:val="00922F07"/>
    <w:rsid w:val="00923463"/>
    <w:rsid w:val="009239B1"/>
    <w:rsid w:val="00923AAF"/>
    <w:rsid w:val="009246D6"/>
    <w:rsid w:val="00925218"/>
    <w:rsid w:val="00925238"/>
    <w:rsid w:val="009255A8"/>
    <w:rsid w:val="00925ACF"/>
    <w:rsid w:val="00925D66"/>
    <w:rsid w:val="0092615D"/>
    <w:rsid w:val="00926546"/>
    <w:rsid w:val="009265A1"/>
    <w:rsid w:val="00926C44"/>
    <w:rsid w:val="00927700"/>
    <w:rsid w:val="00930306"/>
    <w:rsid w:val="0093036E"/>
    <w:rsid w:val="00931224"/>
    <w:rsid w:val="00932265"/>
    <w:rsid w:val="0093264C"/>
    <w:rsid w:val="009333D3"/>
    <w:rsid w:val="00933967"/>
    <w:rsid w:val="009339B6"/>
    <w:rsid w:val="00933B4C"/>
    <w:rsid w:val="00933DC4"/>
    <w:rsid w:val="00933E52"/>
    <w:rsid w:val="00934139"/>
    <w:rsid w:val="0093431B"/>
    <w:rsid w:val="009346D6"/>
    <w:rsid w:val="00934743"/>
    <w:rsid w:val="0093487E"/>
    <w:rsid w:val="009348F6"/>
    <w:rsid w:val="00934FFE"/>
    <w:rsid w:val="00935153"/>
    <w:rsid w:val="009357DD"/>
    <w:rsid w:val="00936405"/>
    <w:rsid w:val="00936B64"/>
    <w:rsid w:val="009379C4"/>
    <w:rsid w:val="00937FBF"/>
    <w:rsid w:val="0094009A"/>
    <w:rsid w:val="009400ED"/>
    <w:rsid w:val="0094041A"/>
    <w:rsid w:val="00940CF8"/>
    <w:rsid w:val="00940D32"/>
    <w:rsid w:val="0094190D"/>
    <w:rsid w:val="00941D4C"/>
    <w:rsid w:val="00942354"/>
    <w:rsid w:val="00942681"/>
    <w:rsid w:val="00943421"/>
    <w:rsid w:val="00943A7E"/>
    <w:rsid w:val="00943E42"/>
    <w:rsid w:val="00943E5D"/>
    <w:rsid w:val="00944728"/>
    <w:rsid w:val="0094472B"/>
    <w:rsid w:val="009451E1"/>
    <w:rsid w:val="009453E8"/>
    <w:rsid w:val="00945442"/>
    <w:rsid w:val="00945664"/>
    <w:rsid w:val="00945AD1"/>
    <w:rsid w:val="00946ECB"/>
    <w:rsid w:val="00947268"/>
    <w:rsid w:val="0094750E"/>
    <w:rsid w:val="00947C94"/>
    <w:rsid w:val="00947E2B"/>
    <w:rsid w:val="0095075A"/>
    <w:rsid w:val="009507C8"/>
    <w:rsid w:val="0095108F"/>
    <w:rsid w:val="0095115E"/>
    <w:rsid w:val="0095118A"/>
    <w:rsid w:val="00951357"/>
    <w:rsid w:val="00952468"/>
    <w:rsid w:val="00952970"/>
    <w:rsid w:val="00953F04"/>
    <w:rsid w:val="009541E9"/>
    <w:rsid w:val="00954767"/>
    <w:rsid w:val="0095487A"/>
    <w:rsid w:val="009548FB"/>
    <w:rsid w:val="00955017"/>
    <w:rsid w:val="0095538B"/>
    <w:rsid w:val="009554B5"/>
    <w:rsid w:val="00955691"/>
    <w:rsid w:val="00955869"/>
    <w:rsid w:val="00955A83"/>
    <w:rsid w:val="009561B9"/>
    <w:rsid w:val="00956923"/>
    <w:rsid w:val="00956F81"/>
    <w:rsid w:val="009572E0"/>
    <w:rsid w:val="00957AF7"/>
    <w:rsid w:val="00960589"/>
    <w:rsid w:val="00960ACA"/>
    <w:rsid w:val="00960C4F"/>
    <w:rsid w:val="00960EE4"/>
    <w:rsid w:val="009619CA"/>
    <w:rsid w:val="00961F73"/>
    <w:rsid w:val="0096217C"/>
    <w:rsid w:val="009622FE"/>
    <w:rsid w:val="00962441"/>
    <w:rsid w:val="00963271"/>
    <w:rsid w:val="00963277"/>
    <w:rsid w:val="0096469C"/>
    <w:rsid w:val="00964AC3"/>
    <w:rsid w:val="00964B53"/>
    <w:rsid w:val="00964C3F"/>
    <w:rsid w:val="00964C6C"/>
    <w:rsid w:val="00964CC4"/>
    <w:rsid w:val="00964E8F"/>
    <w:rsid w:val="00965176"/>
    <w:rsid w:val="00965179"/>
    <w:rsid w:val="00965240"/>
    <w:rsid w:val="009653A8"/>
    <w:rsid w:val="00965847"/>
    <w:rsid w:val="00965A3E"/>
    <w:rsid w:val="00965C48"/>
    <w:rsid w:val="00966D9D"/>
    <w:rsid w:val="00966E4A"/>
    <w:rsid w:val="00967041"/>
    <w:rsid w:val="00967809"/>
    <w:rsid w:val="00970918"/>
    <w:rsid w:val="0097099E"/>
    <w:rsid w:val="00971761"/>
    <w:rsid w:val="0097216F"/>
    <w:rsid w:val="00972417"/>
    <w:rsid w:val="00972C3B"/>
    <w:rsid w:val="00973057"/>
    <w:rsid w:val="00974D50"/>
    <w:rsid w:val="009751AF"/>
    <w:rsid w:val="00975264"/>
    <w:rsid w:val="00975326"/>
    <w:rsid w:val="009755FB"/>
    <w:rsid w:val="009756FD"/>
    <w:rsid w:val="00975DEA"/>
    <w:rsid w:val="00976E22"/>
    <w:rsid w:val="00977CDF"/>
    <w:rsid w:val="0098043F"/>
    <w:rsid w:val="00981038"/>
    <w:rsid w:val="0098106E"/>
    <w:rsid w:val="00981511"/>
    <w:rsid w:val="00981D1C"/>
    <w:rsid w:val="00981E1C"/>
    <w:rsid w:val="00982118"/>
    <w:rsid w:val="00982C62"/>
    <w:rsid w:val="00982C91"/>
    <w:rsid w:val="00982F76"/>
    <w:rsid w:val="00982FA3"/>
    <w:rsid w:val="00983827"/>
    <w:rsid w:val="00983AA2"/>
    <w:rsid w:val="009840FD"/>
    <w:rsid w:val="00984701"/>
    <w:rsid w:val="00984847"/>
    <w:rsid w:val="00984BEC"/>
    <w:rsid w:val="00985ADC"/>
    <w:rsid w:val="00985B48"/>
    <w:rsid w:val="00985EB8"/>
    <w:rsid w:val="00985FB3"/>
    <w:rsid w:val="00986566"/>
    <w:rsid w:val="009867BC"/>
    <w:rsid w:val="00986CC1"/>
    <w:rsid w:val="00986E18"/>
    <w:rsid w:val="00986F4E"/>
    <w:rsid w:val="009870C0"/>
    <w:rsid w:val="00987191"/>
    <w:rsid w:val="00987746"/>
    <w:rsid w:val="00987A5A"/>
    <w:rsid w:val="00987B5E"/>
    <w:rsid w:val="00987C0B"/>
    <w:rsid w:val="00987CB4"/>
    <w:rsid w:val="0099097E"/>
    <w:rsid w:val="00990D41"/>
    <w:rsid w:val="00991181"/>
    <w:rsid w:val="009921FC"/>
    <w:rsid w:val="00992322"/>
    <w:rsid w:val="0099272B"/>
    <w:rsid w:val="00992A0E"/>
    <w:rsid w:val="00992AD4"/>
    <w:rsid w:val="009935A4"/>
    <w:rsid w:val="0099399E"/>
    <w:rsid w:val="0099413C"/>
    <w:rsid w:val="00994230"/>
    <w:rsid w:val="0099479E"/>
    <w:rsid w:val="0099486C"/>
    <w:rsid w:val="00994E2D"/>
    <w:rsid w:val="009951D8"/>
    <w:rsid w:val="00995355"/>
    <w:rsid w:val="0099586F"/>
    <w:rsid w:val="00995958"/>
    <w:rsid w:val="00995A17"/>
    <w:rsid w:val="00996252"/>
    <w:rsid w:val="009962E0"/>
    <w:rsid w:val="009965FD"/>
    <w:rsid w:val="00996CB5"/>
    <w:rsid w:val="00996F95"/>
    <w:rsid w:val="0099719E"/>
    <w:rsid w:val="009A0169"/>
    <w:rsid w:val="009A05A3"/>
    <w:rsid w:val="009A0E66"/>
    <w:rsid w:val="009A1B56"/>
    <w:rsid w:val="009A244C"/>
    <w:rsid w:val="009A2A8A"/>
    <w:rsid w:val="009A2D8B"/>
    <w:rsid w:val="009A2E50"/>
    <w:rsid w:val="009A3C93"/>
    <w:rsid w:val="009A3FD0"/>
    <w:rsid w:val="009A51C7"/>
    <w:rsid w:val="009A520F"/>
    <w:rsid w:val="009A59EC"/>
    <w:rsid w:val="009A5B41"/>
    <w:rsid w:val="009A5C56"/>
    <w:rsid w:val="009A5CA8"/>
    <w:rsid w:val="009A641C"/>
    <w:rsid w:val="009A6571"/>
    <w:rsid w:val="009A6ED0"/>
    <w:rsid w:val="009A706A"/>
    <w:rsid w:val="009A71AB"/>
    <w:rsid w:val="009A757E"/>
    <w:rsid w:val="009A7745"/>
    <w:rsid w:val="009A7BB4"/>
    <w:rsid w:val="009A7C3D"/>
    <w:rsid w:val="009A7DE0"/>
    <w:rsid w:val="009B0156"/>
    <w:rsid w:val="009B0295"/>
    <w:rsid w:val="009B05BA"/>
    <w:rsid w:val="009B1725"/>
    <w:rsid w:val="009B1AA3"/>
    <w:rsid w:val="009B1B0E"/>
    <w:rsid w:val="009B2380"/>
    <w:rsid w:val="009B2596"/>
    <w:rsid w:val="009B3A6D"/>
    <w:rsid w:val="009B42B6"/>
    <w:rsid w:val="009B42CC"/>
    <w:rsid w:val="009B43D6"/>
    <w:rsid w:val="009B4681"/>
    <w:rsid w:val="009B5081"/>
    <w:rsid w:val="009B51BF"/>
    <w:rsid w:val="009B61EE"/>
    <w:rsid w:val="009B6985"/>
    <w:rsid w:val="009B69B3"/>
    <w:rsid w:val="009B7011"/>
    <w:rsid w:val="009B71E4"/>
    <w:rsid w:val="009B7381"/>
    <w:rsid w:val="009C04EE"/>
    <w:rsid w:val="009C0ADA"/>
    <w:rsid w:val="009C0CD4"/>
    <w:rsid w:val="009C14AC"/>
    <w:rsid w:val="009C15E7"/>
    <w:rsid w:val="009C17C8"/>
    <w:rsid w:val="009C2E85"/>
    <w:rsid w:val="009C385B"/>
    <w:rsid w:val="009C3B3B"/>
    <w:rsid w:val="009C3E3C"/>
    <w:rsid w:val="009C4353"/>
    <w:rsid w:val="009C49C2"/>
    <w:rsid w:val="009C4C5B"/>
    <w:rsid w:val="009C4E2D"/>
    <w:rsid w:val="009C62C0"/>
    <w:rsid w:val="009C6415"/>
    <w:rsid w:val="009C66A5"/>
    <w:rsid w:val="009C6A88"/>
    <w:rsid w:val="009C765D"/>
    <w:rsid w:val="009C7ADA"/>
    <w:rsid w:val="009C7EA0"/>
    <w:rsid w:val="009D000A"/>
    <w:rsid w:val="009D0128"/>
    <w:rsid w:val="009D1A20"/>
    <w:rsid w:val="009D1A86"/>
    <w:rsid w:val="009D1E12"/>
    <w:rsid w:val="009D2DA9"/>
    <w:rsid w:val="009D2E93"/>
    <w:rsid w:val="009D2EA9"/>
    <w:rsid w:val="009D3038"/>
    <w:rsid w:val="009D34C0"/>
    <w:rsid w:val="009D35FB"/>
    <w:rsid w:val="009D41E9"/>
    <w:rsid w:val="009D4BBE"/>
    <w:rsid w:val="009D4E16"/>
    <w:rsid w:val="009D50AD"/>
    <w:rsid w:val="009D5893"/>
    <w:rsid w:val="009D6620"/>
    <w:rsid w:val="009D6C54"/>
    <w:rsid w:val="009D72B0"/>
    <w:rsid w:val="009D75F8"/>
    <w:rsid w:val="009D77CE"/>
    <w:rsid w:val="009D7DE3"/>
    <w:rsid w:val="009E004A"/>
    <w:rsid w:val="009E0273"/>
    <w:rsid w:val="009E066B"/>
    <w:rsid w:val="009E0A03"/>
    <w:rsid w:val="009E1151"/>
    <w:rsid w:val="009E1437"/>
    <w:rsid w:val="009E1515"/>
    <w:rsid w:val="009E1CFF"/>
    <w:rsid w:val="009E1FEE"/>
    <w:rsid w:val="009E23EA"/>
    <w:rsid w:val="009E24A1"/>
    <w:rsid w:val="009E2C68"/>
    <w:rsid w:val="009E2D24"/>
    <w:rsid w:val="009E2EA0"/>
    <w:rsid w:val="009E305F"/>
    <w:rsid w:val="009E3243"/>
    <w:rsid w:val="009E36FF"/>
    <w:rsid w:val="009E3728"/>
    <w:rsid w:val="009E37D3"/>
    <w:rsid w:val="009E37F6"/>
    <w:rsid w:val="009E3E9C"/>
    <w:rsid w:val="009E4C4F"/>
    <w:rsid w:val="009E5028"/>
    <w:rsid w:val="009E50FB"/>
    <w:rsid w:val="009E512D"/>
    <w:rsid w:val="009E5280"/>
    <w:rsid w:val="009E5386"/>
    <w:rsid w:val="009E5DD1"/>
    <w:rsid w:val="009E60AD"/>
    <w:rsid w:val="009E67B9"/>
    <w:rsid w:val="009E68C8"/>
    <w:rsid w:val="009E6AB5"/>
    <w:rsid w:val="009E6DAB"/>
    <w:rsid w:val="009E6F4B"/>
    <w:rsid w:val="009E703C"/>
    <w:rsid w:val="009E7E4C"/>
    <w:rsid w:val="009F0499"/>
    <w:rsid w:val="009F06D9"/>
    <w:rsid w:val="009F08F5"/>
    <w:rsid w:val="009F0956"/>
    <w:rsid w:val="009F0EE5"/>
    <w:rsid w:val="009F1264"/>
    <w:rsid w:val="009F136C"/>
    <w:rsid w:val="009F1D7F"/>
    <w:rsid w:val="009F212A"/>
    <w:rsid w:val="009F245B"/>
    <w:rsid w:val="009F25E6"/>
    <w:rsid w:val="009F275D"/>
    <w:rsid w:val="009F2BE8"/>
    <w:rsid w:val="009F2F09"/>
    <w:rsid w:val="009F326C"/>
    <w:rsid w:val="009F39A7"/>
    <w:rsid w:val="009F40B7"/>
    <w:rsid w:val="009F4188"/>
    <w:rsid w:val="009F4302"/>
    <w:rsid w:val="009F4393"/>
    <w:rsid w:val="009F4BE9"/>
    <w:rsid w:val="009F62D3"/>
    <w:rsid w:val="009F63C3"/>
    <w:rsid w:val="009F68B6"/>
    <w:rsid w:val="009F6BAC"/>
    <w:rsid w:val="009F7253"/>
    <w:rsid w:val="009F7F95"/>
    <w:rsid w:val="00A00112"/>
    <w:rsid w:val="00A008B5"/>
    <w:rsid w:val="00A012FB"/>
    <w:rsid w:val="00A016E7"/>
    <w:rsid w:val="00A016ED"/>
    <w:rsid w:val="00A017B4"/>
    <w:rsid w:val="00A01A3E"/>
    <w:rsid w:val="00A01B92"/>
    <w:rsid w:val="00A01C20"/>
    <w:rsid w:val="00A01C53"/>
    <w:rsid w:val="00A01D38"/>
    <w:rsid w:val="00A02414"/>
    <w:rsid w:val="00A02578"/>
    <w:rsid w:val="00A025B9"/>
    <w:rsid w:val="00A02EC5"/>
    <w:rsid w:val="00A0355C"/>
    <w:rsid w:val="00A03A13"/>
    <w:rsid w:val="00A03CD1"/>
    <w:rsid w:val="00A040CD"/>
    <w:rsid w:val="00A04429"/>
    <w:rsid w:val="00A04CDE"/>
    <w:rsid w:val="00A055F8"/>
    <w:rsid w:val="00A063C2"/>
    <w:rsid w:val="00A06446"/>
    <w:rsid w:val="00A06697"/>
    <w:rsid w:val="00A06BE2"/>
    <w:rsid w:val="00A06C40"/>
    <w:rsid w:val="00A10586"/>
    <w:rsid w:val="00A105FE"/>
    <w:rsid w:val="00A10A48"/>
    <w:rsid w:val="00A10D13"/>
    <w:rsid w:val="00A110DA"/>
    <w:rsid w:val="00A1132B"/>
    <w:rsid w:val="00A11729"/>
    <w:rsid w:val="00A11930"/>
    <w:rsid w:val="00A11B54"/>
    <w:rsid w:val="00A11CDC"/>
    <w:rsid w:val="00A1238C"/>
    <w:rsid w:val="00A1263D"/>
    <w:rsid w:val="00A12AF2"/>
    <w:rsid w:val="00A12D8A"/>
    <w:rsid w:val="00A12E6C"/>
    <w:rsid w:val="00A1367C"/>
    <w:rsid w:val="00A136D0"/>
    <w:rsid w:val="00A13707"/>
    <w:rsid w:val="00A13D1A"/>
    <w:rsid w:val="00A13FAA"/>
    <w:rsid w:val="00A1405C"/>
    <w:rsid w:val="00A144D6"/>
    <w:rsid w:val="00A14DC2"/>
    <w:rsid w:val="00A14DD6"/>
    <w:rsid w:val="00A15D5E"/>
    <w:rsid w:val="00A16105"/>
    <w:rsid w:val="00A161F8"/>
    <w:rsid w:val="00A164F1"/>
    <w:rsid w:val="00A169FA"/>
    <w:rsid w:val="00A16A47"/>
    <w:rsid w:val="00A1702F"/>
    <w:rsid w:val="00A1766A"/>
    <w:rsid w:val="00A17E00"/>
    <w:rsid w:val="00A17E28"/>
    <w:rsid w:val="00A200F4"/>
    <w:rsid w:val="00A206C9"/>
    <w:rsid w:val="00A20C27"/>
    <w:rsid w:val="00A20E7D"/>
    <w:rsid w:val="00A21401"/>
    <w:rsid w:val="00A216BC"/>
    <w:rsid w:val="00A21850"/>
    <w:rsid w:val="00A21D9C"/>
    <w:rsid w:val="00A226B4"/>
    <w:rsid w:val="00A2282A"/>
    <w:rsid w:val="00A2292C"/>
    <w:rsid w:val="00A23772"/>
    <w:rsid w:val="00A23931"/>
    <w:rsid w:val="00A23C81"/>
    <w:rsid w:val="00A23E9D"/>
    <w:rsid w:val="00A23FD6"/>
    <w:rsid w:val="00A243F9"/>
    <w:rsid w:val="00A24F69"/>
    <w:rsid w:val="00A250FA"/>
    <w:rsid w:val="00A25317"/>
    <w:rsid w:val="00A2543F"/>
    <w:rsid w:val="00A25706"/>
    <w:rsid w:val="00A25D84"/>
    <w:rsid w:val="00A26029"/>
    <w:rsid w:val="00A262E4"/>
    <w:rsid w:val="00A262FB"/>
    <w:rsid w:val="00A268EA"/>
    <w:rsid w:val="00A27ACC"/>
    <w:rsid w:val="00A27E39"/>
    <w:rsid w:val="00A3176F"/>
    <w:rsid w:val="00A31CE0"/>
    <w:rsid w:val="00A31FA9"/>
    <w:rsid w:val="00A32963"/>
    <w:rsid w:val="00A331F3"/>
    <w:rsid w:val="00A3323D"/>
    <w:rsid w:val="00A333BF"/>
    <w:rsid w:val="00A33825"/>
    <w:rsid w:val="00A3398F"/>
    <w:rsid w:val="00A33D5B"/>
    <w:rsid w:val="00A34EBF"/>
    <w:rsid w:val="00A35583"/>
    <w:rsid w:val="00A363EF"/>
    <w:rsid w:val="00A36DFE"/>
    <w:rsid w:val="00A36F7F"/>
    <w:rsid w:val="00A370FD"/>
    <w:rsid w:val="00A37915"/>
    <w:rsid w:val="00A3798C"/>
    <w:rsid w:val="00A37DD9"/>
    <w:rsid w:val="00A4066B"/>
    <w:rsid w:val="00A40770"/>
    <w:rsid w:val="00A40ED7"/>
    <w:rsid w:val="00A40F5C"/>
    <w:rsid w:val="00A40F83"/>
    <w:rsid w:val="00A40FDB"/>
    <w:rsid w:val="00A412BA"/>
    <w:rsid w:val="00A41416"/>
    <w:rsid w:val="00A4200D"/>
    <w:rsid w:val="00A424BF"/>
    <w:rsid w:val="00A4258E"/>
    <w:rsid w:val="00A432D1"/>
    <w:rsid w:val="00A43716"/>
    <w:rsid w:val="00A442C5"/>
    <w:rsid w:val="00A444F9"/>
    <w:rsid w:val="00A44712"/>
    <w:rsid w:val="00A449FB"/>
    <w:rsid w:val="00A44AF5"/>
    <w:rsid w:val="00A44B8B"/>
    <w:rsid w:val="00A45967"/>
    <w:rsid w:val="00A45EC4"/>
    <w:rsid w:val="00A46C57"/>
    <w:rsid w:val="00A47032"/>
    <w:rsid w:val="00A4703D"/>
    <w:rsid w:val="00A47125"/>
    <w:rsid w:val="00A47212"/>
    <w:rsid w:val="00A474EA"/>
    <w:rsid w:val="00A47656"/>
    <w:rsid w:val="00A501B2"/>
    <w:rsid w:val="00A5034A"/>
    <w:rsid w:val="00A50FFA"/>
    <w:rsid w:val="00A524FE"/>
    <w:rsid w:val="00A539D1"/>
    <w:rsid w:val="00A53D39"/>
    <w:rsid w:val="00A54575"/>
    <w:rsid w:val="00A54DAE"/>
    <w:rsid w:val="00A558B3"/>
    <w:rsid w:val="00A55FDF"/>
    <w:rsid w:val="00A56D3B"/>
    <w:rsid w:val="00A57450"/>
    <w:rsid w:val="00A57479"/>
    <w:rsid w:val="00A57C08"/>
    <w:rsid w:val="00A600D9"/>
    <w:rsid w:val="00A603A2"/>
    <w:rsid w:val="00A604CD"/>
    <w:rsid w:val="00A61133"/>
    <w:rsid w:val="00A615CD"/>
    <w:rsid w:val="00A637A0"/>
    <w:rsid w:val="00A63ECD"/>
    <w:rsid w:val="00A64093"/>
    <w:rsid w:val="00A640EB"/>
    <w:rsid w:val="00A64815"/>
    <w:rsid w:val="00A65043"/>
    <w:rsid w:val="00A660CD"/>
    <w:rsid w:val="00A66255"/>
    <w:rsid w:val="00A66DF9"/>
    <w:rsid w:val="00A67C75"/>
    <w:rsid w:val="00A704E4"/>
    <w:rsid w:val="00A7136A"/>
    <w:rsid w:val="00A71BAE"/>
    <w:rsid w:val="00A71C44"/>
    <w:rsid w:val="00A71FD7"/>
    <w:rsid w:val="00A7207F"/>
    <w:rsid w:val="00A72296"/>
    <w:rsid w:val="00A727B5"/>
    <w:rsid w:val="00A735CB"/>
    <w:rsid w:val="00A7388E"/>
    <w:rsid w:val="00A739CB"/>
    <w:rsid w:val="00A74544"/>
    <w:rsid w:val="00A74548"/>
    <w:rsid w:val="00A74556"/>
    <w:rsid w:val="00A74DF2"/>
    <w:rsid w:val="00A74E4D"/>
    <w:rsid w:val="00A74F11"/>
    <w:rsid w:val="00A7517A"/>
    <w:rsid w:val="00A7550A"/>
    <w:rsid w:val="00A756B8"/>
    <w:rsid w:val="00A7592E"/>
    <w:rsid w:val="00A75DF3"/>
    <w:rsid w:val="00A76A9C"/>
    <w:rsid w:val="00A76C1F"/>
    <w:rsid w:val="00A803FC"/>
    <w:rsid w:val="00A8071A"/>
    <w:rsid w:val="00A80B49"/>
    <w:rsid w:val="00A80D3A"/>
    <w:rsid w:val="00A80DD9"/>
    <w:rsid w:val="00A80FCA"/>
    <w:rsid w:val="00A81555"/>
    <w:rsid w:val="00A81830"/>
    <w:rsid w:val="00A81CBC"/>
    <w:rsid w:val="00A82506"/>
    <w:rsid w:val="00A82C3E"/>
    <w:rsid w:val="00A833CB"/>
    <w:rsid w:val="00A837CE"/>
    <w:rsid w:val="00A83DB5"/>
    <w:rsid w:val="00A83FBA"/>
    <w:rsid w:val="00A84596"/>
    <w:rsid w:val="00A84636"/>
    <w:rsid w:val="00A84FE1"/>
    <w:rsid w:val="00A85080"/>
    <w:rsid w:val="00A85337"/>
    <w:rsid w:val="00A8626D"/>
    <w:rsid w:val="00A86406"/>
    <w:rsid w:val="00A86853"/>
    <w:rsid w:val="00A86B75"/>
    <w:rsid w:val="00A86E75"/>
    <w:rsid w:val="00A86F33"/>
    <w:rsid w:val="00A9065F"/>
    <w:rsid w:val="00A90B0E"/>
    <w:rsid w:val="00A916DE"/>
    <w:rsid w:val="00A91AA1"/>
    <w:rsid w:val="00A91C8C"/>
    <w:rsid w:val="00A91F0D"/>
    <w:rsid w:val="00A91F73"/>
    <w:rsid w:val="00A9235A"/>
    <w:rsid w:val="00A92DF6"/>
    <w:rsid w:val="00A92FF7"/>
    <w:rsid w:val="00A93069"/>
    <w:rsid w:val="00A9341F"/>
    <w:rsid w:val="00A93A8E"/>
    <w:rsid w:val="00A945ED"/>
    <w:rsid w:val="00A9468F"/>
    <w:rsid w:val="00A9498D"/>
    <w:rsid w:val="00A95335"/>
    <w:rsid w:val="00A9566B"/>
    <w:rsid w:val="00A957D5"/>
    <w:rsid w:val="00A959D0"/>
    <w:rsid w:val="00A9657F"/>
    <w:rsid w:val="00A9797D"/>
    <w:rsid w:val="00A97E39"/>
    <w:rsid w:val="00AA015F"/>
    <w:rsid w:val="00AA0C3A"/>
    <w:rsid w:val="00AA126E"/>
    <w:rsid w:val="00AA1723"/>
    <w:rsid w:val="00AA190D"/>
    <w:rsid w:val="00AA1FDD"/>
    <w:rsid w:val="00AA22C3"/>
    <w:rsid w:val="00AA230D"/>
    <w:rsid w:val="00AA2C5B"/>
    <w:rsid w:val="00AA3FCB"/>
    <w:rsid w:val="00AA4527"/>
    <w:rsid w:val="00AA4941"/>
    <w:rsid w:val="00AA49E9"/>
    <w:rsid w:val="00AA5475"/>
    <w:rsid w:val="00AA5876"/>
    <w:rsid w:val="00AA6A8A"/>
    <w:rsid w:val="00AA6DD8"/>
    <w:rsid w:val="00AA6FA3"/>
    <w:rsid w:val="00AA70BB"/>
    <w:rsid w:val="00AA757C"/>
    <w:rsid w:val="00AA774D"/>
    <w:rsid w:val="00AA77B0"/>
    <w:rsid w:val="00AA7F10"/>
    <w:rsid w:val="00AB0136"/>
    <w:rsid w:val="00AB0391"/>
    <w:rsid w:val="00AB0CC9"/>
    <w:rsid w:val="00AB106F"/>
    <w:rsid w:val="00AB11D1"/>
    <w:rsid w:val="00AB1BFF"/>
    <w:rsid w:val="00AB2151"/>
    <w:rsid w:val="00AB2726"/>
    <w:rsid w:val="00AB2C59"/>
    <w:rsid w:val="00AB2C8A"/>
    <w:rsid w:val="00AB302A"/>
    <w:rsid w:val="00AB3C6B"/>
    <w:rsid w:val="00AB42B6"/>
    <w:rsid w:val="00AB4B7D"/>
    <w:rsid w:val="00AB4D4C"/>
    <w:rsid w:val="00AB4D67"/>
    <w:rsid w:val="00AB5203"/>
    <w:rsid w:val="00AB545D"/>
    <w:rsid w:val="00AB54D7"/>
    <w:rsid w:val="00AB57D3"/>
    <w:rsid w:val="00AB6886"/>
    <w:rsid w:val="00AB6AE4"/>
    <w:rsid w:val="00AB6E00"/>
    <w:rsid w:val="00AB6F37"/>
    <w:rsid w:val="00AB7100"/>
    <w:rsid w:val="00AB7237"/>
    <w:rsid w:val="00AB757F"/>
    <w:rsid w:val="00AB769E"/>
    <w:rsid w:val="00AB7D55"/>
    <w:rsid w:val="00AB7E15"/>
    <w:rsid w:val="00AC051E"/>
    <w:rsid w:val="00AC0663"/>
    <w:rsid w:val="00AC0681"/>
    <w:rsid w:val="00AC095A"/>
    <w:rsid w:val="00AC0AC2"/>
    <w:rsid w:val="00AC154B"/>
    <w:rsid w:val="00AC16A8"/>
    <w:rsid w:val="00AC1ADC"/>
    <w:rsid w:val="00AC1B72"/>
    <w:rsid w:val="00AC23C9"/>
    <w:rsid w:val="00AC26FE"/>
    <w:rsid w:val="00AC27CB"/>
    <w:rsid w:val="00AC29A0"/>
    <w:rsid w:val="00AC350D"/>
    <w:rsid w:val="00AC3568"/>
    <w:rsid w:val="00AC3CF2"/>
    <w:rsid w:val="00AC47EC"/>
    <w:rsid w:val="00AC4E5D"/>
    <w:rsid w:val="00AC58F1"/>
    <w:rsid w:val="00AC60A2"/>
    <w:rsid w:val="00AC6C53"/>
    <w:rsid w:val="00AC6E85"/>
    <w:rsid w:val="00AC70A5"/>
    <w:rsid w:val="00AC7262"/>
    <w:rsid w:val="00AC7284"/>
    <w:rsid w:val="00AC74EE"/>
    <w:rsid w:val="00AC7CE6"/>
    <w:rsid w:val="00AD0828"/>
    <w:rsid w:val="00AD0B13"/>
    <w:rsid w:val="00AD0E69"/>
    <w:rsid w:val="00AD103D"/>
    <w:rsid w:val="00AD159C"/>
    <w:rsid w:val="00AD17FA"/>
    <w:rsid w:val="00AD19EC"/>
    <w:rsid w:val="00AD1A0E"/>
    <w:rsid w:val="00AD2717"/>
    <w:rsid w:val="00AD3844"/>
    <w:rsid w:val="00AD3DC4"/>
    <w:rsid w:val="00AD425C"/>
    <w:rsid w:val="00AD4FF4"/>
    <w:rsid w:val="00AD531D"/>
    <w:rsid w:val="00AD593A"/>
    <w:rsid w:val="00AD600C"/>
    <w:rsid w:val="00AD63D6"/>
    <w:rsid w:val="00AD6CCB"/>
    <w:rsid w:val="00AD6CD5"/>
    <w:rsid w:val="00AD6F1F"/>
    <w:rsid w:val="00AD711B"/>
    <w:rsid w:val="00AD733B"/>
    <w:rsid w:val="00AD7593"/>
    <w:rsid w:val="00AD78E8"/>
    <w:rsid w:val="00AD7CA7"/>
    <w:rsid w:val="00AE0040"/>
    <w:rsid w:val="00AE056D"/>
    <w:rsid w:val="00AE184D"/>
    <w:rsid w:val="00AE1C03"/>
    <w:rsid w:val="00AE1C37"/>
    <w:rsid w:val="00AE23E3"/>
    <w:rsid w:val="00AE2CAC"/>
    <w:rsid w:val="00AE2F65"/>
    <w:rsid w:val="00AE3075"/>
    <w:rsid w:val="00AE317E"/>
    <w:rsid w:val="00AE35A5"/>
    <w:rsid w:val="00AE3717"/>
    <w:rsid w:val="00AE37E2"/>
    <w:rsid w:val="00AE46CE"/>
    <w:rsid w:val="00AE4E2A"/>
    <w:rsid w:val="00AE5CF9"/>
    <w:rsid w:val="00AE5DB6"/>
    <w:rsid w:val="00AE6C3C"/>
    <w:rsid w:val="00AE702E"/>
    <w:rsid w:val="00AE73E0"/>
    <w:rsid w:val="00AE7CA8"/>
    <w:rsid w:val="00AF03C0"/>
    <w:rsid w:val="00AF0B68"/>
    <w:rsid w:val="00AF0ED2"/>
    <w:rsid w:val="00AF166F"/>
    <w:rsid w:val="00AF1C03"/>
    <w:rsid w:val="00AF25B4"/>
    <w:rsid w:val="00AF38B1"/>
    <w:rsid w:val="00AF39AF"/>
    <w:rsid w:val="00AF3E3B"/>
    <w:rsid w:val="00AF3E5A"/>
    <w:rsid w:val="00AF46FE"/>
    <w:rsid w:val="00AF486F"/>
    <w:rsid w:val="00AF5141"/>
    <w:rsid w:val="00AF548B"/>
    <w:rsid w:val="00AF55E0"/>
    <w:rsid w:val="00AF5666"/>
    <w:rsid w:val="00AF5870"/>
    <w:rsid w:val="00AF6619"/>
    <w:rsid w:val="00AF6CFD"/>
    <w:rsid w:val="00AF7DC1"/>
    <w:rsid w:val="00B000AE"/>
    <w:rsid w:val="00B0040B"/>
    <w:rsid w:val="00B005B8"/>
    <w:rsid w:val="00B00830"/>
    <w:rsid w:val="00B00AB5"/>
    <w:rsid w:val="00B00CC0"/>
    <w:rsid w:val="00B00F5C"/>
    <w:rsid w:val="00B019C1"/>
    <w:rsid w:val="00B021A2"/>
    <w:rsid w:val="00B0236E"/>
    <w:rsid w:val="00B02498"/>
    <w:rsid w:val="00B02506"/>
    <w:rsid w:val="00B0252A"/>
    <w:rsid w:val="00B02ACE"/>
    <w:rsid w:val="00B03913"/>
    <w:rsid w:val="00B039C2"/>
    <w:rsid w:val="00B04661"/>
    <w:rsid w:val="00B04CEA"/>
    <w:rsid w:val="00B05283"/>
    <w:rsid w:val="00B0559A"/>
    <w:rsid w:val="00B05607"/>
    <w:rsid w:val="00B05A08"/>
    <w:rsid w:val="00B05F14"/>
    <w:rsid w:val="00B06737"/>
    <w:rsid w:val="00B0784C"/>
    <w:rsid w:val="00B07858"/>
    <w:rsid w:val="00B07CE9"/>
    <w:rsid w:val="00B101D5"/>
    <w:rsid w:val="00B10633"/>
    <w:rsid w:val="00B10B08"/>
    <w:rsid w:val="00B11A78"/>
    <w:rsid w:val="00B11CFB"/>
    <w:rsid w:val="00B12111"/>
    <w:rsid w:val="00B12261"/>
    <w:rsid w:val="00B12900"/>
    <w:rsid w:val="00B12BC7"/>
    <w:rsid w:val="00B13173"/>
    <w:rsid w:val="00B13754"/>
    <w:rsid w:val="00B13E18"/>
    <w:rsid w:val="00B14109"/>
    <w:rsid w:val="00B14410"/>
    <w:rsid w:val="00B1486D"/>
    <w:rsid w:val="00B150D6"/>
    <w:rsid w:val="00B15373"/>
    <w:rsid w:val="00B15639"/>
    <w:rsid w:val="00B15D15"/>
    <w:rsid w:val="00B15E42"/>
    <w:rsid w:val="00B15EEE"/>
    <w:rsid w:val="00B16198"/>
    <w:rsid w:val="00B16940"/>
    <w:rsid w:val="00B16A2C"/>
    <w:rsid w:val="00B16FB6"/>
    <w:rsid w:val="00B17022"/>
    <w:rsid w:val="00B20367"/>
    <w:rsid w:val="00B205E8"/>
    <w:rsid w:val="00B21363"/>
    <w:rsid w:val="00B21736"/>
    <w:rsid w:val="00B218B1"/>
    <w:rsid w:val="00B21A33"/>
    <w:rsid w:val="00B224AA"/>
    <w:rsid w:val="00B224C9"/>
    <w:rsid w:val="00B22998"/>
    <w:rsid w:val="00B229FE"/>
    <w:rsid w:val="00B2302B"/>
    <w:rsid w:val="00B24363"/>
    <w:rsid w:val="00B2456E"/>
    <w:rsid w:val="00B2478D"/>
    <w:rsid w:val="00B248F6"/>
    <w:rsid w:val="00B24979"/>
    <w:rsid w:val="00B250A5"/>
    <w:rsid w:val="00B25651"/>
    <w:rsid w:val="00B2630D"/>
    <w:rsid w:val="00B26937"/>
    <w:rsid w:val="00B26C79"/>
    <w:rsid w:val="00B27EFD"/>
    <w:rsid w:val="00B301EE"/>
    <w:rsid w:val="00B30243"/>
    <w:rsid w:val="00B302B7"/>
    <w:rsid w:val="00B30421"/>
    <w:rsid w:val="00B30DC8"/>
    <w:rsid w:val="00B315BB"/>
    <w:rsid w:val="00B31977"/>
    <w:rsid w:val="00B3235A"/>
    <w:rsid w:val="00B32AE5"/>
    <w:rsid w:val="00B32D2F"/>
    <w:rsid w:val="00B333FE"/>
    <w:rsid w:val="00B335EC"/>
    <w:rsid w:val="00B3382B"/>
    <w:rsid w:val="00B35094"/>
    <w:rsid w:val="00B350F0"/>
    <w:rsid w:val="00B355F5"/>
    <w:rsid w:val="00B357AC"/>
    <w:rsid w:val="00B35992"/>
    <w:rsid w:val="00B35E4B"/>
    <w:rsid w:val="00B35FCC"/>
    <w:rsid w:val="00B36518"/>
    <w:rsid w:val="00B36AD0"/>
    <w:rsid w:val="00B378CC"/>
    <w:rsid w:val="00B40647"/>
    <w:rsid w:val="00B40EEB"/>
    <w:rsid w:val="00B41615"/>
    <w:rsid w:val="00B41CBB"/>
    <w:rsid w:val="00B41F01"/>
    <w:rsid w:val="00B41FD8"/>
    <w:rsid w:val="00B420DF"/>
    <w:rsid w:val="00B428E2"/>
    <w:rsid w:val="00B42A2C"/>
    <w:rsid w:val="00B42A5C"/>
    <w:rsid w:val="00B42A98"/>
    <w:rsid w:val="00B42C64"/>
    <w:rsid w:val="00B43000"/>
    <w:rsid w:val="00B43922"/>
    <w:rsid w:val="00B43D5D"/>
    <w:rsid w:val="00B4416A"/>
    <w:rsid w:val="00B442AF"/>
    <w:rsid w:val="00B4477D"/>
    <w:rsid w:val="00B448EF"/>
    <w:rsid w:val="00B47493"/>
    <w:rsid w:val="00B474C8"/>
    <w:rsid w:val="00B474DF"/>
    <w:rsid w:val="00B47915"/>
    <w:rsid w:val="00B47DB8"/>
    <w:rsid w:val="00B50CC7"/>
    <w:rsid w:val="00B50E18"/>
    <w:rsid w:val="00B51053"/>
    <w:rsid w:val="00B513A9"/>
    <w:rsid w:val="00B51568"/>
    <w:rsid w:val="00B51610"/>
    <w:rsid w:val="00B5167B"/>
    <w:rsid w:val="00B51FAC"/>
    <w:rsid w:val="00B520E3"/>
    <w:rsid w:val="00B52336"/>
    <w:rsid w:val="00B53283"/>
    <w:rsid w:val="00B5388C"/>
    <w:rsid w:val="00B553B8"/>
    <w:rsid w:val="00B559FF"/>
    <w:rsid w:val="00B55CED"/>
    <w:rsid w:val="00B55D57"/>
    <w:rsid w:val="00B55E9D"/>
    <w:rsid w:val="00B55F80"/>
    <w:rsid w:val="00B56480"/>
    <w:rsid w:val="00B565D6"/>
    <w:rsid w:val="00B56FF7"/>
    <w:rsid w:val="00B576A4"/>
    <w:rsid w:val="00B57998"/>
    <w:rsid w:val="00B57CD0"/>
    <w:rsid w:val="00B57DA9"/>
    <w:rsid w:val="00B60177"/>
    <w:rsid w:val="00B6022D"/>
    <w:rsid w:val="00B6039D"/>
    <w:rsid w:val="00B60639"/>
    <w:rsid w:val="00B60F48"/>
    <w:rsid w:val="00B61031"/>
    <w:rsid w:val="00B617BD"/>
    <w:rsid w:val="00B61DC0"/>
    <w:rsid w:val="00B6308E"/>
    <w:rsid w:val="00B63D58"/>
    <w:rsid w:val="00B64E8A"/>
    <w:rsid w:val="00B65588"/>
    <w:rsid w:val="00B658D1"/>
    <w:rsid w:val="00B66064"/>
    <w:rsid w:val="00B66995"/>
    <w:rsid w:val="00B67050"/>
    <w:rsid w:val="00B671A1"/>
    <w:rsid w:val="00B675A6"/>
    <w:rsid w:val="00B6794D"/>
    <w:rsid w:val="00B67B55"/>
    <w:rsid w:val="00B67C6C"/>
    <w:rsid w:val="00B70C2A"/>
    <w:rsid w:val="00B70C61"/>
    <w:rsid w:val="00B70E5A"/>
    <w:rsid w:val="00B71B81"/>
    <w:rsid w:val="00B71F38"/>
    <w:rsid w:val="00B7220D"/>
    <w:rsid w:val="00B731D4"/>
    <w:rsid w:val="00B735B4"/>
    <w:rsid w:val="00B742D9"/>
    <w:rsid w:val="00B74570"/>
    <w:rsid w:val="00B745D8"/>
    <w:rsid w:val="00B74682"/>
    <w:rsid w:val="00B749B6"/>
    <w:rsid w:val="00B75023"/>
    <w:rsid w:val="00B7509A"/>
    <w:rsid w:val="00B75AD0"/>
    <w:rsid w:val="00B75C37"/>
    <w:rsid w:val="00B7613E"/>
    <w:rsid w:val="00B766C1"/>
    <w:rsid w:val="00B76966"/>
    <w:rsid w:val="00B76B96"/>
    <w:rsid w:val="00B76EFB"/>
    <w:rsid w:val="00B77129"/>
    <w:rsid w:val="00B771C7"/>
    <w:rsid w:val="00B77AC1"/>
    <w:rsid w:val="00B77C37"/>
    <w:rsid w:val="00B806FD"/>
    <w:rsid w:val="00B8079D"/>
    <w:rsid w:val="00B807BF"/>
    <w:rsid w:val="00B809B1"/>
    <w:rsid w:val="00B812FA"/>
    <w:rsid w:val="00B8179D"/>
    <w:rsid w:val="00B82082"/>
    <w:rsid w:val="00B8246D"/>
    <w:rsid w:val="00B82543"/>
    <w:rsid w:val="00B82998"/>
    <w:rsid w:val="00B82E13"/>
    <w:rsid w:val="00B834B0"/>
    <w:rsid w:val="00B837F6"/>
    <w:rsid w:val="00B83DAE"/>
    <w:rsid w:val="00B83F65"/>
    <w:rsid w:val="00B84FB4"/>
    <w:rsid w:val="00B85EA5"/>
    <w:rsid w:val="00B86388"/>
    <w:rsid w:val="00B86F2A"/>
    <w:rsid w:val="00B8731A"/>
    <w:rsid w:val="00B8756E"/>
    <w:rsid w:val="00B87653"/>
    <w:rsid w:val="00B87896"/>
    <w:rsid w:val="00B87CE6"/>
    <w:rsid w:val="00B87DF9"/>
    <w:rsid w:val="00B90CB4"/>
    <w:rsid w:val="00B90D51"/>
    <w:rsid w:val="00B90DCB"/>
    <w:rsid w:val="00B91951"/>
    <w:rsid w:val="00B91A58"/>
    <w:rsid w:val="00B91EAD"/>
    <w:rsid w:val="00B9201A"/>
    <w:rsid w:val="00B920B9"/>
    <w:rsid w:val="00B930D2"/>
    <w:rsid w:val="00B937CD"/>
    <w:rsid w:val="00B938BC"/>
    <w:rsid w:val="00B93997"/>
    <w:rsid w:val="00B93C98"/>
    <w:rsid w:val="00B93EFF"/>
    <w:rsid w:val="00B9626F"/>
    <w:rsid w:val="00B974C1"/>
    <w:rsid w:val="00B976BB"/>
    <w:rsid w:val="00B979DE"/>
    <w:rsid w:val="00BA0177"/>
    <w:rsid w:val="00BA01A7"/>
    <w:rsid w:val="00BA0224"/>
    <w:rsid w:val="00BA05C8"/>
    <w:rsid w:val="00BA09AA"/>
    <w:rsid w:val="00BA0AD5"/>
    <w:rsid w:val="00BA0C59"/>
    <w:rsid w:val="00BA0CA0"/>
    <w:rsid w:val="00BA0E3C"/>
    <w:rsid w:val="00BA15B3"/>
    <w:rsid w:val="00BA1F74"/>
    <w:rsid w:val="00BA1FE7"/>
    <w:rsid w:val="00BA23A5"/>
    <w:rsid w:val="00BA2B1D"/>
    <w:rsid w:val="00BA3058"/>
    <w:rsid w:val="00BA3D14"/>
    <w:rsid w:val="00BA40FF"/>
    <w:rsid w:val="00BA431D"/>
    <w:rsid w:val="00BA435A"/>
    <w:rsid w:val="00BA44C4"/>
    <w:rsid w:val="00BA54BA"/>
    <w:rsid w:val="00BA5603"/>
    <w:rsid w:val="00BA56D9"/>
    <w:rsid w:val="00BA6194"/>
    <w:rsid w:val="00BA62C6"/>
    <w:rsid w:val="00BA778C"/>
    <w:rsid w:val="00BA7B44"/>
    <w:rsid w:val="00BA7C9A"/>
    <w:rsid w:val="00BA7EEE"/>
    <w:rsid w:val="00BB0BE2"/>
    <w:rsid w:val="00BB0D19"/>
    <w:rsid w:val="00BB0F4A"/>
    <w:rsid w:val="00BB1A8D"/>
    <w:rsid w:val="00BB2008"/>
    <w:rsid w:val="00BB28D7"/>
    <w:rsid w:val="00BB29DF"/>
    <w:rsid w:val="00BB2CFC"/>
    <w:rsid w:val="00BB2E21"/>
    <w:rsid w:val="00BB34DC"/>
    <w:rsid w:val="00BB35D0"/>
    <w:rsid w:val="00BB3AC4"/>
    <w:rsid w:val="00BB4999"/>
    <w:rsid w:val="00BB4BCD"/>
    <w:rsid w:val="00BB52EB"/>
    <w:rsid w:val="00BB56C7"/>
    <w:rsid w:val="00BB5ACD"/>
    <w:rsid w:val="00BB5B62"/>
    <w:rsid w:val="00BB6502"/>
    <w:rsid w:val="00BB691F"/>
    <w:rsid w:val="00BB6B90"/>
    <w:rsid w:val="00BB6BCD"/>
    <w:rsid w:val="00BB6C35"/>
    <w:rsid w:val="00BB70F9"/>
    <w:rsid w:val="00BB7C9B"/>
    <w:rsid w:val="00BC0054"/>
    <w:rsid w:val="00BC0F59"/>
    <w:rsid w:val="00BC1527"/>
    <w:rsid w:val="00BC1828"/>
    <w:rsid w:val="00BC1A20"/>
    <w:rsid w:val="00BC222B"/>
    <w:rsid w:val="00BC2306"/>
    <w:rsid w:val="00BC26C4"/>
    <w:rsid w:val="00BC2ED2"/>
    <w:rsid w:val="00BC2F31"/>
    <w:rsid w:val="00BC35F1"/>
    <w:rsid w:val="00BC3B53"/>
    <w:rsid w:val="00BC4036"/>
    <w:rsid w:val="00BC4750"/>
    <w:rsid w:val="00BC4F0A"/>
    <w:rsid w:val="00BC509F"/>
    <w:rsid w:val="00BC51D2"/>
    <w:rsid w:val="00BC64BE"/>
    <w:rsid w:val="00BC6A63"/>
    <w:rsid w:val="00BC6CE9"/>
    <w:rsid w:val="00BC7155"/>
    <w:rsid w:val="00BC72A6"/>
    <w:rsid w:val="00BC7550"/>
    <w:rsid w:val="00BC7D7D"/>
    <w:rsid w:val="00BD07B8"/>
    <w:rsid w:val="00BD0B72"/>
    <w:rsid w:val="00BD127A"/>
    <w:rsid w:val="00BD18B7"/>
    <w:rsid w:val="00BD1D52"/>
    <w:rsid w:val="00BD1DB3"/>
    <w:rsid w:val="00BD2668"/>
    <w:rsid w:val="00BD26FD"/>
    <w:rsid w:val="00BD3924"/>
    <w:rsid w:val="00BD450F"/>
    <w:rsid w:val="00BD4512"/>
    <w:rsid w:val="00BD49AD"/>
    <w:rsid w:val="00BD52AA"/>
    <w:rsid w:val="00BD5438"/>
    <w:rsid w:val="00BD6C64"/>
    <w:rsid w:val="00BD7515"/>
    <w:rsid w:val="00BE0283"/>
    <w:rsid w:val="00BE0C12"/>
    <w:rsid w:val="00BE1061"/>
    <w:rsid w:val="00BE1321"/>
    <w:rsid w:val="00BE1D17"/>
    <w:rsid w:val="00BE1DAA"/>
    <w:rsid w:val="00BE26D0"/>
    <w:rsid w:val="00BE2761"/>
    <w:rsid w:val="00BE2893"/>
    <w:rsid w:val="00BE2C3A"/>
    <w:rsid w:val="00BE2EB4"/>
    <w:rsid w:val="00BE2F5A"/>
    <w:rsid w:val="00BE37D3"/>
    <w:rsid w:val="00BE3833"/>
    <w:rsid w:val="00BE3ADF"/>
    <w:rsid w:val="00BE522A"/>
    <w:rsid w:val="00BE57B5"/>
    <w:rsid w:val="00BE6A8B"/>
    <w:rsid w:val="00BE6E0F"/>
    <w:rsid w:val="00BE7A7C"/>
    <w:rsid w:val="00BF0A44"/>
    <w:rsid w:val="00BF0CEC"/>
    <w:rsid w:val="00BF0FFB"/>
    <w:rsid w:val="00BF126F"/>
    <w:rsid w:val="00BF1A44"/>
    <w:rsid w:val="00BF1CC0"/>
    <w:rsid w:val="00BF1EDF"/>
    <w:rsid w:val="00BF3F89"/>
    <w:rsid w:val="00BF487A"/>
    <w:rsid w:val="00BF49F5"/>
    <w:rsid w:val="00BF4D37"/>
    <w:rsid w:val="00BF4D3D"/>
    <w:rsid w:val="00BF54DB"/>
    <w:rsid w:val="00BF5B8C"/>
    <w:rsid w:val="00BF655C"/>
    <w:rsid w:val="00BF66B7"/>
    <w:rsid w:val="00BF69AF"/>
    <w:rsid w:val="00BF6A68"/>
    <w:rsid w:val="00BF6BC8"/>
    <w:rsid w:val="00BF7152"/>
    <w:rsid w:val="00BF73F0"/>
    <w:rsid w:val="00BF75B1"/>
    <w:rsid w:val="00BF75C9"/>
    <w:rsid w:val="00BF7BD3"/>
    <w:rsid w:val="00BF7C32"/>
    <w:rsid w:val="00C00310"/>
    <w:rsid w:val="00C00352"/>
    <w:rsid w:val="00C007CE"/>
    <w:rsid w:val="00C00A22"/>
    <w:rsid w:val="00C00F18"/>
    <w:rsid w:val="00C0141B"/>
    <w:rsid w:val="00C01D39"/>
    <w:rsid w:val="00C0200C"/>
    <w:rsid w:val="00C020A8"/>
    <w:rsid w:val="00C022BD"/>
    <w:rsid w:val="00C02EAB"/>
    <w:rsid w:val="00C034A4"/>
    <w:rsid w:val="00C03DD0"/>
    <w:rsid w:val="00C04445"/>
    <w:rsid w:val="00C04705"/>
    <w:rsid w:val="00C04A7F"/>
    <w:rsid w:val="00C04B09"/>
    <w:rsid w:val="00C04E2B"/>
    <w:rsid w:val="00C051AA"/>
    <w:rsid w:val="00C05270"/>
    <w:rsid w:val="00C060A0"/>
    <w:rsid w:val="00C06182"/>
    <w:rsid w:val="00C065AE"/>
    <w:rsid w:val="00C06C18"/>
    <w:rsid w:val="00C06C48"/>
    <w:rsid w:val="00C07187"/>
    <w:rsid w:val="00C075C9"/>
    <w:rsid w:val="00C07FAD"/>
    <w:rsid w:val="00C10175"/>
    <w:rsid w:val="00C105C5"/>
    <w:rsid w:val="00C106C4"/>
    <w:rsid w:val="00C10891"/>
    <w:rsid w:val="00C111EA"/>
    <w:rsid w:val="00C119AD"/>
    <w:rsid w:val="00C11E27"/>
    <w:rsid w:val="00C1228D"/>
    <w:rsid w:val="00C12591"/>
    <w:rsid w:val="00C13422"/>
    <w:rsid w:val="00C13517"/>
    <w:rsid w:val="00C13D32"/>
    <w:rsid w:val="00C13FED"/>
    <w:rsid w:val="00C1469B"/>
    <w:rsid w:val="00C14807"/>
    <w:rsid w:val="00C14E7D"/>
    <w:rsid w:val="00C152FC"/>
    <w:rsid w:val="00C15357"/>
    <w:rsid w:val="00C15394"/>
    <w:rsid w:val="00C15722"/>
    <w:rsid w:val="00C15F18"/>
    <w:rsid w:val="00C16897"/>
    <w:rsid w:val="00C200C9"/>
    <w:rsid w:val="00C207BD"/>
    <w:rsid w:val="00C20CC7"/>
    <w:rsid w:val="00C218FD"/>
    <w:rsid w:val="00C21D8E"/>
    <w:rsid w:val="00C22273"/>
    <w:rsid w:val="00C22525"/>
    <w:rsid w:val="00C231E2"/>
    <w:rsid w:val="00C23DBB"/>
    <w:rsid w:val="00C23FE1"/>
    <w:rsid w:val="00C2410D"/>
    <w:rsid w:val="00C24BAF"/>
    <w:rsid w:val="00C24E13"/>
    <w:rsid w:val="00C255AD"/>
    <w:rsid w:val="00C25F8B"/>
    <w:rsid w:val="00C265C0"/>
    <w:rsid w:val="00C26B9E"/>
    <w:rsid w:val="00C27289"/>
    <w:rsid w:val="00C272EF"/>
    <w:rsid w:val="00C2732B"/>
    <w:rsid w:val="00C2753F"/>
    <w:rsid w:val="00C276A8"/>
    <w:rsid w:val="00C27911"/>
    <w:rsid w:val="00C27975"/>
    <w:rsid w:val="00C300BC"/>
    <w:rsid w:val="00C30FA9"/>
    <w:rsid w:val="00C318F7"/>
    <w:rsid w:val="00C319D2"/>
    <w:rsid w:val="00C31EF5"/>
    <w:rsid w:val="00C31F85"/>
    <w:rsid w:val="00C3212B"/>
    <w:rsid w:val="00C32534"/>
    <w:rsid w:val="00C326EE"/>
    <w:rsid w:val="00C32951"/>
    <w:rsid w:val="00C32C02"/>
    <w:rsid w:val="00C32FA1"/>
    <w:rsid w:val="00C33235"/>
    <w:rsid w:val="00C33285"/>
    <w:rsid w:val="00C33677"/>
    <w:rsid w:val="00C34137"/>
    <w:rsid w:val="00C34767"/>
    <w:rsid w:val="00C3476B"/>
    <w:rsid w:val="00C34E87"/>
    <w:rsid w:val="00C35240"/>
    <w:rsid w:val="00C352DA"/>
    <w:rsid w:val="00C361C2"/>
    <w:rsid w:val="00C368B3"/>
    <w:rsid w:val="00C369AE"/>
    <w:rsid w:val="00C36DD7"/>
    <w:rsid w:val="00C36F07"/>
    <w:rsid w:val="00C37214"/>
    <w:rsid w:val="00C372E8"/>
    <w:rsid w:val="00C37BCE"/>
    <w:rsid w:val="00C37D42"/>
    <w:rsid w:val="00C37D91"/>
    <w:rsid w:val="00C37FBE"/>
    <w:rsid w:val="00C404F4"/>
    <w:rsid w:val="00C409BC"/>
    <w:rsid w:val="00C409DC"/>
    <w:rsid w:val="00C40B1B"/>
    <w:rsid w:val="00C40E1C"/>
    <w:rsid w:val="00C40E88"/>
    <w:rsid w:val="00C414C3"/>
    <w:rsid w:val="00C416A3"/>
    <w:rsid w:val="00C41785"/>
    <w:rsid w:val="00C418C9"/>
    <w:rsid w:val="00C41BBC"/>
    <w:rsid w:val="00C41FC1"/>
    <w:rsid w:val="00C42CC5"/>
    <w:rsid w:val="00C434C2"/>
    <w:rsid w:val="00C43940"/>
    <w:rsid w:val="00C44342"/>
    <w:rsid w:val="00C44694"/>
    <w:rsid w:val="00C44744"/>
    <w:rsid w:val="00C447E4"/>
    <w:rsid w:val="00C457C1"/>
    <w:rsid w:val="00C46625"/>
    <w:rsid w:val="00C46870"/>
    <w:rsid w:val="00C46EB8"/>
    <w:rsid w:val="00C47545"/>
    <w:rsid w:val="00C47593"/>
    <w:rsid w:val="00C47748"/>
    <w:rsid w:val="00C47DAC"/>
    <w:rsid w:val="00C5044B"/>
    <w:rsid w:val="00C506BD"/>
    <w:rsid w:val="00C50E55"/>
    <w:rsid w:val="00C51426"/>
    <w:rsid w:val="00C51622"/>
    <w:rsid w:val="00C51DD9"/>
    <w:rsid w:val="00C51FB3"/>
    <w:rsid w:val="00C5223C"/>
    <w:rsid w:val="00C52A35"/>
    <w:rsid w:val="00C53213"/>
    <w:rsid w:val="00C53917"/>
    <w:rsid w:val="00C53C6A"/>
    <w:rsid w:val="00C541DE"/>
    <w:rsid w:val="00C54C11"/>
    <w:rsid w:val="00C54C67"/>
    <w:rsid w:val="00C54E65"/>
    <w:rsid w:val="00C560CD"/>
    <w:rsid w:val="00C56324"/>
    <w:rsid w:val="00C5653B"/>
    <w:rsid w:val="00C565A3"/>
    <w:rsid w:val="00C565D8"/>
    <w:rsid w:val="00C56844"/>
    <w:rsid w:val="00C577F7"/>
    <w:rsid w:val="00C60667"/>
    <w:rsid w:val="00C60A6F"/>
    <w:rsid w:val="00C61AB9"/>
    <w:rsid w:val="00C61F84"/>
    <w:rsid w:val="00C623E0"/>
    <w:rsid w:val="00C62FF7"/>
    <w:rsid w:val="00C63135"/>
    <w:rsid w:val="00C631A5"/>
    <w:rsid w:val="00C637DC"/>
    <w:rsid w:val="00C63E1E"/>
    <w:rsid w:val="00C63EE8"/>
    <w:rsid w:val="00C63F19"/>
    <w:rsid w:val="00C6432E"/>
    <w:rsid w:val="00C64361"/>
    <w:rsid w:val="00C64503"/>
    <w:rsid w:val="00C6463E"/>
    <w:rsid w:val="00C646C4"/>
    <w:rsid w:val="00C64A2E"/>
    <w:rsid w:val="00C6553E"/>
    <w:rsid w:val="00C65718"/>
    <w:rsid w:val="00C6585E"/>
    <w:rsid w:val="00C65C81"/>
    <w:rsid w:val="00C666DE"/>
    <w:rsid w:val="00C66772"/>
    <w:rsid w:val="00C66D2B"/>
    <w:rsid w:val="00C67580"/>
    <w:rsid w:val="00C6781C"/>
    <w:rsid w:val="00C67B2A"/>
    <w:rsid w:val="00C67EA1"/>
    <w:rsid w:val="00C7063D"/>
    <w:rsid w:val="00C7080C"/>
    <w:rsid w:val="00C70AEE"/>
    <w:rsid w:val="00C70DB4"/>
    <w:rsid w:val="00C71D15"/>
    <w:rsid w:val="00C7234D"/>
    <w:rsid w:val="00C7244E"/>
    <w:rsid w:val="00C726C9"/>
    <w:rsid w:val="00C72801"/>
    <w:rsid w:val="00C72C0A"/>
    <w:rsid w:val="00C72EE0"/>
    <w:rsid w:val="00C73E67"/>
    <w:rsid w:val="00C73FAD"/>
    <w:rsid w:val="00C74491"/>
    <w:rsid w:val="00C74AE1"/>
    <w:rsid w:val="00C757B8"/>
    <w:rsid w:val="00C76723"/>
    <w:rsid w:val="00C76906"/>
    <w:rsid w:val="00C76B7C"/>
    <w:rsid w:val="00C76CAB"/>
    <w:rsid w:val="00C76CC7"/>
    <w:rsid w:val="00C76D3B"/>
    <w:rsid w:val="00C76F81"/>
    <w:rsid w:val="00C77456"/>
    <w:rsid w:val="00C776A4"/>
    <w:rsid w:val="00C779D8"/>
    <w:rsid w:val="00C77B20"/>
    <w:rsid w:val="00C800DD"/>
    <w:rsid w:val="00C80920"/>
    <w:rsid w:val="00C80B03"/>
    <w:rsid w:val="00C80BD0"/>
    <w:rsid w:val="00C81D20"/>
    <w:rsid w:val="00C8243F"/>
    <w:rsid w:val="00C8289B"/>
    <w:rsid w:val="00C82D54"/>
    <w:rsid w:val="00C82F3B"/>
    <w:rsid w:val="00C837C4"/>
    <w:rsid w:val="00C83829"/>
    <w:rsid w:val="00C83EDD"/>
    <w:rsid w:val="00C84041"/>
    <w:rsid w:val="00C846D9"/>
    <w:rsid w:val="00C84BF1"/>
    <w:rsid w:val="00C84CA2"/>
    <w:rsid w:val="00C85479"/>
    <w:rsid w:val="00C85553"/>
    <w:rsid w:val="00C8580F"/>
    <w:rsid w:val="00C85905"/>
    <w:rsid w:val="00C85A36"/>
    <w:rsid w:val="00C85CD1"/>
    <w:rsid w:val="00C86032"/>
    <w:rsid w:val="00C86C56"/>
    <w:rsid w:val="00C8773E"/>
    <w:rsid w:val="00C87B67"/>
    <w:rsid w:val="00C87EDA"/>
    <w:rsid w:val="00C90601"/>
    <w:rsid w:val="00C90D16"/>
    <w:rsid w:val="00C90F49"/>
    <w:rsid w:val="00C9116A"/>
    <w:rsid w:val="00C91CCA"/>
    <w:rsid w:val="00C91FFD"/>
    <w:rsid w:val="00C9265D"/>
    <w:rsid w:val="00C92824"/>
    <w:rsid w:val="00C92827"/>
    <w:rsid w:val="00C937BA"/>
    <w:rsid w:val="00C93B01"/>
    <w:rsid w:val="00C93BEF"/>
    <w:rsid w:val="00C93DC9"/>
    <w:rsid w:val="00C9432B"/>
    <w:rsid w:val="00C94780"/>
    <w:rsid w:val="00C949FC"/>
    <w:rsid w:val="00C960CF"/>
    <w:rsid w:val="00C96672"/>
    <w:rsid w:val="00C96678"/>
    <w:rsid w:val="00C96772"/>
    <w:rsid w:val="00C96CFA"/>
    <w:rsid w:val="00C96E5A"/>
    <w:rsid w:val="00C96EB5"/>
    <w:rsid w:val="00C97782"/>
    <w:rsid w:val="00C978FD"/>
    <w:rsid w:val="00C97913"/>
    <w:rsid w:val="00C9793F"/>
    <w:rsid w:val="00C9798F"/>
    <w:rsid w:val="00C97CC2"/>
    <w:rsid w:val="00CA0257"/>
    <w:rsid w:val="00CA0917"/>
    <w:rsid w:val="00CA0FE8"/>
    <w:rsid w:val="00CA102B"/>
    <w:rsid w:val="00CA283D"/>
    <w:rsid w:val="00CA29D1"/>
    <w:rsid w:val="00CA2DD6"/>
    <w:rsid w:val="00CA3247"/>
    <w:rsid w:val="00CA3752"/>
    <w:rsid w:val="00CA3999"/>
    <w:rsid w:val="00CA39C0"/>
    <w:rsid w:val="00CA4167"/>
    <w:rsid w:val="00CA423B"/>
    <w:rsid w:val="00CA573A"/>
    <w:rsid w:val="00CA5AD3"/>
    <w:rsid w:val="00CA62DD"/>
    <w:rsid w:val="00CA6318"/>
    <w:rsid w:val="00CA6642"/>
    <w:rsid w:val="00CA69BA"/>
    <w:rsid w:val="00CA73BA"/>
    <w:rsid w:val="00CA7DE6"/>
    <w:rsid w:val="00CB0339"/>
    <w:rsid w:val="00CB110E"/>
    <w:rsid w:val="00CB11F8"/>
    <w:rsid w:val="00CB225B"/>
    <w:rsid w:val="00CB2EF5"/>
    <w:rsid w:val="00CB33E4"/>
    <w:rsid w:val="00CB41FF"/>
    <w:rsid w:val="00CB4230"/>
    <w:rsid w:val="00CB431B"/>
    <w:rsid w:val="00CB4A77"/>
    <w:rsid w:val="00CB4EA5"/>
    <w:rsid w:val="00CB52C5"/>
    <w:rsid w:val="00CB557F"/>
    <w:rsid w:val="00CB592B"/>
    <w:rsid w:val="00CB5C5F"/>
    <w:rsid w:val="00CB600E"/>
    <w:rsid w:val="00CB65B8"/>
    <w:rsid w:val="00CB6CDF"/>
    <w:rsid w:val="00CB6E1D"/>
    <w:rsid w:val="00CB7264"/>
    <w:rsid w:val="00CB72BA"/>
    <w:rsid w:val="00CB730F"/>
    <w:rsid w:val="00CB761C"/>
    <w:rsid w:val="00CB76B5"/>
    <w:rsid w:val="00CB7AD6"/>
    <w:rsid w:val="00CC0495"/>
    <w:rsid w:val="00CC110F"/>
    <w:rsid w:val="00CC117C"/>
    <w:rsid w:val="00CC11B8"/>
    <w:rsid w:val="00CC16B4"/>
    <w:rsid w:val="00CC1AF9"/>
    <w:rsid w:val="00CC1D2D"/>
    <w:rsid w:val="00CC20E0"/>
    <w:rsid w:val="00CC2633"/>
    <w:rsid w:val="00CC2743"/>
    <w:rsid w:val="00CC2818"/>
    <w:rsid w:val="00CC2F7A"/>
    <w:rsid w:val="00CC314C"/>
    <w:rsid w:val="00CC31CB"/>
    <w:rsid w:val="00CC3230"/>
    <w:rsid w:val="00CC3A70"/>
    <w:rsid w:val="00CC4033"/>
    <w:rsid w:val="00CC407A"/>
    <w:rsid w:val="00CC40B8"/>
    <w:rsid w:val="00CC46D3"/>
    <w:rsid w:val="00CC4D17"/>
    <w:rsid w:val="00CC5444"/>
    <w:rsid w:val="00CC5631"/>
    <w:rsid w:val="00CC62A6"/>
    <w:rsid w:val="00CC676C"/>
    <w:rsid w:val="00CC70A5"/>
    <w:rsid w:val="00CC75CA"/>
    <w:rsid w:val="00CC7A11"/>
    <w:rsid w:val="00CD04A8"/>
    <w:rsid w:val="00CD051B"/>
    <w:rsid w:val="00CD1306"/>
    <w:rsid w:val="00CD163B"/>
    <w:rsid w:val="00CD1DB1"/>
    <w:rsid w:val="00CD200F"/>
    <w:rsid w:val="00CD22B5"/>
    <w:rsid w:val="00CD22F4"/>
    <w:rsid w:val="00CD25E1"/>
    <w:rsid w:val="00CD367C"/>
    <w:rsid w:val="00CD3D36"/>
    <w:rsid w:val="00CD3EA4"/>
    <w:rsid w:val="00CD3EF1"/>
    <w:rsid w:val="00CD3F69"/>
    <w:rsid w:val="00CD4546"/>
    <w:rsid w:val="00CD454A"/>
    <w:rsid w:val="00CD4B1C"/>
    <w:rsid w:val="00CD4F54"/>
    <w:rsid w:val="00CD4FFE"/>
    <w:rsid w:val="00CD575B"/>
    <w:rsid w:val="00CD57FA"/>
    <w:rsid w:val="00CD5A6E"/>
    <w:rsid w:val="00CD66F2"/>
    <w:rsid w:val="00CD711F"/>
    <w:rsid w:val="00CD74A7"/>
    <w:rsid w:val="00CD7645"/>
    <w:rsid w:val="00CD79B2"/>
    <w:rsid w:val="00CE0BC8"/>
    <w:rsid w:val="00CE157C"/>
    <w:rsid w:val="00CE1AF6"/>
    <w:rsid w:val="00CE2160"/>
    <w:rsid w:val="00CE2298"/>
    <w:rsid w:val="00CE29D0"/>
    <w:rsid w:val="00CE2AE5"/>
    <w:rsid w:val="00CE2B25"/>
    <w:rsid w:val="00CE3064"/>
    <w:rsid w:val="00CE3542"/>
    <w:rsid w:val="00CE39E4"/>
    <w:rsid w:val="00CE3C0E"/>
    <w:rsid w:val="00CE4282"/>
    <w:rsid w:val="00CE478B"/>
    <w:rsid w:val="00CE5017"/>
    <w:rsid w:val="00CE5113"/>
    <w:rsid w:val="00CE54E1"/>
    <w:rsid w:val="00CE55B6"/>
    <w:rsid w:val="00CE5856"/>
    <w:rsid w:val="00CE5AA1"/>
    <w:rsid w:val="00CE5BDE"/>
    <w:rsid w:val="00CE6A6D"/>
    <w:rsid w:val="00CE6D07"/>
    <w:rsid w:val="00CE6F85"/>
    <w:rsid w:val="00CE6FA8"/>
    <w:rsid w:val="00CE774C"/>
    <w:rsid w:val="00CE7991"/>
    <w:rsid w:val="00CF012E"/>
    <w:rsid w:val="00CF04D4"/>
    <w:rsid w:val="00CF07D4"/>
    <w:rsid w:val="00CF0B4C"/>
    <w:rsid w:val="00CF0C39"/>
    <w:rsid w:val="00CF1680"/>
    <w:rsid w:val="00CF1BD7"/>
    <w:rsid w:val="00CF1FE0"/>
    <w:rsid w:val="00CF2074"/>
    <w:rsid w:val="00CF21A5"/>
    <w:rsid w:val="00CF24AB"/>
    <w:rsid w:val="00CF24B2"/>
    <w:rsid w:val="00CF2518"/>
    <w:rsid w:val="00CF2DDE"/>
    <w:rsid w:val="00CF344A"/>
    <w:rsid w:val="00CF39A0"/>
    <w:rsid w:val="00CF3D1C"/>
    <w:rsid w:val="00CF4713"/>
    <w:rsid w:val="00CF4B12"/>
    <w:rsid w:val="00CF58FE"/>
    <w:rsid w:val="00CF5A52"/>
    <w:rsid w:val="00CF5EBE"/>
    <w:rsid w:val="00CF783B"/>
    <w:rsid w:val="00CF7D97"/>
    <w:rsid w:val="00CF7EEC"/>
    <w:rsid w:val="00D001C2"/>
    <w:rsid w:val="00D00779"/>
    <w:rsid w:val="00D009D8"/>
    <w:rsid w:val="00D012E1"/>
    <w:rsid w:val="00D01318"/>
    <w:rsid w:val="00D01665"/>
    <w:rsid w:val="00D0176C"/>
    <w:rsid w:val="00D01D1E"/>
    <w:rsid w:val="00D02478"/>
    <w:rsid w:val="00D02580"/>
    <w:rsid w:val="00D02E7B"/>
    <w:rsid w:val="00D0316D"/>
    <w:rsid w:val="00D03BF7"/>
    <w:rsid w:val="00D03F1E"/>
    <w:rsid w:val="00D04286"/>
    <w:rsid w:val="00D0428E"/>
    <w:rsid w:val="00D04426"/>
    <w:rsid w:val="00D0482F"/>
    <w:rsid w:val="00D04A33"/>
    <w:rsid w:val="00D04EF7"/>
    <w:rsid w:val="00D05015"/>
    <w:rsid w:val="00D05127"/>
    <w:rsid w:val="00D054D4"/>
    <w:rsid w:val="00D05892"/>
    <w:rsid w:val="00D05C28"/>
    <w:rsid w:val="00D05C80"/>
    <w:rsid w:val="00D06824"/>
    <w:rsid w:val="00D06C03"/>
    <w:rsid w:val="00D102EA"/>
    <w:rsid w:val="00D1037A"/>
    <w:rsid w:val="00D10D09"/>
    <w:rsid w:val="00D11351"/>
    <w:rsid w:val="00D1163E"/>
    <w:rsid w:val="00D12362"/>
    <w:rsid w:val="00D12383"/>
    <w:rsid w:val="00D1238F"/>
    <w:rsid w:val="00D12919"/>
    <w:rsid w:val="00D12A4F"/>
    <w:rsid w:val="00D13FA6"/>
    <w:rsid w:val="00D14003"/>
    <w:rsid w:val="00D14317"/>
    <w:rsid w:val="00D14C15"/>
    <w:rsid w:val="00D15CB3"/>
    <w:rsid w:val="00D15F51"/>
    <w:rsid w:val="00D160E4"/>
    <w:rsid w:val="00D16566"/>
    <w:rsid w:val="00D16936"/>
    <w:rsid w:val="00D169B6"/>
    <w:rsid w:val="00D16ED5"/>
    <w:rsid w:val="00D202B1"/>
    <w:rsid w:val="00D20662"/>
    <w:rsid w:val="00D207C8"/>
    <w:rsid w:val="00D21291"/>
    <w:rsid w:val="00D21708"/>
    <w:rsid w:val="00D21A95"/>
    <w:rsid w:val="00D21B9B"/>
    <w:rsid w:val="00D21C8A"/>
    <w:rsid w:val="00D21CDA"/>
    <w:rsid w:val="00D21DAD"/>
    <w:rsid w:val="00D221DE"/>
    <w:rsid w:val="00D2297E"/>
    <w:rsid w:val="00D22C02"/>
    <w:rsid w:val="00D22DE5"/>
    <w:rsid w:val="00D22EDF"/>
    <w:rsid w:val="00D233BD"/>
    <w:rsid w:val="00D233D7"/>
    <w:rsid w:val="00D23CBB"/>
    <w:rsid w:val="00D23CC8"/>
    <w:rsid w:val="00D24048"/>
    <w:rsid w:val="00D249D2"/>
    <w:rsid w:val="00D25806"/>
    <w:rsid w:val="00D25E9D"/>
    <w:rsid w:val="00D25F1C"/>
    <w:rsid w:val="00D264ED"/>
    <w:rsid w:val="00D26643"/>
    <w:rsid w:val="00D26DE6"/>
    <w:rsid w:val="00D26EE7"/>
    <w:rsid w:val="00D27579"/>
    <w:rsid w:val="00D27B1E"/>
    <w:rsid w:val="00D30718"/>
    <w:rsid w:val="00D30929"/>
    <w:rsid w:val="00D313A8"/>
    <w:rsid w:val="00D3149E"/>
    <w:rsid w:val="00D322FB"/>
    <w:rsid w:val="00D32475"/>
    <w:rsid w:val="00D32989"/>
    <w:rsid w:val="00D32BB4"/>
    <w:rsid w:val="00D32EF4"/>
    <w:rsid w:val="00D32F22"/>
    <w:rsid w:val="00D33BE0"/>
    <w:rsid w:val="00D33EB2"/>
    <w:rsid w:val="00D33EF9"/>
    <w:rsid w:val="00D33F81"/>
    <w:rsid w:val="00D34850"/>
    <w:rsid w:val="00D34F45"/>
    <w:rsid w:val="00D35060"/>
    <w:rsid w:val="00D369D4"/>
    <w:rsid w:val="00D36AD7"/>
    <w:rsid w:val="00D373E9"/>
    <w:rsid w:val="00D37C61"/>
    <w:rsid w:val="00D403FF"/>
    <w:rsid w:val="00D404C4"/>
    <w:rsid w:val="00D409FD"/>
    <w:rsid w:val="00D40CE9"/>
    <w:rsid w:val="00D41F86"/>
    <w:rsid w:val="00D42066"/>
    <w:rsid w:val="00D42115"/>
    <w:rsid w:val="00D42445"/>
    <w:rsid w:val="00D42EFD"/>
    <w:rsid w:val="00D4401E"/>
    <w:rsid w:val="00D457D1"/>
    <w:rsid w:val="00D458AA"/>
    <w:rsid w:val="00D462F7"/>
    <w:rsid w:val="00D46338"/>
    <w:rsid w:val="00D46BA2"/>
    <w:rsid w:val="00D47234"/>
    <w:rsid w:val="00D47281"/>
    <w:rsid w:val="00D47581"/>
    <w:rsid w:val="00D47B2E"/>
    <w:rsid w:val="00D47E8A"/>
    <w:rsid w:val="00D50295"/>
    <w:rsid w:val="00D5069A"/>
    <w:rsid w:val="00D50D11"/>
    <w:rsid w:val="00D50E43"/>
    <w:rsid w:val="00D51469"/>
    <w:rsid w:val="00D52B45"/>
    <w:rsid w:val="00D530EB"/>
    <w:rsid w:val="00D53393"/>
    <w:rsid w:val="00D535B6"/>
    <w:rsid w:val="00D5398B"/>
    <w:rsid w:val="00D55235"/>
    <w:rsid w:val="00D55D78"/>
    <w:rsid w:val="00D55E63"/>
    <w:rsid w:val="00D56916"/>
    <w:rsid w:val="00D56D99"/>
    <w:rsid w:val="00D57075"/>
    <w:rsid w:val="00D570FE"/>
    <w:rsid w:val="00D572B2"/>
    <w:rsid w:val="00D57893"/>
    <w:rsid w:val="00D57E81"/>
    <w:rsid w:val="00D57F53"/>
    <w:rsid w:val="00D6057D"/>
    <w:rsid w:val="00D60CAB"/>
    <w:rsid w:val="00D610FD"/>
    <w:rsid w:val="00D612AF"/>
    <w:rsid w:val="00D619F3"/>
    <w:rsid w:val="00D628BB"/>
    <w:rsid w:val="00D62A5B"/>
    <w:rsid w:val="00D62B43"/>
    <w:rsid w:val="00D62E3E"/>
    <w:rsid w:val="00D62ECD"/>
    <w:rsid w:val="00D63748"/>
    <w:rsid w:val="00D639F0"/>
    <w:rsid w:val="00D63C1B"/>
    <w:rsid w:val="00D63D76"/>
    <w:rsid w:val="00D63E23"/>
    <w:rsid w:val="00D64BFF"/>
    <w:rsid w:val="00D64DE1"/>
    <w:rsid w:val="00D64E3F"/>
    <w:rsid w:val="00D65115"/>
    <w:rsid w:val="00D653D0"/>
    <w:rsid w:val="00D65F25"/>
    <w:rsid w:val="00D660FB"/>
    <w:rsid w:val="00D666C6"/>
    <w:rsid w:val="00D6692A"/>
    <w:rsid w:val="00D66E55"/>
    <w:rsid w:val="00D674E9"/>
    <w:rsid w:val="00D678B6"/>
    <w:rsid w:val="00D6799A"/>
    <w:rsid w:val="00D7009C"/>
    <w:rsid w:val="00D701D3"/>
    <w:rsid w:val="00D70F17"/>
    <w:rsid w:val="00D712DA"/>
    <w:rsid w:val="00D719EF"/>
    <w:rsid w:val="00D71BA3"/>
    <w:rsid w:val="00D72327"/>
    <w:rsid w:val="00D72512"/>
    <w:rsid w:val="00D725E1"/>
    <w:rsid w:val="00D7263F"/>
    <w:rsid w:val="00D727E0"/>
    <w:rsid w:val="00D72B87"/>
    <w:rsid w:val="00D72C62"/>
    <w:rsid w:val="00D72C72"/>
    <w:rsid w:val="00D74160"/>
    <w:rsid w:val="00D75D22"/>
    <w:rsid w:val="00D75DA5"/>
    <w:rsid w:val="00D76C58"/>
    <w:rsid w:val="00D76CF2"/>
    <w:rsid w:val="00D76E7C"/>
    <w:rsid w:val="00D77909"/>
    <w:rsid w:val="00D77DB4"/>
    <w:rsid w:val="00D8030D"/>
    <w:rsid w:val="00D80B40"/>
    <w:rsid w:val="00D8155B"/>
    <w:rsid w:val="00D816D5"/>
    <w:rsid w:val="00D81C39"/>
    <w:rsid w:val="00D81E79"/>
    <w:rsid w:val="00D825A5"/>
    <w:rsid w:val="00D825B7"/>
    <w:rsid w:val="00D8290E"/>
    <w:rsid w:val="00D82AD1"/>
    <w:rsid w:val="00D82C09"/>
    <w:rsid w:val="00D82E6E"/>
    <w:rsid w:val="00D83040"/>
    <w:rsid w:val="00D8323B"/>
    <w:rsid w:val="00D832E4"/>
    <w:rsid w:val="00D83489"/>
    <w:rsid w:val="00D83C6D"/>
    <w:rsid w:val="00D83D13"/>
    <w:rsid w:val="00D83D5F"/>
    <w:rsid w:val="00D841AC"/>
    <w:rsid w:val="00D85000"/>
    <w:rsid w:val="00D8589D"/>
    <w:rsid w:val="00D85A81"/>
    <w:rsid w:val="00D85F27"/>
    <w:rsid w:val="00D8626B"/>
    <w:rsid w:val="00D86466"/>
    <w:rsid w:val="00D86736"/>
    <w:rsid w:val="00D86DC9"/>
    <w:rsid w:val="00D870E8"/>
    <w:rsid w:val="00D87423"/>
    <w:rsid w:val="00D87452"/>
    <w:rsid w:val="00D87485"/>
    <w:rsid w:val="00D874E7"/>
    <w:rsid w:val="00D87A14"/>
    <w:rsid w:val="00D87B03"/>
    <w:rsid w:val="00D87C1C"/>
    <w:rsid w:val="00D9004B"/>
    <w:rsid w:val="00D907CB"/>
    <w:rsid w:val="00D9126B"/>
    <w:rsid w:val="00D9164F"/>
    <w:rsid w:val="00D91BF2"/>
    <w:rsid w:val="00D93322"/>
    <w:rsid w:val="00D93C1C"/>
    <w:rsid w:val="00D94026"/>
    <w:rsid w:val="00D94120"/>
    <w:rsid w:val="00D94677"/>
    <w:rsid w:val="00D94D37"/>
    <w:rsid w:val="00D94DEF"/>
    <w:rsid w:val="00D951DD"/>
    <w:rsid w:val="00D952ED"/>
    <w:rsid w:val="00D9531A"/>
    <w:rsid w:val="00D957FA"/>
    <w:rsid w:val="00D9615B"/>
    <w:rsid w:val="00D9664C"/>
    <w:rsid w:val="00D97404"/>
    <w:rsid w:val="00D975A3"/>
    <w:rsid w:val="00D979D0"/>
    <w:rsid w:val="00DA08CA"/>
    <w:rsid w:val="00DA0F37"/>
    <w:rsid w:val="00DA101A"/>
    <w:rsid w:val="00DA122C"/>
    <w:rsid w:val="00DA1A06"/>
    <w:rsid w:val="00DA2FD5"/>
    <w:rsid w:val="00DA3CD1"/>
    <w:rsid w:val="00DA4838"/>
    <w:rsid w:val="00DA4989"/>
    <w:rsid w:val="00DA51F1"/>
    <w:rsid w:val="00DA5721"/>
    <w:rsid w:val="00DA5746"/>
    <w:rsid w:val="00DA6173"/>
    <w:rsid w:val="00DA6DA5"/>
    <w:rsid w:val="00DA6E36"/>
    <w:rsid w:val="00DA6F3D"/>
    <w:rsid w:val="00DA7477"/>
    <w:rsid w:val="00DA7573"/>
    <w:rsid w:val="00DA7BD4"/>
    <w:rsid w:val="00DA7F99"/>
    <w:rsid w:val="00DB00DA"/>
    <w:rsid w:val="00DB0191"/>
    <w:rsid w:val="00DB0359"/>
    <w:rsid w:val="00DB0EF6"/>
    <w:rsid w:val="00DB0F8A"/>
    <w:rsid w:val="00DB16C5"/>
    <w:rsid w:val="00DB17EF"/>
    <w:rsid w:val="00DB1C98"/>
    <w:rsid w:val="00DB26A8"/>
    <w:rsid w:val="00DB27CF"/>
    <w:rsid w:val="00DB28AF"/>
    <w:rsid w:val="00DB324C"/>
    <w:rsid w:val="00DB3EDE"/>
    <w:rsid w:val="00DB3FD3"/>
    <w:rsid w:val="00DB4927"/>
    <w:rsid w:val="00DB5B1C"/>
    <w:rsid w:val="00DB5F2A"/>
    <w:rsid w:val="00DB6776"/>
    <w:rsid w:val="00DB6A27"/>
    <w:rsid w:val="00DB6A2B"/>
    <w:rsid w:val="00DB6F45"/>
    <w:rsid w:val="00DB7002"/>
    <w:rsid w:val="00DB70A6"/>
    <w:rsid w:val="00DB72B7"/>
    <w:rsid w:val="00DB7546"/>
    <w:rsid w:val="00DB782D"/>
    <w:rsid w:val="00DB79B7"/>
    <w:rsid w:val="00DC0624"/>
    <w:rsid w:val="00DC0802"/>
    <w:rsid w:val="00DC0FC3"/>
    <w:rsid w:val="00DC15EA"/>
    <w:rsid w:val="00DC1909"/>
    <w:rsid w:val="00DC1A58"/>
    <w:rsid w:val="00DC1AC0"/>
    <w:rsid w:val="00DC1CDD"/>
    <w:rsid w:val="00DC1D8E"/>
    <w:rsid w:val="00DC1E82"/>
    <w:rsid w:val="00DC1F34"/>
    <w:rsid w:val="00DC20C3"/>
    <w:rsid w:val="00DC227A"/>
    <w:rsid w:val="00DC2360"/>
    <w:rsid w:val="00DC26E4"/>
    <w:rsid w:val="00DC2BAE"/>
    <w:rsid w:val="00DC2CEE"/>
    <w:rsid w:val="00DC3257"/>
    <w:rsid w:val="00DC3279"/>
    <w:rsid w:val="00DC33C6"/>
    <w:rsid w:val="00DC3B83"/>
    <w:rsid w:val="00DC3BF1"/>
    <w:rsid w:val="00DC3CFC"/>
    <w:rsid w:val="00DC4856"/>
    <w:rsid w:val="00DC4D1D"/>
    <w:rsid w:val="00DC4D87"/>
    <w:rsid w:val="00DC4EFA"/>
    <w:rsid w:val="00DC54EB"/>
    <w:rsid w:val="00DC580A"/>
    <w:rsid w:val="00DC5B50"/>
    <w:rsid w:val="00DC66BC"/>
    <w:rsid w:val="00DC6D72"/>
    <w:rsid w:val="00DC6F11"/>
    <w:rsid w:val="00DC727F"/>
    <w:rsid w:val="00DC77AC"/>
    <w:rsid w:val="00DC7DAB"/>
    <w:rsid w:val="00DC7E78"/>
    <w:rsid w:val="00DD0493"/>
    <w:rsid w:val="00DD0924"/>
    <w:rsid w:val="00DD0CBF"/>
    <w:rsid w:val="00DD1071"/>
    <w:rsid w:val="00DD1123"/>
    <w:rsid w:val="00DD12FD"/>
    <w:rsid w:val="00DD1576"/>
    <w:rsid w:val="00DD2101"/>
    <w:rsid w:val="00DD2273"/>
    <w:rsid w:val="00DD2893"/>
    <w:rsid w:val="00DD2EB6"/>
    <w:rsid w:val="00DD32F4"/>
    <w:rsid w:val="00DD36A1"/>
    <w:rsid w:val="00DD46FB"/>
    <w:rsid w:val="00DD4717"/>
    <w:rsid w:val="00DD4F74"/>
    <w:rsid w:val="00DD531F"/>
    <w:rsid w:val="00DD556C"/>
    <w:rsid w:val="00DD5737"/>
    <w:rsid w:val="00DD5A8F"/>
    <w:rsid w:val="00DD5E81"/>
    <w:rsid w:val="00DD6C46"/>
    <w:rsid w:val="00DD6C7A"/>
    <w:rsid w:val="00DD6F44"/>
    <w:rsid w:val="00DD7CCA"/>
    <w:rsid w:val="00DE0BDE"/>
    <w:rsid w:val="00DE10CF"/>
    <w:rsid w:val="00DE1270"/>
    <w:rsid w:val="00DE1E1E"/>
    <w:rsid w:val="00DE1ED7"/>
    <w:rsid w:val="00DE223E"/>
    <w:rsid w:val="00DE22F9"/>
    <w:rsid w:val="00DE2498"/>
    <w:rsid w:val="00DE2D33"/>
    <w:rsid w:val="00DE34EB"/>
    <w:rsid w:val="00DE3592"/>
    <w:rsid w:val="00DE3A7C"/>
    <w:rsid w:val="00DE3E78"/>
    <w:rsid w:val="00DE41F8"/>
    <w:rsid w:val="00DE4A60"/>
    <w:rsid w:val="00DE4B9D"/>
    <w:rsid w:val="00DE50EA"/>
    <w:rsid w:val="00DE545C"/>
    <w:rsid w:val="00DE5C9F"/>
    <w:rsid w:val="00DE5FA0"/>
    <w:rsid w:val="00DE734E"/>
    <w:rsid w:val="00DE75CF"/>
    <w:rsid w:val="00DE7887"/>
    <w:rsid w:val="00DE7BF8"/>
    <w:rsid w:val="00DF04F5"/>
    <w:rsid w:val="00DF0981"/>
    <w:rsid w:val="00DF0A1E"/>
    <w:rsid w:val="00DF0DC3"/>
    <w:rsid w:val="00DF128B"/>
    <w:rsid w:val="00DF14F9"/>
    <w:rsid w:val="00DF1C2D"/>
    <w:rsid w:val="00DF1FAE"/>
    <w:rsid w:val="00DF2AD9"/>
    <w:rsid w:val="00DF34F0"/>
    <w:rsid w:val="00DF39D5"/>
    <w:rsid w:val="00DF4AA1"/>
    <w:rsid w:val="00DF54D0"/>
    <w:rsid w:val="00DF580C"/>
    <w:rsid w:val="00DF5C1A"/>
    <w:rsid w:val="00DF625A"/>
    <w:rsid w:val="00DF6BCB"/>
    <w:rsid w:val="00DF6CE1"/>
    <w:rsid w:val="00DF6D45"/>
    <w:rsid w:val="00DF7042"/>
    <w:rsid w:val="00DF73E5"/>
    <w:rsid w:val="00DF78FD"/>
    <w:rsid w:val="00DF7EFE"/>
    <w:rsid w:val="00E00235"/>
    <w:rsid w:val="00E0066E"/>
    <w:rsid w:val="00E00E15"/>
    <w:rsid w:val="00E00F63"/>
    <w:rsid w:val="00E01201"/>
    <w:rsid w:val="00E01210"/>
    <w:rsid w:val="00E01D50"/>
    <w:rsid w:val="00E02664"/>
    <w:rsid w:val="00E0289C"/>
    <w:rsid w:val="00E02A07"/>
    <w:rsid w:val="00E02C4D"/>
    <w:rsid w:val="00E02F69"/>
    <w:rsid w:val="00E031A5"/>
    <w:rsid w:val="00E0341B"/>
    <w:rsid w:val="00E0348F"/>
    <w:rsid w:val="00E035A6"/>
    <w:rsid w:val="00E038F5"/>
    <w:rsid w:val="00E03D67"/>
    <w:rsid w:val="00E04510"/>
    <w:rsid w:val="00E04784"/>
    <w:rsid w:val="00E05569"/>
    <w:rsid w:val="00E05A6C"/>
    <w:rsid w:val="00E05F59"/>
    <w:rsid w:val="00E0655D"/>
    <w:rsid w:val="00E06B54"/>
    <w:rsid w:val="00E07EC5"/>
    <w:rsid w:val="00E1024A"/>
    <w:rsid w:val="00E10B17"/>
    <w:rsid w:val="00E10B67"/>
    <w:rsid w:val="00E112FB"/>
    <w:rsid w:val="00E117A8"/>
    <w:rsid w:val="00E11C08"/>
    <w:rsid w:val="00E12028"/>
    <w:rsid w:val="00E12742"/>
    <w:rsid w:val="00E12AB9"/>
    <w:rsid w:val="00E12B5E"/>
    <w:rsid w:val="00E12B67"/>
    <w:rsid w:val="00E12ED8"/>
    <w:rsid w:val="00E12FEF"/>
    <w:rsid w:val="00E13D0E"/>
    <w:rsid w:val="00E14103"/>
    <w:rsid w:val="00E141D3"/>
    <w:rsid w:val="00E14941"/>
    <w:rsid w:val="00E1526B"/>
    <w:rsid w:val="00E1534B"/>
    <w:rsid w:val="00E15408"/>
    <w:rsid w:val="00E15743"/>
    <w:rsid w:val="00E15B12"/>
    <w:rsid w:val="00E15BA5"/>
    <w:rsid w:val="00E15C52"/>
    <w:rsid w:val="00E15EDA"/>
    <w:rsid w:val="00E15F0B"/>
    <w:rsid w:val="00E160E8"/>
    <w:rsid w:val="00E16199"/>
    <w:rsid w:val="00E1620C"/>
    <w:rsid w:val="00E16311"/>
    <w:rsid w:val="00E16C60"/>
    <w:rsid w:val="00E16CBD"/>
    <w:rsid w:val="00E16E6B"/>
    <w:rsid w:val="00E1702C"/>
    <w:rsid w:val="00E175D9"/>
    <w:rsid w:val="00E20CC5"/>
    <w:rsid w:val="00E20F68"/>
    <w:rsid w:val="00E21ACA"/>
    <w:rsid w:val="00E22B80"/>
    <w:rsid w:val="00E22C0E"/>
    <w:rsid w:val="00E22CFF"/>
    <w:rsid w:val="00E22DCA"/>
    <w:rsid w:val="00E231CD"/>
    <w:rsid w:val="00E231E1"/>
    <w:rsid w:val="00E23841"/>
    <w:rsid w:val="00E23888"/>
    <w:rsid w:val="00E23B9C"/>
    <w:rsid w:val="00E23CE3"/>
    <w:rsid w:val="00E23CF7"/>
    <w:rsid w:val="00E23DD0"/>
    <w:rsid w:val="00E23E76"/>
    <w:rsid w:val="00E23F8E"/>
    <w:rsid w:val="00E249DB"/>
    <w:rsid w:val="00E253A3"/>
    <w:rsid w:val="00E25402"/>
    <w:rsid w:val="00E25953"/>
    <w:rsid w:val="00E259B0"/>
    <w:rsid w:val="00E25AF8"/>
    <w:rsid w:val="00E2639B"/>
    <w:rsid w:val="00E265B4"/>
    <w:rsid w:val="00E26AEC"/>
    <w:rsid w:val="00E2706E"/>
    <w:rsid w:val="00E27164"/>
    <w:rsid w:val="00E2757B"/>
    <w:rsid w:val="00E2792D"/>
    <w:rsid w:val="00E2795E"/>
    <w:rsid w:val="00E27AB5"/>
    <w:rsid w:val="00E30828"/>
    <w:rsid w:val="00E30B37"/>
    <w:rsid w:val="00E3109C"/>
    <w:rsid w:val="00E311D1"/>
    <w:rsid w:val="00E31C2D"/>
    <w:rsid w:val="00E32432"/>
    <w:rsid w:val="00E33B1E"/>
    <w:rsid w:val="00E34277"/>
    <w:rsid w:val="00E34EC5"/>
    <w:rsid w:val="00E34EF6"/>
    <w:rsid w:val="00E3621B"/>
    <w:rsid w:val="00E36F43"/>
    <w:rsid w:val="00E37190"/>
    <w:rsid w:val="00E37254"/>
    <w:rsid w:val="00E377E1"/>
    <w:rsid w:val="00E37F0C"/>
    <w:rsid w:val="00E40380"/>
    <w:rsid w:val="00E40599"/>
    <w:rsid w:val="00E40ADF"/>
    <w:rsid w:val="00E418E3"/>
    <w:rsid w:val="00E41F76"/>
    <w:rsid w:val="00E423DE"/>
    <w:rsid w:val="00E42F07"/>
    <w:rsid w:val="00E4370F"/>
    <w:rsid w:val="00E44174"/>
    <w:rsid w:val="00E4441D"/>
    <w:rsid w:val="00E44DB1"/>
    <w:rsid w:val="00E453AB"/>
    <w:rsid w:val="00E462E6"/>
    <w:rsid w:val="00E463A0"/>
    <w:rsid w:val="00E47283"/>
    <w:rsid w:val="00E47839"/>
    <w:rsid w:val="00E51CDE"/>
    <w:rsid w:val="00E5210B"/>
    <w:rsid w:val="00E52117"/>
    <w:rsid w:val="00E527B7"/>
    <w:rsid w:val="00E52B5A"/>
    <w:rsid w:val="00E53631"/>
    <w:rsid w:val="00E5388F"/>
    <w:rsid w:val="00E54239"/>
    <w:rsid w:val="00E54272"/>
    <w:rsid w:val="00E542BC"/>
    <w:rsid w:val="00E54521"/>
    <w:rsid w:val="00E54617"/>
    <w:rsid w:val="00E5484B"/>
    <w:rsid w:val="00E54EAC"/>
    <w:rsid w:val="00E56023"/>
    <w:rsid w:val="00E56D6E"/>
    <w:rsid w:val="00E56FA5"/>
    <w:rsid w:val="00E56FEF"/>
    <w:rsid w:val="00E577F9"/>
    <w:rsid w:val="00E57FB5"/>
    <w:rsid w:val="00E60F14"/>
    <w:rsid w:val="00E61B23"/>
    <w:rsid w:val="00E61B51"/>
    <w:rsid w:val="00E625BE"/>
    <w:rsid w:val="00E6284B"/>
    <w:rsid w:val="00E62BE8"/>
    <w:rsid w:val="00E62D07"/>
    <w:rsid w:val="00E62DF6"/>
    <w:rsid w:val="00E63A22"/>
    <w:rsid w:val="00E63B8F"/>
    <w:rsid w:val="00E6445D"/>
    <w:rsid w:val="00E646B5"/>
    <w:rsid w:val="00E647B5"/>
    <w:rsid w:val="00E64C8F"/>
    <w:rsid w:val="00E65427"/>
    <w:rsid w:val="00E6543F"/>
    <w:rsid w:val="00E661C0"/>
    <w:rsid w:val="00E663F5"/>
    <w:rsid w:val="00E66E97"/>
    <w:rsid w:val="00E70BD6"/>
    <w:rsid w:val="00E71305"/>
    <w:rsid w:val="00E72383"/>
    <w:rsid w:val="00E724D2"/>
    <w:rsid w:val="00E72736"/>
    <w:rsid w:val="00E72D9F"/>
    <w:rsid w:val="00E73C41"/>
    <w:rsid w:val="00E73CE1"/>
    <w:rsid w:val="00E74933"/>
    <w:rsid w:val="00E74E6C"/>
    <w:rsid w:val="00E74EDC"/>
    <w:rsid w:val="00E751E3"/>
    <w:rsid w:val="00E75737"/>
    <w:rsid w:val="00E75875"/>
    <w:rsid w:val="00E75886"/>
    <w:rsid w:val="00E75D6E"/>
    <w:rsid w:val="00E76007"/>
    <w:rsid w:val="00E76181"/>
    <w:rsid w:val="00E7633D"/>
    <w:rsid w:val="00E768D4"/>
    <w:rsid w:val="00E770F2"/>
    <w:rsid w:val="00E77EAC"/>
    <w:rsid w:val="00E81069"/>
    <w:rsid w:val="00E817AD"/>
    <w:rsid w:val="00E817EF"/>
    <w:rsid w:val="00E8184F"/>
    <w:rsid w:val="00E8216C"/>
    <w:rsid w:val="00E828D5"/>
    <w:rsid w:val="00E82C53"/>
    <w:rsid w:val="00E82D81"/>
    <w:rsid w:val="00E83259"/>
    <w:rsid w:val="00E839BE"/>
    <w:rsid w:val="00E83CAC"/>
    <w:rsid w:val="00E84483"/>
    <w:rsid w:val="00E849EE"/>
    <w:rsid w:val="00E84C89"/>
    <w:rsid w:val="00E85E56"/>
    <w:rsid w:val="00E860DD"/>
    <w:rsid w:val="00E862F3"/>
    <w:rsid w:val="00E8702B"/>
    <w:rsid w:val="00E8713D"/>
    <w:rsid w:val="00E87340"/>
    <w:rsid w:val="00E90329"/>
    <w:rsid w:val="00E90554"/>
    <w:rsid w:val="00E910D5"/>
    <w:rsid w:val="00E91392"/>
    <w:rsid w:val="00E922C4"/>
    <w:rsid w:val="00E92F7B"/>
    <w:rsid w:val="00E935B9"/>
    <w:rsid w:val="00E93AA0"/>
    <w:rsid w:val="00E943AE"/>
    <w:rsid w:val="00E947B0"/>
    <w:rsid w:val="00E94808"/>
    <w:rsid w:val="00E95106"/>
    <w:rsid w:val="00E9557C"/>
    <w:rsid w:val="00E959B1"/>
    <w:rsid w:val="00E95D82"/>
    <w:rsid w:val="00E95F21"/>
    <w:rsid w:val="00E96273"/>
    <w:rsid w:val="00E96E97"/>
    <w:rsid w:val="00E97D49"/>
    <w:rsid w:val="00EA0251"/>
    <w:rsid w:val="00EA1025"/>
    <w:rsid w:val="00EA1065"/>
    <w:rsid w:val="00EA1434"/>
    <w:rsid w:val="00EA14AA"/>
    <w:rsid w:val="00EA2949"/>
    <w:rsid w:val="00EA2EE4"/>
    <w:rsid w:val="00EA3C3E"/>
    <w:rsid w:val="00EA45DB"/>
    <w:rsid w:val="00EA4694"/>
    <w:rsid w:val="00EA48D3"/>
    <w:rsid w:val="00EA546B"/>
    <w:rsid w:val="00EA57C5"/>
    <w:rsid w:val="00EA5D7E"/>
    <w:rsid w:val="00EA5F31"/>
    <w:rsid w:val="00EA5F92"/>
    <w:rsid w:val="00EA64B0"/>
    <w:rsid w:val="00EA64B4"/>
    <w:rsid w:val="00EA65F1"/>
    <w:rsid w:val="00EA6665"/>
    <w:rsid w:val="00EA6935"/>
    <w:rsid w:val="00EA6967"/>
    <w:rsid w:val="00EA6F44"/>
    <w:rsid w:val="00EA7613"/>
    <w:rsid w:val="00EA793B"/>
    <w:rsid w:val="00EA7A7E"/>
    <w:rsid w:val="00EB0375"/>
    <w:rsid w:val="00EB05DA"/>
    <w:rsid w:val="00EB0792"/>
    <w:rsid w:val="00EB190F"/>
    <w:rsid w:val="00EB1D7F"/>
    <w:rsid w:val="00EB1E0C"/>
    <w:rsid w:val="00EB1F7B"/>
    <w:rsid w:val="00EB235B"/>
    <w:rsid w:val="00EB31A3"/>
    <w:rsid w:val="00EB31DB"/>
    <w:rsid w:val="00EB325B"/>
    <w:rsid w:val="00EB3D9C"/>
    <w:rsid w:val="00EB3E22"/>
    <w:rsid w:val="00EB4090"/>
    <w:rsid w:val="00EB693B"/>
    <w:rsid w:val="00EB6AE0"/>
    <w:rsid w:val="00EB6B47"/>
    <w:rsid w:val="00EB6D62"/>
    <w:rsid w:val="00EB6E32"/>
    <w:rsid w:val="00EB7255"/>
    <w:rsid w:val="00EB7BA9"/>
    <w:rsid w:val="00EB7D75"/>
    <w:rsid w:val="00EC0378"/>
    <w:rsid w:val="00EC0B20"/>
    <w:rsid w:val="00EC0EE7"/>
    <w:rsid w:val="00EC1C3A"/>
    <w:rsid w:val="00EC1F51"/>
    <w:rsid w:val="00EC293E"/>
    <w:rsid w:val="00EC2B1D"/>
    <w:rsid w:val="00EC4233"/>
    <w:rsid w:val="00EC4544"/>
    <w:rsid w:val="00EC4694"/>
    <w:rsid w:val="00EC4A85"/>
    <w:rsid w:val="00EC5435"/>
    <w:rsid w:val="00EC57B2"/>
    <w:rsid w:val="00EC58F4"/>
    <w:rsid w:val="00EC5DB9"/>
    <w:rsid w:val="00EC650B"/>
    <w:rsid w:val="00EC7808"/>
    <w:rsid w:val="00EC7BFA"/>
    <w:rsid w:val="00EC7E53"/>
    <w:rsid w:val="00ED042E"/>
    <w:rsid w:val="00ED1295"/>
    <w:rsid w:val="00ED12D9"/>
    <w:rsid w:val="00ED1EF0"/>
    <w:rsid w:val="00ED26B3"/>
    <w:rsid w:val="00ED2725"/>
    <w:rsid w:val="00ED34D1"/>
    <w:rsid w:val="00ED356F"/>
    <w:rsid w:val="00ED367F"/>
    <w:rsid w:val="00ED4206"/>
    <w:rsid w:val="00ED4AB6"/>
    <w:rsid w:val="00ED58A2"/>
    <w:rsid w:val="00ED58C3"/>
    <w:rsid w:val="00ED5C71"/>
    <w:rsid w:val="00ED5EA6"/>
    <w:rsid w:val="00ED5EEE"/>
    <w:rsid w:val="00ED667C"/>
    <w:rsid w:val="00ED6BAD"/>
    <w:rsid w:val="00ED6C8C"/>
    <w:rsid w:val="00ED74DB"/>
    <w:rsid w:val="00ED7966"/>
    <w:rsid w:val="00ED79D9"/>
    <w:rsid w:val="00EE01CC"/>
    <w:rsid w:val="00EE04EE"/>
    <w:rsid w:val="00EE1760"/>
    <w:rsid w:val="00EE2825"/>
    <w:rsid w:val="00EE287D"/>
    <w:rsid w:val="00EE3380"/>
    <w:rsid w:val="00EE36AA"/>
    <w:rsid w:val="00EE3B32"/>
    <w:rsid w:val="00EE3CFF"/>
    <w:rsid w:val="00EE3F39"/>
    <w:rsid w:val="00EE414C"/>
    <w:rsid w:val="00EE44FE"/>
    <w:rsid w:val="00EE5406"/>
    <w:rsid w:val="00EE5EF8"/>
    <w:rsid w:val="00EE673D"/>
    <w:rsid w:val="00EE6964"/>
    <w:rsid w:val="00EE6A1D"/>
    <w:rsid w:val="00EE6D18"/>
    <w:rsid w:val="00EE7E7A"/>
    <w:rsid w:val="00EF1230"/>
    <w:rsid w:val="00EF1850"/>
    <w:rsid w:val="00EF223B"/>
    <w:rsid w:val="00EF29DE"/>
    <w:rsid w:val="00EF3590"/>
    <w:rsid w:val="00EF3978"/>
    <w:rsid w:val="00EF3AAC"/>
    <w:rsid w:val="00EF4397"/>
    <w:rsid w:val="00EF4D42"/>
    <w:rsid w:val="00EF4FD1"/>
    <w:rsid w:val="00EF4FF6"/>
    <w:rsid w:val="00EF5318"/>
    <w:rsid w:val="00EF53A6"/>
    <w:rsid w:val="00EF5D69"/>
    <w:rsid w:val="00EF6B18"/>
    <w:rsid w:val="00EF6E10"/>
    <w:rsid w:val="00EF708A"/>
    <w:rsid w:val="00EF72C3"/>
    <w:rsid w:val="00EF79CE"/>
    <w:rsid w:val="00F00152"/>
    <w:rsid w:val="00F00352"/>
    <w:rsid w:val="00F00B1B"/>
    <w:rsid w:val="00F00E37"/>
    <w:rsid w:val="00F010EE"/>
    <w:rsid w:val="00F01383"/>
    <w:rsid w:val="00F0146A"/>
    <w:rsid w:val="00F0167D"/>
    <w:rsid w:val="00F0177A"/>
    <w:rsid w:val="00F0197D"/>
    <w:rsid w:val="00F019D5"/>
    <w:rsid w:val="00F02500"/>
    <w:rsid w:val="00F02CE0"/>
    <w:rsid w:val="00F032E2"/>
    <w:rsid w:val="00F037E3"/>
    <w:rsid w:val="00F037F8"/>
    <w:rsid w:val="00F03FF2"/>
    <w:rsid w:val="00F04244"/>
    <w:rsid w:val="00F044DD"/>
    <w:rsid w:val="00F04768"/>
    <w:rsid w:val="00F04F9E"/>
    <w:rsid w:val="00F05004"/>
    <w:rsid w:val="00F052EF"/>
    <w:rsid w:val="00F06514"/>
    <w:rsid w:val="00F06A47"/>
    <w:rsid w:val="00F06E0B"/>
    <w:rsid w:val="00F0717F"/>
    <w:rsid w:val="00F0747A"/>
    <w:rsid w:val="00F07849"/>
    <w:rsid w:val="00F07882"/>
    <w:rsid w:val="00F07883"/>
    <w:rsid w:val="00F07C14"/>
    <w:rsid w:val="00F10177"/>
    <w:rsid w:val="00F10D83"/>
    <w:rsid w:val="00F1196B"/>
    <w:rsid w:val="00F119A2"/>
    <w:rsid w:val="00F11A6A"/>
    <w:rsid w:val="00F11D4F"/>
    <w:rsid w:val="00F11E14"/>
    <w:rsid w:val="00F126BD"/>
    <w:rsid w:val="00F130C0"/>
    <w:rsid w:val="00F13433"/>
    <w:rsid w:val="00F134FC"/>
    <w:rsid w:val="00F1350E"/>
    <w:rsid w:val="00F14419"/>
    <w:rsid w:val="00F1470E"/>
    <w:rsid w:val="00F147A5"/>
    <w:rsid w:val="00F1484F"/>
    <w:rsid w:val="00F14AA7"/>
    <w:rsid w:val="00F15884"/>
    <w:rsid w:val="00F158D8"/>
    <w:rsid w:val="00F15B8E"/>
    <w:rsid w:val="00F16665"/>
    <w:rsid w:val="00F168A3"/>
    <w:rsid w:val="00F16F3C"/>
    <w:rsid w:val="00F16FB0"/>
    <w:rsid w:val="00F1733B"/>
    <w:rsid w:val="00F17474"/>
    <w:rsid w:val="00F17729"/>
    <w:rsid w:val="00F201CC"/>
    <w:rsid w:val="00F20487"/>
    <w:rsid w:val="00F20931"/>
    <w:rsid w:val="00F20A16"/>
    <w:rsid w:val="00F20AC2"/>
    <w:rsid w:val="00F20F65"/>
    <w:rsid w:val="00F20FB9"/>
    <w:rsid w:val="00F2106D"/>
    <w:rsid w:val="00F218E2"/>
    <w:rsid w:val="00F21FB8"/>
    <w:rsid w:val="00F22337"/>
    <w:rsid w:val="00F22D65"/>
    <w:rsid w:val="00F22EEC"/>
    <w:rsid w:val="00F23175"/>
    <w:rsid w:val="00F2385B"/>
    <w:rsid w:val="00F23FB0"/>
    <w:rsid w:val="00F23FFD"/>
    <w:rsid w:val="00F2410D"/>
    <w:rsid w:val="00F2480A"/>
    <w:rsid w:val="00F24891"/>
    <w:rsid w:val="00F24B9F"/>
    <w:rsid w:val="00F24CA6"/>
    <w:rsid w:val="00F25316"/>
    <w:rsid w:val="00F25647"/>
    <w:rsid w:val="00F256AE"/>
    <w:rsid w:val="00F25773"/>
    <w:rsid w:val="00F257FA"/>
    <w:rsid w:val="00F26004"/>
    <w:rsid w:val="00F261AB"/>
    <w:rsid w:val="00F269B5"/>
    <w:rsid w:val="00F270E8"/>
    <w:rsid w:val="00F27B51"/>
    <w:rsid w:val="00F27EE4"/>
    <w:rsid w:val="00F27EF5"/>
    <w:rsid w:val="00F27FDB"/>
    <w:rsid w:val="00F30251"/>
    <w:rsid w:val="00F3025E"/>
    <w:rsid w:val="00F305CC"/>
    <w:rsid w:val="00F307CF"/>
    <w:rsid w:val="00F31577"/>
    <w:rsid w:val="00F315E2"/>
    <w:rsid w:val="00F3179A"/>
    <w:rsid w:val="00F31D54"/>
    <w:rsid w:val="00F3210F"/>
    <w:rsid w:val="00F32357"/>
    <w:rsid w:val="00F324DC"/>
    <w:rsid w:val="00F32C70"/>
    <w:rsid w:val="00F32DC6"/>
    <w:rsid w:val="00F34E02"/>
    <w:rsid w:val="00F3549E"/>
    <w:rsid w:val="00F365A7"/>
    <w:rsid w:val="00F3681C"/>
    <w:rsid w:val="00F3769D"/>
    <w:rsid w:val="00F404F4"/>
    <w:rsid w:val="00F40D4C"/>
    <w:rsid w:val="00F4142D"/>
    <w:rsid w:val="00F4143E"/>
    <w:rsid w:val="00F417C8"/>
    <w:rsid w:val="00F41A55"/>
    <w:rsid w:val="00F41CC5"/>
    <w:rsid w:val="00F41D25"/>
    <w:rsid w:val="00F423C2"/>
    <w:rsid w:val="00F42460"/>
    <w:rsid w:val="00F433F8"/>
    <w:rsid w:val="00F433FE"/>
    <w:rsid w:val="00F435CE"/>
    <w:rsid w:val="00F43627"/>
    <w:rsid w:val="00F43781"/>
    <w:rsid w:val="00F4463C"/>
    <w:rsid w:val="00F458CA"/>
    <w:rsid w:val="00F460F7"/>
    <w:rsid w:val="00F473A5"/>
    <w:rsid w:val="00F473F3"/>
    <w:rsid w:val="00F474B8"/>
    <w:rsid w:val="00F478CA"/>
    <w:rsid w:val="00F47C7D"/>
    <w:rsid w:val="00F47CE2"/>
    <w:rsid w:val="00F501F3"/>
    <w:rsid w:val="00F508CA"/>
    <w:rsid w:val="00F50A98"/>
    <w:rsid w:val="00F50B1F"/>
    <w:rsid w:val="00F50D06"/>
    <w:rsid w:val="00F50E5F"/>
    <w:rsid w:val="00F51460"/>
    <w:rsid w:val="00F51645"/>
    <w:rsid w:val="00F51667"/>
    <w:rsid w:val="00F521DC"/>
    <w:rsid w:val="00F52E27"/>
    <w:rsid w:val="00F52E39"/>
    <w:rsid w:val="00F53199"/>
    <w:rsid w:val="00F533F2"/>
    <w:rsid w:val="00F5360D"/>
    <w:rsid w:val="00F53B7F"/>
    <w:rsid w:val="00F53CF6"/>
    <w:rsid w:val="00F540B9"/>
    <w:rsid w:val="00F541A1"/>
    <w:rsid w:val="00F54B09"/>
    <w:rsid w:val="00F54BEA"/>
    <w:rsid w:val="00F54E8A"/>
    <w:rsid w:val="00F559A8"/>
    <w:rsid w:val="00F55A19"/>
    <w:rsid w:val="00F55C21"/>
    <w:rsid w:val="00F55E5F"/>
    <w:rsid w:val="00F55F6D"/>
    <w:rsid w:val="00F5736B"/>
    <w:rsid w:val="00F57880"/>
    <w:rsid w:val="00F608AB"/>
    <w:rsid w:val="00F60BE7"/>
    <w:rsid w:val="00F6159C"/>
    <w:rsid w:val="00F61714"/>
    <w:rsid w:val="00F61979"/>
    <w:rsid w:val="00F6238F"/>
    <w:rsid w:val="00F626E4"/>
    <w:rsid w:val="00F62818"/>
    <w:rsid w:val="00F63E59"/>
    <w:rsid w:val="00F64105"/>
    <w:rsid w:val="00F64465"/>
    <w:rsid w:val="00F64BE0"/>
    <w:rsid w:val="00F65B68"/>
    <w:rsid w:val="00F66244"/>
    <w:rsid w:val="00F66570"/>
    <w:rsid w:val="00F67846"/>
    <w:rsid w:val="00F67B42"/>
    <w:rsid w:val="00F67DE9"/>
    <w:rsid w:val="00F7025C"/>
    <w:rsid w:val="00F70B72"/>
    <w:rsid w:val="00F70DEF"/>
    <w:rsid w:val="00F70EA3"/>
    <w:rsid w:val="00F71398"/>
    <w:rsid w:val="00F71E6D"/>
    <w:rsid w:val="00F7294C"/>
    <w:rsid w:val="00F72C5F"/>
    <w:rsid w:val="00F73549"/>
    <w:rsid w:val="00F73957"/>
    <w:rsid w:val="00F73DC6"/>
    <w:rsid w:val="00F740E5"/>
    <w:rsid w:val="00F7474B"/>
    <w:rsid w:val="00F74D9F"/>
    <w:rsid w:val="00F7533C"/>
    <w:rsid w:val="00F75782"/>
    <w:rsid w:val="00F767BD"/>
    <w:rsid w:val="00F76A2A"/>
    <w:rsid w:val="00F772C3"/>
    <w:rsid w:val="00F777F2"/>
    <w:rsid w:val="00F77C5C"/>
    <w:rsid w:val="00F804F5"/>
    <w:rsid w:val="00F80663"/>
    <w:rsid w:val="00F80B47"/>
    <w:rsid w:val="00F80C1D"/>
    <w:rsid w:val="00F80E90"/>
    <w:rsid w:val="00F81130"/>
    <w:rsid w:val="00F818F7"/>
    <w:rsid w:val="00F8210F"/>
    <w:rsid w:val="00F824A3"/>
    <w:rsid w:val="00F8325D"/>
    <w:rsid w:val="00F832A9"/>
    <w:rsid w:val="00F832B0"/>
    <w:rsid w:val="00F83307"/>
    <w:rsid w:val="00F833A5"/>
    <w:rsid w:val="00F834AD"/>
    <w:rsid w:val="00F844D3"/>
    <w:rsid w:val="00F84629"/>
    <w:rsid w:val="00F84B71"/>
    <w:rsid w:val="00F84F0E"/>
    <w:rsid w:val="00F8519E"/>
    <w:rsid w:val="00F85FF5"/>
    <w:rsid w:val="00F86744"/>
    <w:rsid w:val="00F86BB4"/>
    <w:rsid w:val="00F870F5"/>
    <w:rsid w:val="00F90201"/>
    <w:rsid w:val="00F902D2"/>
    <w:rsid w:val="00F904D2"/>
    <w:rsid w:val="00F90B12"/>
    <w:rsid w:val="00F90CBD"/>
    <w:rsid w:val="00F9109E"/>
    <w:rsid w:val="00F913AB"/>
    <w:rsid w:val="00F9177E"/>
    <w:rsid w:val="00F91E4F"/>
    <w:rsid w:val="00F91FDF"/>
    <w:rsid w:val="00F92875"/>
    <w:rsid w:val="00F92AA1"/>
    <w:rsid w:val="00F92FDC"/>
    <w:rsid w:val="00F931D2"/>
    <w:rsid w:val="00F93431"/>
    <w:rsid w:val="00F93A4A"/>
    <w:rsid w:val="00F93D27"/>
    <w:rsid w:val="00F94CC9"/>
    <w:rsid w:val="00F951FA"/>
    <w:rsid w:val="00F95DD6"/>
    <w:rsid w:val="00F96370"/>
    <w:rsid w:val="00F97940"/>
    <w:rsid w:val="00F97BA3"/>
    <w:rsid w:val="00F97CA4"/>
    <w:rsid w:val="00F97EA2"/>
    <w:rsid w:val="00F97F0D"/>
    <w:rsid w:val="00FA03DF"/>
    <w:rsid w:val="00FA0884"/>
    <w:rsid w:val="00FA091D"/>
    <w:rsid w:val="00FA0B0A"/>
    <w:rsid w:val="00FA121C"/>
    <w:rsid w:val="00FA1407"/>
    <w:rsid w:val="00FA1A68"/>
    <w:rsid w:val="00FA1B1A"/>
    <w:rsid w:val="00FA2747"/>
    <w:rsid w:val="00FA2A33"/>
    <w:rsid w:val="00FA2C8F"/>
    <w:rsid w:val="00FA2CF7"/>
    <w:rsid w:val="00FA30D8"/>
    <w:rsid w:val="00FA3122"/>
    <w:rsid w:val="00FA3410"/>
    <w:rsid w:val="00FA3456"/>
    <w:rsid w:val="00FA360B"/>
    <w:rsid w:val="00FA3860"/>
    <w:rsid w:val="00FA3A50"/>
    <w:rsid w:val="00FA44C6"/>
    <w:rsid w:val="00FA4763"/>
    <w:rsid w:val="00FA4830"/>
    <w:rsid w:val="00FA5032"/>
    <w:rsid w:val="00FA5DF4"/>
    <w:rsid w:val="00FA6980"/>
    <w:rsid w:val="00FA6CDF"/>
    <w:rsid w:val="00FA7699"/>
    <w:rsid w:val="00FA7BB5"/>
    <w:rsid w:val="00FA7C29"/>
    <w:rsid w:val="00FA7C85"/>
    <w:rsid w:val="00FB12D8"/>
    <w:rsid w:val="00FB1474"/>
    <w:rsid w:val="00FB176A"/>
    <w:rsid w:val="00FB1CDC"/>
    <w:rsid w:val="00FB238A"/>
    <w:rsid w:val="00FB2446"/>
    <w:rsid w:val="00FB2C81"/>
    <w:rsid w:val="00FB2D25"/>
    <w:rsid w:val="00FB363E"/>
    <w:rsid w:val="00FB3BC4"/>
    <w:rsid w:val="00FB3E2C"/>
    <w:rsid w:val="00FB3ECF"/>
    <w:rsid w:val="00FB3F9C"/>
    <w:rsid w:val="00FB3FDE"/>
    <w:rsid w:val="00FB4676"/>
    <w:rsid w:val="00FB492C"/>
    <w:rsid w:val="00FB4BF2"/>
    <w:rsid w:val="00FB4DDF"/>
    <w:rsid w:val="00FB5552"/>
    <w:rsid w:val="00FB5789"/>
    <w:rsid w:val="00FB5F3A"/>
    <w:rsid w:val="00FB6A6B"/>
    <w:rsid w:val="00FB6AA9"/>
    <w:rsid w:val="00FB6AD4"/>
    <w:rsid w:val="00FB6F2A"/>
    <w:rsid w:val="00FB7F22"/>
    <w:rsid w:val="00FC00F3"/>
    <w:rsid w:val="00FC0A33"/>
    <w:rsid w:val="00FC10B5"/>
    <w:rsid w:val="00FC1416"/>
    <w:rsid w:val="00FC14B2"/>
    <w:rsid w:val="00FC1800"/>
    <w:rsid w:val="00FC1823"/>
    <w:rsid w:val="00FC1D6B"/>
    <w:rsid w:val="00FC1F1E"/>
    <w:rsid w:val="00FC2198"/>
    <w:rsid w:val="00FC26A4"/>
    <w:rsid w:val="00FC26F7"/>
    <w:rsid w:val="00FC2906"/>
    <w:rsid w:val="00FC2C93"/>
    <w:rsid w:val="00FC325A"/>
    <w:rsid w:val="00FC33ED"/>
    <w:rsid w:val="00FC39F3"/>
    <w:rsid w:val="00FC3E8C"/>
    <w:rsid w:val="00FC43AD"/>
    <w:rsid w:val="00FC4436"/>
    <w:rsid w:val="00FC48DA"/>
    <w:rsid w:val="00FC4C81"/>
    <w:rsid w:val="00FC5041"/>
    <w:rsid w:val="00FC5876"/>
    <w:rsid w:val="00FC5FCD"/>
    <w:rsid w:val="00FC62F5"/>
    <w:rsid w:val="00FC6F4A"/>
    <w:rsid w:val="00FC70A7"/>
    <w:rsid w:val="00FC731E"/>
    <w:rsid w:val="00FD01FC"/>
    <w:rsid w:val="00FD035A"/>
    <w:rsid w:val="00FD0709"/>
    <w:rsid w:val="00FD0815"/>
    <w:rsid w:val="00FD197B"/>
    <w:rsid w:val="00FD19F1"/>
    <w:rsid w:val="00FD1A7E"/>
    <w:rsid w:val="00FD2026"/>
    <w:rsid w:val="00FD2122"/>
    <w:rsid w:val="00FD2CC3"/>
    <w:rsid w:val="00FD31BF"/>
    <w:rsid w:val="00FD359D"/>
    <w:rsid w:val="00FD3CC7"/>
    <w:rsid w:val="00FD4148"/>
    <w:rsid w:val="00FD4D5B"/>
    <w:rsid w:val="00FD5C14"/>
    <w:rsid w:val="00FD6453"/>
    <w:rsid w:val="00FD6626"/>
    <w:rsid w:val="00FD67FD"/>
    <w:rsid w:val="00FD6A17"/>
    <w:rsid w:val="00FD7CB2"/>
    <w:rsid w:val="00FD7D03"/>
    <w:rsid w:val="00FD7D46"/>
    <w:rsid w:val="00FD7D5D"/>
    <w:rsid w:val="00FD7D8B"/>
    <w:rsid w:val="00FD7DBC"/>
    <w:rsid w:val="00FE0AF2"/>
    <w:rsid w:val="00FE0F52"/>
    <w:rsid w:val="00FE1C47"/>
    <w:rsid w:val="00FE22DD"/>
    <w:rsid w:val="00FE2653"/>
    <w:rsid w:val="00FE2CFB"/>
    <w:rsid w:val="00FE2EB3"/>
    <w:rsid w:val="00FE3C55"/>
    <w:rsid w:val="00FE434A"/>
    <w:rsid w:val="00FE4A60"/>
    <w:rsid w:val="00FE54A2"/>
    <w:rsid w:val="00FE54E0"/>
    <w:rsid w:val="00FE55F0"/>
    <w:rsid w:val="00FE5B69"/>
    <w:rsid w:val="00FE6331"/>
    <w:rsid w:val="00FE685B"/>
    <w:rsid w:val="00FE6C12"/>
    <w:rsid w:val="00FE7894"/>
    <w:rsid w:val="00FF01FA"/>
    <w:rsid w:val="00FF0549"/>
    <w:rsid w:val="00FF0E28"/>
    <w:rsid w:val="00FF12E2"/>
    <w:rsid w:val="00FF1631"/>
    <w:rsid w:val="00FF210A"/>
    <w:rsid w:val="00FF21B5"/>
    <w:rsid w:val="00FF21C3"/>
    <w:rsid w:val="00FF272E"/>
    <w:rsid w:val="00FF2A11"/>
    <w:rsid w:val="00FF2AA0"/>
    <w:rsid w:val="00FF3F6C"/>
    <w:rsid w:val="00FF45BA"/>
    <w:rsid w:val="00FF4603"/>
    <w:rsid w:val="00FF4B07"/>
    <w:rsid w:val="00FF4B79"/>
    <w:rsid w:val="00FF4BFC"/>
    <w:rsid w:val="00FF4C11"/>
    <w:rsid w:val="00FF507B"/>
    <w:rsid w:val="00FF56B9"/>
    <w:rsid w:val="00FF57E8"/>
    <w:rsid w:val="00FF58C0"/>
    <w:rsid w:val="00FF5948"/>
    <w:rsid w:val="00FF6B71"/>
    <w:rsid w:val="00FF6EDF"/>
    <w:rsid w:val="00FF6EEA"/>
    <w:rsid w:val="00FF73B4"/>
    <w:rsid w:val="00FF77DF"/>
    <w:rsid w:val="00FF7ABB"/>
    <w:rsid w:val="00FF7B99"/>
    <w:rsid w:val="00FF7BDA"/>
    <w:rsid w:val="00FF7F4C"/>
    <w:rsid w:val="016ADE98"/>
    <w:rsid w:val="01714B3B"/>
    <w:rsid w:val="0181B3DF"/>
    <w:rsid w:val="01AFD587"/>
    <w:rsid w:val="023E2320"/>
    <w:rsid w:val="023F7146"/>
    <w:rsid w:val="0318ACFF"/>
    <w:rsid w:val="0395F1D2"/>
    <w:rsid w:val="04E6BB29"/>
    <w:rsid w:val="06088E32"/>
    <w:rsid w:val="06843BAF"/>
    <w:rsid w:val="07A23ADE"/>
    <w:rsid w:val="07F58458"/>
    <w:rsid w:val="08362116"/>
    <w:rsid w:val="08EDCCE4"/>
    <w:rsid w:val="09415821"/>
    <w:rsid w:val="09D33E66"/>
    <w:rsid w:val="0A104547"/>
    <w:rsid w:val="0A468C56"/>
    <w:rsid w:val="0BA57348"/>
    <w:rsid w:val="0C304184"/>
    <w:rsid w:val="0C41B859"/>
    <w:rsid w:val="0D1E56C0"/>
    <w:rsid w:val="0E1A1EAF"/>
    <w:rsid w:val="0E21C0F3"/>
    <w:rsid w:val="0F1B7611"/>
    <w:rsid w:val="0F279D27"/>
    <w:rsid w:val="0F313568"/>
    <w:rsid w:val="0F3722AE"/>
    <w:rsid w:val="0F3DE6C7"/>
    <w:rsid w:val="1160209F"/>
    <w:rsid w:val="11D4028C"/>
    <w:rsid w:val="12651A68"/>
    <w:rsid w:val="12E28014"/>
    <w:rsid w:val="137C74FB"/>
    <w:rsid w:val="13D7F70D"/>
    <w:rsid w:val="14825323"/>
    <w:rsid w:val="14831777"/>
    <w:rsid w:val="149C3AA0"/>
    <w:rsid w:val="155F4CCC"/>
    <w:rsid w:val="16866B20"/>
    <w:rsid w:val="17039D16"/>
    <w:rsid w:val="17969546"/>
    <w:rsid w:val="17B99371"/>
    <w:rsid w:val="1849D290"/>
    <w:rsid w:val="1869E574"/>
    <w:rsid w:val="18BB8965"/>
    <w:rsid w:val="1927005C"/>
    <w:rsid w:val="1997CA10"/>
    <w:rsid w:val="19A216FB"/>
    <w:rsid w:val="1A65351E"/>
    <w:rsid w:val="1AB422B5"/>
    <w:rsid w:val="1B1B4AA6"/>
    <w:rsid w:val="1B200C3E"/>
    <w:rsid w:val="1C30B6FE"/>
    <w:rsid w:val="1C42418C"/>
    <w:rsid w:val="1D45CA7D"/>
    <w:rsid w:val="1D5DDE9F"/>
    <w:rsid w:val="1E04A7DA"/>
    <w:rsid w:val="1EC2EFBF"/>
    <w:rsid w:val="1ECA9D75"/>
    <w:rsid w:val="1F3D9F38"/>
    <w:rsid w:val="200BDA26"/>
    <w:rsid w:val="22C0B0C3"/>
    <w:rsid w:val="22EBEF40"/>
    <w:rsid w:val="233EFD38"/>
    <w:rsid w:val="247BB2DB"/>
    <w:rsid w:val="2503C0D3"/>
    <w:rsid w:val="250A6877"/>
    <w:rsid w:val="260CDDA5"/>
    <w:rsid w:val="27305C30"/>
    <w:rsid w:val="2764DB6A"/>
    <w:rsid w:val="286C0BE0"/>
    <w:rsid w:val="2AD4305D"/>
    <w:rsid w:val="2C504D97"/>
    <w:rsid w:val="2C6A7EB0"/>
    <w:rsid w:val="2D277835"/>
    <w:rsid w:val="2E3259A9"/>
    <w:rsid w:val="2E4DD183"/>
    <w:rsid w:val="2F87A0D3"/>
    <w:rsid w:val="2FCC97C2"/>
    <w:rsid w:val="2FDE14BE"/>
    <w:rsid w:val="303DA51A"/>
    <w:rsid w:val="31ADC92B"/>
    <w:rsid w:val="31D9443F"/>
    <w:rsid w:val="31F9F480"/>
    <w:rsid w:val="3279B32E"/>
    <w:rsid w:val="327D5AB3"/>
    <w:rsid w:val="32895FE2"/>
    <w:rsid w:val="32932580"/>
    <w:rsid w:val="32ED40A8"/>
    <w:rsid w:val="335E5B54"/>
    <w:rsid w:val="3458268E"/>
    <w:rsid w:val="355D629F"/>
    <w:rsid w:val="35A47E8B"/>
    <w:rsid w:val="35A67D44"/>
    <w:rsid w:val="35F4D325"/>
    <w:rsid w:val="3666426D"/>
    <w:rsid w:val="3696683F"/>
    <w:rsid w:val="371FDB0B"/>
    <w:rsid w:val="38A02B50"/>
    <w:rsid w:val="3ACB40A2"/>
    <w:rsid w:val="3AD97296"/>
    <w:rsid w:val="3B0D56A2"/>
    <w:rsid w:val="3B880BC9"/>
    <w:rsid w:val="3B9EBE73"/>
    <w:rsid w:val="3D2ED706"/>
    <w:rsid w:val="3D8196CF"/>
    <w:rsid w:val="3DE83467"/>
    <w:rsid w:val="3E1AF357"/>
    <w:rsid w:val="3E2F3F44"/>
    <w:rsid w:val="3E4A2828"/>
    <w:rsid w:val="3E54DB57"/>
    <w:rsid w:val="3E722245"/>
    <w:rsid w:val="3ED3DDC9"/>
    <w:rsid w:val="3F84DF2E"/>
    <w:rsid w:val="3FA66450"/>
    <w:rsid w:val="403C2F35"/>
    <w:rsid w:val="4046AC6F"/>
    <w:rsid w:val="4120AF8F"/>
    <w:rsid w:val="4122E536"/>
    <w:rsid w:val="41553B73"/>
    <w:rsid w:val="41B32566"/>
    <w:rsid w:val="437F7B6E"/>
    <w:rsid w:val="439870FA"/>
    <w:rsid w:val="45C75C7F"/>
    <w:rsid w:val="46DF7B04"/>
    <w:rsid w:val="46F39E2D"/>
    <w:rsid w:val="47367887"/>
    <w:rsid w:val="474BF57A"/>
    <w:rsid w:val="47F38F76"/>
    <w:rsid w:val="47FD1F5E"/>
    <w:rsid w:val="482DEBA1"/>
    <w:rsid w:val="4852A40C"/>
    <w:rsid w:val="48D00473"/>
    <w:rsid w:val="4A61C48F"/>
    <w:rsid w:val="4A772F23"/>
    <w:rsid w:val="4A7B4C51"/>
    <w:rsid w:val="4CAA87A4"/>
    <w:rsid w:val="4CEAD8C0"/>
    <w:rsid w:val="4DCA4F08"/>
    <w:rsid w:val="4E3458DA"/>
    <w:rsid w:val="4E42EA79"/>
    <w:rsid w:val="4F35C4DA"/>
    <w:rsid w:val="4F473590"/>
    <w:rsid w:val="50BF1CA3"/>
    <w:rsid w:val="50D192C4"/>
    <w:rsid w:val="525BA62F"/>
    <w:rsid w:val="52A16822"/>
    <w:rsid w:val="52F147D1"/>
    <w:rsid w:val="52F39E01"/>
    <w:rsid w:val="53F67522"/>
    <w:rsid w:val="542097F2"/>
    <w:rsid w:val="5553784D"/>
    <w:rsid w:val="55FB011A"/>
    <w:rsid w:val="564680A3"/>
    <w:rsid w:val="567DC8C9"/>
    <w:rsid w:val="56B8ABD9"/>
    <w:rsid w:val="574A2819"/>
    <w:rsid w:val="582B3199"/>
    <w:rsid w:val="584A1BD7"/>
    <w:rsid w:val="58BDDB90"/>
    <w:rsid w:val="58CD65EE"/>
    <w:rsid w:val="58DBDFE5"/>
    <w:rsid w:val="5A2CDDBD"/>
    <w:rsid w:val="5AAE7CF1"/>
    <w:rsid w:val="5AEA731A"/>
    <w:rsid w:val="5BCC33CF"/>
    <w:rsid w:val="5C016859"/>
    <w:rsid w:val="5CE16F74"/>
    <w:rsid w:val="5D050F77"/>
    <w:rsid w:val="5DFA5D4A"/>
    <w:rsid w:val="5E5DBF7F"/>
    <w:rsid w:val="5EA3DB36"/>
    <w:rsid w:val="600039B6"/>
    <w:rsid w:val="604F2B69"/>
    <w:rsid w:val="6265F238"/>
    <w:rsid w:val="628A78D2"/>
    <w:rsid w:val="6322BA55"/>
    <w:rsid w:val="633225A7"/>
    <w:rsid w:val="64A7517A"/>
    <w:rsid w:val="6520C722"/>
    <w:rsid w:val="657463B2"/>
    <w:rsid w:val="65BDE876"/>
    <w:rsid w:val="66D95FE1"/>
    <w:rsid w:val="66F4764E"/>
    <w:rsid w:val="68B336C5"/>
    <w:rsid w:val="69197286"/>
    <w:rsid w:val="69961C6B"/>
    <w:rsid w:val="6BDAB6C6"/>
    <w:rsid w:val="6BDBB1AA"/>
    <w:rsid w:val="6D054F4A"/>
    <w:rsid w:val="6D593774"/>
    <w:rsid w:val="6D89C4E8"/>
    <w:rsid w:val="6E6F7432"/>
    <w:rsid w:val="6F400E53"/>
    <w:rsid w:val="6FB4D673"/>
    <w:rsid w:val="707B448A"/>
    <w:rsid w:val="70BF74B3"/>
    <w:rsid w:val="71345075"/>
    <w:rsid w:val="713A33EC"/>
    <w:rsid w:val="71C76DF4"/>
    <w:rsid w:val="71DA13C9"/>
    <w:rsid w:val="731136BF"/>
    <w:rsid w:val="73C6E482"/>
    <w:rsid w:val="740E776A"/>
    <w:rsid w:val="7414475D"/>
    <w:rsid w:val="74677D69"/>
    <w:rsid w:val="74B03DB8"/>
    <w:rsid w:val="766A7C0B"/>
    <w:rsid w:val="76F9F9C6"/>
    <w:rsid w:val="7710FC95"/>
    <w:rsid w:val="77440858"/>
    <w:rsid w:val="77AD1878"/>
    <w:rsid w:val="77CDF636"/>
    <w:rsid w:val="786576E0"/>
    <w:rsid w:val="78698736"/>
    <w:rsid w:val="78DD199F"/>
    <w:rsid w:val="79AB749F"/>
    <w:rsid w:val="7A03F55D"/>
    <w:rsid w:val="7A49A4B1"/>
    <w:rsid w:val="7B6804FF"/>
    <w:rsid w:val="7B7E7BD5"/>
    <w:rsid w:val="7BE3BADB"/>
    <w:rsid w:val="7C158D62"/>
    <w:rsid w:val="7C33AABD"/>
    <w:rsid w:val="7E507F57"/>
    <w:rsid w:val="7E7F7612"/>
    <w:rsid w:val="7EEB91A0"/>
    <w:rsid w:val="7F1B5B9D"/>
    <w:rsid w:val="7F7CF8A3"/>
    <w:rsid w:val="7FD5FEA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6E3F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555EF"/>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585FD0"/>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6352E"/>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9A2A8A"/>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9F1D7F"/>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D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6352E"/>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9A2A8A"/>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F1D7F"/>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ullet">
    <w:name w:val="Bullet"/>
    <w:basedOn w:val="Normal"/>
    <w:link w:val="BulletChar"/>
    <w:qFormat/>
    <w:rsid w:val="000A109B"/>
    <w:pPr>
      <w:numPr>
        <w:numId w:val="14"/>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4A3CC2"/>
    <w:rPr>
      <w:rFonts w:ascii="Georgia" w:eastAsiaTheme="minorEastAsia" w:hAnsi="Georgia"/>
      <w:b/>
      <w:color w:val="1B556B"/>
      <w:sz w:val="56"/>
      <w:lang w:eastAsia="en-NZ"/>
    </w:rPr>
  </w:style>
  <w:style w:type="paragraph" w:styleId="Subtitle">
    <w:name w:val="Subtitle"/>
    <w:basedOn w:val="Title"/>
    <w:link w:val="SubtitleChar"/>
    <w:uiPriority w:val="2"/>
    <w:rsid w:val="004A3CC2"/>
    <w:pPr>
      <w:spacing w:before="600" w:line="240" w:lineRule="auto"/>
    </w:pPr>
    <w:rPr>
      <w:sz w:val="36"/>
      <w:szCs w:val="36"/>
    </w:rPr>
  </w:style>
  <w:style w:type="character" w:customStyle="1" w:styleId="SubtitleChar">
    <w:name w:val="Subtitle Char"/>
    <w:basedOn w:val="DefaultParagraphFont"/>
    <w:link w:val="Subtitle"/>
    <w:uiPriority w:val="2"/>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EA64B4"/>
    <w:pPr>
      <w:tabs>
        <w:tab w:val="right" w:pos="7938"/>
        <w:tab w:val="right" w:pos="8505"/>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0A109B"/>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13"/>
      </w:numPr>
    </w:pPr>
  </w:style>
  <w:style w:type="paragraph" w:customStyle="1" w:styleId="Boxtext">
    <w:name w:val="Box text"/>
    <w:basedOn w:val="Normal"/>
    <w:uiPriority w:val="1"/>
    <w:qFormat/>
    <w:rsid w:val="00DB6A2B"/>
    <w:pPr>
      <w:spacing w:line="260" w:lineRule="atLeast"/>
      <w:ind w:left="284" w:right="284"/>
      <w:jc w:val="left"/>
    </w:pPr>
    <w:rPr>
      <w:color w:val="1B556B"/>
      <w:sz w:val="20"/>
    </w:rPr>
  </w:style>
  <w:style w:type="paragraph" w:customStyle="1" w:styleId="Boxbullet">
    <w:name w:val="Box bullet"/>
    <w:basedOn w:val="Boxtext"/>
    <w:uiPriority w:val="1"/>
    <w:qFormat/>
    <w:rsid w:val="005D3242"/>
    <w:pPr>
      <w:numPr>
        <w:numId w:val="2"/>
      </w:numPr>
      <w:tabs>
        <w:tab w:val="left" w:pos="680"/>
      </w:tabs>
      <w:spacing w:before="0"/>
      <w:ind w:left="681" w:hanging="397"/>
    </w:pPr>
    <w:rPr>
      <w:rFonts w:cs="Times New Roman"/>
      <w:szCs w:val="20"/>
    </w:rPr>
  </w:style>
  <w:style w:type="paragraph" w:customStyle="1" w:styleId="Boxheading0">
    <w:name w:val="Box heading"/>
    <w:basedOn w:val="Boxtext"/>
    <w:next w:val="Boxtext"/>
    <w:uiPriority w:val="1"/>
    <w:qFormat/>
    <w:rsid w:val="00DB6A2B"/>
    <w:pPr>
      <w:keepNext/>
      <w:spacing w:before="240" w:after="0"/>
    </w:pPr>
    <w:rPr>
      <w:rFonts w:cs="Times New Roman"/>
      <w:b/>
      <w:sz w:val="22"/>
      <w:szCs w:val="20"/>
    </w:rPr>
  </w:style>
  <w:style w:type="paragraph" w:customStyle="1" w:styleId="Boxsub-bullet">
    <w:name w:val="Box sub-bullet"/>
    <w:basedOn w:val="Boxtext"/>
    <w:uiPriority w:val="1"/>
    <w:qFormat/>
    <w:rsid w:val="00DB6A2B"/>
    <w:pPr>
      <w:numPr>
        <w:numId w:val="15"/>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6"/>
      </w:numPr>
      <w:spacing w:before="0"/>
      <w:ind w:left="1077" w:hanging="397"/>
    </w:pPr>
  </w:style>
  <w:style w:type="character" w:styleId="UnresolvedMention">
    <w:name w:val="Unresolved Mention"/>
    <w:basedOn w:val="DefaultParagraphFont"/>
    <w:uiPriority w:val="99"/>
    <w:semiHidden/>
    <w:unhideWhenUsed/>
    <w:rsid w:val="00563317"/>
    <w:rPr>
      <w:color w:val="605E5C"/>
      <w:shd w:val="clear" w:color="auto" w:fill="E1DFDD"/>
    </w:rPr>
  </w:style>
  <w:style w:type="paragraph" w:styleId="CommentText">
    <w:name w:val="annotation text"/>
    <w:basedOn w:val="Normal"/>
    <w:link w:val="CommentTextChar"/>
    <w:uiPriority w:val="99"/>
    <w:semiHidden/>
    <w:rsid w:val="001A7F68"/>
    <w:pPr>
      <w:spacing w:line="240" w:lineRule="auto"/>
    </w:pPr>
    <w:rPr>
      <w:sz w:val="20"/>
      <w:szCs w:val="20"/>
    </w:rPr>
  </w:style>
  <w:style w:type="character" w:customStyle="1" w:styleId="CommentTextChar">
    <w:name w:val="Comment Text Char"/>
    <w:basedOn w:val="DefaultParagraphFont"/>
    <w:link w:val="CommentText"/>
    <w:uiPriority w:val="99"/>
    <w:semiHidden/>
    <w:rsid w:val="001A7F68"/>
    <w:rPr>
      <w:rFonts w:ascii="Calibri" w:eastAsiaTheme="minorEastAsia" w:hAnsi="Calibri"/>
      <w:sz w:val="20"/>
      <w:szCs w:val="20"/>
      <w:lang w:eastAsia="en-NZ"/>
    </w:rPr>
  </w:style>
  <w:style w:type="character" w:styleId="Mention">
    <w:name w:val="Mention"/>
    <w:basedOn w:val="DefaultParagraphFont"/>
    <w:uiPriority w:val="99"/>
    <w:unhideWhenUsed/>
    <w:rsid w:val="00D570FE"/>
    <w:rPr>
      <w:color w:val="2B579A"/>
      <w:shd w:val="clear" w:color="auto" w:fill="E1DFDD"/>
    </w:rPr>
  </w:style>
  <w:style w:type="paragraph" w:customStyle="1" w:styleId="paragraph">
    <w:name w:val="paragraph"/>
    <w:basedOn w:val="Normal"/>
    <w:rsid w:val="00824D6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824D65"/>
  </w:style>
  <w:style w:type="character" w:customStyle="1" w:styleId="tabchar">
    <w:name w:val="tabchar"/>
    <w:basedOn w:val="DefaultParagraphFont"/>
    <w:rsid w:val="00824D65"/>
  </w:style>
  <w:style w:type="character" w:customStyle="1" w:styleId="eop">
    <w:name w:val="eop"/>
    <w:basedOn w:val="DefaultParagraphFont"/>
    <w:rsid w:val="00824D65"/>
  </w:style>
  <w:style w:type="character" w:customStyle="1" w:styleId="wacimagecontainer">
    <w:name w:val="wacimagecontainer"/>
    <w:basedOn w:val="DefaultParagraphFont"/>
    <w:rsid w:val="00824D65"/>
  </w:style>
  <w:style w:type="table" w:styleId="ListTable3-Accent2">
    <w:name w:val="List Table 3 Accent 2"/>
    <w:basedOn w:val="TableNormal"/>
    <w:uiPriority w:val="48"/>
    <w:rsid w:val="00541C25"/>
    <w:pPr>
      <w:spacing w:after="0" w:line="240" w:lineRule="auto"/>
    </w:pPr>
    <w:tblPr>
      <w:tblStyleRowBandSize w:val="1"/>
      <w:tblStyleColBandSize w:val="1"/>
      <w:tblBorders>
        <w:top w:val="single" w:sz="4" w:space="0" w:color="32809C" w:themeColor="accent2"/>
        <w:left w:val="single" w:sz="4" w:space="0" w:color="32809C" w:themeColor="accent2"/>
        <w:bottom w:val="single" w:sz="4" w:space="0" w:color="32809C" w:themeColor="accent2"/>
        <w:right w:val="single" w:sz="4" w:space="0" w:color="32809C" w:themeColor="accent2"/>
      </w:tblBorders>
    </w:tblPr>
    <w:tblStylePr w:type="firstRow">
      <w:rPr>
        <w:b/>
        <w:bCs/>
        <w:color w:val="FFFFFF" w:themeColor="background1"/>
      </w:rPr>
      <w:tblPr/>
      <w:tcPr>
        <w:shd w:val="clear" w:color="auto" w:fill="32809C" w:themeFill="accent2"/>
      </w:tcPr>
    </w:tblStylePr>
    <w:tblStylePr w:type="lastRow">
      <w:rPr>
        <w:b/>
        <w:bCs/>
      </w:rPr>
      <w:tblPr/>
      <w:tcPr>
        <w:tcBorders>
          <w:top w:val="double" w:sz="4" w:space="0" w:color="3280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809C" w:themeColor="accent2"/>
          <w:right w:val="single" w:sz="4" w:space="0" w:color="32809C" w:themeColor="accent2"/>
        </w:tcBorders>
      </w:tcPr>
    </w:tblStylePr>
    <w:tblStylePr w:type="band1Horz">
      <w:tblPr/>
      <w:tcPr>
        <w:tcBorders>
          <w:top w:val="single" w:sz="4" w:space="0" w:color="32809C" w:themeColor="accent2"/>
          <w:bottom w:val="single" w:sz="4" w:space="0" w:color="3280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809C" w:themeColor="accent2"/>
          <w:left w:val="nil"/>
        </w:tcBorders>
      </w:tcPr>
    </w:tblStylePr>
    <w:tblStylePr w:type="swCell">
      <w:tblPr/>
      <w:tcPr>
        <w:tcBorders>
          <w:top w:val="double" w:sz="4" w:space="0" w:color="32809C" w:themeColor="accent2"/>
          <w:right w:val="nil"/>
        </w:tcBorders>
      </w:tcPr>
    </w:tblStylePr>
  </w:style>
  <w:style w:type="table" w:styleId="GridTable4-Accent2">
    <w:name w:val="Grid Table 4 Accent 2"/>
    <w:basedOn w:val="TableNormal"/>
    <w:uiPriority w:val="49"/>
    <w:rsid w:val="00541C25"/>
    <w:pPr>
      <w:spacing w:after="0" w:line="240" w:lineRule="auto"/>
    </w:pPr>
    <w:tblPr>
      <w:tblStyleRowBandSize w:val="1"/>
      <w:tblStyleColBandSize w:val="1"/>
      <w:tblBorders>
        <w:top w:val="single" w:sz="4" w:space="0" w:color="74B9D2" w:themeColor="accent2" w:themeTint="99"/>
        <w:left w:val="single" w:sz="4" w:space="0" w:color="74B9D2" w:themeColor="accent2" w:themeTint="99"/>
        <w:bottom w:val="single" w:sz="4" w:space="0" w:color="74B9D2" w:themeColor="accent2" w:themeTint="99"/>
        <w:right w:val="single" w:sz="4" w:space="0" w:color="74B9D2" w:themeColor="accent2" w:themeTint="99"/>
        <w:insideH w:val="single" w:sz="4" w:space="0" w:color="74B9D2" w:themeColor="accent2" w:themeTint="99"/>
        <w:insideV w:val="single" w:sz="4" w:space="0" w:color="74B9D2" w:themeColor="accent2" w:themeTint="99"/>
      </w:tblBorders>
    </w:tblPr>
    <w:tblStylePr w:type="firstRow">
      <w:rPr>
        <w:b/>
        <w:bCs/>
        <w:color w:val="FFFFFF" w:themeColor="background1"/>
      </w:rPr>
      <w:tblPr/>
      <w:tcPr>
        <w:tcBorders>
          <w:top w:val="single" w:sz="4" w:space="0" w:color="32809C" w:themeColor="accent2"/>
          <w:left w:val="single" w:sz="4" w:space="0" w:color="32809C" w:themeColor="accent2"/>
          <w:bottom w:val="single" w:sz="4" w:space="0" w:color="32809C" w:themeColor="accent2"/>
          <w:right w:val="single" w:sz="4" w:space="0" w:color="32809C" w:themeColor="accent2"/>
          <w:insideH w:val="nil"/>
          <w:insideV w:val="nil"/>
        </w:tcBorders>
        <w:shd w:val="clear" w:color="auto" w:fill="32809C" w:themeFill="accent2"/>
      </w:tcPr>
    </w:tblStylePr>
    <w:tblStylePr w:type="lastRow">
      <w:rPr>
        <w:b/>
        <w:bCs/>
      </w:rPr>
      <w:tblPr/>
      <w:tcPr>
        <w:tcBorders>
          <w:top w:val="double" w:sz="4" w:space="0" w:color="32809C" w:themeColor="accent2"/>
        </w:tcBorders>
      </w:tcPr>
    </w:tblStylePr>
    <w:tblStylePr w:type="firstCol">
      <w:rPr>
        <w:b/>
        <w:bCs/>
      </w:rPr>
    </w:tblStylePr>
    <w:tblStylePr w:type="lastCol">
      <w:rPr>
        <w:b/>
        <w:bCs/>
      </w:rPr>
    </w:tblStylePr>
    <w:tblStylePr w:type="band1Vert">
      <w:tblPr/>
      <w:tcPr>
        <w:shd w:val="clear" w:color="auto" w:fill="D0E7F0" w:themeFill="accent2" w:themeFillTint="33"/>
      </w:tcPr>
    </w:tblStylePr>
    <w:tblStylePr w:type="band1Horz">
      <w:tblPr/>
      <w:tcPr>
        <w:shd w:val="clear" w:color="auto" w:fill="D0E7F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905">
      <w:bodyDiv w:val="1"/>
      <w:marLeft w:val="0"/>
      <w:marRight w:val="0"/>
      <w:marTop w:val="0"/>
      <w:marBottom w:val="0"/>
      <w:divBdr>
        <w:top w:val="none" w:sz="0" w:space="0" w:color="auto"/>
        <w:left w:val="none" w:sz="0" w:space="0" w:color="auto"/>
        <w:bottom w:val="none" w:sz="0" w:space="0" w:color="auto"/>
        <w:right w:val="none" w:sz="0" w:space="0" w:color="auto"/>
      </w:divBdr>
    </w:div>
    <w:div w:id="6561262">
      <w:bodyDiv w:val="1"/>
      <w:marLeft w:val="0"/>
      <w:marRight w:val="0"/>
      <w:marTop w:val="0"/>
      <w:marBottom w:val="0"/>
      <w:divBdr>
        <w:top w:val="none" w:sz="0" w:space="0" w:color="auto"/>
        <w:left w:val="none" w:sz="0" w:space="0" w:color="auto"/>
        <w:bottom w:val="none" w:sz="0" w:space="0" w:color="auto"/>
        <w:right w:val="none" w:sz="0" w:space="0" w:color="auto"/>
      </w:divBdr>
    </w:div>
    <w:div w:id="25718333">
      <w:bodyDiv w:val="1"/>
      <w:marLeft w:val="0"/>
      <w:marRight w:val="0"/>
      <w:marTop w:val="0"/>
      <w:marBottom w:val="0"/>
      <w:divBdr>
        <w:top w:val="none" w:sz="0" w:space="0" w:color="auto"/>
        <w:left w:val="none" w:sz="0" w:space="0" w:color="auto"/>
        <w:bottom w:val="none" w:sz="0" w:space="0" w:color="auto"/>
        <w:right w:val="none" w:sz="0" w:space="0" w:color="auto"/>
      </w:divBdr>
    </w:div>
    <w:div w:id="26220337">
      <w:bodyDiv w:val="1"/>
      <w:marLeft w:val="0"/>
      <w:marRight w:val="0"/>
      <w:marTop w:val="0"/>
      <w:marBottom w:val="0"/>
      <w:divBdr>
        <w:top w:val="none" w:sz="0" w:space="0" w:color="auto"/>
        <w:left w:val="none" w:sz="0" w:space="0" w:color="auto"/>
        <w:bottom w:val="none" w:sz="0" w:space="0" w:color="auto"/>
        <w:right w:val="none" w:sz="0" w:space="0" w:color="auto"/>
      </w:divBdr>
      <w:divsChild>
        <w:div w:id="479426370">
          <w:marLeft w:val="274"/>
          <w:marRight w:val="0"/>
          <w:marTop w:val="0"/>
          <w:marBottom w:val="0"/>
          <w:divBdr>
            <w:top w:val="none" w:sz="0" w:space="0" w:color="auto"/>
            <w:left w:val="none" w:sz="0" w:space="0" w:color="auto"/>
            <w:bottom w:val="none" w:sz="0" w:space="0" w:color="auto"/>
            <w:right w:val="none" w:sz="0" w:space="0" w:color="auto"/>
          </w:divBdr>
        </w:div>
        <w:div w:id="1041705910">
          <w:marLeft w:val="274"/>
          <w:marRight w:val="0"/>
          <w:marTop w:val="0"/>
          <w:marBottom w:val="0"/>
          <w:divBdr>
            <w:top w:val="none" w:sz="0" w:space="0" w:color="auto"/>
            <w:left w:val="none" w:sz="0" w:space="0" w:color="auto"/>
            <w:bottom w:val="none" w:sz="0" w:space="0" w:color="auto"/>
            <w:right w:val="none" w:sz="0" w:space="0" w:color="auto"/>
          </w:divBdr>
        </w:div>
      </w:divsChild>
    </w:div>
    <w:div w:id="48849116">
      <w:bodyDiv w:val="1"/>
      <w:marLeft w:val="0"/>
      <w:marRight w:val="0"/>
      <w:marTop w:val="0"/>
      <w:marBottom w:val="0"/>
      <w:divBdr>
        <w:top w:val="none" w:sz="0" w:space="0" w:color="auto"/>
        <w:left w:val="none" w:sz="0" w:space="0" w:color="auto"/>
        <w:bottom w:val="none" w:sz="0" w:space="0" w:color="auto"/>
        <w:right w:val="none" w:sz="0" w:space="0" w:color="auto"/>
      </w:divBdr>
    </w:div>
    <w:div w:id="100343102">
      <w:bodyDiv w:val="1"/>
      <w:marLeft w:val="0"/>
      <w:marRight w:val="0"/>
      <w:marTop w:val="0"/>
      <w:marBottom w:val="0"/>
      <w:divBdr>
        <w:top w:val="none" w:sz="0" w:space="0" w:color="auto"/>
        <w:left w:val="none" w:sz="0" w:space="0" w:color="auto"/>
        <w:bottom w:val="none" w:sz="0" w:space="0" w:color="auto"/>
        <w:right w:val="none" w:sz="0" w:space="0" w:color="auto"/>
      </w:divBdr>
    </w:div>
    <w:div w:id="116223405">
      <w:bodyDiv w:val="1"/>
      <w:marLeft w:val="0"/>
      <w:marRight w:val="0"/>
      <w:marTop w:val="0"/>
      <w:marBottom w:val="0"/>
      <w:divBdr>
        <w:top w:val="none" w:sz="0" w:space="0" w:color="auto"/>
        <w:left w:val="none" w:sz="0" w:space="0" w:color="auto"/>
        <w:bottom w:val="none" w:sz="0" w:space="0" w:color="auto"/>
        <w:right w:val="none" w:sz="0" w:space="0" w:color="auto"/>
      </w:divBdr>
    </w:div>
    <w:div w:id="124861129">
      <w:bodyDiv w:val="1"/>
      <w:marLeft w:val="0"/>
      <w:marRight w:val="0"/>
      <w:marTop w:val="0"/>
      <w:marBottom w:val="0"/>
      <w:divBdr>
        <w:top w:val="none" w:sz="0" w:space="0" w:color="auto"/>
        <w:left w:val="none" w:sz="0" w:space="0" w:color="auto"/>
        <w:bottom w:val="none" w:sz="0" w:space="0" w:color="auto"/>
        <w:right w:val="none" w:sz="0" w:space="0" w:color="auto"/>
      </w:divBdr>
    </w:div>
    <w:div w:id="147014612">
      <w:bodyDiv w:val="1"/>
      <w:marLeft w:val="0"/>
      <w:marRight w:val="0"/>
      <w:marTop w:val="0"/>
      <w:marBottom w:val="0"/>
      <w:divBdr>
        <w:top w:val="none" w:sz="0" w:space="0" w:color="auto"/>
        <w:left w:val="none" w:sz="0" w:space="0" w:color="auto"/>
        <w:bottom w:val="none" w:sz="0" w:space="0" w:color="auto"/>
        <w:right w:val="none" w:sz="0" w:space="0" w:color="auto"/>
      </w:divBdr>
      <w:divsChild>
        <w:div w:id="307053679">
          <w:marLeft w:val="0"/>
          <w:marRight w:val="0"/>
          <w:marTop w:val="0"/>
          <w:marBottom w:val="0"/>
          <w:divBdr>
            <w:top w:val="none" w:sz="0" w:space="0" w:color="auto"/>
            <w:left w:val="none" w:sz="0" w:space="0" w:color="auto"/>
            <w:bottom w:val="none" w:sz="0" w:space="0" w:color="auto"/>
            <w:right w:val="none" w:sz="0" w:space="0" w:color="auto"/>
          </w:divBdr>
        </w:div>
        <w:div w:id="722602538">
          <w:marLeft w:val="0"/>
          <w:marRight w:val="0"/>
          <w:marTop w:val="0"/>
          <w:marBottom w:val="0"/>
          <w:divBdr>
            <w:top w:val="none" w:sz="0" w:space="0" w:color="auto"/>
            <w:left w:val="none" w:sz="0" w:space="0" w:color="auto"/>
            <w:bottom w:val="none" w:sz="0" w:space="0" w:color="auto"/>
            <w:right w:val="none" w:sz="0" w:space="0" w:color="auto"/>
          </w:divBdr>
        </w:div>
        <w:div w:id="1346785645">
          <w:marLeft w:val="0"/>
          <w:marRight w:val="0"/>
          <w:marTop w:val="0"/>
          <w:marBottom w:val="0"/>
          <w:divBdr>
            <w:top w:val="none" w:sz="0" w:space="0" w:color="auto"/>
            <w:left w:val="none" w:sz="0" w:space="0" w:color="auto"/>
            <w:bottom w:val="none" w:sz="0" w:space="0" w:color="auto"/>
            <w:right w:val="none" w:sz="0" w:space="0" w:color="auto"/>
          </w:divBdr>
        </w:div>
        <w:div w:id="1376466504">
          <w:marLeft w:val="0"/>
          <w:marRight w:val="0"/>
          <w:marTop w:val="0"/>
          <w:marBottom w:val="0"/>
          <w:divBdr>
            <w:top w:val="none" w:sz="0" w:space="0" w:color="auto"/>
            <w:left w:val="none" w:sz="0" w:space="0" w:color="auto"/>
            <w:bottom w:val="none" w:sz="0" w:space="0" w:color="auto"/>
            <w:right w:val="none" w:sz="0" w:space="0" w:color="auto"/>
          </w:divBdr>
        </w:div>
        <w:div w:id="1508979140">
          <w:marLeft w:val="0"/>
          <w:marRight w:val="0"/>
          <w:marTop w:val="0"/>
          <w:marBottom w:val="0"/>
          <w:divBdr>
            <w:top w:val="none" w:sz="0" w:space="0" w:color="auto"/>
            <w:left w:val="none" w:sz="0" w:space="0" w:color="auto"/>
            <w:bottom w:val="none" w:sz="0" w:space="0" w:color="auto"/>
            <w:right w:val="none" w:sz="0" w:space="0" w:color="auto"/>
          </w:divBdr>
        </w:div>
        <w:div w:id="1597011928">
          <w:marLeft w:val="0"/>
          <w:marRight w:val="0"/>
          <w:marTop w:val="0"/>
          <w:marBottom w:val="0"/>
          <w:divBdr>
            <w:top w:val="none" w:sz="0" w:space="0" w:color="auto"/>
            <w:left w:val="none" w:sz="0" w:space="0" w:color="auto"/>
            <w:bottom w:val="none" w:sz="0" w:space="0" w:color="auto"/>
            <w:right w:val="none" w:sz="0" w:space="0" w:color="auto"/>
          </w:divBdr>
        </w:div>
        <w:div w:id="1943685913">
          <w:marLeft w:val="0"/>
          <w:marRight w:val="0"/>
          <w:marTop w:val="0"/>
          <w:marBottom w:val="0"/>
          <w:divBdr>
            <w:top w:val="none" w:sz="0" w:space="0" w:color="auto"/>
            <w:left w:val="none" w:sz="0" w:space="0" w:color="auto"/>
            <w:bottom w:val="none" w:sz="0" w:space="0" w:color="auto"/>
            <w:right w:val="none" w:sz="0" w:space="0" w:color="auto"/>
          </w:divBdr>
        </w:div>
        <w:div w:id="2041010611">
          <w:marLeft w:val="0"/>
          <w:marRight w:val="0"/>
          <w:marTop w:val="0"/>
          <w:marBottom w:val="0"/>
          <w:divBdr>
            <w:top w:val="none" w:sz="0" w:space="0" w:color="auto"/>
            <w:left w:val="none" w:sz="0" w:space="0" w:color="auto"/>
            <w:bottom w:val="none" w:sz="0" w:space="0" w:color="auto"/>
            <w:right w:val="none" w:sz="0" w:space="0" w:color="auto"/>
          </w:divBdr>
        </w:div>
        <w:div w:id="2057117667">
          <w:marLeft w:val="0"/>
          <w:marRight w:val="0"/>
          <w:marTop w:val="0"/>
          <w:marBottom w:val="0"/>
          <w:divBdr>
            <w:top w:val="none" w:sz="0" w:space="0" w:color="auto"/>
            <w:left w:val="none" w:sz="0" w:space="0" w:color="auto"/>
            <w:bottom w:val="none" w:sz="0" w:space="0" w:color="auto"/>
            <w:right w:val="none" w:sz="0" w:space="0" w:color="auto"/>
          </w:divBdr>
        </w:div>
      </w:divsChild>
    </w:div>
    <w:div w:id="152962221">
      <w:bodyDiv w:val="1"/>
      <w:marLeft w:val="0"/>
      <w:marRight w:val="0"/>
      <w:marTop w:val="0"/>
      <w:marBottom w:val="0"/>
      <w:divBdr>
        <w:top w:val="none" w:sz="0" w:space="0" w:color="auto"/>
        <w:left w:val="none" w:sz="0" w:space="0" w:color="auto"/>
        <w:bottom w:val="none" w:sz="0" w:space="0" w:color="auto"/>
        <w:right w:val="none" w:sz="0" w:space="0" w:color="auto"/>
      </w:divBdr>
    </w:div>
    <w:div w:id="178856090">
      <w:bodyDiv w:val="1"/>
      <w:marLeft w:val="0"/>
      <w:marRight w:val="0"/>
      <w:marTop w:val="0"/>
      <w:marBottom w:val="0"/>
      <w:divBdr>
        <w:top w:val="none" w:sz="0" w:space="0" w:color="auto"/>
        <w:left w:val="none" w:sz="0" w:space="0" w:color="auto"/>
        <w:bottom w:val="none" w:sz="0" w:space="0" w:color="auto"/>
        <w:right w:val="none" w:sz="0" w:space="0" w:color="auto"/>
      </w:divBdr>
    </w:div>
    <w:div w:id="207686048">
      <w:bodyDiv w:val="1"/>
      <w:marLeft w:val="0"/>
      <w:marRight w:val="0"/>
      <w:marTop w:val="0"/>
      <w:marBottom w:val="0"/>
      <w:divBdr>
        <w:top w:val="none" w:sz="0" w:space="0" w:color="auto"/>
        <w:left w:val="none" w:sz="0" w:space="0" w:color="auto"/>
        <w:bottom w:val="none" w:sz="0" w:space="0" w:color="auto"/>
        <w:right w:val="none" w:sz="0" w:space="0" w:color="auto"/>
      </w:divBdr>
      <w:divsChild>
        <w:div w:id="128210817">
          <w:marLeft w:val="0"/>
          <w:marRight w:val="0"/>
          <w:marTop w:val="0"/>
          <w:marBottom w:val="0"/>
          <w:divBdr>
            <w:top w:val="none" w:sz="0" w:space="0" w:color="auto"/>
            <w:left w:val="none" w:sz="0" w:space="0" w:color="auto"/>
            <w:bottom w:val="none" w:sz="0" w:space="0" w:color="auto"/>
            <w:right w:val="none" w:sz="0" w:space="0" w:color="auto"/>
          </w:divBdr>
          <w:divsChild>
            <w:div w:id="134839975">
              <w:marLeft w:val="0"/>
              <w:marRight w:val="0"/>
              <w:marTop w:val="0"/>
              <w:marBottom w:val="0"/>
              <w:divBdr>
                <w:top w:val="none" w:sz="0" w:space="0" w:color="auto"/>
                <w:left w:val="none" w:sz="0" w:space="0" w:color="auto"/>
                <w:bottom w:val="none" w:sz="0" w:space="0" w:color="auto"/>
                <w:right w:val="none" w:sz="0" w:space="0" w:color="auto"/>
              </w:divBdr>
            </w:div>
          </w:divsChild>
        </w:div>
        <w:div w:id="1892299730">
          <w:marLeft w:val="0"/>
          <w:marRight w:val="0"/>
          <w:marTop w:val="0"/>
          <w:marBottom w:val="0"/>
          <w:divBdr>
            <w:top w:val="none" w:sz="0" w:space="0" w:color="auto"/>
            <w:left w:val="none" w:sz="0" w:space="0" w:color="auto"/>
            <w:bottom w:val="none" w:sz="0" w:space="0" w:color="auto"/>
            <w:right w:val="none" w:sz="0" w:space="0" w:color="auto"/>
          </w:divBdr>
          <w:divsChild>
            <w:div w:id="106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68586430">
      <w:bodyDiv w:val="1"/>
      <w:marLeft w:val="0"/>
      <w:marRight w:val="0"/>
      <w:marTop w:val="0"/>
      <w:marBottom w:val="0"/>
      <w:divBdr>
        <w:top w:val="none" w:sz="0" w:space="0" w:color="auto"/>
        <w:left w:val="none" w:sz="0" w:space="0" w:color="auto"/>
        <w:bottom w:val="none" w:sz="0" w:space="0" w:color="auto"/>
        <w:right w:val="none" w:sz="0" w:space="0" w:color="auto"/>
      </w:divBdr>
    </w:div>
    <w:div w:id="273708781">
      <w:bodyDiv w:val="1"/>
      <w:marLeft w:val="0"/>
      <w:marRight w:val="0"/>
      <w:marTop w:val="0"/>
      <w:marBottom w:val="0"/>
      <w:divBdr>
        <w:top w:val="none" w:sz="0" w:space="0" w:color="auto"/>
        <w:left w:val="none" w:sz="0" w:space="0" w:color="auto"/>
        <w:bottom w:val="none" w:sz="0" w:space="0" w:color="auto"/>
        <w:right w:val="none" w:sz="0" w:space="0" w:color="auto"/>
      </w:divBdr>
      <w:divsChild>
        <w:div w:id="2011179912">
          <w:marLeft w:val="274"/>
          <w:marRight w:val="0"/>
          <w:marTop w:val="0"/>
          <w:marBottom w:val="0"/>
          <w:divBdr>
            <w:top w:val="none" w:sz="0" w:space="0" w:color="auto"/>
            <w:left w:val="none" w:sz="0" w:space="0" w:color="auto"/>
            <w:bottom w:val="none" w:sz="0" w:space="0" w:color="auto"/>
            <w:right w:val="none" w:sz="0" w:space="0" w:color="auto"/>
          </w:divBdr>
        </w:div>
      </w:divsChild>
    </w:div>
    <w:div w:id="302077302">
      <w:bodyDiv w:val="1"/>
      <w:marLeft w:val="0"/>
      <w:marRight w:val="0"/>
      <w:marTop w:val="0"/>
      <w:marBottom w:val="0"/>
      <w:divBdr>
        <w:top w:val="none" w:sz="0" w:space="0" w:color="auto"/>
        <w:left w:val="none" w:sz="0" w:space="0" w:color="auto"/>
        <w:bottom w:val="none" w:sz="0" w:space="0" w:color="auto"/>
        <w:right w:val="none" w:sz="0" w:space="0" w:color="auto"/>
      </w:divBdr>
      <w:divsChild>
        <w:div w:id="1121149745">
          <w:marLeft w:val="547"/>
          <w:marRight w:val="0"/>
          <w:marTop w:val="0"/>
          <w:marBottom w:val="0"/>
          <w:divBdr>
            <w:top w:val="none" w:sz="0" w:space="0" w:color="auto"/>
            <w:left w:val="none" w:sz="0" w:space="0" w:color="auto"/>
            <w:bottom w:val="none" w:sz="0" w:space="0" w:color="auto"/>
            <w:right w:val="none" w:sz="0" w:space="0" w:color="auto"/>
          </w:divBdr>
        </w:div>
        <w:div w:id="2036810818">
          <w:marLeft w:val="547"/>
          <w:marRight w:val="0"/>
          <w:marTop w:val="0"/>
          <w:marBottom w:val="0"/>
          <w:divBdr>
            <w:top w:val="none" w:sz="0" w:space="0" w:color="auto"/>
            <w:left w:val="none" w:sz="0" w:space="0" w:color="auto"/>
            <w:bottom w:val="none" w:sz="0" w:space="0" w:color="auto"/>
            <w:right w:val="none" w:sz="0" w:space="0" w:color="auto"/>
          </w:divBdr>
        </w:div>
        <w:div w:id="2076927527">
          <w:marLeft w:val="547"/>
          <w:marRight w:val="0"/>
          <w:marTop w:val="0"/>
          <w:marBottom w:val="0"/>
          <w:divBdr>
            <w:top w:val="none" w:sz="0" w:space="0" w:color="auto"/>
            <w:left w:val="none" w:sz="0" w:space="0" w:color="auto"/>
            <w:bottom w:val="none" w:sz="0" w:space="0" w:color="auto"/>
            <w:right w:val="none" w:sz="0" w:space="0" w:color="auto"/>
          </w:divBdr>
        </w:div>
      </w:divsChild>
    </w:div>
    <w:div w:id="305552165">
      <w:bodyDiv w:val="1"/>
      <w:marLeft w:val="0"/>
      <w:marRight w:val="0"/>
      <w:marTop w:val="0"/>
      <w:marBottom w:val="0"/>
      <w:divBdr>
        <w:top w:val="none" w:sz="0" w:space="0" w:color="auto"/>
        <w:left w:val="none" w:sz="0" w:space="0" w:color="auto"/>
        <w:bottom w:val="none" w:sz="0" w:space="0" w:color="auto"/>
        <w:right w:val="none" w:sz="0" w:space="0" w:color="auto"/>
      </w:divBdr>
    </w:div>
    <w:div w:id="355160404">
      <w:bodyDiv w:val="1"/>
      <w:marLeft w:val="0"/>
      <w:marRight w:val="0"/>
      <w:marTop w:val="0"/>
      <w:marBottom w:val="0"/>
      <w:divBdr>
        <w:top w:val="none" w:sz="0" w:space="0" w:color="auto"/>
        <w:left w:val="none" w:sz="0" w:space="0" w:color="auto"/>
        <w:bottom w:val="none" w:sz="0" w:space="0" w:color="auto"/>
        <w:right w:val="none" w:sz="0" w:space="0" w:color="auto"/>
      </w:divBdr>
      <w:divsChild>
        <w:div w:id="1183476366">
          <w:marLeft w:val="547"/>
          <w:marRight w:val="0"/>
          <w:marTop w:val="0"/>
          <w:marBottom w:val="0"/>
          <w:divBdr>
            <w:top w:val="none" w:sz="0" w:space="0" w:color="auto"/>
            <w:left w:val="none" w:sz="0" w:space="0" w:color="auto"/>
            <w:bottom w:val="none" w:sz="0" w:space="0" w:color="auto"/>
            <w:right w:val="none" w:sz="0" w:space="0" w:color="auto"/>
          </w:divBdr>
        </w:div>
        <w:div w:id="1357272429">
          <w:marLeft w:val="547"/>
          <w:marRight w:val="0"/>
          <w:marTop w:val="0"/>
          <w:marBottom w:val="0"/>
          <w:divBdr>
            <w:top w:val="none" w:sz="0" w:space="0" w:color="auto"/>
            <w:left w:val="none" w:sz="0" w:space="0" w:color="auto"/>
            <w:bottom w:val="none" w:sz="0" w:space="0" w:color="auto"/>
            <w:right w:val="none" w:sz="0" w:space="0" w:color="auto"/>
          </w:divBdr>
        </w:div>
        <w:div w:id="1654021542">
          <w:marLeft w:val="547"/>
          <w:marRight w:val="0"/>
          <w:marTop w:val="0"/>
          <w:marBottom w:val="0"/>
          <w:divBdr>
            <w:top w:val="none" w:sz="0" w:space="0" w:color="auto"/>
            <w:left w:val="none" w:sz="0" w:space="0" w:color="auto"/>
            <w:bottom w:val="none" w:sz="0" w:space="0" w:color="auto"/>
            <w:right w:val="none" w:sz="0" w:space="0" w:color="auto"/>
          </w:divBdr>
        </w:div>
        <w:div w:id="1796366737">
          <w:marLeft w:val="547"/>
          <w:marRight w:val="0"/>
          <w:marTop w:val="0"/>
          <w:marBottom w:val="0"/>
          <w:divBdr>
            <w:top w:val="none" w:sz="0" w:space="0" w:color="auto"/>
            <w:left w:val="none" w:sz="0" w:space="0" w:color="auto"/>
            <w:bottom w:val="none" w:sz="0" w:space="0" w:color="auto"/>
            <w:right w:val="none" w:sz="0" w:space="0" w:color="auto"/>
          </w:divBdr>
        </w:div>
      </w:divsChild>
    </w:div>
    <w:div w:id="374428872">
      <w:bodyDiv w:val="1"/>
      <w:marLeft w:val="0"/>
      <w:marRight w:val="0"/>
      <w:marTop w:val="0"/>
      <w:marBottom w:val="0"/>
      <w:divBdr>
        <w:top w:val="none" w:sz="0" w:space="0" w:color="auto"/>
        <w:left w:val="none" w:sz="0" w:space="0" w:color="auto"/>
        <w:bottom w:val="none" w:sz="0" w:space="0" w:color="auto"/>
        <w:right w:val="none" w:sz="0" w:space="0" w:color="auto"/>
      </w:divBdr>
    </w:div>
    <w:div w:id="385639924">
      <w:bodyDiv w:val="1"/>
      <w:marLeft w:val="0"/>
      <w:marRight w:val="0"/>
      <w:marTop w:val="0"/>
      <w:marBottom w:val="0"/>
      <w:divBdr>
        <w:top w:val="none" w:sz="0" w:space="0" w:color="auto"/>
        <w:left w:val="none" w:sz="0" w:space="0" w:color="auto"/>
        <w:bottom w:val="none" w:sz="0" w:space="0" w:color="auto"/>
        <w:right w:val="none" w:sz="0" w:space="0" w:color="auto"/>
      </w:divBdr>
    </w:div>
    <w:div w:id="408622820">
      <w:bodyDiv w:val="1"/>
      <w:marLeft w:val="0"/>
      <w:marRight w:val="0"/>
      <w:marTop w:val="0"/>
      <w:marBottom w:val="0"/>
      <w:divBdr>
        <w:top w:val="none" w:sz="0" w:space="0" w:color="auto"/>
        <w:left w:val="none" w:sz="0" w:space="0" w:color="auto"/>
        <w:bottom w:val="none" w:sz="0" w:space="0" w:color="auto"/>
        <w:right w:val="none" w:sz="0" w:space="0" w:color="auto"/>
      </w:divBdr>
    </w:div>
    <w:div w:id="408889471">
      <w:bodyDiv w:val="1"/>
      <w:marLeft w:val="0"/>
      <w:marRight w:val="0"/>
      <w:marTop w:val="0"/>
      <w:marBottom w:val="0"/>
      <w:divBdr>
        <w:top w:val="none" w:sz="0" w:space="0" w:color="auto"/>
        <w:left w:val="none" w:sz="0" w:space="0" w:color="auto"/>
        <w:bottom w:val="none" w:sz="0" w:space="0" w:color="auto"/>
        <w:right w:val="none" w:sz="0" w:space="0" w:color="auto"/>
      </w:divBdr>
      <w:divsChild>
        <w:div w:id="452408037">
          <w:marLeft w:val="446"/>
          <w:marRight w:val="0"/>
          <w:marTop w:val="0"/>
          <w:marBottom w:val="0"/>
          <w:divBdr>
            <w:top w:val="none" w:sz="0" w:space="0" w:color="auto"/>
            <w:left w:val="none" w:sz="0" w:space="0" w:color="auto"/>
            <w:bottom w:val="none" w:sz="0" w:space="0" w:color="auto"/>
            <w:right w:val="none" w:sz="0" w:space="0" w:color="auto"/>
          </w:divBdr>
        </w:div>
      </w:divsChild>
    </w:div>
    <w:div w:id="440338129">
      <w:bodyDiv w:val="1"/>
      <w:marLeft w:val="0"/>
      <w:marRight w:val="0"/>
      <w:marTop w:val="0"/>
      <w:marBottom w:val="0"/>
      <w:divBdr>
        <w:top w:val="none" w:sz="0" w:space="0" w:color="auto"/>
        <w:left w:val="none" w:sz="0" w:space="0" w:color="auto"/>
        <w:bottom w:val="none" w:sz="0" w:space="0" w:color="auto"/>
        <w:right w:val="none" w:sz="0" w:space="0" w:color="auto"/>
      </w:divBdr>
    </w:div>
    <w:div w:id="508108331">
      <w:bodyDiv w:val="1"/>
      <w:marLeft w:val="0"/>
      <w:marRight w:val="0"/>
      <w:marTop w:val="0"/>
      <w:marBottom w:val="0"/>
      <w:divBdr>
        <w:top w:val="none" w:sz="0" w:space="0" w:color="auto"/>
        <w:left w:val="none" w:sz="0" w:space="0" w:color="auto"/>
        <w:bottom w:val="none" w:sz="0" w:space="0" w:color="auto"/>
        <w:right w:val="none" w:sz="0" w:space="0" w:color="auto"/>
      </w:divBdr>
    </w:div>
    <w:div w:id="519130503">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90091774">
      <w:bodyDiv w:val="1"/>
      <w:marLeft w:val="0"/>
      <w:marRight w:val="0"/>
      <w:marTop w:val="0"/>
      <w:marBottom w:val="0"/>
      <w:divBdr>
        <w:top w:val="none" w:sz="0" w:space="0" w:color="auto"/>
        <w:left w:val="none" w:sz="0" w:space="0" w:color="auto"/>
        <w:bottom w:val="none" w:sz="0" w:space="0" w:color="auto"/>
        <w:right w:val="none" w:sz="0" w:space="0" w:color="auto"/>
      </w:divBdr>
    </w:div>
    <w:div w:id="607393945">
      <w:bodyDiv w:val="1"/>
      <w:marLeft w:val="0"/>
      <w:marRight w:val="0"/>
      <w:marTop w:val="0"/>
      <w:marBottom w:val="0"/>
      <w:divBdr>
        <w:top w:val="none" w:sz="0" w:space="0" w:color="auto"/>
        <w:left w:val="none" w:sz="0" w:space="0" w:color="auto"/>
        <w:bottom w:val="none" w:sz="0" w:space="0" w:color="auto"/>
        <w:right w:val="none" w:sz="0" w:space="0" w:color="auto"/>
      </w:divBdr>
      <w:divsChild>
        <w:div w:id="802775548">
          <w:marLeft w:val="0"/>
          <w:marRight w:val="0"/>
          <w:marTop w:val="0"/>
          <w:marBottom w:val="0"/>
          <w:divBdr>
            <w:top w:val="none" w:sz="0" w:space="0" w:color="auto"/>
            <w:left w:val="none" w:sz="0" w:space="0" w:color="auto"/>
            <w:bottom w:val="none" w:sz="0" w:space="0" w:color="auto"/>
            <w:right w:val="none" w:sz="0" w:space="0" w:color="auto"/>
          </w:divBdr>
          <w:divsChild>
            <w:div w:id="5795182">
              <w:marLeft w:val="0"/>
              <w:marRight w:val="0"/>
              <w:marTop w:val="0"/>
              <w:marBottom w:val="0"/>
              <w:divBdr>
                <w:top w:val="none" w:sz="0" w:space="0" w:color="auto"/>
                <w:left w:val="none" w:sz="0" w:space="0" w:color="auto"/>
                <w:bottom w:val="none" w:sz="0" w:space="0" w:color="auto"/>
                <w:right w:val="none" w:sz="0" w:space="0" w:color="auto"/>
              </w:divBdr>
              <w:divsChild>
                <w:div w:id="950892866">
                  <w:marLeft w:val="0"/>
                  <w:marRight w:val="0"/>
                  <w:marTop w:val="0"/>
                  <w:marBottom w:val="0"/>
                  <w:divBdr>
                    <w:top w:val="none" w:sz="0" w:space="0" w:color="auto"/>
                    <w:left w:val="none" w:sz="0" w:space="0" w:color="auto"/>
                    <w:bottom w:val="none" w:sz="0" w:space="0" w:color="auto"/>
                    <w:right w:val="none" w:sz="0" w:space="0" w:color="auto"/>
                  </w:divBdr>
                </w:div>
              </w:divsChild>
            </w:div>
            <w:div w:id="43648448">
              <w:marLeft w:val="0"/>
              <w:marRight w:val="0"/>
              <w:marTop w:val="0"/>
              <w:marBottom w:val="0"/>
              <w:divBdr>
                <w:top w:val="none" w:sz="0" w:space="0" w:color="auto"/>
                <w:left w:val="none" w:sz="0" w:space="0" w:color="auto"/>
                <w:bottom w:val="none" w:sz="0" w:space="0" w:color="auto"/>
                <w:right w:val="none" w:sz="0" w:space="0" w:color="auto"/>
              </w:divBdr>
              <w:divsChild>
                <w:div w:id="2070767733">
                  <w:marLeft w:val="0"/>
                  <w:marRight w:val="0"/>
                  <w:marTop w:val="0"/>
                  <w:marBottom w:val="0"/>
                  <w:divBdr>
                    <w:top w:val="none" w:sz="0" w:space="0" w:color="auto"/>
                    <w:left w:val="none" w:sz="0" w:space="0" w:color="auto"/>
                    <w:bottom w:val="none" w:sz="0" w:space="0" w:color="auto"/>
                    <w:right w:val="none" w:sz="0" w:space="0" w:color="auto"/>
                  </w:divBdr>
                </w:div>
              </w:divsChild>
            </w:div>
            <w:div w:id="105778258">
              <w:marLeft w:val="0"/>
              <w:marRight w:val="0"/>
              <w:marTop w:val="0"/>
              <w:marBottom w:val="0"/>
              <w:divBdr>
                <w:top w:val="none" w:sz="0" w:space="0" w:color="auto"/>
                <w:left w:val="none" w:sz="0" w:space="0" w:color="auto"/>
                <w:bottom w:val="none" w:sz="0" w:space="0" w:color="auto"/>
                <w:right w:val="none" w:sz="0" w:space="0" w:color="auto"/>
              </w:divBdr>
              <w:divsChild>
                <w:div w:id="1831940416">
                  <w:marLeft w:val="0"/>
                  <w:marRight w:val="0"/>
                  <w:marTop w:val="0"/>
                  <w:marBottom w:val="0"/>
                  <w:divBdr>
                    <w:top w:val="none" w:sz="0" w:space="0" w:color="auto"/>
                    <w:left w:val="none" w:sz="0" w:space="0" w:color="auto"/>
                    <w:bottom w:val="none" w:sz="0" w:space="0" w:color="auto"/>
                    <w:right w:val="none" w:sz="0" w:space="0" w:color="auto"/>
                  </w:divBdr>
                </w:div>
              </w:divsChild>
            </w:div>
            <w:div w:id="115414957">
              <w:marLeft w:val="0"/>
              <w:marRight w:val="0"/>
              <w:marTop w:val="0"/>
              <w:marBottom w:val="0"/>
              <w:divBdr>
                <w:top w:val="none" w:sz="0" w:space="0" w:color="auto"/>
                <w:left w:val="none" w:sz="0" w:space="0" w:color="auto"/>
                <w:bottom w:val="none" w:sz="0" w:space="0" w:color="auto"/>
                <w:right w:val="none" w:sz="0" w:space="0" w:color="auto"/>
              </w:divBdr>
              <w:divsChild>
                <w:div w:id="1120881202">
                  <w:marLeft w:val="0"/>
                  <w:marRight w:val="0"/>
                  <w:marTop w:val="0"/>
                  <w:marBottom w:val="0"/>
                  <w:divBdr>
                    <w:top w:val="none" w:sz="0" w:space="0" w:color="auto"/>
                    <w:left w:val="none" w:sz="0" w:space="0" w:color="auto"/>
                    <w:bottom w:val="none" w:sz="0" w:space="0" w:color="auto"/>
                    <w:right w:val="none" w:sz="0" w:space="0" w:color="auto"/>
                  </w:divBdr>
                </w:div>
              </w:divsChild>
            </w:div>
            <w:div w:id="184557322">
              <w:marLeft w:val="0"/>
              <w:marRight w:val="0"/>
              <w:marTop w:val="0"/>
              <w:marBottom w:val="0"/>
              <w:divBdr>
                <w:top w:val="none" w:sz="0" w:space="0" w:color="auto"/>
                <w:left w:val="none" w:sz="0" w:space="0" w:color="auto"/>
                <w:bottom w:val="none" w:sz="0" w:space="0" w:color="auto"/>
                <w:right w:val="none" w:sz="0" w:space="0" w:color="auto"/>
              </w:divBdr>
              <w:divsChild>
                <w:div w:id="1713309366">
                  <w:marLeft w:val="0"/>
                  <w:marRight w:val="0"/>
                  <w:marTop w:val="0"/>
                  <w:marBottom w:val="0"/>
                  <w:divBdr>
                    <w:top w:val="none" w:sz="0" w:space="0" w:color="auto"/>
                    <w:left w:val="none" w:sz="0" w:space="0" w:color="auto"/>
                    <w:bottom w:val="none" w:sz="0" w:space="0" w:color="auto"/>
                    <w:right w:val="none" w:sz="0" w:space="0" w:color="auto"/>
                  </w:divBdr>
                </w:div>
              </w:divsChild>
            </w:div>
            <w:div w:id="267851777">
              <w:marLeft w:val="0"/>
              <w:marRight w:val="0"/>
              <w:marTop w:val="0"/>
              <w:marBottom w:val="0"/>
              <w:divBdr>
                <w:top w:val="none" w:sz="0" w:space="0" w:color="auto"/>
                <w:left w:val="none" w:sz="0" w:space="0" w:color="auto"/>
                <w:bottom w:val="none" w:sz="0" w:space="0" w:color="auto"/>
                <w:right w:val="none" w:sz="0" w:space="0" w:color="auto"/>
              </w:divBdr>
              <w:divsChild>
                <w:div w:id="80610702">
                  <w:marLeft w:val="0"/>
                  <w:marRight w:val="0"/>
                  <w:marTop w:val="0"/>
                  <w:marBottom w:val="0"/>
                  <w:divBdr>
                    <w:top w:val="none" w:sz="0" w:space="0" w:color="auto"/>
                    <w:left w:val="none" w:sz="0" w:space="0" w:color="auto"/>
                    <w:bottom w:val="none" w:sz="0" w:space="0" w:color="auto"/>
                    <w:right w:val="none" w:sz="0" w:space="0" w:color="auto"/>
                  </w:divBdr>
                </w:div>
              </w:divsChild>
            </w:div>
            <w:div w:id="301229412">
              <w:marLeft w:val="0"/>
              <w:marRight w:val="0"/>
              <w:marTop w:val="0"/>
              <w:marBottom w:val="0"/>
              <w:divBdr>
                <w:top w:val="none" w:sz="0" w:space="0" w:color="auto"/>
                <w:left w:val="none" w:sz="0" w:space="0" w:color="auto"/>
                <w:bottom w:val="none" w:sz="0" w:space="0" w:color="auto"/>
                <w:right w:val="none" w:sz="0" w:space="0" w:color="auto"/>
              </w:divBdr>
              <w:divsChild>
                <w:div w:id="1507600577">
                  <w:marLeft w:val="0"/>
                  <w:marRight w:val="0"/>
                  <w:marTop w:val="0"/>
                  <w:marBottom w:val="0"/>
                  <w:divBdr>
                    <w:top w:val="none" w:sz="0" w:space="0" w:color="auto"/>
                    <w:left w:val="none" w:sz="0" w:space="0" w:color="auto"/>
                    <w:bottom w:val="none" w:sz="0" w:space="0" w:color="auto"/>
                    <w:right w:val="none" w:sz="0" w:space="0" w:color="auto"/>
                  </w:divBdr>
                </w:div>
              </w:divsChild>
            </w:div>
            <w:div w:id="312607046">
              <w:marLeft w:val="0"/>
              <w:marRight w:val="0"/>
              <w:marTop w:val="0"/>
              <w:marBottom w:val="0"/>
              <w:divBdr>
                <w:top w:val="none" w:sz="0" w:space="0" w:color="auto"/>
                <w:left w:val="none" w:sz="0" w:space="0" w:color="auto"/>
                <w:bottom w:val="none" w:sz="0" w:space="0" w:color="auto"/>
                <w:right w:val="none" w:sz="0" w:space="0" w:color="auto"/>
              </w:divBdr>
              <w:divsChild>
                <w:div w:id="479540165">
                  <w:marLeft w:val="0"/>
                  <w:marRight w:val="0"/>
                  <w:marTop w:val="0"/>
                  <w:marBottom w:val="0"/>
                  <w:divBdr>
                    <w:top w:val="none" w:sz="0" w:space="0" w:color="auto"/>
                    <w:left w:val="none" w:sz="0" w:space="0" w:color="auto"/>
                    <w:bottom w:val="none" w:sz="0" w:space="0" w:color="auto"/>
                    <w:right w:val="none" w:sz="0" w:space="0" w:color="auto"/>
                  </w:divBdr>
                </w:div>
              </w:divsChild>
            </w:div>
            <w:div w:id="841236273">
              <w:marLeft w:val="0"/>
              <w:marRight w:val="0"/>
              <w:marTop w:val="0"/>
              <w:marBottom w:val="0"/>
              <w:divBdr>
                <w:top w:val="none" w:sz="0" w:space="0" w:color="auto"/>
                <w:left w:val="none" w:sz="0" w:space="0" w:color="auto"/>
                <w:bottom w:val="none" w:sz="0" w:space="0" w:color="auto"/>
                <w:right w:val="none" w:sz="0" w:space="0" w:color="auto"/>
              </w:divBdr>
              <w:divsChild>
                <w:div w:id="1952198547">
                  <w:marLeft w:val="0"/>
                  <w:marRight w:val="0"/>
                  <w:marTop w:val="0"/>
                  <w:marBottom w:val="0"/>
                  <w:divBdr>
                    <w:top w:val="none" w:sz="0" w:space="0" w:color="auto"/>
                    <w:left w:val="none" w:sz="0" w:space="0" w:color="auto"/>
                    <w:bottom w:val="none" w:sz="0" w:space="0" w:color="auto"/>
                    <w:right w:val="none" w:sz="0" w:space="0" w:color="auto"/>
                  </w:divBdr>
                </w:div>
              </w:divsChild>
            </w:div>
            <w:div w:id="1026491300">
              <w:marLeft w:val="0"/>
              <w:marRight w:val="0"/>
              <w:marTop w:val="0"/>
              <w:marBottom w:val="0"/>
              <w:divBdr>
                <w:top w:val="none" w:sz="0" w:space="0" w:color="auto"/>
                <w:left w:val="none" w:sz="0" w:space="0" w:color="auto"/>
                <w:bottom w:val="none" w:sz="0" w:space="0" w:color="auto"/>
                <w:right w:val="none" w:sz="0" w:space="0" w:color="auto"/>
              </w:divBdr>
              <w:divsChild>
                <w:div w:id="592517500">
                  <w:marLeft w:val="0"/>
                  <w:marRight w:val="0"/>
                  <w:marTop w:val="0"/>
                  <w:marBottom w:val="0"/>
                  <w:divBdr>
                    <w:top w:val="none" w:sz="0" w:space="0" w:color="auto"/>
                    <w:left w:val="none" w:sz="0" w:space="0" w:color="auto"/>
                    <w:bottom w:val="none" w:sz="0" w:space="0" w:color="auto"/>
                    <w:right w:val="none" w:sz="0" w:space="0" w:color="auto"/>
                  </w:divBdr>
                </w:div>
              </w:divsChild>
            </w:div>
            <w:div w:id="1195266431">
              <w:marLeft w:val="0"/>
              <w:marRight w:val="0"/>
              <w:marTop w:val="0"/>
              <w:marBottom w:val="0"/>
              <w:divBdr>
                <w:top w:val="none" w:sz="0" w:space="0" w:color="auto"/>
                <w:left w:val="none" w:sz="0" w:space="0" w:color="auto"/>
                <w:bottom w:val="none" w:sz="0" w:space="0" w:color="auto"/>
                <w:right w:val="none" w:sz="0" w:space="0" w:color="auto"/>
              </w:divBdr>
              <w:divsChild>
                <w:div w:id="2070033907">
                  <w:marLeft w:val="0"/>
                  <w:marRight w:val="0"/>
                  <w:marTop w:val="0"/>
                  <w:marBottom w:val="0"/>
                  <w:divBdr>
                    <w:top w:val="none" w:sz="0" w:space="0" w:color="auto"/>
                    <w:left w:val="none" w:sz="0" w:space="0" w:color="auto"/>
                    <w:bottom w:val="none" w:sz="0" w:space="0" w:color="auto"/>
                    <w:right w:val="none" w:sz="0" w:space="0" w:color="auto"/>
                  </w:divBdr>
                </w:div>
              </w:divsChild>
            </w:div>
            <w:div w:id="1201239660">
              <w:marLeft w:val="0"/>
              <w:marRight w:val="0"/>
              <w:marTop w:val="0"/>
              <w:marBottom w:val="0"/>
              <w:divBdr>
                <w:top w:val="none" w:sz="0" w:space="0" w:color="auto"/>
                <w:left w:val="none" w:sz="0" w:space="0" w:color="auto"/>
                <w:bottom w:val="none" w:sz="0" w:space="0" w:color="auto"/>
                <w:right w:val="none" w:sz="0" w:space="0" w:color="auto"/>
              </w:divBdr>
              <w:divsChild>
                <w:div w:id="667446738">
                  <w:marLeft w:val="0"/>
                  <w:marRight w:val="0"/>
                  <w:marTop w:val="0"/>
                  <w:marBottom w:val="0"/>
                  <w:divBdr>
                    <w:top w:val="none" w:sz="0" w:space="0" w:color="auto"/>
                    <w:left w:val="none" w:sz="0" w:space="0" w:color="auto"/>
                    <w:bottom w:val="none" w:sz="0" w:space="0" w:color="auto"/>
                    <w:right w:val="none" w:sz="0" w:space="0" w:color="auto"/>
                  </w:divBdr>
                </w:div>
              </w:divsChild>
            </w:div>
            <w:div w:id="1244994698">
              <w:marLeft w:val="0"/>
              <w:marRight w:val="0"/>
              <w:marTop w:val="0"/>
              <w:marBottom w:val="0"/>
              <w:divBdr>
                <w:top w:val="none" w:sz="0" w:space="0" w:color="auto"/>
                <w:left w:val="none" w:sz="0" w:space="0" w:color="auto"/>
                <w:bottom w:val="none" w:sz="0" w:space="0" w:color="auto"/>
                <w:right w:val="none" w:sz="0" w:space="0" w:color="auto"/>
              </w:divBdr>
              <w:divsChild>
                <w:div w:id="1816950234">
                  <w:marLeft w:val="0"/>
                  <w:marRight w:val="0"/>
                  <w:marTop w:val="0"/>
                  <w:marBottom w:val="0"/>
                  <w:divBdr>
                    <w:top w:val="none" w:sz="0" w:space="0" w:color="auto"/>
                    <w:left w:val="none" w:sz="0" w:space="0" w:color="auto"/>
                    <w:bottom w:val="none" w:sz="0" w:space="0" w:color="auto"/>
                    <w:right w:val="none" w:sz="0" w:space="0" w:color="auto"/>
                  </w:divBdr>
                </w:div>
              </w:divsChild>
            </w:div>
            <w:div w:id="1298953727">
              <w:marLeft w:val="0"/>
              <w:marRight w:val="0"/>
              <w:marTop w:val="0"/>
              <w:marBottom w:val="0"/>
              <w:divBdr>
                <w:top w:val="none" w:sz="0" w:space="0" w:color="auto"/>
                <w:left w:val="none" w:sz="0" w:space="0" w:color="auto"/>
                <w:bottom w:val="none" w:sz="0" w:space="0" w:color="auto"/>
                <w:right w:val="none" w:sz="0" w:space="0" w:color="auto"/>
              </w:divBdr>
              <w:divsChild>
                <w:div w:id="1183712919">
                  <w:marLeft w:val="0"/>
                  <w:marRight w:val="0"/>
                  <w:marTop w:val="0"/>
                  <w:marBottom w:val="0"/>
                  <w:divBdr>
                    <w:top w:val="none" w:sz="0" w:space="0" w:color="auto"/>
                    <w:left w:val="none" w:sz="0" w:space="0" w:color="auto"/>
                    <w:bottom w:val="none" w:sz="0" w:space="0" w:color="auto"/>
                    <w:right w:val="none" w:sz="0" w:space="0" w:color="auto"/>
                  </w:divBdr>
                </w:div>
              </w:divsChild>
            </w:div>
            <w:div w:id="1300572960">
              <w:marLeft w:val="0"/>
              <w:marRight w:val="0"/>
              <w:marTop w:val="0"/>
              <w:marBottom w:val="0"/>
              <w:divBdr>
                <w:top w:val="none" w:sz="0" w:space="0" w:color="auto"/>
                <w:left w:val="none" w:sz="0" w:space="0" w:color="auto"/>
                <w:bottom w:val="none" w:sz="0" w:space="0" w:color="auto"/>
                <w:right w:val="none" w:sz="0" w:space="0" w:color="auto"/>
              </w:divBdr>
              <w:divsChild>
                <w:div w:id="1573345185">
                  <w:marLeft w:val="0"/>
                  <w:marRight w:val="0"/>
                  <w:marTop w:val="0"/>
                  <w:marBottom w:val="0"/>
                  <w:divBdr>
                    <w:top w:val="none" w:sz="0" w:space="0" w:color="auto"/>
                    <w:left w:val="none" w:sz="0" w:space="0" w:color="auto"/>
                    <w:bottom w:val="none" w:sz="0" w:space="0" w:color="auto"/>
                    <w:right w:val="none" w:sz="0" w:space="0" w:color="auto"/>
                  </w:divBdr>
                </w:div>
              </w:divsChild>
            </w:div>
            <w:div w:id="1304116568">
              <w:marLeft w:val="0"/>
              <w:marRight w:val="0"/>
              <w:marTop w:val="0"/>
              <w:marBottom w:val="0"/>
              <w:divBdr>
                <w:top w:val="none" w:sz="0" w:space="0" w:color="auto"/>
                <w:left w:val="none" w:sz="0" w:space="0" w:color="auto"/>
                <w:bottom w:val="none" w:sz="0" w:space="0" w:color="auto"/>
                <w:right w:val="none" w:sz="0" w:space="0" w:color="auto"/>
              </w:divBdr>
              <w:divsChild>
                <w:div w:id="1250232903">
                  <w:marLeft w:val="0"/>
                  <w:marRight w:val="0"/>
                  <w:marTop w:val="0"/>
                  <w:marBottom w:val="0"/>
                  <w:divBdr>
                    <w:top w:val="none" w:sz="0" w:space="0" w:color="auto"/>
                    <w:left w:val="none" w:sz="0" w:space="0" w:color="auto"/>
                    <w:bottom w:val="none" w:sz="0" w:space="0" w:color="auto"/>
                    <w:right w:val="none" w:sz="0" w:space="0" w:color="auto"/>
                  </w:divBdr>
                </w:div>
              </w:divsChild>
            </w:div>
            <w:div w:id="1372878015">
              <w:marLeft w:val="0"/>
              <w:marRight w:val="0"/>
              <w:marTop w:val="0"/>
              <w:marBottom w:val="0"/>
              <w:divBdr>
                <w:top w:val="none" w:sz="0" w:space="0" w:color="auto"/>
                <w:left w:val="none" w:sz="0" w:space="0" w:color="auto"/>
                <w:bottom w:val="none" w:sz="0" w:space="0" w:color="auto"/>
                <w:right w:val="none" w:sz="0" w:space="0" w:color="auto"/>
              </w:divBdr>
              <w:divsChild>
                <w:div w:id="624966869">
                  <w:marLeft w:val="0"/>
                  <w:marRight w:val="0"/>
                  <w:marTop w:val="0"/>
                  <w:marBottom w:val="0"/>
                  <w:divBdr>
                    <w:top w:val="none" w:sz="0" w:space="0" w:color="auto"/>
                    <w:left w:val="none" w:sz="0" w:space="0" w:color="auto"/>
                    <w:bottom w:val="none" w:sz="0" w:space="0" w:color="auto"/>
                    <w:right w:val="none" w:sz="0" w:space="0" w:color="auto"/>
                  </w:divBdr>
                </w:div>
              </w:divsChild>
            </w:div>
            <w:div w:id="1506439847">
              <w:marLeft w:val="0"/>
              <w:marRight w:val="0"/>
              <w:marTop w:val="0"/>
              <w:marBottom w:val="0"/>
              <w:divBdr>
                <w:top w:val="none" w:sz="0" w:space="0" w:color="auto"/>
                <w:left w:val="none" w:sz="0" w:space="0" w:color="auto"/>
                <w:bottom w:val="none" w:sz="0" w:space="0" w:color="auto"/>
                <w:right w:val="none" w:sz="0" w:space="0" w:color="auto"/>
              </w:divBdr>
              <w:divsChild>
                <w:div w:id="1209025837">
                  <w:marLeft w:val="0"/>
                  <w:marRight w:val="0"/>
                  <w:marTop w:val="0"/>
                  <w:marBottom w:val="0"/>
                  <w:divBdr>
                    <w:top w:val="none" w:sz="0" w:space="0" w:color="auto"/>
                    <w:left w:val="none" w:sz="0" w:space="0" w:color="auto"/>
                    <w:bottom w:val="none" w:sz="0" w:space="0" w:color="auto"/>
                    <w:right w:val="none" w:sz="0" w:space="0" w:color="auto"/>
                  </w:divBdr>
                </w:div>
              </w:divsChild>
            </w:div>
            <w:div w:id="1644695491">
              <w:marLeft w:val="0"/>
              <w:marRight w:val="0"/>
              <w:marTop w:val="0"/>
              <w:marBottom w:val="0"/>
              <w:divBdr>
                <w:top w:val="none" w:sz="0" w:space="0" w:color="auto"/>
                <w:left w:val="none" w:sz="0" w:space="0" w:color="auto"/>
                <w:bottom w:val="none" w:sz="0" w:space="0" w:color="auto"/>
                <w:right w:val="none" w:sz="0" w:space="0" w:color="auto"/>
              </w:divBdr>
              <w:divsChild>
                <w:div w:id="1317538819">
                  <w:marLeft w:val="0"/>
                  <w:marRight w:val="0"/>
                  <w:marTop w:val="0"/>
                  <w:marBottom w:val="0"/>
                  <w:divBdr>
                    <w:top w:val="none" w:sz="0" w:space="0" w:color="auto"/>
                    <w:left w:val="none" w:sz="0" w:space="0" w:color="auto"/>
                    <w:bottom w:val="none" w:sz="0" w:space="0" w:color="auto"/>
                    <w:right w:val="none" w:sz="0" w:space="0" w:color="auto"/>
                  </w:divBdr>
                </w:div>
              </w:divsChild>
            </w:div>
            <w:div w:id="1776359342">
              <w:marLeft w:val="0"/>
              <w:marRight w:val="0"/>
              <w:marTop w:val="0"/>
              <w:marBottom w:val="0"/>
              <w:divBdr>
                <w:top w:val="none" w:sz="0" w:space="0" w:color="auto"/>
                <w:left w:val="none" w:sz="0" w:space="0" w:color="auto"/>
                <w:bottom w:val="none" w:sz="0" w:space="0" w:color="auto"/>
                <w:right w:val="none" w:sz="0" w:space="0" w:color="auto"/>
              </w:divBdr>
              <w:divsChild>
                <w:div w:id="118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8586">
      <w:bodyDiv w:val="1"/>
      <w:marLeft w:val="0"/>
      <w:marRight w:val="0"/>
      <w:marTop w:val="0"/>
      <w:marBottom w:val="0"/>
      <w:divBdr>
        <w:top w:val="none" w:sz="0" w:space="0" w:color="auto"/>
        <w:left w:val="none" w:sz="0" w:space="0" w:color="auto"/>
        <w:bottom w:val="none" w:sz="0" w:space="0" w:color="auto"/>
        <w:right w:val="none" w:sz="0" w:space="0" w:color="auto"/>
      </w:divBdr>
    </w:div>
    <w:div w:id="659428898">
      <w:bodyDiv w:val="1"/>
      <w:marLeft w:val="0"/>
      <w:marRight w:val="0"/>
      <w:marTop w:val="0"/>
      <w:marBottom w:val="0"/>
      <w:divBdr>
        <w:top w:val="none" w:sz="0" w:space="0" w:color="auto"/>
        <w:left w:val="none" w:sz="0" w:space="0" w:color="auto"/>
        <w:bottom w:val="none" w:sz="0" w:space="0" w:color="auto"/>
        <w:right w:val="none" w:sz="0" w:space="0" w:color="auto"/>
      </w:divBdr>
    </w:div>
    <w:div w:id="661467417">
      <w:bodyDiv w:val="1"/>
      <w:marLeft w:val="0"/>
      <w:marRight w:val="0"/>
      <w:marTop w:val="0"/>
      <w:marBottom w:val="0"/>
      <w:divBdr>
        <w:top w:val="none" w:sz="0" w:space="0" w:color="auto"/>
        <w:left w:val="none" w:sz="0" w:space="0" w:color="auto"/>
        <w:bottom w:val="none" w:sz="0" w:space="0" w:color="auto"/>
        <w:right w:val="none" w:sz="0" w:space="0" w:color="auto"/>
      </w:divBdr>
    </w:div>
    <w:div w:id="669795299">
      <w:bodyDiv w:val="1"/>
      <w:marLeft w:val="0"/>
      <w:marRight w:val="0"/>
      <w:marTop w:val="0"/>
      <w:marBottom w:val="0"/>
      <w:divBdr>
        <w:top w:val="none" w:sz="0" w:space="0" w:color="auto"/>
        <w:left w:val="none" w:sz="0" w:space="0" w:color="auto"/>
        <w:bottom w:val="none" w:sz="0" w:space="0" w:color="auto"/>
        <w:right w:val="none" w:sz="0" w:space="0" w:color="auto"/>
      </w:divBdr>
      <w:divsChild>
        <w:div w:id="211504548">
          <w:marLeft w:val="547"/>
          <w:marRight w:val="0"/>
          <w:marTop w:val="0"/>
          <w:marBottom w:val="0"/>
          <w:divBdr>
            <w:top w:val="none" w:sz="0" w:space="0" w:color="auto"/>
            <w:left w:val="none" w:sz="0" w:space="0" w:color="auto"/>
            <w:bottom w:val="none" w:sz="0" w:space="0" w:color="auto"/>
            <w:right w:val="none" w:sz="0" w:space="0" w:color="auto"/>
          </w:divBdr>
        </w:div>
        <w:div w:id="340280912">
          <w:marLeft w:val="547"/>
          <w:marRight w:val="0"/>
          <w:marTop w:val="0"/>
          <w:marBottom w:val="0"/>
          <w:divBdr>
            <w:top w:val="none" w:sz="0" w:space="0" w:color="auto"/>
            <w:left w:val="none" w:sz="0" w:space="0" w:color="auto"/>
            <w:bottom w:val="none" w:sz="0" w:space="0" w:color="auto"/>
            <w:right w:val="none" w:sz="0" w:space="0" w:color="auto"/>
          </w:divBdr>
        </w:div>
        <w:div w:id="634145092">
          <w:marLeft w:val="547"/>
          <w:marRight w:val="0"/>
          <w:marTop w:val="0"/>
          <w:marBottom w:val="0"/>
          <w:divBdr>
            <w:top w:val="none" w:sz="0" w:space="0" w:color="auto"/>
            <w:left w:val="none" w:sz="0" w:space="0" w:color="auto"/>
            <w:bottom w:val="none" w:sz="0" w:space="0" w:color="auto"/>
            <w:right w:val="none" w:sz="0" w:space="0" w:color="auto"/>
          </w:divBdr>
        </w:div>
        <w:div w:id="760680597">
          <w:marLeft w:val="547"/>
          <w:marRight w:val="0"/>
          <w:marTop w:val="0"/>
          <w:marBottom w:val="0"/>
          <w:divBdr>
            <w:top w:val="none" w:sz="0" w:space="0" w:color="auto"/>
            <w:left w:val="none" w:sz="0" w:space="0" w:color="auto"/>
            <w:bottom w:val="none" w:sz="0" w:space="0" w:color="auto"/>
            <w:right w:val="none" w:sz="0" w:space="0" w:color="auto"/>
          </w:divBdr>
        </w:div>
        <w:div w:id="1959992534">
          <w:marLeft w:val="547"/>
          <w:marRight w:val="0"/>
          <w:marTop w:val="0"/>
          <w:marBottom w:val="0"/>
          <w:divBdr>
            <w:top w:val="none" w:sz="0" w:space="0" w:color="auto"/>
            <w:left w:val="none" w:sz="0" w:space="0" w:color="auto"/>
            <w:bottom w:val="none" w:sz="0" w:space="0" w:color="auto"/>
            <w:right w:val="none" w:sz="0" w:space="0" w:color="auto"/>
          </w:divBdr>
        </w:div>
      </w:divsChild>
    </w:div>
    <w:div w:id="716902718">
      <w:bodyDiv w:val="1"/>
      <w:marLeft w:val="0"/>
      <w:marRight w:val="0"/>
      <w:marTop w:val="0"/>
      <w:marBottom w:val="0"/>
      <w:divBdr>
        <w:top w:val="none" w:sz="0" w:space="0" w:color="auto"/>
        <w:left w:val="none" w:sz="0" w:space="0" w:color="auto"/>
        <w:bottom w:val="none" w:sz="0" w:space="0" w:color="auto"/>
        <w:right w:val="none" w:sz="0" w:space="0" w:color="auto"/>
      </w:divBdr>
    </w:div>
    <w:div w:id="770399964">
      <w:bodyDiv w:val="1"/>
      <w:marLeft w:val="0"/>
      <w:marRight w:val="0"/>
      <w:marTop w:val="0"/>
      <w:marBottom w:val="0"/>
      <w:divBdr>
        <w:top w:val="none" w:sz="0" w:space="0" w:color="auto"/>
        <w:left w:val="none" w:sz="0" w:space="0" w:color="auto"/>
        <w:bottom w:val="none" w:sz="0" w:space="0" w:color="auto"/>
        <w:right w:val="none" w:sz="0" w:space="0" w:color="auto"/>
      </w:divBdr>
    </w:div>
    <w:div w:id="776415362">
      <w:bodyDiv w:val="1"/>
      <w:marLeft w:val="0"/>
      <w:marRight w:val="0"/>
      <w:marTop w:val="0"/>
      <w:marBottom w:val="0"/>
      <w:divBdr>
        <w:top w:val="none" w:sz="0" w:space="0" w:color="auto"/>
        <w:left w:val="none" w:sz="0" w:space="0" w:color="auto"/>
        <w:bottom w:val="none" w:sz="0" w:space="0" w:color="auto"/>
        <w:right w:val="none" w:sz="0" w:space="0" w:color="auto"/>
      </w:divBdr>
    </w:div>
    <w:div w:id="788356043">
      <w:bodyDiv w:val="1"/>
      <w:marLeft w:val="0"/>
      <w:marRight w:val="0"/>
      <w:marTop w:val="0"/>
      <w:marBottom w:val="0"/>
      <w:divBdr>
        <w:top w:val="none" w:sz="0" w:space="0" w:color="auto"/>
        <w:left w:val="none" w:sz="0" w:space="0" w:color="auto"/>
        <w:bottom w:val="none" w:sz="0" w:space="0" w:color="auto"/>
        <w:right w:val="none" w:sz="0" w:space="0" w:color="auto"/>
      </w:divBdr>
      <w:divsChild>
        <w:div w:id="840311952">
          <w:marLeft w:val="0"/>
          <w:marRight w:val="0"/>
          <w:marTop w:val="0"/>
          <w:marBottom w:val="0"/>
          <w:divBdr>
            <w:top w:val="none" w:sz="0" w:space="0" w:color="auto"/>
            <w:left w:val="none" w:sz="0" w:space="0" w:color="auto"/>
            <w:bottom w:val="none" w:sz="0" w:space="0" w:color="auto"/>
            <w:right w:val="none" w:sz="0" w:space="0" w:color="auto"/>
          </w:divBdr>
        </w:div>
      </w:divsChild>
    </w:div>
    <w:div w:id="851842954">
      <w:bodyDiv w:val="1"/>
      <w:marLeft w:val="0"/>
      <w:marRight w:val="0"/>
      <w:marTop w:val="0"/>
      <w:marBottom w:val="0"/>
      <w:divBdr>
        <w:top w:val="none" w:sz="0" w:space="0" w:color="auto"/>
        <w:left w:val="none" w:sz="0" w:space="0" w:color="auto"/>
        <w:bottom w:val="none" w:sz="0" w:space="0" w:color="auto"/>
        <w:right w:val="none" w:sz="0" w:space="0" w:color="auto"/>
      </w:divBdr>
    </w:div>
    <w:div w:id="869491592">
      <w:bodyDiv w:val="1"/>
      <w:marLeft w:val="0"/>
      <w:marRight w:val="0"/>
      <w:marTop w:val="0"/>
      <w:marBottom w:val="0"/>
      <w:divBdr>
        <w:top w:val="none" w:sz="0" w:space="0" w:color="auto"/>
        <w:left w:val="none" w:sz="0" w:space="0" w:color="auto"/>
        <w:bottom w:val="none" w:sz="0" w:space="0" w:color="auto"/>
        <w:right w:val="none" w:sz="0" w:space="0" w:color="auto"/>
      </w:divBdr>
    </w:div>
    <w:div w:id="875197130">
      <w:bodyDiv w:val="1"/>
      <w:marLeft w:val="0"/>
      <w:marRight w:val="0"/>
      <w:marTop w:val="0"/>
      <w:marBottom w:val="0"/>
      <w:divBdr>
        <w:top w:val="none" w:sz="0" w:space="0" w:color="auto"/>
        <w:left w:val="none" w:sz="0" w:space="0" w:color="auto"/>
        <w:bottom w:val="none" w:sz="0" w:space="0" w:color="auto"/>
        <w:right w:val="none" w:sz="0" w:space="0" w:color="auto"/>
      </w:divBdr>
      <w:divsChild>
        <w:div w:id="730268433">
          <w:marLeft w:val="274"/>
          <w:marRight w:val="0"/>
          <w:marTop w:val="0"/>
          <w:marBottom w:val="0"/>
          <w:divBdr>
            <w:top w:val="none" w:sz="0" w:space="0" w:color="auto"/>
            <w:left w:val="none" w:sz="0" w:space="0" w:color="auto"/>
            <w:bottom w:val="none" w:sz="0" w:space="0" w:color="auto"/>
            <w:right w:val="none" w:sz="0" w:space="0" w:color="auto"/>
          </w:divBdr>
        </w:div>
      </w:divsChild>
    </w:div>
    <w:div w:id="893736172">
      <w:bodyDiv w:val="1"/>
      <w:marLeft w:val="0"/>
      <w:marRight w:val="0"/>
      <w:marTop w:val="0"/>
      <w:marBottom w:val="0"/>
      <w:divBdr>
        <w:top w:val="none" w:sz="0" w:space="0" w:color="auto"/>
        <w:left w:val="none" w:sz="0" w:space="0" w:color="auto"/>
        <w:bottom w:val="none" w:sz="0" w:space="0" w:color="auto"/>
        <w:right w:val="none" w:sz="0" w:space="0" w:color="auto"/>
      </w:divBdr>
    </w:div>
    <w:div w:id="895358855">
      <w:bodyDiv w:val="1"/>
      <w:marLeft w:val="0"/>
      <w:marRight w:val="0"/>
      <w:marTop w:val="0"/>
      <w:marBottom w:val="0"/>
      <w:divBdr>
        <w:top w:val="none" w:sz="0" w:space="0" w:color="auto"/>
        <w:left w:val="none" w:sz="0" w:space="0" w:color="auto"/>
        <w:bottom w:val="none" w:sz="0" w:space="0" w:color="auto"/>
        <w:right w:val="none" w:sz="0" w:space="0" w:color="auto"/>
      </w:divBdr>
      <w:divsChild>
        <w:div w:id="1875189386">
          <w:marLeft w:val="274"/>
          <w:marRight w:val="0"/>
          <w:marTop w:val="0"/>
          <w:marBottom w:val="0"/>
          <w:divBdr>
            <w:top w:val="none" w:sz="0" w:space="0" w:color="auto"/>
            <w:left w:val="none" w:sz="0" w:space="0" w:color="auto"/>
            <w:bottom w:val="none" w:sz="0" w:space="0" w:color="auto"/>
            <w:right w:val="none" w:sz="0" w:space="0" w:color="auto"/>
          </w:divBdr>
        </w:div>
      </w:divsChild>
    </w:div>
    <w:div w:id="1000307142">
      <w:bodyDiv w:val="1"/>
      <w:marLeft w:val="0"/>
      <w:marRight w:val="0"/>
      <w:marTop w:val="0"/>
      <w:marBottom w:val="0"/>
      <w:divBdr>
        <w:top w:val="none" w:sz="0" w:space="0" w:color="auto"/>
        <w:left w:val="none" w:sz="0" w:space="0" w:color="auto"/>
        <w:bottom w:val="none" w:sz="0" w:space="0" w:color="auto"/>
        <w:right w:val="none" w:sz="0" w:space="0" w:color="auto"/>
      </w:divBdr>
    </w:div>
    <w:div w:id="1011031227">
      <w:bodyDiv w:val="1"/>
      <w:marLeft w:val="0"/>
      <w:marRight w:val="0"/>
      <w:marTop w:val="0"/>
      <w:marBottom w:val="0"/>
      <w:divBdr>
        <w:top w:val="none" w:sz="0" w:space="0" w:color="auto"/>
        <w:left w:val="none" w:sz="0" w:space="0" w:color="auto"/>
        <w:bottom w:val="none" w:sz="0" w:space="0" w:color="auto"/>
        <w:right w:val="none" w:sz="0" w:space="0" w:color="auto"/>
      </w:divBdr>
    </w:div>
    <w:div w:id="1082603381">
      <w:bodyDiv w:val="1"/>
      <w:marLeft w:val="0"/>
      <w:marRight w:val="0"/>
      <w:marTop w:val="0"/>
      <w:marBottom w:val="0"/>
      <w:divBdr>
        <w:top w:val="none" w:sz="0" w:space="0" w:color="auto"/>
        <w:left w:val="none" w:sz="0" w:space="0" w:color="auto"/>
        <w:bottom w:val="none" w:sz="0" w:space="0" w:color="auto"/>
        <w:right w:val="none" w:sz="0" w:space="0" w:color="auto"/>
      </w:divBdr>
      <w:divsChild>
        <w:div w:id="115417105">
          <w:marLeft w:val="547"/>
          <w:marRight w:val="0"/>
          <w:marTop w:val="0"/>
          <w:marBottom w:val="0"/>
          <w:divBdr>
            <w:top w:val="none" w:sz="0" w:space="0" w:color="auto"/>
            <w:left w:val="none" w:sz="0" w:space="0" w:color="auto"/>
            <w:bottom w:val="none" w:sz="0" w:space="0" w:color="auto"/>
            <w:right w:val="none" w:sz="0" w:space="0" w:color="auto"/>
          </w:divBdr>
        </w:div>
        <w:div w:id="189104038">
          <w:marLeft w:val="547"/>
          <w:marRight w:val="0"/>
          <w:marTop w:val="0"/>
          <w:marBottom w:val="0"/>
          <w:divBdr>
            <w:top w:val="none" w:sz="0" w:space="0" w:color="auto"/>
            <w:left w:val="none" w:sz="0" w:space="0" w:color="auto"/>
            <w:bottom w:val="none" w:sz="0" w:space="0" w:color="auto"/>
            <w:right w:val="none" w:sz="0" w:space="0" w:color="auto"/>
          </w:divBdr>
        </w:div>
        <w:div w:id="2010670606">
          <w:marLeft w:val="547"/>
          <w:marRight w:val="0"/>
          <w:marTop w:val="0"/>
          <w:marBottom w:val="0"/>
          <w:divBdr>
            <w:top w:val="none" w:sz="0" w:space="0" w:color="auto"/>
            <w:left w:val="none" w:sz="0" w:space="0" w:color="auto"/>
            <w:bottom w:val="none" w:sz="0" w:space="0" w:color="auto"/>
            <w:right w:val="none" w:sz="0" w:space="0" w:color="auto"/>
          </w:divBdr>
        </w:div>
      </w:divsChild>
    </w:div>
    <w:div w:id="1088187497">
      <w:bodyDiv w:val="1"/>
      <w:marLeft w:val="0"/>
      <w:marRight w:val="0"/>
      <w:marTop w:val="0"/>
      <w:marBottom w:val="0"/>
      <w:divBdr>
        <w:top w:val="none" w:sz="0" w:space="0" w:color="auto"/>
        <w:left w:val="none" w:sz="0" w:space="0" w:color="auto"/>
        <w:bottom w:val="none" w:sz="0" w:space="0" w:color="auto"/>
        <w:right w:val="none" w:sz="0" w:space="0" w:color="auto"/>
      </w:divBdr>
    </w:div>
    <w:div w:id="1099108583">
      <w:bodyDiv w:val="1"/>
      <w:marLeft w:val="0"/>
      <w:marRight w:val="0"/>
      <w:marTop w:val="0"/>
      <w:marBottom w:val="0"/>
      <w:divBdr>
        <w:top w:val="none" w:sz="0" w:space="0" w:color="auto"/>
        <w:left w:val="none" w:sz="0" w:space="0" w:color="auto"/>
        <w:bottom w:val="none" w:sz="0" w:space="0" w:color="auto"/>
        <w:right w:val="none" w:sz="0" w:space="0" w:color="auto"/>
      </w:divBdr>
    </w:div>
    <w:div w:id="1216549773">
      <w:bodyDiv w:val="1"/>
      <w:marLeft w:val="0"/>
      <w:marRight w:val="0"/>
      <w:marTop w:val="0"/>
      <w:marBottom w:val="0"/>
      <w:divBdr>
        <w:top w:val="none" w:sz="0" w:space="0" w:color="auto"/>
        <w:left w:val="none" w:sz="0" w:space="0" w:color="auto"/>
        <w:bottom w:val="none" w:sz="0" w:space="0" w:color="auto"/>
        <w:right w:val="none" w:sz="0" w:space="0" w:color="auto"/>
      </w:divBdr>
    </w:div>
    <w:div w:id="1226455459">
      <w:bodyDiv w:val="1"/>
      <w:marLeft w:val="0"/>
      <w:marRight w:val="0"/>
      <w:marTop w:val="0"/>
      <w:marBottom w:val="0"/>
      <w:divBdr>
        <w:top w:val="none" w:sz="0" w:space="0" w:color="auto"/>
        <w:left w:val="none" w:sz="0" w:space="0" w:color="auto"/>
        <w:bottom w:val="none" w:sz="0" w:space="0" w:color="auto"/>
        <w:right w:val="none" w:sz="0" w:space="0" w:color="auto"/>
      </w:divBdr>
    </w:div>
    <w:div w:id="1234704990">
      <w:bodyDiv w:val="1"/>
      <w:marLeft w:val="0"/>
      <w:marRight w:val="0"/>
      <w:marTop w:val="0"/>
      <w:marBottom w:val="0"/>
      <w:divBdr>
        <w:top w:val="none" w:sz="0" w:space="0" w:color="auto"/>
        <w:left w:val="none" w:sz="0" w:space="0" w:color="auto"/>
        <w:bottom w:val="none" w:sz="0" w:space="0" w:color="auto"/>
        <w:right w:val="none" w:sz="0" w:space="0" w:color="auto"/>
      </w:divBdr>
    </w:div>
    <w:div w:id="1298531120">
      <w:bodyDiv w:val="1"/>
      <w:marLeft w:val="0"/>
      <w:marRight w:val="0"/>
      <w:marTop w:val="0"/>
      <w:marBottom w:val="0"/>
      <w:divBdr>
        <w:top w:val="none" w:sz="0" w:space="0" w:color="auto"/>
        <w:left w:val="none" w:sz="0" w:space="0" w:color="auto"/>
        <w:bottom w:val="none" w:sz="0" w:space="0" w:color="auto"/>
        <w:right w:val="none" w:sz="0" w:space="0" w:color="auto"/>
      </w:divBdr>
    </w:div>
    <w:div w:id="1307390070">
      <w:bodyDiv w:val="1"/>
      <w:marLeft w:val="0"/>
      <w:marRight w:val="0"/>
      <w:marTop w:val="0"/>
      <w:marBottom w:val="0"/>
      <w:divBdr>
        <w:top w:val="none" w:sz="0" w:space="0" w:color="auto"/>
        <w:left w:val="none" w:sz="0" w:space="0" w:color="auto"/>
        <w:bottom w:val="none" w:sz="0" w:space="0" w:color="auto"/>
        <w:right w:val="none" w:sz="0" w:space="0" w:color="auto"/>
      </w:divBdr>
    </w:div>
    <w:div w:id="1319727679">
      <w:bodyDiv w:val="1"/>
      <w:marLeft w:val="0"/>
      <w:marRight w:val="0"/>
      <w:marTop w:val="0"/>
      <w:marBottom w:val="0"/>
      <w:divBdr>
        <w:top w:val="none" w:sz="0" w:space="0" w:color="auto"/>
        <w:left w:val="none" w:sz="0" w:space="0" w:color="auto"/>
        <w:bottom w:val="none" w:sz="0" w:space="0" w:color="auto"/>
        <w:right w:val="none" w:sz="0" w:space="0" w:color="auto"/>
      </w:divBdr>
      <w:divsChild>
        <w:div w:id="100684248">
          <w:marLeft w:val="274"/>
          <w:marRight w:val="0"/>
          <w:marTop w:val="0"/>
          <w:marBottom w:val="0"/>
          <w:divBdr>
            <w:top w:val="none" w:sz="0" w:space="0" w:color="auto"/>
            <w:left w:val="none" w:sz="0" w:space="0" w:color="auto"/>
            <w:bottom w:val="none" w:sz="0" w:space="0" w:color="auto"/>
            <w:right w:val="none" w:sz="0" w:space="0" w:color="auto"/>
          </w:divBdr>
        </w:div>
        <w:div w:id="871385055">
          <w:marLeft w:val="274"/>
          <w:marRight w:val="0"/>
          <w:marTop w:val="0"/>
          <w:marBottom w:val="0"/>
          <w:divBdr>
            <w:top w:val="none" w:sz="0" w:space="0" w:color="auto"/>
            <w:left w:val="none" w:sz="0" w:space="0" w:color="auto"/>
            <w:bottom w:val="none" w:sz="0" w:space="0" w:color="auto"/>
            <w:right w:val="none" w:sz="0" w:space="0" w:color="auto"/>
          </w:divBdr>
        </w:div>
        <w:div w:id="1268545059">
          <w:marLeft w:val="274"/>
          <w:marRight w:val="0"/>
          <w:marTop w:val="0"/>
          <w:marBottom w:val="0"/>
          <w:divBdr>
            <w:top w:val="none" w:sz="0" w:space="0" w:color="auto"/>
            <w:left w:val="none" w:sz="0" w:space="0" w:color="auto"/>
            <w:bottom w:val="none" w:sz="0" w:space="0" w:color="auto"/>
            <w:right w:val="none" w:sz="0" w:space="0" w:color="auto"/>
          </w:divBdr>
        </w:div>
      </w:divsChild>
    </w:div>
    <w:div w:id="1330448644">
      <w:bodyDiv w:val="1"/>
      <w:marLeft w:val="0"/>
      <w:marRight w:val="0"/>
      <w:marTop w:val="0"/>
      <w:marBottom w:val="0"/>
      <w:divBdr>
        <w:top w:val="none" w:sz="0" w:space="0" w:color="auto"/>
        <w:left w:val="none" w:sz="0" w:space="0" w:color="auto"/>
        <w:bottom w:val="none" w:sz="0" w:space="0" w:color="auto"/>
        <w:right w:val="none" w:sz="0" w:space="0" w:color="auto"/>
      </w:divBdr>
      <w:divsChild>
        <w:div w:id="64501262">
          <w:marLeft w:val="274"/>
          <w:marRight w:val="0"/>
          <w:marTop w:val="0"/>
          <w:marBottom w:val="0"/>
          <w:divBdr>
            <w:top w:val="none" w:sz="0" w:space="0" w:color="auto"/>
            <w:left w:val="none" w:sz="0" w:space="0" w:color="auto"/>
            <w:bottom w:val="none" w:sz="0" w:space="0" w:color="auto"/>
            <w:right w:val="none" w:sz="0" w:space="0" w:color="auto"/>
          </w:divBdr>
        </w:div>
        <w:div w:id="586502308">
          <w:marLeft w:val="274"/>
          <w:marRight w:val="0"/>
          <w:marTop w:val="0"/>
          <w:marBottom w:val="0"/>
          <w:divBdr>
            <w:top w:val="none" w:sz="0" w:space="0" w:color="auto"/>
            <w:left w:val="none" w:sz="0" w:space="0" w:color="auto"/>
            <w:bottom w:val="none" w:sz="0" w:space="0" w:color="auto"/>
            <w:right w:val="none" w:sz="0" w:space="0" w:color="auto"/>
          </w:divBdr>
        </w:div>
        <w:div w:id="1036469301">
          <w:marLeft w:val="274"/>
          <w:marRight w:val="0"/>
          <w:marTop w:val="0"/>
          <w:marBottom w:val="0"/>
          <w:divBdr>
            <w:top w:val="none" w:sz="0" w:space="0" w:color="auto"/>
            <w:left w:val="none" w:sz="0" w:space="0" w:color="auto"/>
            <w:bottom w:val="none" w:sz="0" w:space="0" w:color="auto"/>
            <w:right w:val="none" w:sz="0" w:space="0" w:color="auto"/>
          </w:divBdr>
        </w:div>
        <w:div w:id="1742410534">
          <w:marLeft w:val="274"/>
          <w:marRight w:val="0"/>
          <w:marTop w:val="0"/>
          <w:marBottom w:val="0"/>
          <w:divBdr>
            <w:top w:val="none" w:sz="0" w:space="0" w:color="auto"/>
            <w:left w:val="none" w:sz="0" w:space="0" w:color="auto"/>
            <w:bottom w:val="none" w:sz="0" w:space="0" w:color="auto"/>
            <w:right w:val="none" w:sz="0" w:space="0" w:color="auto"/>
          </w:divBdr>
        </w:div>
        <w:div w:id="1796830441">
          <w:marLeft w:val="274"/>
          <w:marRight w:val="0"/>
          <w:marTop w:val="0"/>
          <w:marBottom w:val="0"/>
          <w:divBdr>
            <w:top w:val="none" w:sz="0" w:space="0" w:color="auto"/>
            <w:left w:val="none" w:sz="0" w:space="0" w:color="auto"/>
            <w:bottom w:val="none" w:sz="0" w:space="0" w:color="auto"/>
            <w:right w:val="none" w:sz="0" w:space="0" w:color="auto"/>
          </w:divBdr>
        </w:div>
        <w:div w:id="1962303726">
          <w:marLeft w:val="274"/>
          <w:marRight w:val="0"/>
          <w:marTop w:val="0"/>
          <w:marBottom w:val="0"/>
          <w:divBdr>
            <w:top w:val="none" w:sz="0" w:space="0" w:color="auto"/>
            <w:left w:val="none" w:sz="0" w:space="0" w:color="auto"/>
            <w:bottom w:val="none" w:sz="0" w:space="0" w:color="auto"/>
            <w:right w:val="none" w:sz="0" w:space="0" w:color="auto"/>
          </w:divBdr>
        </w:div>
        <w:div w:id="2037192883">
          <w:marLeft w:val="274"/>
          <w:marRight w:val="0"/>
          <w:marTop w:val="0"/>
          <w:marBottom w:val="0"/>
          <w:divBdr>
            <w:top w:val="none" w:sz="0" w:space="0" w:color="auto"/>
            <w:left w:val="none" w:sz="0" w:space="0" w:color="auto"/>
            <w:bottom w:val="none" w:sz="0" w:space="0" w:color="auto"/>
            <w:right w:val="none" w:sz="0" w:space="0" w:color="auto"/>
          </w:divBdr>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1352563123">
      <w:bodyDiv w:val="1"/>
      <w:marLeft w:val="0"/>
      <w:marRight w:val="0"/>
      <w:marTop w:val="0"/>
      <w:marBottom w:val="0"/>
      <w:divBdr>
        <w:top w:val="none" w:sz="0" w:space="0" w:color="auto"/>
        <w:left w:val="none" w:sz="0" w:space="0" w:color="auto"/>
        <w:bottom w:val="none" w:sz="0" w:space="0" w:color="auto"/>
        <w:right w:val="none" w:sz="0" w:space="0" w:color="auto"/>
      </w:divBdr>
      <w:divsChild>
        <w:div w:id="256862698">
          <w:marLeft w:val="274"/>
          <w:marRight w:val="0"/>
          <w:marTop w:val="0"/>
          <w:marBottom w:val="0"/>
          <w:divBdr>
            <w:top w:val="none" w:sz="0" w:space="0" w:color="auto"/>
            <w:left w:val="none" w:sz="0" w:space="0" w:color="auto"/>
            <w:bottom w:val="none" w:sz="0" w:space="0" w:color="auto"/>
            <w:right w:val="none" w:sz="0" w:space="0" w:color="auto"/>
          </w:divBdr>
        </w:div>
        <w:div w:id="472219434">
          <w:marLeft w:val="274"/>
          <w:marRight w:val="0"/>
          <w:marTop w:val="0"/>
          <w:marBottom w:val="0"/>
          <w:divBdr>
            <w:top w:val="none" w:sz="0" w:space="0" w:color="auto"/>
            <w:left w:val="none" w:sz="0" w:space="0" w:color="auto"/>
            <w:bottom w:val="none" w:sz="0" w:space="0" w:color="auto"/>
            <w:right w:val="none" w:sz="0" w:space="0" w:color="auto"/>
          </w:divBdr>
        </w:div>
        <w:div w:id="648554155">
          <w:marLeft w:val="274"/>
          <w:marRight w:val="0"/>
          <w:marTop w:val="0"/>
          <w:marBottom w:val="0"/>
          <w:divBdr>
            <w:top w:val="none" w:sz="0" w:space="0" w:color="auto"/>
            <w:left w:val="none" w:sz="0" w:space="0" w:color="auto"/>
            <w:bottom w:val="none" w:sz="0" w:space="0" w:color="auto"/>
            <w:right w:val="none" w:sz="0" w:space="0" w:color="auto"/>
          </w:divBdr>
        </w:div>
      </w:divsChild>
    </w:div>
    <w:div w:id="1367409036">
      <w:bodyDiv w:val="1"/>
      <w:marLeft w:val="0"/>
      <w:marRight w:val="0"/>
      <w:marTop w:val="0"/>
      <w:marBottom w:val="0"/>
      <w:divBdr>
        <w:top w:val="none" w:sz="0" w:space="0" w:color="auto"/>
        <w:left w:val="none" w:sz="0" w:space="0" w:color="auto"/>
        <w:bottom w:val="none" w:sz="0" w:space="0" w:color="auto"/>
        <w:right w:val="none" w:sz="0" w:space="0" w:color="auto"/>
      </w:divBdr>
      <w:divsChild>
        <w:div w:id="396972941">
          <w:marLeft w:val="547"/>
          <w:marRight w:val="0"/>
          <w:marTop w:val="0"/>
          <w:marBottom w:val="0"/>
          <w:divBdr>
            <w:top w:val="none" w:sz="0" w:space="0" w:color="auto"/>
            <w:left w:val="none" w:sz="0" w:space="0" w:color="auto"/>
            <w:bottom w:val="none" w:sz="0" w:space="0" w:color="auto"/>
            <w:right w:val="none" w:sz="0" w:space="0" w:color="auto"/>
          </w:divBdr>
        </w:div>
        <w:div w:id="1537620501">
          <w:marLeft w:val="547"/>
          <w:marRight w:val="0"/>
          <w:marTop w:val="0"/>
          <w:marBottom w:val="0"/>
          <w:divBdr>
            <w:top w:val="none" w:sz="0" w:space="0" w:color="auto"/>
            <w:left w:val="none" w:sz="0" w:space="0" w:color="auto"/>
            <w:bottom w:val="none" w:sz="0" w:space="0" w:color="auto"/>
            <w:right w:val="none" w:sz="0" w:space="0" w:color="auto"/>
          </w:divBdr>
        </w:div>
        <w:div w:id="1853302465">
          <w:marLeft w:val="547"/>
          <w:marRight w:val="0"/>
          <w:marTop w:val="0"/>
          <w:marBottom w:val="0"/>
          <w:divBdr>
            <w:top w:val="none" w:sz="0" w:space="0" w:color="auto"/>
            <w:left w:val="none" w:sz="0" w:space="0" w:color="auto"/>
            <w:bottom w:val="none" w:sz="0" w:space="0" w:color="auto"/>
            <w:right w:val="none" w:sz="0" w:space="0" w:color="auto"/>
          </w:divBdr>
        </w:div>
      </w:divsChild>
    </w:div>
    <w:div w:id="1418746958">
      <w:bodyDiv w:val="1"/>
      <w:marLeft w:val="0"/>
      <w:marRight w:val="0"/>
      <w:marTop w:val="0"/>
      <w:marBottom w:val="0"/>
      <w:divBdr>
        <w:top w:val="none" w:sz="0" w:space="0" w:color="auto"/>
        <w:left w:val="none" w:sz="0" w:space="0" w:color="auto"/>
        <w:bottom w:val="none" w:sz="0" w:space="0" w:color="auto"/>
        <w:right w:val="none" w:sz="0" w:space="0" w:color="auto"/>
      </w:divBdr>
      <w:divsChild>
        <w:div w:id="83648597">
          <w:marLeft w:val="547"/>
          <w:marRight w:val="0"/>
          <w:marTop w:val="0"/>
          <w:marBottom w:val="0"/>
          <w:divBdr>
            <w:top w:val="none" w:sz="0" w:space="0" w:color="auto"/>
            <w:left w:val="none" w:sz="0" w:space="0" w:color="auto"/>
            <w:bottom w:val="none" w:sz="0" w:space="0" w:color="auto"/>
            <w:right w:val="none" w:sz="0" w:space="0" w:color="auto"/>
          </w:divBdr>
        </w:div>
        <w:div w:id="1867786171">
          <w:marLeft w:val="547"/>
          <w:marRight w:val="0"/>
          <w:marTop w:val="0"/>
          <w:marBottom w:val="0"/>
          <w:divBdr>
            <w:top w:val="none" w:sz="0" w:space="0" w:color="auto"/>
            <w:left w:val="none" w:sz="0" w:space="0" w:color="auto"/>
            <w:bottom w:val="none" w:sz="0" w:space="0" w:color="auto"/>
            <w:right w:val="none" w:sz="0" w:space="0" w:color="auto"/>
          </w:divBdr>
        </w:div>
        <w:div w:id="1910268939">
          <w:marLeft w:val="547"/>
          <w:marRight w:val="0"/>
          <w:marTop w:val="0"/>
          <w:marBottom w:val="0"/>
          <w:divBdr>
            <w:top w:val="none" w:sz="0" w:space="0" w:color="auto"/>
            <w:left w:val="none" w:sz="0" w:space="0" w:color="auto"/>
            <w:bottom w:val="none" w:sz="0" w:space="0" w:color="auto"/>
            <w:right w:val="none" w:sz="0" w:space="0" w:color="auto"/>
          </w:divBdr>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656303816">
          <w:marLeft w:val="0"/>
          <w:marRight w:val="0"/>
          <w:marTop w:val="0"/>
          <w:marBottom w:val="0"/>
          <w:divBdr>
            <w:top w:val="none" w:sz="0" w:space="0" w:color="auto"/>
            <w:left w:val="none" w:sz="0" w:space="0" w:color="auto"/>
            <w:bottom w:val="none" w:sz="0" w:space="0" w:color="auto"/>
            <w:right w:val="none" w:sz="0" w:space="0" w:color="auto"/>
          </w:divBdr>
        </w:div>
        <w:div w:id="679351807">
          <w:marLeft w:val="0"/>
          <w:marRight w:val="0"/>
          <w:marTop w:val="0"/>
          <w:marBottom w:val="0"/>
          <w:divBdr>
            <w:top w:val="none" w:sz="0" w:space="0" w:color="auto"/>
            <w:left w:val="none" w:sz="0" w:space="0" w:color="auto"/>
            <w:bottom w:val="none" w:sz="0" w:space="0" w:color="auto"/>
            <w:right w:val="none" w:sz="0" w:space="0" w:color="auto"/>
          </w:divBdr>
          <w:divsChild>
            <w:div w:id="1521352978">
              <w:marLeft w:val="-75"/>
              <w:marRight w:val="0"/>
              <w:marTop w:val="30"/>
              <w:marBottom w:val="30"/>
              <w:divBdr>
                <w:top w:val="none" w:sz="0" w:space="0" w:color="auto"/>
                <w:left w:val="none" w:sz="0" w:space="0" w:color="auto"/>
                <w:bottom w:val="none" w:sz="0" w:space="0" w:color="auto"/>
                <w:right w:val="none" w:sz="0" w:space="0" w:color="auto"/>
              </w:divBdr>
              <w:divsChild>
                <w:div w:id="29186719">
                  <w:marLeft w:val="0"/>
                  <w:marRight w:val="0"/>
                  <w:marTop w:val="0"/>
                  <w:marBottom w:val="0"/>
                  <w:divBdr>
                    <w:top w:val="none" w:sz="0" w:space="0" w:color="auto"/>
                    <w:left w:val="none" w:sz="0" w:space="0" w:color="auto"/>
                    <w:bottom w:val="none" w:sz="0" w:space="0" w:color="auto"/>
                    <w:right w:val="none" w:sz="0" w:space="0" w:color="auto"/>
                  </w:divBdr>
                  <w:divsChild>
                    <w:div w:id="1712266822">
                      <w:marLeft w:val="0"/>
                      <w:marRight w:val="0"/>
                      <w:marTop w:val="0"/>
                      <w:marBottom w:val="0"/>
                      <w:divBdr>
                        <w:top w:val="none" w:sz="0" w:space="0" w:color="auto"/>
                        <w:left w:val="none" w:sz="0" w:space="0" w:color="auto"/>
                        <w:bottom w:val="none" w:sz="0" w:space="0" w:color="auto"/>
                        <w:right w:val="none" w:sz="0" w:space="0" w:color="auto"/>
                      </w:divBdr>
                    </w:div>
                  </w:divsChild>
                </w:div>
                <w:div w:id="72745603">
                  <w:marLeft w:val="0"/>
                  <w:marRight w:val="0"/>
                  <w:marTop w:val="0"/>
                  <w:marBottom w:val="0"/>
                  <w:divBdr>
                    <w:top w:val="none" w:sz="0" w:space="0" w:color="auto"/>
                    <w:left w:val="none" w:sz="0" w:space="0" w:color="auto"/>
                    <w:bottom w:val="none" w:sz="0" w:space="0" w:color="auto"/>
                    <w:right w:val="none" w:sz="0" w:space="0" w:color="auto"/>
                  </w:divBdr>
                  <w:divsChild>
                    <w:div w:id="597106880">
                      <w:marLeft w:val="0"/>
                      <w:marRight w:val="0"/>
                      <w:marTop w:val="0"/>
                      <w:marBottom w:val="0"/>
                      <w:divBdr>
                        <w:top w:val="none" w:sz="0" w:space="0" w:color="auto"/>
                        <w:left w:val="none" w:sz="0" w:space="0" w:color="auto"/>
                        <w:bottom w:val="none" w:sz="0" w:space="0" w:color="auto"/>
                        <w:right w:val="none" w:sz="0" w:space="0" w:color="auto"/>
                      </w:divBdr>
                    </w:div>
                  </w:divsChild>
                </w:div>
                <w:div w:id="87384140">
                  <w:marLeft w:val="0"/>
                  <w:marRight w:val="0"/>
                  <w:marTop w:val="0"/>
                  <w:marBottom w:val="0"/>
                  <w:divBdr>
                    <w:top w:val="none" w:sz="0" w:space="0" w:color="auto"/>
                    <w:left w:val="none" w:sz="0" w:space="0" w:color="auto"/>
                    <w:bottom w:val="none" w:sz="0" w:space="0" w:color="auto"/>
                    <w:right w:val="none" w:sz="0" w:space="0" w:color="auto"/>
                  </w:divBdr>
                  <w:divsChild>
                    <w:div w:id="1553927893">
                      <w:marLeft w:val="0"/>
                      <w:marRight w:val="0"/>
                      <w:marTop w:val="0"/>
                      <w:marBottom w:val="0"/>
                      <w:divBdr>
                        <w:top w:val="none" w:sz="0" w:space="0" w:color="auto"/>
                        <w:left w:val="none" w:sz="0" w:space="0" w:color="auto"/>
                        <w:bottom w:val="none" w:sz="0" w:space="0" w:color="auto"/>
                        <w:right w:val="none" w:sz="0" w:space="0" w:color="auto"/>
                      </w:divBdr>
                    </w:div>
                  </w:divsChild>
                </w:div>
                <w:div w:id="112137633">
                  <w:marLeft w:val="0"/>
                  <w:marRight w:val="0"/>
                  <w:marTop w:val="0"/>
                  <w:marBottom w:val="0"/>
                  <w:divBdr>
                    <w:top w:val="none" w:sz="0" w:space="0" w:color="auto"/>
                    <w:left w:val="none" w:sz="0" w:space="0" w:color="auto"/>
                    <w:bottom w:val="none" w:sz="0" w:space="0" w:color="auto"/>
                    <w:right w:val="none" w:sz="0" w:space="0" w:color="auto"/>
                  </w:divBdr>
                  <w:divsChild>
                    <w:div w:id="703791184">
                      <w:marLeft w:val="0"/>
                      <w:marRight w:val="0"/>
                      <w:marTop w:val="0"/>
                      <w:marBottom w:val="0"/>
                      <w:divBdr>
                        <w:top w:val="none" w:sz="0" w:space="0" w:color="auto"/>
                        <w:left w:val="none" w:sz="0" w:space="0" w:color="auto"/>
                        <w:bottom w:val="none" w:sz="0" w:space="0" w:color="auto"/>
                        <w:right w:val="none" w:sz="0" w:space="0" w:color="auto"/>
                      </w:divBdr>
                    </w:div>
                  </w:divsChild>
                </w:div>
                <w:div w:id="147942718">
                  <w:marLeft w:val="0"/>
                  <w:marRight w:val="0"/>
                  <w:marTop w:val="0"/>
                  <w:marBottom w:val="0"/>
                  <w:divBdr>
                    <w:top w:val="none" w:sz="0" w:space="0" w:color="auto"/>
                    <w:left w:val="none" w:sz="0" w:space="0" w:color="auto"/>
                    <w:bottom w:val="none" w:sz="0" w:space="0" w:color="auto"/>
                    <w:right w:val="none" w:sz="0" w:space="0" w:color="auto"/>
                  </w:divBdr>
                  <w:divsChild>
                    <w:div w:id="2092580308">
                      <w:marLeft w:val="0"/>
                      <w:marRight w:val="0"/>
                      <w:marTop w:val="0"/>
                      <w:marBottom w:val="0"/>
                      <w:divBdr>
                        <w:top w:val="none" w:sz="0" w:space="0" w:color="auto"/>
                        <w:left w:val="none" w:sz="0" w:space="0" w:color="auto"/>
                        <w:bottom w:val="none" w:sz="0" w:space="0" w:color="auto"/>
                        <w:right w:val="none" w:sz="0" w:space="0" w:color="auto"/>
                      </w:divBdr>
                    </w:div>
                  </w:divsChild>
                </w:div>
                <w:div w:id="189609990">
                  <w:marLeft w:val="0"/>
                  <w:marRight w:val="0"/>
                  <w:marTop w:val="0"/>
                  <w:marBottom w:val="0"/>
                  <w:divBdr>
                    <w:top w:val="none" w:sz="0" w:space="0" w:color="auto"/>
                    <w:left w:val="none" w:sz="0" w:space="0" w:color="auto"/>
                    <w:bottom w:val="none" w:sz="0" w:space="0" w:color="auto"/>
                    <w:right w:val="none" w:sz="0" w:space="0" w:color="auto"/>
                  </w:divBdr>
                  <w:divsChild>
                    <w:div w:id="410465254">
                      <w:marLeft w:val="0"/>
                      <w:marRight w:val="0"/>
                      <w:marTop w:val="0"/>
                      <w:marBottom w:val="0"/>
                      <w:divBdr>
                        <w:top w:val="none" w:sz="0" w:space="0" w:color="auto"/>
                        <w:left w:val="none" w:sz="0" w:space="0" w:color="auto"/>
                        <w:bottom w:val="none" w:sz="0" w:space="0" w:color="auto"/>
                        <w:right w:val="none" w:sz="0" w:space="0" w:color="auto"/>
                      </w:divBdr>
                    </w:div>
                  </w:divsChild>
                </w:div>
                <w:div w:id="240484280">
                  <w:marLeft w:val="0"/>
                  <w:marRight w:val="0"/>
                  <w:marTop w:val="0"/>
                  <w:marBottom w:val="0"/>
                  <w:divBdr>
                    <w:top w:val="none" w:sz="0" w:space="0" w:color="auto"/>
                    <w:left w:val="none" w:sz="0" w:space="0" w:color="auto"/>
                    <w:bottom w:val="none" w:sz="0" w:space="0" w:color="auto"/>
                    <w:right w:val="none" w:sz="0" w:space="0" w:color="auto"/>
                  </w:divBdr>
                  <w:divsChild>
                    <w:div w:id="1373381968">
                      <w:marLeft w:val="0"/>
                      <w:marRight w:val="0"/>
                      <w:marTop w:val="0"/>
                      <w:marBottom w:val="0"/>
                      <w:divBdr>
                        <w:top w:val="none" w:sz="0" w:space="0" w:color="auto"/>
                        <w:left w:val="none" w:sz="0" w:space="0" w:color="auto"/>
                        <w:bottom w:val="none" w:sz="0" w:space="0" w:color="auto"/>
                        <w:right w:val="none" w:sz="0" w:space="0" w:color="auto"/>
                      </w:divBdr>
                    </w:div>
                  </w:divsChild>
                </w:div>
                <w:div w:id="285620161">
                  <w:marLeft w:val="0"/>
                  <w:marRight w:val="0"/>
                  <w:marTop w:val="0"/>
                  <w:marBottom w:val="0"/>
                  <w:divBdr>
                    <w:top w:val="none" w:sz="0" w:space="0" w:color="auto"/>
                    <w:left w:val="none" w:sz="0" w:space="0" w:color="auto"/>
                    <w:bottom w:val="none" w:sz="0" w:space="0" w:color="auto"/>
                    <w:right w:val="none" w:sz="0" w:space="0" w:color="auto"/>
                  </w:divBdr>
                  <w:divsChild>
                    <w:div w:id="1152797044">
                      <w:marLeft w:val="0"/>
                      <w:marRight w:val="0"/>
                      <w:marTop w:val="0"/>
                      <w:marBottom w:val="0"/>
                      <w:divBdr>
                        <w:top w:val="none" w:sz="0" w:space="0" w:color="auto"/>
                        <w:left w:val="none" w:sz="0" w:space="0" w:color="auto"/>
                        <w:bottom w:val="none" w:sz="0" w:space="0" w:color="auto"/>
                        <w:right w:val="none" w:sz="0" w:space="0" w:color="auto"/>
                      </w:divBdr>
                    </w:div>
                  </w:divsChild>
                </w:div>
                <w:div w:id="292754700">
                  <w:marLeft w:val="0"/>
                  <w:marRight w:val="0"/>
                  <w:marTop w:val="0"/>
                  <w:marBottom w:val="0"/>
                  <w:divBdr>
                    <w:top w:val="none" w:sz="0" w:space="0" w:color="auto"/>
                    <w:left w:val="none" w:sz="0" w:space="0" w:color="auto"/>
                    <w:bottom w:val="none" w:sz="0" w:space="0" w:color="auto"/>
                    <w:right w:val="none" w:sz="0" w:space="0" w:color="auto"/>
                  </w:divBdr>
                  <w:divsChild>
                    <w:div w:id="39327319">
                      <w:marLeft w:val="0"/>
                      <w:marRight w:val="0"/>
                      <w:marTop w:val="0"/>
                      <w:marBottom w:val="0"/>
                      <w:divBdr>
                        <w:top w:val="none" w:sz="0" w:space="0" w:color="auto"/>
                        <w:left w:val="none" w:sz="0" w:space="0" w:color="auto"/>
                        <w:bottom w:val="none" w:sz="0" w:space="0" w:color="auto"/>
                        <w:right w:val="none" w:sz="0" w:space="0" w:color="auto"/>
                      </w:divBdr>
                    </w:div>
                  </w:divsChild>
                </w:div>
                <w:div w:id="314191587">
                  <w:marLeft w:val="0"/>
                  <w:marRight w:val="0"/>
                  <w:marTop w:val="0"/>
                  <w:marBottom w:val="0"/>
                  <w:divBdr>
                    <w:top w:val="none" w:sz="0" w:space="0" w:color="auto"/>
                    <w:left w:val="none" w:sz="0" w:space="0" w:color="auto"/>
                    <w:bottom w:val="none" w:sz="0" w:space="0" w:color="auto"/>
                    <w:right w:val="none" w:sz="0" w:space="0" w:color="auto"/>
                  </w:divBdr>
                  <w:divsChild>
                    <w:div w:id="108625546">
                      <w:marLeft w:val="0"/>
                      <w:marRight w:val="0"/>
                      <w:marTop w:val="0"/>
                      <w:marBottom w:val="0"/>
                      <w:divBdr>
                        <w:top w:val="none" w:sz="0" w:space="0" w:color="auto"/>
                        <w:left w:val="none" w:sz="0" w:space="0" w:color="auto"/>
                        <w:bottom w:val="none" w:sz="0" w:space="0" w:color="auto"/>
                        <w:right w:val="none" w:sz="0" w:space="0" w:color="auto"/>
                      </w:divBdr>
                    </w:div>
                  </w:divsChild>
                </w:div>
                <w:div w:id="319308834">
                  <w:marLeft w:val="0"/>
                  <w:marRight w:val="0"/>
                  <w:marTop w:val="0"/>
                  <w:marBottom w:val="0"/>
                  <w:divBdr>
                    <w:top w:val="none" w:sz="0" w:space="0" w:color="auto"/>
                    <w:left w:val="none" w:sz="0" w:space="0" w:color="auto"/>
                    <w:bottom w:val="none" w:sz="0" w:space="0" w:color="auto"/>
                    <w:right w:val="none" w:sz="0" w:space="0" w:color="auto"/>
                  </w:divBdr>
                  <w:divsChild>
                    <w:div w:id="1367868473">
                      <w:marLeft w:val="0"/>
                      <w:marRight w:val="0"/>
                      <w:marTop w:val="0"/>
                      <w:marBottom w:val="0"/>
                      <w:divBdr>
                        <w:top w:val="none" w:sz="0" w:space="0" w:color="auto"/>
                        <w:left w:val="none" w:sz="0" w:space="0" w:color="auto"/>
                        <w:bottom w:val="none" w:sz="0" w:space="0" w:color="auto"/>
                        <w:right w:val="none" w:sz="0" w:space="0" w:color="auto"/>
                      </w:divBdr>
                    </w:div>
                  </w:divsChild>
                </w:div>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
                  </w:divsChild>
                </w:div>
                <w:div w:id="355619492">
                  <w:marLeft w:val="0"/>
                  <w:marRight w:val="0"/>
                  <w:marTop w:val="0"/>
                  <w:marBottom w:val="0"/>
                  <w:divBdr>
                    <w:top w:val="none" w:sz="0" w:space="0" w:color="auto"/>
                    <w:left w:val="none" w:sz="0" w:space="0" w:color="auto"/>
                    <w:bottom w:val="none" w:sz="0" w:space="0" w:color="auto"/>
                    <w:right w:val="none" w:sz="0" w:space="0" w:color="auto"/>
                  </w:divBdr>
                  <w:divsChild>
                    <w:div w:id="1847089095">
                      <w:marLeft w:val="0"/>
                      <w:marRight w:val="0"/>
                      <w:marTop w:val="0"/>
                      <w:marBottom w:val="0"/>
                      <w:divBdr>
                        <w:top w:val="none" w:sz="0" w:space="0" w:color="auto"/>
                        <w:left w:val="none" w:sz="0" w:space="0" w:color="auto"/>
                        <w:bottom w:val="none" w:sz="0" w:space="0" w:color="auto"/>
                        <w:right w:val="none" w:sz="0" w:space="0" w:color="auto"/>
                      </w:divBdr>
                    </w:div>
                  </w:divsChild>
                </w:div>
                <w:div w:id="359936913">
                  <w:marLeft w:val="0"/>
                  <w:marRight w:val="0"/>
                  <w:marTop w:val="0"/>
                  <w:marBottom w:val="0"/>
                  <w:divBdr>
                    <w:top w:val="none" w:sz="0" w:space="0" w:color="auto"/>
                    <w:left w:val="none" w:sz="0" w:space="0" w:color="auto"/>
                    <w:bottom w:val="none" w:sz="0" w:space="0" w:color="auto"/>
                    <w:right w:val="none" w:sz="0" w:space="0" w:color="auto"/>
                  </w:divBdr>
                  <w:divsChild>
                    <w:div w:id="185101460">
                      <w:marLeft w:val="0"/>
                      <w:marRight w:val="0"/>
                      <w:marTop w:val="0"/>
                      <w:marBottom w:val="0"/>
                      <w:divBdr>
                        <w:top w:val="none" w:sz="0" w:space="0" w:color="auto"/>
                        <w:left w:val="none" w:sz="0" w:space="0" w:color="auto"/>
                        <w:bottom w:val="none" w:sz="0" w:space="0" w:color="auto"/>
                        <w:right w:val="none" w:sz="0" w:space="0" w:color="auto"/>
                      </w:divBdr>
                    </w:div>
                  </w:divsChild>
                </w:div>
                <w:div w:id="370611205">
                  <w:marLeft w:val="0"/>
                  <w:marRight w:val="0"/>
                  <w:marTop w:val="0"/>
                  <w:marBottom w:val="0"/>
                  <w:divBdr>
                    <w:top w:val="none" w:sz="0" w:space="0" w:color="auto"/>
                    <w:left w:val="none" w:sz="0" w:space="0" w:color="auto"/>
                    <w:bottom w:val="none" w:sz="0" w:space="0" w:color="auto"/>
                    <w:right w:val="none" w:sz="0" w:space="0" w:color="auto"/>
                  </w:divBdr>
                  <w:divsChild>
                    <w:div w:id="1220283844">
                      <w:marLeft w:val="0"/>
                      <w:marRight w:val="0"/>
                      <w:marTop w:val="0"/>
                      <w:marBottom w:val="0"/>
                      <w:divBdr>
                        <w:top w:val="none" w:sz="0" w:space="0" w:color="auto"/>
                        <w:left w:val="none" w:sz="0" w:space="0" w:color="auto"/>
                        <w:bottom w:val="none" w:sz="0" w:space="0" w:color="auto"/>
                        <w:right w:val="none" w:sz="0" w:space="0" w:color="auto"/>
                      </w:divBdr>
                    </w:div>
                  </w:divsChild>
                </w:div>
                <w:div w:id="425158341">
                  <w:marLeft w:val="0"/>
                  <w:marRight w:val="0"/>
                  <w:marTop w:val="0"/>
                  <w:marBottom w:val="0"/>
                  <w:divBdr>
                    <w:top w:val="none" w:sz="0" w:space="0" w:color="auto"/>
                    <w:left w:val="none" w:sz="0" w:space="0" w:color="auto"/>
                    <w:bottom w:val="none" w:sz="0" w:space="0" w:color="auto"/>
                    <w:right w:val="none" w:sz="0" w:space="0" w:color="auto"/>
                  </w:divBdr>
                  <w:divsChild>
                    <w:div w:id="577515581">
                      <w:marLeft w:val="0"/>
                      <w:marRight w:val="0"/>
                      <w:marTop w:val="0"/>
                      <w:marBottom w:val="0"/>
                      <w:divBdr>
                        <w:top w:val="none" w:sz="0" w:space="0" w:color="auto"/>
                        <w:left w:val="none" w:sz="0" w:space="0" w:color="auto"/>
                        <w:bottom w:val="none" w:sz="0" w:space="0" w:color="auto"/>
                        <w:right w:val="none" w:sz="0" w:space="0" w:color="auto"/>
                      </w:divBdr>
                    </w:div>
                  </w:divsChild>
                </w:div>
                <w:div w:id="457648496">
                  <w:marLeft w:val="0"/>
                  <w:marRight w:val="0"/>
                  <w:marTop w:val="0"/>
                  <w:marBottom w:val="0"/>
                  <w:divBdr>
                    <w:top w:val="none" w:sz="0" w:space="0" w:color="auto"/>
                    <w:left w:val="none" w:sz="0" w:space="0" w:color="auto"/>
                    <w:bottom w:val="none" w:sz="0" w:space="0" w:color="auto"/>
                    <w:right w:val="none" w:sz="0" w:space="0" w:color="auto"/>
                  </w:divBdr>
                  <w:divsChild>
                    <w:div w:id="1407067903">
                      <w:marLeft w:val="0"/>
                      <w:marRight w:val="0"/>
                      <w:marTop w:val="0"/>
                      <w:marBottom w:val="0"/>
                      <w:divBdr>
                        <w:top w:val="none" w:sz="0" w:space="0" w:color="auto"/>
                        <w:left w:val="none" w:sz="0" w:space="0" w:color="auto"/>
                        <w:bottom w:val="none" w:sz="0" w:space="0" w:color="auto"/>
                        <w:right w:val="none" w:sz="0" w:space="0" w:color="auto"/>
                      </w:divBdr>
                    </w:div>
                  </w:divsChild>
                </w:div>
                <w:div w:id="585000153">
                  <w:marLeft w:val="0"/>
                  <w:marRight w:val="0"/>
                  <w:marTop w:val="0"/>
                  <w:marBottom w:val="0"/>
                  <w:divBdr>
                    <w:top w:val="none" w:sz="0" w:space="0" w:color="auto"/>
                    <w:left w:val="none" w:sz="0" w:space="0" w:color="auto"/>
                    <w:bottom w:val="none" w:sz="0" w:space="0" w:color="auto"/>
                    <w:right w:val="none" w:sz="0" w:space="0" w:color="auto"/>
                  </w:divBdr>
                  <w:divsChild>
                    <w:div w:id="1424230421">
                      <w:marLeft w:val="0"/>
                      <w:marRight w:val="0"/>
                      <w:marTop w:val="0"/>
                      <w:marBottom w:val="0"/>
                      <w:divBdr>
                        <w:top w:val="none" w:sz="0" w:space="0" w:color="auto"/>
                        <w:left w:val="none" w:sz="0" w:space="0" w:color="auto"/>
                        <w:bottom w:val="none" w:sz="0" w:space="0" w:color="auto"/>
                        <w:right w:val="none" w:sz="0" w:space="0" w:color="auto"/>
                      </w:divBdr>
                    </w:div>
                  </w:divsChild>
                </w:div>
                <w:div w:id="597063121">
                  <w:marLeft w:val="0"/>
                  <w:marRight w:val="0"/>
                  <w:marTop w:val="0"/>
                  <w:marBottom w:val="0"/>
                  <w:divBdr>
                    <w:top w:val="none" w:sz="0" w:space="0" w:color="auto"/>
                    <w:left w:val="none" w:sz="0" w:space="0" w:color="auto"/>
                    <w:bottom w:val="none" w:sz="0" w:space="0" w:color="auto"/>
                    <w:right w:val="none" w:sz="0" w:space="0" w:color="auto"/>
                  </w:divBdr>
                  <w:divsChild>
                    <w:div w:id="1765611302">
                      <w:marLeft w:val="0"/>
                      <w:marRight w:val="0"/>
                      <w:marTop w:val="0"/>
                      <w:marBottom w:val="0"/>
                      <w:divBdr>
                        <w:top w:val="none" w:sz="0" w:space="0" w:color="auto"/>
                        <w:left w:val="none" w:sz="0" w:space="0" w:color="auto"/>
                        <w:bottom w:val="none" w:sz="0" w:space="0" w:color="auto"/>
                        <w:right w:val="none" w:sz="0" w:space="0" w:color="auto"/>
                      </w:divBdr>
                    </w:div>
                  </w:divsChild>
                </w:div>
                <w:div w:id="637758197">
                  <w:marLeft w:val="0"/>
                  <w:marRight w:val="0"/>
                  <w:marTop w:val="0"/>
                  <w:marBottom w:val="0"/>
                  <w:divBdr>
                    <w:top w:val="none" w:sz="0" w:space="0" w:color="auto"/>
                    <w:left w:val="none" w:sz="0" w:space="0" w:color="auto"/>
                    <w:bottom w:val="none" w:sz="0" w:space="0" w:color="auto"/>
                    <w:right w:val="none" w:sz="0" w:space="0" w:color="auto"/>
                  </w:divBdr>
                  <w:divsChild>
                    <w:div w:id="985671543">
                      <w:marLeft w:val="0"/>
                      <w:marRight w:val="0"/>
                      <w:marTop w:val="0"/>
                      <w:marBottom w:val="0"/>
                      <w:divBdr>
                        <w:top w:val="none" w:sz="0" w:space="0" w:color="auto"/>
                        <w:left w:val="none" w:sz="0" w:space="0" w:color="auto"/>
                        <w:bottom w:val="none" w:sz="0" w:space="0" w:color="auto"/>
                        <w:right w:val="none" w:sz="0" w:space="0" w:color="auto"/>
                      </w:divBdr>
                    </w:div>
                  </w:divsChild>
                </w:div>
                <w:div w:id="773131687">
                  <w:marLeft w:val="0"/>
                  <w:marRight w:val="0"/>
                  <w:marTop w:val="0"/>
                  <w:marBottom w:val="0"/>
                  <w:divBdr>
                    <w:top w:val="none" w:sz="0" w:space="0" w:color="auto"/>
                    <w:left w:val="none" w:sz="0" w:space="0" w:color="auto"/>
                    <w:bottom w:val="none" w:sz="0" w:space="0" w:color="auto"/>
                    <w:right w:val="none" w:sz="0" w:space="0" w:color="auto"/>
                  </w:divBdr>
                  <w:divsChild>
                    <w:div w:id="258176710">
                      <w:marLeft w:val="0"/>
                      <w:marRight w:val="0"/>
                      <w:marTop w:val="0"/>
                      <w:marBottom w:val="0"/>
                      <w:divBdr>
                        <w:top w:val="none" w:sz="0" w:space="0" w:color="auto"/>
                        <w:left w:val="none" w:sz="0" w:space="0" w:color="auto"/>
                        <w:bottom w:val="none" w:sz="0" w:space="0" w:color="auto"/>
                        <w:right w:val="none" w:sz="0" w:space="0" w:color="auto"/>
                      </w:divBdr>
                    </w:div>
                  </w:divsChild>
                </w:div>
                <w:div w:id="795097923">
                  <w:marLeft w:val="0"/>
                  <w:marRight w:val="0"/>
                  <w:marTop w:val="0"/>
                  <w:marBottom w:val="0"/>
                  <w:divBdr>
                    <w:top w:val="none" w:sz="0" w:space="0" w:color="auto"/>
                    <w:left w:val="none" w:sz="0" w:space="0" w:color="auto"/>
                    <w:bottom w:val="none" w:sz="0" w:space="0" w:color="auto"/>
                    <w:right w:val="none" w:sz="0" w:space="0" w:color="auto"/>
                  </w:divBdr>
                  <w:divsChild>
                    <w:div w:id="1783188209">
                      <w:marLeft w:val="0"/>
                      <w:marRight w:val="0"/>
                      <w:marTop w:val="0"/>
                      <w:marBottom w:val="0"/>
                      <w:divBdr>
                        <w:top w:val="none" w:sz="0" w:space="0" w:color="auto"/>
                        <w:left w:val="none" w:sz="0" w:space="0" w:color="auto"/>
                        <w:bottom w:val="none" w:sz="0" w:space="0" w:color="auto"/>
                        <w:right w:val="none" w:sz="0" w:space="0" w:color="auto"/>
                      </w:divBdr>
                    </w:div>
                  </w:divsChild>
                </w:div>
                <w:div w:id="837236304">
                  <w:marLeft w:val="0"/>
                  <w:marRight w:val="0"/>
                  <w:marTop w:val="0"/>
                  <w:marBottom w:val="0"/>
                  <w:divBdr>
                    <w:top w:val="none" w:sz="0" w:space="0" w:color="auto"/>
                    <w:left w:val="none" w:sz="0" w:space="0" w:color="auto"/>
                    <w:bottom w:val="none" w:sz="0" w:space="0" w:color="auto"/>
                    <w:right w:val="none" w:sz="0" w:space="0" w:color="auto"/>
                  </w:divBdr>
                  <w:divsChild>
                    <w:div w:id="957488441">
                      <w:marLeft w:val="0"/>
                      <w:marRight w:val="0"/>
                      <w:marTop w:val="0"/>
                      <w:marBottom w:val="0"/>
                      <w:divBdr>
                        <w:top w:val="none" w:sz="0" w:space="0" w:color="auto"/>
                        <w:left w:val="none" w:sz="0" w:space="0" w:color="auto"/>
                        <w:bottom w:val="none" w:sz="0" w:space="0" w:color="auto"/>
                        <w:right w:val="none" w:sz="0" w:space="0" w:color="auto"/>
                      </w:divBdr>
                    </w:div>
                  </w:divsChild>
                </w:div>
                <w:div w:id="877621128">
                  <w:marLeft w:val="0"/>
                  <w:marRight w:val="0"/>
                  <w:marTop w:val="0"/>
                  <w:marBottom w:val="0"/>
                  <w:divBdr>
                    <w:top w:val="none" w:sz="0" w:space="0" w:color="auto"/>
                    <w:left w:val="none" w:sz="0" w:space="0" w:color="auto"/>
                    <w:bottom w:val="none" w:sz="0" w:space="0" w:color="auto"/>
                    <w:right w:val="none" w:sz="0" w:space="0" w:color="auto"/>
                  </w:divBdr>
                  <w:divsChild>
                    <w:div w:id="2113741554">
                      <w:marLeft w:val="0"/>
                      <w:marRight w:val="0"/>
                      <w:marTop w:val="0"/>
                      <w:marBottom w:val="0"/>
                      <w:divBdr>
                        <w:top w:val="none" w:sz="0" w:space="0" w:color="auto"/>
                        <w:left w:val="none" w:sz="0" w:space="0" w:color="auto"/>
                        <w:bottom w:val="none" w:sz="0" w:space="0" w:color="auto"/>
                        <w:right w:val="none" w:sz="0" w:space="0" w:color="auto"/>
                      </w:divBdr>
                    </w:div>
                  </w:divsChild>
                </w:div>
                <w:div w:id="878398272">
                  <w:marLeft w:val="0"/>
                  <w:marRight w:val="0"/>
                  <w:marTop w:val="0"/>
                  <w:marBottom w:val="0"/>
                  <w:divBdr>
                    <w:top w:val="none" w:sz="0" w:space="0" w:color="auto"/>
                    <w:left w:val="none" w:sz="0" w:space="0" w:color="auto"/>
                    <w:bottom w:val="none" w:sz="0" w:space="0" w:color="auto"/>
                    <w:right w:val="none" w:sz="0" w:space="0" w:color="auto"/>
                  </w:divBdr>
                  <w:divsChild>
                    <w:div w:id="1937594095">
                      <w:marLeft w:val="0"/>
                      <w:marRight w:val="0"/>
                      <w:marTop w:val="0"/>
                      <w:marBottom w:val="0"/>
                      <w:divBdr>
                        <w:top w:val="none" w:sz="0" w:space="0" w:color="auto"/>
                        <w:left w:val="none" w:sz="0" w:space="0" w:color="auto"/>
                        <w:bottom w:val="none" w:sz="0" w:space="0" w:color="auto"/>
                        <w:right w:val="none" w:sz="0" w:space="0" w:color="auto"/>
                      </w:divBdr>
                    </w:div>
                  </w:divsChild>
                </w:div>
                <w:div w:id="912467160">
                  <w:marLeft w:val="0"/>
                  <w:marRight w:val="0"/>
                  <w:marTop w:val="0"/>
                  <w:marBottom w:val="0"/>
                  <w:divBdr>
                    <w:top w:val="none" w:sz="0" w:space="0" w:color="auto"/>
                    <w:left w:val="none" w:sz="0" w:space="0" w:color="auto"/>
                    <w:bottom w:val="none" w:sz="0" w:space="0" w:color="auto"/>
                    <w:right w:val="none" w:sz="0" w:space="0" w:color="auto"/>
                  </w:divBdr>
                  <w:divsChild>
                    <w:div w:id="168377733">
                      <w:marLeft w:val="0"/>
                      <w:marRight w:val="0"/>
                      <w:marTop w:val="0"/>
                      <w:marBottom w:val="0"/>
                      <w:divBdr>
                        <w:top w:val="none" w:sz="0" w:space="0" w:color="auto"/>
                        <w:left w:val="none" w:sz="0" w:space="0" w:color="auto"/>
                        <w:bottom w:val="none" w:sz="0" w:space="0" w:color="auto"/>
                        <w:right w:val="none" w:sz="0" w:space="0" w:color="auto"/>
                      </w:divBdr>
                    </w:div>
                  </w:divsChild>
                </w:div>
                <w:div w:id="974602382">
                  <w:marLeft w:val="0"/>
                  <w:marRight w:val="0"/>
                  <w:marTop w:val="0"/>
                  <w:marBottom w:val="0"/>
                  <w:divBdr>
                    <w:top w:val="none" w:sz="0" w:space="0" w:color="auto"/>
                    <w:left w:val="none" w:sz="0" w:space="0" w:color="auto"/>
                    <w:bottom w:val="none" w:sz="0" w:space="0" w:color="auto"/>
                    <w:right w:val="none" w:sz="0" w:space="0" w:color="auto"/>
                  </w:divBdr>
                  <w:divsChild>
                    <w:div w:id="191261822">
                      <w:marLeft w:val="0"/>
                      <w:marRight w:val="0"/>
                      <w:marTop w:val="0"/>
                      <w:marBottom w:val="0"/>
                      <w:divBdr>
                        <w:top w:val="none" w:sz="0" w:space="0" w:color="auto"/>
                        <w:left w:val="none" w:sz="0" w:space="0" w:color="auto"/>
                        <w:bottom w:val="none" w:sz="0" w:space="0" w:color="auto"/>
                        <w:right w:val="none" w:sz="0" w:space="0" w:color="auto"/>
                      </w:divBdr>
                    </w:div>
                  </w:divsChild>
                </w:div>
                <w:div w:id="1057705118">
                  <w:marLeft w:val="0"/>
                  <w:marRight w:val="0"/>
                  <w:marTop w:val="0"/>
                  <w:marBottom w:val="0"/>
                  <w:divBdr>
                    <w:top w:val="none" w:sz="0" w:space="0" w:color="auto"/>
                    <w:left w:val="none" w:sz="0" w:space="0" w:color="auto"/>
                    <w:bottom w:val="none" w:sz="0" w:space="0" w:color="auto"/>
                    <w:right w:val="none" w:sz="0" w:space="0" w:color="auto"/>
                  </w:divBdr>
                  <w:divsChild>
                    <w:div w:id="7485609">
                      <w:marLeft w:val="0"/>
                      <w:marRight w:val="0"/>
                      <w:marTop w:val="0"/>
                      <w:marBottom w:val="0"/>
                      <w:divBdr>
                        <w:top w:val="none" w:sz="0" w:space="0" w:color="auto"/>
                        <w:left w:val="none" w:sz="0" w:space="0" w:color="auto"/>
                        <w:bottom w:val="none" w:sz="0" w:space="0" w:color="auto"/>
                        <w:right w:val="none" w:sz="0" w:space="0" w:color="auto"/>
                      </w:divBdr>
                    </w:div>
                  </w:divsChild>
                </w:div>
                <w:div w:id="1099251886">
                  <w:marLeft w:val="0"/>
                  <w:marRight w:val="0"/>
                  <w:marTop w:val="0"/>
                  <w:marBottom w:val="0"/>
                  <w:divBdr>
                    <w:top w:val="none" w:sz="0" w:space="0" w:color="auto"/>
                    <w:left w:val="none" w:sz="0" w:space="0" w:color="auto"/>
                    <w:bottom w:val="none" w:sz="0" w:space="0" w:color="auto"/>
                    <w:right w:val="none" w:sz="0" w:space="0" w:color="auto"/>
                  </w:divBdr>
                  <w:divsChild>
                    <w:div w:id="84345574">
                      <w:marLeft w:val="0"/>
                      <w:marRight w:val="0"/>
                      <w:marTop w:val="0"/>
                      <w:marBottom w:val="0"/>
                      <w:divBdr>
                        <w:top w:val="none" w:sz="0" w:space="0" w:color="auto"/>
                        <w:left w:val="none" w:sz="0" w:space="0" w:color="auto"/>
                        <w:bottom w:val="none" w:sz="0" w:space="0" w:color="auto"/>
                        <w:right w:val="none" w:sz="0" w:space="0" w:color="auto"/>
                      </w:divBdr>
                    </w:div>
                  </w:divsChild>
                </w:div>
                <w:div w:id="1137382855">
                  <w:marLeft w:val="0"/>
                  <w:marRight w:val="0"/>
                  <w:marTop w:val="0"/>
                  <w:marBottom w:val="0"/>
                  <w:divBdr>
                    <w:top w:val="none" w:sz="0" w:space="0" w:color="auto"/>
                    <w:left w:val="none" w:sz="0" w:space="0" w:color="auto"/>
                    <w:bottom w:val="none" w:sz="0" w:space="0" w:color="auto"/>
                    <w:right w:val="none" w:sz="0" w:space="0" w:color="auto"/>
                  </w:divBdr>
                  <w:divsChild>
                    <w:div w:id="1790780056">
                      <w:marLeft w:val="0"/>
                      <w:marRight w:val="0"/>
                      <w:marTop w:val="0"/>
                      <w:marBottom w:val="0"/>
                      <w:divBdr>
                        <w:top w:val="none" w:sz="0" w:space="0" w:color="auto"/>
                        <w:left w:val="none" w:sz="0" w:space="0" w:color="auto"/>
                        <w:bottom w:val="none" w:sz="0" w:space="0" w:color="auto"/>
                        <w:right w:val="none" w:sz="0" w:space="0" w:color="auto"/>
                      </w:divBdr>
                    </w:div>
                  </w:divsChild>
                </w:div>
                <w:div w:id="1152867784">
                  <w:marLeft w:val="0"/>
                  <w:marRight w:val="0"/>
                  <w:marTop w:val="0"/>
                  <w:marBottom w:val="0"/>
                  <w:divBdr>
                    <w:top w:val="none" w:sz="0" w:space="0" w:color="auto"/>
                    <w:left w:val="none" w:sz="0" w:space="0" w:color="auto"/>
                    <w:bottom w:val="none" w:sz="0" w:space="0" w:color="auto"/>
                    <w:right w:val="none" w:sz="0" w:space="0" w:color="auto"/>
                  </w:divBdr>
                  <w:divsChild>
                    <w:div w:id="2121290746">
                      <w:marLeft w:val="0"/>
                      <w:marRight w:val="0"/>
                      <w:marTop w:val="0"/>
                      <w:marBottom w:val="0"/>
                      <w:divBdr>
                        <w:top w:val="none" w:sz="0" w:space="0" w:color="auto"/>
                        <w:left w:val="none" w:sz="0" w:space="0" w:color="auto"/>
                        <w:bottom w:val="none" w:sz="0" w:space="0" w:color="auto"/>
                        <w:right w:val="none" w:sz="0" w:space="0" w:color="auto"/>
                      </w:divBdr>
                    </w:div>
                  </w:divsChild>
                </w:div>
                <w:div w:id="1221675803">
                  <w:marLeft w:val="0"/>
                  <w:marRight w:val="0"/>
                  <w:marTop w:val="0"/>
                  <w:marBottom w:val="0"/>
                  <w:divBdr>
                    <w:top w:val="none" w:sz="0" w:space="0" w:color="auto"/>
                    <w:left w:val="none" w:sz="0" w:space="0" w:color="auto"/>
                    <w:bottom w:val="none" w:sz="0" w:space="0" w:color="auto"/>
                    <w:right w:val="none" w:sz="0" w:space="0" w:color="auto"/>
                  </w:divBdr>
                  <w:divsChild>
                    <w:div w:id="1939867460">
                      <w:marLeft w:val="0"/>
                      <w:marRight w:val="0"/>
                      <w:marTop w:val="0"/>
                      <w:marBottom w:val="0"/>
                      <w:divBdr>
                        <w:top w:val="none" w:sz="0" w:space="0" w:color="auto"/>
                        <w:left w:val="none" w:sz="0" w:space="0" w:color="auto"/>
                        <w:bottom w:val="none" w:sz="0" w:space="0" w:color="auto"/>
                        <w:right w:val="none" w:sz="0" w:space="0" w:color="auto"/>
                      </w:divBdr>
                    </w:div>
                  </w:divsChild>
                </w:div>
                <w:div w:id="1229072245">
                  <w:marLeft w:val="0"/>
                  <w:marRight w:val="0"/>
                  <w:marTop w:val="0"/>
                  <w:marBottom w:val="0"/>
                  <w:divBdr>
                    <w:top w:val="none" w:sz="0" w:space="0" w:color="auto"/>
                    <w:left w:val="none" w:sz="0" w:space="0" w:color="auto"/>
                    <w:bottom w:val="none" w:sz="0" w:space="0" w:color="auto"/>
                    <w:right w:val="none" w:sz="0" w:space="0" w:color="auto"/>
                  </w:divBdr>
                  <w:divsChild>
                    <w:div w:id="1575700377">
                      <w:marLeft w:val="0"/>
                      <w:marRight w:val="0"/>
                      <w:marTop w:val="0"/>
                      <w:marBottom w:val="0"/>
                      <w:divBdr>
                        <w:top w:val="none" w:sz="0" w:space="0" w:color="auto"/>
                        <w:left w:val="none" w:sz="0" w:space="0" w:color="auto"/>
                        <w:bottom w:val="none" w:sz="0" w:space="0" w:color="auto"/>
                        <w:right w:val="none" w:sz="0" w:space="0" w:color="auto"/>
                      </w:divBdr>
                    </w:div>
                  </w:divsChild>
                </w:div>
                <w:div w:id="1350374111">
                  <w:marLeft w:val="0"/>
                  <w:marRight w:val="0"/>
                  <w:marTop w:val="0"/>
                  <w:marBottom w:val="0"/>
                  <w:divBdr>
                    <w:top w:val="none" w:sz="0" w:space="0" w:color="auto"/>
                    <w:left w:val="none" w:sz="0" w:space="0" w:color="auto"/>
                    <w:bottom w:val="none" w:sz="0" w:space="0" w:color="auto"/>
                    <w:right w:val="none" w:sz="0" w:space="0" w:color="auto"/>
                  </w:divBdr>
                  <w:divsChild>
                    <w:div w:id="700008805">
                      <w:marLeft w:val="0"/>
                      <w:marRight w:val="0"/>
                      <w:marTop w:val="0"/>
                      <w:marBottom w:val="0"/>
                      <w:divBdr>
                        <w:top w:val="none" w:sz="0" w:space="0" w:color="auto"/>
                        <w:left w:val="none" w:sz="0" w:space="0" w:color="auto"/>
                        <w:bottom w:val="none" w:sz="0" w:space="0" w:color="auto"/>
                        <w:right w:val="none" w:sz="0" w:space="0" w:color="auto"/>
                      </w:divBdr>
                    </w:div>
                  </w:divsChild>
                </w:div>
                <w:div w:id="1426850705">
                  <w:marLeft w:val="0"/>
                  <w:marRight w:val="0"/>
                  <w:marTop w:val="0"/>
                  <w:marBottom w:val="0"/>
                  <w:divBdr>
                    <w:top w:val="none" w:sz="0" w:space="0" w:color="auto"/>
                    <w:left w:val="none" w:sz="0" w:space="0" w:color="auto"/>
                    <w:bottom w:val="none" w:sz="0" w:space="0" w:color="auto"/>
                    <w:right w:val="none" w:sz="0" w:space="0" w:color="auto"/>
                  </w:divBdr>
                  <w:divsChild>
                    <w:div w:id="1004161642">
                      <w:marLeft w:val="0"/>
                      <w:marRight w:val="0"/>
                      <w:marTop w:val="0"/>
                      <w:marBottom w:val="0"/>
                      <w:divBdr>
                        <w:top w:val="none" w:sz="0" w:space="0" w:color="auto"/>
                        <w:left w:val="none" w:sz="0" w:space="0" w:color="auto"/>
                        <w:bottom w:val="none" w:sz="0" w:space="0" w:color="auto"/>
                        <w:right w:val="none" w:sz="0" w:space="0" w:color="auto"/>
                      </w:divBdr>
                    </w:div>
                  </w:divsChild>
                </w:div>
                <w:div w:id="1555896383">
                  <w:marLeft w:val="0"/>
                  <w:marRight w:val="0"/>
                  <w:marTop w:val="0"/>
                  <w:marBottom w:val="0"/>
                  <w:divBdr>
                    <w:top w:val="none" w:sz="0" w:space="0" w:color="auto"/>
                    <w:left w:val="none" w:sz="0" w:space="0" w:color="auto"/>
                    <w:bottom w:val="none" w:sz="0" w:space="0" w:color="auto"/>
                    <w:right w:val="none" w:sz="0" w:space="0" w:color="auto"/>
                  </w:divBdr>
                  <w:divsChild>
                    <w:div w:id="1337535730">
                      <w:marLeft w:val="0"/>
                      <w:marRight w:val="0"/>
                      <w:marTop w:val="0"/>
                      <w:marBottom w:val="0"/>
                      <w:divBdr>
                        <w:top w:val="none" w:sz="0" w:space="0" w:color="auto"/>
                        <w:left w:val="none" w:sz="0" w:space="0" w:color="auto"/>
                        <w:bottom w:val="none" w:sz="0" w:space="0" w:color="auto"/>
                        <w:right w:val="none" w:sz="0" w:space="0" w:color="auto"/>
                      </w:divBdr>
                    </w:div>
                  </w:divsChild>
                </w:div>
                <w:div w:id="1560479904">
                  <w:marLeft w:val="0"/>
                  <w:marRight w:val="0"/>
                  <w:marTop w:val="0"/>
                  <w:marBottom w:val="0"/>
                  <w:divBdr>
                    <w:top w:val="none" w:sz="0" w:space="0" w:color="auto"/>
                    <w:left w:val="none" w:sz="0" w:space="0" w:color="auto"/>
                    <w:bottom w:val="none" w:sz="0" w:space="0" w:color="auto"/>
                    <w:right w:val="none" w:sz="0" w:space="0" w:color="auto"/>
                  </w:divBdr>
                  <w:divsChild>
                    <w:div w:id="552665881">
                      <w:marLeft w:val="0"/>
                      <w:marRight w:val="0"/>
                      <w:marTop w:val="0"/>
                      <w:marBottom w:val="0"/>
                      <w:divBdr>
                        <w:top w:val="none" w:sz="0" w:space="0" w:color="auto"/>
                        <w:left w:val="none" w:sz="0" w:space="0" w:color="auto"/>
                        <w:bottom w:val="none" w:sz="0" w:space="0" w:color="auto"/>
                        <w:right w:val="none" w:sz="0" w:space="0" w:color="auto"/>
                      </w:divBdr>
                    </w:div>
                  </w:divsChild>
                </w:div>
                <w:div w:id="1564561392">
                  <w:marLeft w:val="0"/>
                  <w:marRight w:val="0"/>
                  <w:marTop w:val="0"/>
                  <w:marBottom w:val="0"/>
                  <w:divBdr>
                    <w:top w:val="none" w:sz="0" w:space="0" w:color="auto"/>
                    <w:left w:val="none" w:sz="0" w:space="0" w:color="auto"/>
                    <w:bottom w:val="none" w:sz="0" w:space="0" w:color="auto"/>
                    <w:right w:val="none" w:sz="0" w:space="0" w:color="auto"/>
                  </w:divBdr>
                  <w:divsChild>
                    <w:div w:id="332882176">
                      <w:marLeft w:val="0"/>
                      <w:marRight w:val="0"/>
                      <w:marTop w:val="0"/>
                      <w:marBottom w:val="0"/>
                      <w:divBdr>
                        <w:top w:val="none" w:sz="0" w:space="0" w:color="auto"/>
                        <w:left w:val="none" w:sz="0" w:space="0" w:color="auto"/>
                        <w:bottom w:val="none" w:sz="0" w:space="0" w:color="auto"/>
                        <w:right w:val="none" w:sz="0" w:space="0" w:color="auto"/>
                      </w:divBdr>
                    </w:div>
                  </w:divsChild>
                </w:div>
                <w:div w:id="1589847122">
                  <w:marLeft w:val="0"/>
                  <w:marRight w:val="0"/>
                  <w:marTop w:val="0"/>
                  <w:marBottom w:val="0"/>
                  <w:divBdr>
                    <w:top w:val="none" w:sz="0" w:space="0" w:color="auto"/>
                    <w:left w:val="none" w:sz="0" w:space="0" w:color="auto"/>
                    <w:bottom w:val="none" w:sz="0" w:space="0" w:color="auto"/>
                    <w:right w:val="none" w:sz="0" w:space="0" w:color="auto"/>
                  </w:divBdr>
                  <w:divsChild>
                    <w:div w:id="1727414959">
                      <w:marLeft w:val="0"/>
                      <w:marRight w:val="0"/>
                      <w:marTop w:val="0"/>
                      <w:marBottom w:val="0"/>
                      <w:divBdr>
                        <w:top w:val="none" w:sz="0" w:space="0" w:color="auto"/>
                        <w:left w:val="none" w:sz="0" w:space="0" w:color="auto"/>
                        <w:bottom w:val="none" w:sz="0" w:space="0" w:color="auto"/>
                        <w:right w:val="none" w:sz="0" w:space="0" w:color="auto"/>
                      </w:divBdr>
                    </w:div>
                  </w:divsChild>
                </w:div>
                <w:div w:id="1698850083">
                  <w:marLeft w:val="0"/>
                  <w:marRight w:val="0"/>
                  <w:marTop w:val="0"/>
                  <w:marBottom w:val="0"/>
                  <w:divBdr>
                    <w:top w:val="none" w:sz="0" w:space="0" w:color="auto"/>
                    <w:left w:val="none" w:sz="0" w:space="0" w:color="auto"/>
                    <w:bottom w:val="none" w:sz="0" w:space="0" w:color="auto"/>
                    <w:right w:val="none" w:sz="0" w:space="0" w:color="auto"/>
                  </w:divBdr>
                  <w:divsChild>
                    <w:div w:id="2003390716">
                      <w:marLeft w:val="0"/>
                      <w:marRight w:val="0"/>
                      <w:marTop w:val="0"/>
                      <w:marBottom w:val="0"/>
                      <w:divBdr>
                        <w:top w:val="none" w:sz="0" w:space="0" w:color="auto"/>
                        <w:left w:val="none" w:sz="0" w:space="0" w:color="auto"/>
                        <w:bottom w:val="none" w:sz="0" w:space="0" w:color="auto"/>
                        <w:right w:val="none" w:sz="0" w:space="0" w:color="auto"/>
                      </w:divBdr>
                    </w:div>
                  </w:divsChild>
                </w:div>
                <w:div w:id="1705137436">
                  <w:marLeft w:val="0"/>
                  <w:marRight w:val="0"/>
                  <w:marTop w:val="0"/>
                  <w:marBottom w:val="0"/>
                  <w:divBdr>
                    <w:top w:val="none" w:sz="0" w:space="0" w:color="auto"/>
                    <w:left w:val="none" w:sz="0" w:space="0" w:color="auto"/>
                    <w:bottom w:val="none" w:sz="0" w:space="0" w:color="auto"/>
                    <w:right w:val="none" w:sz="0" w:space="0" w:color="auto"/>
                  </w:divBdr>
                  <w:divsChild>
                    <w:div w:id="1471903478">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516308939">
                      <w:marLeft w:val="0"/>
                      <w:marRight w:val="0"/>
                      <w:marTop w:val="0"/>
                      <w:marBottom w:val="0"/>
                      <w:divBdr>
                        <w:top w:val="none" w:sz="0" w:space="0" w:color="auto"/>
                        <w:left w:val="none" w:sz="0" w:space="0" w:color="auto"/>
                        <w:bottom w:val="none" w:sz="0" w:space="0" w:color="auto"/>
                        <w:right w:val="none" w:sz="0" w:space="0" w:color="auto"/>
                      </w:divBdr>
                    </w:div>
                  </w:divsChild>
                </w:div>
                <w:div w:id="1732730307">
                  <w:marLeft w:val="0"/>
                  <w:marRight w:val="0"/>
                  <w:marTop w:val="0"/>
                  <w:marBottom w:val="0"/>
                  <w:divBdr>
                    <w:top w:val="none" w:sz="0" w:space="0" w:color="auto"/>
                    <w:left w:val="none" w:sz="0" w:space="0" w:color="auto"/>
                    <w:bottom w:val="none" w:sz="0" w:space="0" w:color="auto"/>
                    <w:right w:val="none" w:sz="0" w:space="0" w:color="auto"/>
                  </w:divBdr>
                  <w:divsChild>
                    <w:div w:id="1781024565">
                      <w:marLeft w:val="0"/>
                      <w:marRight w:val="0"/>
                      <w:marTop w:val="0"/>
                      <w:marBottom w:val="0"/>
                      <w:divBdr>
                        <w:top w:val="none" w:sz="0" w:space="0" w:color="auto"/>
                        <w:left w:val="none" w:sz="0" w:space="0" w:color="auto"/>
                        <w:bottom w:val="none" w:sz="0" w:space="0" w:color="auto"/>
                        <w:right w:val="none" w:sz="0" w:space="0" w:color="auto"/>
                      </w:divBdr>
                    </w:div>
                  </w:divsChild>
                </w:div>
                <w:div w:id="1767116272">
                  <w:marLeft w:val="0"/>
                  <w:marRight w:val="0"/>
                  <w:marTop w:val="0"/>
                  <w:marBottom w:val="0"/>
                  <w:divBdr>
                    <w:top w:val="none" w:sz="0" w:space="0" w:color="auto"/>
                    <w:left w:val="none" w:sz="0" w:space="0" w:color="auto"/>
                    <w:bottom w:val="none" w:sz="0" w:space="0" w:color="auto"/>
                    <w:right w:val="none" w:sz="0" w:space="0" w:color="auto"/>
                  </w:divBdr>
                  <w:divsChild>
                    <w:div w:id="1004088426">
                      <w:marLeft w:val="0"/>
                      <w:marRight w:val="0"/>
                      <w:marTop w:val="0"/>
                      <w:marBottom w:val="0"/>
                      <w:divBdr>
                        <w:top w:val="none" w:sz="0" w:space="0" w:color="auto"/>
                        <w:left w:val="none" w:sz="0" w:space="0" w:color="auto"/>
                        <w:bottom w:val="none" w:sz="0" w:space="0" w:color="auto"/>
                        <w:right w:val="none" w:sz="0" w:space="0" w:color="auto"/>
                      </w:divBdr>
                    </w:div>
                  </w:divsChild>
                </w:div>
                <w:div w:id="1784575024">
                  <w:marLeft w:val="0"/>
                  <w:marRight w:val="0"/>
                  <w:marTop w:val="0"/>
                  <w:marBottom w:val="0"/>
                  <w:divBdr>
                    <w:top w:val="none" w:sz="0" w:space="0" w:color="auto"/>
                    <w:left w:val="none" w:sz="0" w:space="0" w:color="auto"/>
                    <w:bottom w:val="none" w:sz="0" w:space="0" w:color="auto"/>
                    <w:right w:val="none" w:sz="0" w:space="0" w:color="auto"/>
                  </w:divBdr>
                  <w:divsChild>
                    <w:div w:id="2035643890">
                      <w:marLeft w:val="0"/>
                      <w:marRight w:val="0"/>
                      <w:marTop w:val="0"/>
                      <w:marBottom w:val="0"/>
                      <w:divBdr>
                        <w:top w:val="none" w:sz="0" w:space="0" w:color="auto"/>
                        <w:left w:val="none" w:sz="0" w:space="0" w:color="auto"/>
                        <w:bottom w:val="none" w:sz="0" w:space="0" w:color="auto"/>
                        <w:right w:val="none" w:sz="0" w:space="0" w:color="auto"/>
                      </w:divBdr>
                    </w:div>
                  </w:divsChild>
                </w:div>
                <w:div w:id="1839929906">
                  <w:marLeft w:val="0"/>
                  <w:marRight w:val="0"/>
                  <w:marTop w:val="0"/>
                  <w:marBottom w:val="0"/>
                  <w:divBdr>
                    <w:top w:val="none" w:sz="0" w:space="0" w:color="auto"/>
                    <w:left w:val="none" w:sz="0" w:space="0" w:color="auto"/>
                    <w:bottom w:val="none" w:sz="0" w:space="0" w:color="auto"/>
                    <w:right w:val="none" w:sz="0" w:space="0" w:color="auto"/>
                  </w:divBdr>
                  <w:divsChild>
                    <w:div w:id="1469517691">
                      <w:marLeft w:val="0"/>
                      <w:marRight w:val="0"/>
                      <w:marTop w:val="0"/>
                      <w:marBottom w:val="0"/>
                      <w:divBdr>
                        <w:top w:val="none" w:sz="0" w:space="0" w:color="auto"/>
                        <w:left w:val="none" w:sz="0" w:space="0" w:color="auto"/>
                        <w:bottom w:val="none" w:sz="0" w:space="0" w:color="auto"/>
                        <w:right w:val="none" w:sz="0" w:space="0" w:color="auto"/>
                      </w:divBdr>
                    </w:div>
                  </w:divsChild>
                </w:div>
                <w:div w:id="1859539950">
                  <w:marLeft w:val="0"/>
                  <w:marRight w:val="0"/>
                  <w:marTop w:val="0"/>
                  <w:marBottom w:val="0"/>
                  <w:divBdr>
                    <w:top w:val="none" w:sz="0" w:space="0" w:color="auto"/>
                    <w:left w:val="none" w:sz="0" w:space="0" w:color="auto"/>
                    <w:bottom w:val="none" w:sz="0" w:space="0" w:color="auto"/>
                    <w:right w:val="none" w:sz="0" w:space="0" w:color="auto"/>
                  </w:divBdr>
                  <w:divsChild>
                    <w:div w:id="1804929424">
                      <w:marLeft w:val="0"/>
                      <w:marRight w:val="0"/>
                      <w:marTop w:val="0"/>
                      <w:marBottom w:val="0"/>
                      <w:divBdr>
                        <w:top w:val="none" w:sz="0" w:space="0" w:color="auto"/>
                        <w:left w:val="none" w:sz="0" w:space="0" w:color="auto"/>
                        <w:bottom w:val="none" w:sz="0" w:space="0" w:color="auto"/>
                        <w:right w:val="none" w:sz="0" w:space="0" w:color="auto"/>
                      </w:divBdr>
                    </w:div>
                  </w:divsChild>
                </w:div>
                <w:div w:id="1884711721">
                  <w:marLeft w:val="0"/>
                  <w:marRight w:val="0"/>
                  <w:marTop w:val="0"/>
                  <w:marBottom w:val="0"/>
                  <w:divBdr>
                    <w:top w:val="none" w:sz="0" w:space="0" w:color="auto"/>
                    <w:left w:val="none" w:sz="0" w:space="0" w:color="auto"/>
                    <w:bottom w:val="none" w:sz="0" w:space="0" w:color="auto"/>
                    <w:right w:val="none" w:sz="0" w:space="0" w:color="auto"/>
                  </w:divBdr>
                  <w:divsChild>
                    <w:div w:id="595410147">
                      <w:marLeft w:val="0"/>
                      <w:marRight w:val="0"/>
                      <w:marTop w:val="0"/>
                      <w:marBottom w:val="0"/>
                      <w:divBdr>
                        <w:top w:val="none" w:sz="0" w:space="0" w:color="auto"/>
                        <w:left w:val="none" w:sz="0" w:space="0" w:color="auto"/>
                        <w:bottom w:val="none" w:sz="0" w:space="0" w:color="auto"/>
                        <w:right w:val="none" w:sz="0" w:space="0" w:color="auto"/>
                      </w:divBdr>
                    </w:div>
                  </w:divsChild>
                </w:div>
                <w:div w:id="1977757177">
                  <w:marLeft w:val="0"/>
                  <w:marRight w:val="0"/>
                  <w:marTop w:val="0"/>
                  <w:marBottom w:val="0"/>
                  <w:divBdr>
                    <w:top w:val="none" w:sz="0" w:space="0" w:color="auto"/>
                    <w:left w:val="none" w:sz="0" w:space="0" w:color="auto"/>
                    <w:bottom w:val="none" w:sz="0" w:space="0" w:color="auto"/>
                    <w:right w:val="none" w:sz="0" w:space="0" w:color="auto"/>
                  </w:divBdr>
                  <w:divsChild>
                    <w:div w:id="38017336">
                      <w:marLeft w:val="0"/>
                      <w:marRight w:val="0"/>
                      <w:marTop w:val="0"/>
                      <w:marBottom w:val="0"/>
                      <w:divBdr>
                        <w:top w:val="none" w:sz="0" w:space="0" w:color="auto"/>
                        <w:left w:val="none" w:sz="0" w:space="0" w:color="auto"/>
                        <w:bottom w:val="none" w:sz="0" w:space="0" w:color="auto"/>
                        <w:right w:val="none" w:sz="0" w:space="0" w:color="auto"/>
                      </w:divBdr>
                    </w:div>
                  </w:divsChild>
                </w:div>
                <w:div w:id="1981684982">
                  <w:marLeft w:val="0"/>
                  <w:marRight w:val="0"/>
                  <w:marTop w:val="0"/>
                  <w:marBottom w:val="0"/>
                  <w:divBdr>
                    <w:top w:val="none" w:sz="0" w:space="0" w:color="auto"/>
                    <w:left w:val="none" w:sz="0" w:space="0" w:color="auto"/>
                    <w:bottom w:val="none" w:sz="0" w:space="0" w:color="auto"/>
                    <w:right w:val="none" w:sz="0" w:space="0" w:color="auto"/>
                  </w:divBdr>
                  <w:divsChild>
                    <w:div w:id="754471835">
                      <w:marLeft w:val="0"/>
                      <w:marRight w:val="0"/>
                      <w:marTop w:val="0"/>
                      <w:marBottom w:val="0"/>
                      <w:divBdr>
                        <w:top w:val="none" w:sz="0" w:space="0" w:color="auto"/>
                        <w:left w:val="none" w:sz="0" w:space="0" w:color="auto"/>
                        <w:bottom w:val="none" w:sz="0" w:space="0" w:color="auto"/>
                        <w:right w:val="none" w:sz="0" w:space="0" w:color="auto"/>
                      </w:divBdr>
                    </w:div>
                  </w:divsChild>
                </w:div>
                <w:div w:id="1994066099">
                  <w:marLeft w:val="0"/>
                  <w:marRight w:val="0"/>
                  <w:marTop w:val="0"/>
                  <w:marBottom w:val="0"/>
                  <w:divBdr>
                    <w:top w:val="none" w:sz="0" w:space="0" w:color="auto"/>
                    <w:left w:val="none" w:sz="0" w:space="0" w:color="auto"/>
                    <w:bottom w:val="none" w:sz="0" w:space="0" w:color="auto"/>
                    <w:right w:val="none" w:sz="0" w:space="0" w:color="auto"/>
                  </w:divBdr>
                  <w:divsChild>
                    <w:div w:id="1818187365">
                      <w:marLeft w:val="0"/>
                      <w:marRight w:val="0"/>
                      <w:marTop w:val="0"/>
                      <w:marBottom w:val="0"/>
                      <w:divBdr>
                        <w:top w:val="none" w:sz="0" w:space="0" w:color="auto"/>
                        <w:left w:val="none" w:sz="0" w:space="0" w:color="auto"/>
                        <w:bottom w:val="none" w:sz="0" w:space="0" w:color="auto"/>
                        <w:right w:val="none" w:sz="0" w:space="0" w:color="auto"/>
                      </w:divBdr>
                    </w:div>
                  </w:divsChild>
                </w:div>
                <w:div w:id="2013413020">
                  <w:marLeft w:val="0"/>
                  <w:marRight w:val="0"/>
                  <w:marTop w:val="0"/>
                  <w:marBottom w:val="0"/>
                  <w:divBdr>
                    <w:top w:val="none" w:sz="0" w:space="0" w:color="auto"/>
                    <w:left w:val="none" w:sz="0" w:space="0" w:color="auto"/>
                    <w:bottom w:val="none" w:sz="0" w:space="0" w:color="auto"/>
                    <w:right w:val="none" w:sz="0" w:space="0" w:color="auto"/>
                  </w:divBdr>
                  <w:divsChild>
                    <w:div w:id="1964847507">
                      <w:marLeft w:val="0"/>
                      <w:marRight w:val="0"/>
                      <w:marTop w:val="0"/>
                      <w:marBottom w:val="0"/>
                      <w:divBdr>
                        <w:top w:val="none" w:sz="0" w:space="0" w:color="auto"/>
                        <w:left w:val="none" w:sz="0" w:space="0" w:color="auto"/>
                        <w:bottom w:val="none" w:sz="0" w:space="0" w:color="auto"/>
                        <w:right w:val="none" w:sz="0" w:space="0" w:color="auto"/>
                      </w:divBdr>
                    </w:div>
                  </w:divsChild>
                </w:div>
                <w:div w:id="2017615943">
                  <w:marLeft w:val="0"/>
                  <w:marRight w:val="0"/>
                  <w:marTop w:val="0"/>
                  <w:marBottom w:val="0"/>
                  <w:divBdr>
                    <w:top w:val="none" w:sz="0" w:space="0" w:color="auto"/>
                    <w:left w:val="none" w:sz="0" w:space="0" w:color="auto"/>
                    <w:bottom w:val="none" w:sz="0" w:space="0" w:color="auto"/>
                    <w:right w:val="none" w:sz="0" w:space="0" w:color="auto"/>
                  </w:divBdr>
                  <w:divsChild>
                    <w:div w:id="1986663629">
                      <w:marLeft w:val="0"/>
                      <w:marRight w:val="0"/>
                      <w:marTop w:val="0"/>
                      <w:marBottom w:val="0"/>
                      <w:divBdr>
                        <w:top w:val="none" w:sz="0" w:space="0" w:color="auto"/>
                        <w:left w:val="none" w:sz="0" w:space="0" w:color="auto"/>
                        <w:bottom w:val="none" w:sz="0" w:space="0" w:color="auto"/>
                        <w:right w:val="none" w:sz="0" w:space="0" w:color="auto"/>
                      </w:divBdr>
                    </w:div>
                  </w:divsChild>
                </w:div>
                <w:div w:id="2030136932">
                  <w:marLeft w:val="0"/>
                  <w:marRight w:val="0"/>
                  <w:marTop w:val="0"/>
                  <w:marBottom w:val="0"/>
                  <w:divBdr>
                    <w:top w:val="none" w:sz="0" w:space="0" w:color="auto"/>
                    <w:left w:val="none" w:sz="0" w:space="0" w:color="auto"/>
                    <w:bottom w:val="none" w:sz="0" w:space="0" w:color="auto"/>
                    <w:right w:val="none" w:sz="0" w:space="0" w:color="auto"/>
                  </w:divBdr>
                  <w:divsChild>
                    <w:div w:id="1408848121">
                      <w:marLeft w:val="0"/>
                      <w:marRight w:val="0"/>
                      <w:marTop w:val="0"/>
                      <w:marBottom w:val="0"/>
                      <w:divBdr>
                        <w:top w:val="none" w:sz="0" w:space="0" w:color="auto"/>
                        <w:left w:val="none" w:sz="0" w:space="0" w:color="auto"/>
                        <w:bottom w:val="none" w:sz="0" w:space="0" w:color="auto"/>
                        <w:right w:val="none" w:sz="0" w:space="0" w:color="auto"/>
                      </w:divBdr>
                    </w:div>
                  </w:divsChild>
                </w:div>
                <w:div w:id="2085295501">
                  <w:marLeft w:val="0"/>
                  <w:marRight w:val="0"/>
                  <w:marTop w:val="0"/>
                  <w:marBottom w:val="0"/>
                  <w:divBdr>
                    <w:top w:val="none" w:sz="0" w:space="0" w:color="auto"/>
                    <w:left w:val="none" w:sz="0" w:space="0" w:color="auto"/>
                    <w:bottom w:val="none" w:sz="0" w:space="0" w:color="auto"/>
                    <w:right w:val="none" w:sz="0" w:space="0" w:color="auto"/>
                  </w:divBdr>
                  <w:divsChild>
                    <w:div w:id="864713022">
                      <w:marLeft w:val="0"/>
                      <w:marRight w:val="0"/>
                      <w:marTop w:val="0"/>
                      <w:marBottom w:val="0"/>
                      <w:divBdr>
                        <w:top w:val="none" w:sz="0" w:space="0" w:color="auto"/>
                        <w:left w:val="none" w:sz="0" w:space="0" w:color="auto"/>
                        <w:bottom w:val="none" w:sz="0" w:space="0" w:color="auto"/>
                        <w:right w:val="none" w:sz="0" w:space="0" w:color="auto"/>
                      </w:divBdr>
                    </w:div>
                  </w:divsChild>
                </w:div>
                <w:div w:id="2097821519">
                  <w:marLeft w:val="0"/>
                  <w:marRight w:val="0"/>
                  <w:marTop w:val="0"/>
                  <w:marBottom w:val="0"/>
                  <w:divBdr>
                    <w:top w:val="none" w:sz="0" w:space="0" w:color="auto"/>
                    <w:left w:val="none" w:sz="0" w:space="0" w:color="auto"/>
                    <w:bottom w:val="none" w:sz="0" w:space="0" w:color="auto"/>
                    <w:right w:val="none" w:sz="0" w:space="0" w:color="auto"/>
                  </w:divBdr>
                  <w:divsChild>
                    <w:div w:id="6018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2919">
          <w:marLeft w:val="0"/>
          <w:marRight w:val="0"/>
          <w:marTop w:val="0"/>
          <w:marBottom w:val="0"/>
          <w:divBdr>
            <w:top w:val="none" w:sz="0" w:space="0" w:color="auto"/>
            <w:left w:val="none" w:sz="0" w:space="0" w:color="auto"/>
            <w:bottom w:val="none" w:sz="0" w:space="0" w:color="auto"/>
            <w:right w:val="none" w:sz="0" w:space="0" w:color="auto"/>
          </w:divBdr>
        </w:div>
        <w:div w:id="1310357238">
          <w:marLeft w:val="0"/>
          <w:marRight w:val="0"/>
          <w:marTop w:val="0"/>
          <w:marBottom w:val="0"/>
          <w:divBdr>
            <w:top w:val="none" w:sz="0" w:space="0" w:color="auto"/>
            <w:left w:val="none" w:sz="0" w:space="0" w:color="auto"/>
            <w:bottom w:val="none" w:sz="0" w:space="0" w:color="auto"/>
            <w:right w:val="none" w:sz="0" w:space="0" w:color="auto"/>
          </w:divBdr>
        </w:div>
        <w:div w:id="1409182907">
          <w:marLeft w:val="0"/>
          <w:marRight w:val="0"/>
          <w:marTop w:val="0"/>
          <w:marBottom w:val="0"/>
          <w:divBdr>
            <w:top w:val="none" w:sz="0" w:space="0" w:color="auto"/>
            <w:left w:val="none" w:sz="0" w:space="0" w:color="auto"/>
            <w:bottom w:val="none" w:sz="0" w:space="0" w:color="auto"/>
            <w:right w:val="none" w:sz="0" w:space="0" w:color="auto"/>
          </w:divBdr>
        </w:div>
        <w:div w:id="1468933768">
          <w:marLeft w:val="0"/>
          <w:marRight w:val="0"/>
          <w:marTop w:val="0"/>
          <w:marBottom w:val="0"/>
          <w:divBdr>
            <w:top w:val="none" w:sz="0" w:space="0" w:color="auto"/>
            <w:left w:val="none" w:sz="0" w:space="0" w:color="auto"/>
            <w:bottom w:val="none" w:sz="0" w:space="0" w:color="auto"/>
            <w:right w:val="none" w:sz="0" w:space="0" w:color="auto"/>
          </w:divBdr>
        </w:div>
      </w:divsChild>
    </w:div>
    <w:div w:id="1450708912">
      <w:bodyDiv w:val="1"/>
      <w:marLeft w:val="0"/>
      <w:marRight w:val="0"/>
      <w:marTop w:val="0"/>
      <w:marBottom w:val="0"/>
      <w:divBdr>
        <w:top w:val="none" w:sz="0" w:space="0" w:color="auto"/>
        <w:left w:val="none" w:sz="0" w:space="0" w:color="auto"/>
        <w:bottom w:val="none" w:sz="0" w:space="0" w:color="auto"/>
        <w:right w:val="none" w:sz="0" w:space="0" w:color="auto"/>
      </w:divBdr>
    </w:div>
    <w:div w:id="1476683923">
      <w:bodyDiv w:val="1"/>
      <w:marLeft w:val="0"/>
      <w:marRight w:val="0"/>
      <w:marTop w:val="0"/>
      <w:marBottom w:val="0"/>
      <w:divBdr>
        <w:top w:val="none" w:sz="0" w:space="0" w:color="auto"/>
        <w:left w:val="none" w:sz="0" w:space="0" w:color="auto"/>
        <w:bottom w:val="none" w:sz="0" w:space="0" w:color="auto"/>
        <w:right w:val="none" w:sz="0" w:space="0" w:color="auto"/>
      </w:divBdr>
      <w:divsChild>
        <w:div w:id="1538547718">
          <w:marLeft w:val="274"/>
          <w:marRight w:val="0"/>
          <w:marTop w:val="0"/>
          <w:marBottom w:val="0"/>
          <w:divBdr>
            <w:top w:val="none" w:sz="0" w:space="0" w:color="auto"/>
            <w:left w:val="none" w:sz="0" w:space="0" w:color="auto"/>
            <w:bottom w:val="none" w:sz="0" w:space="0" w:color="auto"/>
            <w:right w:val="none" w:sz="0" w:space="0" w:color="auto"/>
          </w:divBdr>
        </w:div>
      </w:divsChild>
    </w:div>
    <w:div w:id="1484662848">
      <w:bodyDiv w:val="1"/>
      <w:marLeft w:val="0"/>
      <w:marRight w:val="0"/>
      <w:marTop w:val="0"/>
      <w:marBottom w:val="0"/>
      <w:divBdr>
        <w:top w:val="none" w:sz="0" w:space="0" w:color="auto"/>
        <w:left w:val="none" w:sz="0" w:space="0" w:color="auto"/>
        <w:bottom w:val="none" w:sz="0" w:space="0" w:color="auto"/>
        <w:right w:val="none" w:sz="0" w:space="0" w:color="auto"/>
      </w:divBdr>
    </w:div>
    <w:div w:id="1530414764">
      <w:bodyDiv w:val="1"/>
      <w:marLeft w:val="0"/>
      <w:marRight w:val="0"/>
      <w:marTop w:val="0"/>
      <w:marBottom w:val="0"/>
      <w:divBdr>
        <w:top w:val="none" w:sz="0" w:space="0" w:color="auto"/>
        <w:left w:val="none" w:sz="0" w:space="0" w:color="auto"/>
        <w:bottom w:val="none" w:sz="0" w:space="0" w:color="auto"/>
        <w:right w:val="none" w:sz="0" w:space="0" w:color="auto"/>
      </w:divBdr>
      <w:divsChild>
        <w:div w:id="596644450">
          <w:marLeft w:val="274"/>
          <w:marRight w:val="0"/>
          <w:marTop w:val="0"/>
          <w:marBottom w:val="0"/>
          <w:divBdr>
            <w:top w:val="none" w:sz="0" w:space="0" w:color="auto"/>
            <w:left w:val="none" w:sz="0" w:space="0" w:color="auto"/>
            <w:bottom w:val="none" w:sz="0" w:space="0" w:color="auto"/>
            <w:right w:val="none" w:sz="0" w:space="0" w:color="auto"/>
          </w:divBdr>
        </w:div>
        <w:div w:id="865098430">
          <w:marLeft w:val="274"/>
          <w:marRight w:val="0"/>
          <w:marTop w:val="0"/>
          <w:marBottom w:val="0"/>
          <w:divBdr>
            <w:top w:val="none" w:sz="0" w:space="0" w:color="auto"/>
            <w:left w:val="none" w:sz="0" w:space="0" w:color="auto"/>
            <w:bottom w:val="none" w:sz="0" w:space="0" w:color="auto"/>
            <w:right w:val="none" w:sz="0" w:space="0" w:color="auto"/>
          </w:divBdr>
        </w:div>
        <w:div w:id="1650550873">
          <w:marLeft w:val="274"/>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79746051">
      <w:bodyDiv w:val="1"/>
      <w:marLeft w:val="0"/>
      <w:marRight w:val="0"/>
      <w:marTop w:val="0"/>
      <w:marBottom w:val="0"/>
      <w:divBdr>
        <w:top w:val="none" w:sz="0" w:space="0" w:color="auto"/>
        <w:left w:val="none" w:sz="0" w:space="0" w:color="auto"/>
        <w:bottom w:val="none" w:sz="0" w:space="0" w:color="auto"/>
        <w:right w:val="none" w:sz="0" w:space="0" w:color="auto"/>
      </w:divBdr>
    </w:div>
    <w:div w:id="1592275111">
      <w:bodyDiv w:val="1"/>
      <w:marLeft w:val="0"/>
      <w:marRight w:val="0"/>
      <w:marTop w:val="0"/>
      <w:marBottom w:val="0"/>
      <w:divBdr>
        <w:top w:val="none" w:sz="0" w:space="0" w:color="auto"/>
        <w:left w:val="none" w:sz="0" w:space="0" w:color="auto"/>
        <w:bottom w:val="none" w:sz="0" w:space="0" w:color="auto"/>
        <w:right w:val="none" w:sz="0" w:space="0" w:color="auto"/>
      </w:divBdr>
    </w:div>
    <w:div w:id="1612005749">
      <w:bodyDiv w:val="1"/>
      <w:marLeft w:val="0"/>
      <w:marRight w:val="0"/>
      <w:marTop w:val="0"/>
      <w:marBottom w:val="0"/>
      <w:divBdr>
        <w:top w:val="none" w:sz="0" w:space="0" w:color="auto"/>
        <w:left w:val="none" w:sz="0" w:space="0" w:color="auto"/>
        <w:bottom w:val="none" w:sz="0" w:space="0" w:color="auto"/>
        <w:right w:val="none" w:sz="0" w:space="0" w:color="auto"/>
      </w:divBdr>
    </w:div>
    <w:div w:id="1626042602">
      <w:bodyDiv w:val="1"/>
      <w:marLeft w:val="0"/>
      <w:marRight w:val="0"/>
      <w:marTop w:val="0"/>
      <w:marBottom w:val="0"/>
      <w:divBdr>
        <w:top w:val="none" w:sz="0" w:space="0" w:color="auto"/>
        <w:left w:val="none" w:sz="0" w:space="0" w:color="auto"/>
        <w:bottom w:val="none" w:sz="0" w:space="0" w:color="auto"/>
        <w:right w:val="none" w:sz="0" w:space="0" w:color="auto"/>
      </w:divBdr>
    </w:div>
    <w:div w:id="1633825217">
      <w:bodyDiv w:val="1"/>
      <w:marLeft w:val="0"/>
      <w:marRight w:val="0"/>
      <w:marTop w:val="0"/>
      <w:marBottom w:val="0"/>
      <w:divBdr>
        <w:top w:val="none" w:sz="0" w:space="0" w:color="auto"/>
        <w:left w:val="none" w:sz="0" w:space="0" w:color="auto"/>
        <w:bottom w:val="none" w:sz="0" w:space="0" w:color="auto"/>
        <w:right w:val="none" w:sz="0" w:space="0" w:color="auto"/>
      </w:divBdr>
      <w:divsChild>
        <w:div w:id="97677206">
          <w:marLeft w:val="0"/>
          <w:marRight w:val="0"/>
          <w:marTop w:val="0"/>
          <w:marBottom w:val="0"/>
          <w:divBdr>
            <w:top w:val="none" w:sz="0" w:space="0" w:color="auto"/>
            <w:left w:val="none" w:sz="0" w:space="0" w:color="auto"/>
            <w:bottom w:val="none" w:sz="0" w:space="0" w:color="auto"/>
            <w:right w:val="none" w:sz="0" w:space="0" w:color="auto"/>
          </w:divBdr>
        </w:div>
        <w:div w:id="742026574">
          <w:marLeft w:val="0"/>
          <w:marRight w:val="0"/>
          <w:marTop w:val="0"/>
          <w:marBottom w:val="0"/>
          <w:divBdr>
            <w:top w:val="none" w:sz="0" w:space="0" w:color="auto"/>
            <w:left w:val="none" w:sz="0" w:space="0" w:color="auto"/>
            <w:bottom w:val="none" w:sz="0" w:space="0" w:color="auto"/>
            <w:right w:val="none" w:sz="0" w:space="0" w:color="auto"/>
          </w:divBdr>
        </w:div>
        <w:div w:id="1723402931">
          <w:marLeft w:val="0"/>
          <w:marRight w:val="0"/>
          <w:marTop w:val="0"/>
          <w:marBottom w:val="0"/>
          <w:divBdr>
            <w:top w:val="none" w:sz="0" w:space="0" w:color="auto"/>
            <w:left w:val="none" w:sz="0" w:space="0" w:color="auto"/>
            <w:bottom w:val="none" w:sz="0" w:space="0" w:color="auto"/>
            <w:right w:val="none" w:sz="0" w:space="0" w:color="auto"/>
          </w:divBdr>
        </w:div>
      </w:divsChild>
    </w:div>
    <w:div w:id="1686900984">
      <w:bodyDiv w:val="1"/>
      <w:marLeft w:val="0"/>
      <w:marRight w:val="0"/>
      <w:marTop w:val="0"/>
      <w:marBottom w:val="0"/>
      <w:divBdr>
        <w:top w:val="none" w:sz="0" w:space="0" w:color="auto"/>
        <w:left w:val="none" w:sz="0" w:space="0" w:color="auto"/>
        <w:bottom w:val="none" w:sz="0" w:space="0" w:color="auto"/>
        <w:right w:val="none" w:sz="0" w:space="0" w:color="auto"/>
      </w:divBdr>
      <w:divsChild>
        <w:div w:id="1614050151">
          <w:marLeft w:val="0"/>
          <w:marRight w:val="0"/>
          <w:marTop w:val="0"/>
          <w:marBottom w:val="0"/>
          <w:divBdr>
            <w:top w:val="none" w:sz="0" w:space="0" w:color="auto"/>
            <w:left w:val="none" w:sz="0" w:space="0" w:color="auto"/>
            <w:bottom w:val="none" w:sz="0" w:space="0" w:color="auto"/>
            <w:right w:val="none" w:sz="0" w:space="0" w:color="auto"/>
          </w:divBdr>
          <w:divsChild>
            <w:div w:id="182475741">
              <w:marLeft w:val="0"/>
              <w:marRight w:val="0"/>
              <w:marTop w:val="0"/>
              <w:marBottom w:val="0"/>
              <w:divBdr>
                <w:top w:val="none" w:sz="0" w:space="0" w:color="auto"/>
                <w:left w:val="none" w:sz="0" w:space="0" w:color="auto"/>
                <w:bottom w:val="none" w:sz="0" w:space="0" w:color="auto"/>
                <w:right w:val="none" w:sz="0" w:space="0" w:color="auto"/>
              </w:divBdr>
            </w:div>
            <w:div w:id="625962498">
              <w:marLeft w:val="0"/>
              <w:marRight w:val="0"/>
              <w:marTop w:val="0"/>
              <w:marBottom w:val="0"/>
              <w:divBdr>
                <w:top w:val="none" w:sz="0" w:space="0" w:color="auto"/>
                <w:left w:val="none" w:sz="0" w:space="0" w:color="auto"/>
                <w:bottom w:val="none" w:sz="0" w:space="0" w:color="auto"/>
                <w:right w:val="none" w:sz="0" w:space="0" w:color="auto"/>
              </w:divBdr>
            </w:div>
            <w:div w:id="1361783321">
              <w:marLeft w:val="0"/>
              <w:marRight w:val="0"/>
              <w:marTop w:val="0"/>
              <w:marBottom w:val="0"/>
              <w:divBdr>
                <w:top w:val="none" w:sz="0" w:space="0" w:color="auto"/>
                <w:left w:val="none" w:sz="0" w:space="0" w:color="auto"/>
                <w:bottom w:val="none" w:sz="0" w:space="0" w:color="auto"/>
                <w:right w:val="none" w:sz="0" w:space="0" w:color="auto"/>
              </w:divBdr>
            </w:div>
            <w:div w:id="1667660690">
              <w:marLeft w:val="0"/>
              <w:marRight w:val="0"/>
              <w:marTop w:val="0"/>
              <w:marBottom w:val="0"/>
              <w:divBdr>
                <w:top w:val="none" w:sz="0" w:space="0" w:color="auto"/>
                <w:left w:val="none" w:sz="0" w:space="0" w:color="auto"/>
                <w:bottom w:val="none" w:sz="0" w:space="0" w:color="auto"/>
                <w:right w:val="none" w:sz="0" w:space="0" w:color="auto"/>
              </w:divBdr>
            </w:div>
            <w:div w:id="2118600621">
              <w:marLeft w:val="0"/>
              <w:marRight w:val="0"/>
              <w:marTop w:val="0"/>
              <w:marBottom w:val="0"/>
              <w:divBdr>
                <w:top w:val="none" w:sz="0" w:space="0" w:color="auto"/>
                <w:left w:val="none" w:sz="0" w:space="0" w:color="auto"/>
                <w:bottom w:val="none" w:sz="0" w:space="0" w:color="auto"/>
                <w:right w:val="none" w:sz="0" w:space="0" w:color="auto"/>
              </w:divBdr>
            </w:div>
          </w:divsChild>
        </w:div>
        <w:div w:id="1735741321">
          <w:marLeft w:val="0"/>
          <w:marRight w:val="0"/>
          <w:marTop w:val="0"/>
          <w:marBottom w:val="0"/>
          <w:divBdr>
            <w:top w:val="none" w:sz="0" w:space="0" w:color="auto"/>
            <w:left w:val="none" w:sz="0" w:space="0" w:color="auto"/>
            <w:bottom w:val="none" w:sz="0" w:space="0" w:color="auto"/>
            <w:right w:val="none" w:sz="0" w:space="0" w:color="auto"/>
          </w:divBdr>
          <w:divsChild>
            <w:div w:id="576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158">
      <w:bodyDiv w:val="1"/>
      <w:marLeft w:val="0"/>
      <w:marRight w:val="0"/>
      <w:marTop w:val="0"/>
      <w:marBottom w:val="0"/>
      <w:divBdr>
        <w:top w:val="none" w:sz="0" w:space="0" w:color="auto"/>
        <w:left w:val="none" w:sz="0" w:space="0" w:color="auto"/>
        <w:bottom w:val="none" w:sz="0" w:space="0" w:color="auto"/>
        <w:right w:val="none" w:sz="0" w:space="0" w:color="auto"/>
      </w:divBdr>
    </w:div>
    <w:div w:id="1698968067">
      <w:bodyDiv w:val="1"/>
      <w:marLeft w:val="0"/>
      <w:marRight w:val="0"/>
      <w:marTop w:val="0"/>
      <w:marBottom w:val="0"/>
      <w:divBdr>
        <w:top w:val="none" w:sz="0" w:space="0" w:color="auto"/>
        <w:left w:val="none" w:sz="0" w:space="0" w:color="auto"/>
        <w:bottom w:val="none" w:sz="0" w:space="0" w:color="auto"/>
        <w:right w:val="none" w:sz="0" w:space="0" w:color="auto"/>
      </w:divBdr>
    </w:div>
    <w:div w:id="1701781630">
      <w:bodyDiv w:val="1"/>
      <w:marLeft w:val="0"/>
      <w:marRight w:val="0"/>
      <w:marTop w:val="0"/>
      <w:marBottom w:val="0"/>
      <w:divBdr>
        <w:top w:val="none" w:sz="0" w:space="0" w:color="auto"/>
        <w:left w:val="none" w:sz="0" w:space="0" w:color="auto"/>
        <w:bottom w:val="none" w:sz="0" w:space="0" w:color="auto"/>
        <w:right w:val="none" w:sz="0" w:space="0" w:color="auto"/>
      </w:divBdr>
    </w:div>
    <w:div w:id="1756785233">
      <w:bodyDiv w:val="1"/>
      <w:marLeft w:val="0"/>
      <w:marRight w:val="0"/>
      <w:marTop w:val="0"/>
      <w:marBottom w:val="0"/>
      <w:divBdr>
        <w:top w:val="none" w:sz="0" w:space="0" w:color="auto"/>
        <w:left w:val="none" w:sz="0" w:space="0" w:color="auto"/>
        <w:bottom w:val="none" w:sz="0" w:space="0" w:color="auto"/>
        <w:right w:val="none" w:sz="0" w:space="0" w:color="auto"/>
      </w:divBdr>
      <w:divsChild>
        <w:div w:id="1176728480">
          <w:marLeft w:val="0"/>
          <w:marRight w:val="0"/>
          <w:marTop w:val="0"/>
          <w:marBottom w:val="0"/>
          <w:divBdr>
            <w:top w:val="none" w:sz="0" w:space="0" w:color="auto"/>
            <w:left w:val="none" w:sz="0" w:space="0" w:color="auto"/>
            <w:bottom w:val="none" w:sz="0" w:space="0" w:color="auto"/>
            <w:right w:val="none" w:sz="0" w:space="0" w:color="auto"/>
          </w:divBdr>
        </w:div>
        <w:div w:id="1538346862">
          <w:marLeft w:val="0"/>
          <w:marRight w:val="0"/>
          <w:marTop w:val="0"/>
          <w:marBottom w:val="0"/>
          <w:divBdr>
            <w:top w:val="none" w:sz="0" w:space="0" w:color="auto"/>
            <w:left w:val="none" w:sz="0" w:space="0" w:color="auto"/>
            <w:bottom w:val="none" w:sz="0" w:space="0" w:color="auto"/>
            <w:right w:val="none" w:sz="0" w:space="0" w:color="auto"/>
          </w:divBdr>
        </w:div>
      </w:divsChild>
    </w:div>
    <w:div w:id="1771467928">
      <w:bodyDiv w:val="1"/>
      <w:marLeft w:val="0"/>
      <w:marRight w:val="0"/>
      <w:marTop w:val="0"/>
      <w:marBottom w:val="0"/>
      <w:divBdr>
        <w:top w:val="none" w:sz="0" w:space="0" w:color="auto"/>
        <w:left w:val="none" w:sz="0" w:space="0" w:color="auto"/>
        <w:bottom w:val="none" w:sz="0" w:space="0" w:color="auto"/>
        <w:right w:val="none" w:sz="0" w:space="0" w:color="auto"/>
      </w:divBdr>
    </w:div>
    <w:div w:id="1793135796">
      <w:bodyDiv w:val="1"/>
      <w:marLeft w:val="0"/>
      <w:marRight w:val="0"/>
      <w:marTop w:val="0"/>
      <w:marBottom w:val="0"/>
      <w:divBdr>
        <w:top w:val="none" w:sz="0" w:space="0" w:color="auto"/>
        <w:left w:val="none" w:sz="0" w:space="0" w:color="auto"/>
        <w:bottom w:val="none" w:sz="0" w:space="0" w:color="auto"/>
        <w:right w:val="none" w:sz="0" w:space="0" w:color="auto"/>
      </w:divBdr>
    </w:div>
    <w:div w:id="1796212970">
      <w:bodyDiv w:val="1"/>
      <w:marLeft w:val="0"/>
      <w:marRight w:val="0"/>
      <w:marTop w:val="0"/>
      <w:marBottom w:val="0"/>
      <w:divBdr>
        <w:top w:val="none" w:sz="0" w:space="0" w:color="auto"/>
        <w:left w:val="none" w:sz="0" w:space="0" w:color="auto"/>
        <w:bottom w:val="none" w:sz="0" w:space="0" w:color="auto"/>
        <w:right w:val="none" w:sz="0" w:space="0" w:color="auto"/>
      </w:divBdr>
      <w:divsChild>
        <w:div w:id="106782764">
          <w:marLeft w:val="0"/>
          <w:marRight w:val="0"/>
          <w:marTop w:val="0"/>
          <w:marBottom w:val="0"/>
          <w:divBdr>
            <w:top w:val="none" w:sz="0" w:space="0" w:color="auto"/>
            <w:left w:val="none" w:sz="0" w:space="0" w:color="auto"/>
            <w:bottom w:val="none" w:sz="0" w:space="0" w:color="auto"/>
            <w:right w:val="none" w:sz="0" w:space="0" w:color="auto"/>
          </w:divBdr>
        </w:div>
        <w:div w:id="338390768">
          <w:marLeft w:val="0"/>
          <w:marRight w:val="0"/>
          <w:marTop w:val="0"/>
          <w:marBottom w:val="0"/>
          <w:divBdr>
            <w:top w:val="none" w:sz="0" w:space="0" w:color="auto"/>
            <w:left w:val="none" w:sz="0" w:space="0" w:color="auto"/>
            <w:bottom w:val="none" w:sz="0" w:space="0" w:color="auto"/>
            <w:right w:val="none" w:sz="0" w:space="0" w:color="auto"/>
          </w:divBdr>
        </w:div>
        <w:div w:id="355427484">
          <w:marLeft w:val="0"/>
          <w:marRight w:val="0"/>
          <w:marTop w:val="0"/>
          <w:marBottom w:val="0"/>
          <w:divBdr>
            <w:top w:val="none" w:sz="0" w:space="0" w:color="auto"/>
            <w:left w:val="none" w:sz="0" w:space="0" w:color="auto"/>
            <w:bottom w:val="none" w:sz="0" w:space="0" w:color="auto"/>
            <w:right w:val="none" w:sz="0" w:space="0" w:color="auto"/>
          </w:divBdr>
        </w:div>
      </w:divsChild>
    </w:div>
    <w:div w:id="1825776879">
      <w:bodyDiv w:val="1"/>
      <w:marLeft w:val="0"/>
      <w:marRight w:val="0"/>
      <w:marTop w:val="0"/>
      <w:marBottom w:val="0"/>
      <w:divBdr>
        <w:top w:val="none" w:sz="0" w:space="0" w:color="auto"/>
        <w:left w:val="none" w:sz="0" w:space="0" w:color="auto"/>
        <w:bottom w:val="none" w:sz="0" w:space="0" w:color="auto"/>
        <w:right w:val="none" w:sz="0" w:space="0" w:color="auto"/>
      </w:divBdr>
      <w:divsChild>
        <w:div w:id="146017920">
          <w:marLeft w:val="547"/>
          <w:marRight w:val="0"/>
          <w:marTop w:val="0"/>
          <w:marBottom w:val="0"/>
          <w:divBdr>
            <w:top w:val="none" w:sz="0" w:space="0" w:color="auto"/>
            <w:left w:val="none" w:sz="0" w:space="0" w:color="auto"/>
            <w:bottom w:val="none" w:sz="0" w:space="0" w:color="auto"/>
            <w:right w:val="none" w:sz="0" w:space="0" w:color="auto"/>
          </w:divBdr>
        </w:div>
        <w:div w:id="898319771">
          <w:marLeft w:val="547"/>
          <w:marRight w:val="0"/>
          <w:marTop w:val="0"/>
          <w:marBottom w:val="0"/>
          <w:divBdr>
            <w:top w:val="none" w:sz="0" w:space="0" w:color="auto"/>
            <w:left w:val="none" w:sz="0" w:space="0" w:color="auto"/>
            <w:bottom w:val="none" w:sz="0" w:space="0" w:color="auto"/>
            <w:right w:val="none" w:sz="0" w:space="0" w:color="auto"/>
          </w:divBdr>
        </w:div>
        <w:div w:id="993607431">
          <w:marLeft w:val="547"/>
          <w:marRight w:val="0"/>
          <w:marTop w:val="0"/>
          <w:marBottom w:val="0"/>
          <w:divBdr>
            <w:top w:val="none" w:sz="0" w:space="0" w:color="auto"/>
            <w:left w:val="none" w:sz="0" w:space="0" w:color="auto"/>
            <w:bottom w:val="none" w:sz="0" w:space="0" w:color="auto"/>
            <w:right w:val="none" w:sz="0" w:space="0" w:color="auto"/>
          </w:divBdr>
        </w:div>
        <w:div w:id="2053267146">
          <w:marLeft w:val="547"/>
          <w:marRight w:val="0"/>
          <w:marTop w:val="0"/>
          <w:marBottom w:val="0"/>
          <w:divBdr>
            <w:top w:val="none" w:sz="0" w:space="0" w:color="auto"/>
            <w:left w:val="none" w:sz="0" w:space="0" w:color="auto"/>
            <w:bottom w:val="none" w:sz="0" w:space="0" w:color="auto"/>
            <w:right w:val="none" w:sz="0" w:space="0" w:color="auto"/>
          </w:divBdr>
        </w:div>
      </w:divsChild>
    </w:div>
    <w:div w:id="1888688622">
      <w:bodyDiv w:val="1"/>
      <w:marLeft w:val="0"/>
      <w:marRight w:val="0"/>
      <w:marTop w:val="0"/>
      <w:marBottom w:val="0"/>
      <w:divBdr>
        <w:top w:val="none" w:sz="0" w:space="0" w:color="auto"/>
        <w:left w:val="none" w:sz="0" w:space="0" w:color="auto"/>
        <w:bottom w:val="none" w:sz="0" w:space="0" w:color="auto"/>
        <w:right w:val="none" w:sz="0" w:space="0" w:color="auto"/>
      </w:divBdr>
    </w:div>
    <w:div w:id="1894387957">
      <w:bodyDiv w:val="1"/>
      <w:marLeft w:val="0"/>
      <w:marRight w:val="0"/>
      <w:marTop w:val="0"/>
      <w:marBottom w:val="0"/>
      <w:divBdr>
        <w:top w:val="none" w:sz="0" w:space="0" w:color="auto"/>
        <w:left w:val="none" w:sz="0" w:space="0" w:color="auto"/>
        <w:bottom w:val="none" w:sz="0" w:space="0" w:color="auto"/>
        <w:right w:val="none" w:sz="0" w:space="0" w:color="auto"/>
      </w:divBdr>
    </w:div>
    <w:div w:id="1926764231">
      <w:bodyDiv w:val="1"/>
      <w:marLeft w:val="0"/>
      <w:marRight w:val="0"/>
      <w:marTop w:val="0"/>
      <w:marBottom w:val="0"/>
      <w:divBdr>
        <w:top w:val="none" w:sz="0" w:space="0" w:color="auto"/>
        <w:left w:val="none" w:sz="0" w:space="0" w:color="auto"/>
        <w:bottom w:val="none" w:sz="0" w:space="0" w:color="auto"/>
        <w:right w:val="none" w:sz="0" w:space="0" w:color="auto"/>
      </w:divBdr>
      <w:divsChild>
        <w:div w:id="1259631573">
          <w:marLeft w:val="0"/>
          <w:marRight w:val="0"/>
          <w:marTop w:val="0"/>
          <w:marBottom w:val="0"/>
          <w:divBdr>
            <w:top w:val="none" w:sz="0" w:space="0" w:color="auto"/>
            <w:left w:val="none" w:sz="0" w:space="0" w:color="auto"/>
            <w:bottom w:val="none" w:sz="0" w:space="0" w:color="auto"/>
            <w:right w:val="none" w:sz="0" w:space="0" w:color="auto"/>
          </w:divBdr>
        </w:div>
        <w:div w:id="1465394125">
          <w:marLeft w:val="0"/>
          <w:marRight w:val="0"/>
          <w:marTop w:val="0"/>
          <w:marBottom w:val="0"/>
          <w:divBdr>
            <w:top w:val="none" w:sz="0" w:space="0" w:color="auto"/>
            <w:left w:val="none" w:sz="0" w:space="0" w:color="auto"/>
            <w:bottom w:val="none" w:sz="0" w:space="0" w:color="auto"/>
            <w:right w:val="none" w:sz="0" w:space="0" w:color="auto"/>
          </w:divBdr>
        </w:div>
      </w:divsChild>
    </w:div>
    <w:div w:id="1935279855">
      <w:bodyDiv w:val="1"/>
      <w:marLeft w:val="0"/>
      <w:marRight w:val="0"/>
      <w:marTop w:val="0"/>
      <w:marBottom w:val="0"/>
      <w:divBdr>
        <w:top w:val="none" w:sz="0" w:space="0" w:color="auto"/>
        <w:left w:val="none" w:sz="0" w:space="0" w:color="auto"/>
        <w:bottom w:val="none" w:sz="0" w:space="0" w:color="auto"/>
        <w:right w:val="none" w:sz="0" w:space="0" w:color="auto"/>
      </w:divBdr>
      <w:divsChild>
        <w:div w:id="286931196">
          <w:marLeft w:val="0"/>
          <w:marRight w:val="0"/>
          <w:marTop w:val="0"/>
          <w:marBottom w:val="0"/>
          <w:divBdr>
            <w:top w:val="none" w:sz="0" w:space="0" w:color="auto"/>
            <w:left w:val="none" w:sz="0" w:space="0" w:color="auto"/>
            <w:bottom w:val="none" w:sz="0" w:space="0" w:color="auto"/>
            <w:right w:val="none" w:sz="0" w:space="0" w:color="auto"/>
          </w:divBdr>
          <w:divsChild>
            <w:div w:id="1144857403">
              <w:marLeft w:val="0"/>
              <w:marRight w:val="0"/>
              <w:marTop w:val="0"/>
              <w:marBottom w:val="0"/>
              <w:divBdr>
                <w:top w:val="none" w:sz="0" w:space="0" w:color="auto"/>
                <w:left w:val="none" w:sz="0" w:space="0" w:color="auto"/>
                <w:bottom w:val="none" w:sz="0" w:space="0" w:color="auto"/>
                <w:right w:val="none" w:sz="0" w:space="0" w:color="auto"/>
              </w:divBdr>
            </w:div>
          </w:divsChild>
        </w:div>
        <w:div w:id="566190757">
          <w:marLeft w:val="0"/>
          <w:marRight w:val="0"/>
          <w:marTop w:val="0"/>
          <w:marBottom w:val="0"/>
          <w:divBdr>
            <w:top w:val="none" w:sz="0" w:space="0" w:color="auto"/>
            <w:left w:val="none" w:sz="0" w:space="0" w:color="auto"/>
            <w:bottom w:val="none" w:sz="0" w:space="0" w:color="auto"/>
            <w:right w:val="none" w:sz="0" w:space="0" w:color="auto"/>
          </w:divBdr>
          <w:divsChild>
            <w:div w:id="6802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871">
      <w:bodyDiv w:val="1"/>
      <w:marLeft w:val="0"/>
      <w:marRight w:val="0"/>
      <w:marTop w:val="0"/>
      <w:marBottom w:val="0"/>
      <w:divBdr>
        <w:top w:val="none" w:sz="0" w:space="0" w:color="auto"/>
        <w:left w:val="none" w:sz="0" w:space="0" w:color="auto"/>
        <w:bottom w:val="none" w:sz="0" w:space="0" w:color="auto"/>
        <w:right w:val="none" w:sz="0" w:space="0" w:color="auto"/>
      </w:divBdr>
    </w:div>
    <w:div w:id="1939823466">
      <w:bodyDiv w:val="1"/>
      <w:marLeft w:val="0"/>
      <w:marRight w:val="0"/>
      <w:marTop w:val="0"/>
      <w:marBottom w:val="0"/>
      <w:divBdr>
        <w:top w:val="none" w:sz="0" w:space="0" w:color="auto"/>
        <w:left w:val="none" w:sz="0" w:space="0" w:color="auto"/>
        <w:bottom w:val="none" w:sz="0" w:space="0" w:color="auto"/>
        <w:right w:val="none" w:sz="0" w:space="0" w:color="auto"/>
      </w:divBdr>
    </w:div>
    <w:div w:id="1959530943">
      <w:bodyDiv w:val="1"/>
      <w:marLeft w:val="0"/>
      <w:marRight w:val="0"/>
      <w:marTop w:val="0"/>
      <w:marBottom w:val="0"/>
      <w:divBdr>
        <w:top w:val="none" w:sz="0" w:space="0" w:color="auto"/>
        <w:left w:val="none" w:sz="0" w:space="0" w:color="auto"/>
        <w:bottom w:val="none" w:sz="0" w:space="0" w:color="auto"/>
        <w:right w:val="none" w:sz="0" w:space="0" w:color="auto"/>
      </w:divBdr>
      <w:divsChild>
        <w:div w:id="130287776">
          <w:marLeft w:val="0"/>
          <w:marRight w:val="0"/>
          <w:marTop w:val="0"/>
          <w:marBottom w:val="0"/>
          <w:divBdr>
            <w:top w:val="none" w:sz="0" w:space="0" w:color="auto"/>
            <w:left w:val="none" w:sz="0" w:space="0" w:color="auto"/>
            <w:bottom w:val="none" w:sz="0" w:space="0" w:color="auto"/>
            <w:right w:val="none" w:sz="0" w:space="0" w:color="auto"/>
          </w:divBdr>
        </w:div>
        <w:div w:id="654450542">
          <w:marLeft w:val="0"/>
          <w:marRight w:val="0"/>
          <w:marTop w:val="0"/>
          <w:marBottom w:val="0"/>
          <w:divBdr>
            <w:top w:val="none" w:sz="0" w:space="0" w:color="auto"/>
            <w:left w:val="none" w:sz="0" w:space="0" w:color="auto"/>
            <w:bottom w:val="none" w:sz="0" w:space="0" w:color="auto"/>
            <w:right w:val="none" w:sz="0" w:space="0" w:color="auto"/>
          </w:divBdr>
        </w:div>
        <w:div w:id="1090392255">
          <w:marLeft w:val="0"/>
          <w:marRight w:val="0"/>
          <w:marTop w:val="0"/>
          <w:marBottom w:val="0"/>
          <w:divBdr>
            <w:top w:val="none" w:sz="0" w:space="0" w:color="auto"/>
            <w:left w:val="none" w:sz="0" w:space="0" w:color="auto"/>
            <w:bottom w:val="none" w:sz="0" w:space="0" w:color="auto"/>
            <w:right w:val="none" w:sz="0" w:space="0" w:color="auto"/>
          </w:divBdr>
        </w:div>
        <w:div w:id="1448505897">
          <w:marLeft w:val="0"/>
          <w:marRight w:val="0"/>
          <w:marTop w:val="0"/>
          <w:marBottom w:val="0"/>
          <w:divBdr>
            <w:top w:val="none" w:sz="0" w:space="0" w:color="auto"/>
            <w:left w:val="none" w:sz="0" w:space="0" w:color="auto"/>
            <w:bottom w:val="none" w:sz="0" w:space="0" w:color="auto"/>
            <w:right w:val="none" w:sz="0" w:space="0" w:color="auto"/>
          </w:divBdr>
        </w:div>
        <w:div w:id="1576818397">
          <w:marLeft w:val="0"/>
          <w:marRight w:val="0"/>
          <w:marTop w:val="0"/>
          <w:marBottom w:val="0"/>
          <w:divBdr>
            <w:top w:val="none" w:sz="0" w:space="0" w:color="auto"/>
            <w:left w:val="none" w:sz="0" w:space="0" w:color="auto"/>
            <w:bottom w:val="none" w:sz="0" w:space="0" w:color="auto"/>
            <w:right w:val="none" w:sz="0" w:space="0" w:color="auto"/>
          </w:divBdr>
        </w:div>
        <w:div w:id="1654992956">
          <w:marLeft w:val="0"/>
          <w:marRight w:val="0"/>
          <w:marTop w:val="0"/>
          <w:marBottom w:val="0"/>
          <w:divBdr>
            <w:top w:val="none" w:sz="0" w:space="0" w:color="auto"/>
            <w:left w:val="none" w:sz="0" w:space="0" w:color="auto"/>
            <w:bottom w:val="none" w:sz="0" w:space="0" w:color="auto"/>
            <w:right w:val="none" w:sz="0" w:space="0" w:color="auto"/>
          </w:divBdr>
        </w:div>
        <w:div w:id="2007592270">
          <w:marLeft w:val="0"/>
          <w:marRight w:val="0"/>
          <w:marTop w:val="0"/>
          <w:marBottom w:val="0"/>
          <w:divBdr>
            <w:top w:val="none" w:sz="0" w:space="0" w:color="auto"/>
            <w:left w:val="none" w:sz="0" w:space="0" w:color="auto"/>
            <w:bottom w:val="none" w:sz="0" w:space="0" w:color="auto"/>
            <w:right w:val="none" w:sz="0" w:space="0" w:color="auto"/>
          </w:divBdr>
          <w:divsChild>
            <w:div w:id="897976477">
              <w:marLeft w:val="-75"/>
              <w:marRight w:val="0"/>
              <w:marTop w:val="30"/>
              <w:marBottom w:val="30"/>
              <w:divBdr>
                <w:top w:val="none" w:sz="0" w:space="0" w:color="auto"/>
                <w:left w:val="none" w:sz="0" w:space="0" w:color="auto"/>
                <w:bottom w:val="none" w:sz="0" w:space="0" w:color="auto"/>
                <w:right w:val="none" w:sz="0" w:space="0" w:color="auto"/>
              </w:divBdr>
              <w:divsChild>
                <w:div w:id="10299084">
                  <w:marLeft w:val="0"/>
                  <w:marRight w:val="0"/>
                  <w:marTop w:val="0"/>
                  <w:marBottom w:val="0"/>
                  <w:divBdr>
                    <w:top w:val="none" w:sz="0" w:space="0" w:color="auto"/>
                    <w:left w:val="none" w:sz="0" w:space="0" w:color="auto"/>
                    <w:bottom w:val="none" w:sz="0" w:space="0" w:color="auto"/>
                    <w:right w:val="none" w:sz="0" w:space="0" w:color="auto"/>
                  </w:divBdr>
                  <w:divsChild>
                    <w:div w:id="1567181162">
                      <w:marLeft w:val="0"/>
                      <w:marRight w:val="0"/>
                      <w:marTop w:val="0"/>
                      <w:marBottom w:val="0"/>
                      <w:divBdr>
                        <w:top w:val="none" w:sz="0" w:space="0" w:color="auto"/>
                        <w:left w:val="none" w:sz="0" w:space="0" w:color="auto"/>
                        <w:bottom w:val="none" w:sz="0" w:space="0" w:color="auto"/>
                        <w:right w:val="none" w:sz="0" w:space="0" w:color="auto"/>
                      </w:divBdr>
                    </w:div>
                  </w:divsChild>
                </w:div>
                <w:div w:id="103886129">
                  <w:marLeft w:val="0"/>
                  <w:marRight w:val="0"/>
                  <w:marTop w:val="0"/>
                  <w:marBottom w:val="0"/>
                  <w:divBdr>
                    <w:top w:val="none" w:sz="0" w:space="0" w:color="auto"/>
                    <w:left w:val="none" w:sz="0" w:space="0" w:color="auto"/>
                    <w:bottom w:val="none" w:sz="0" w:space="0" w:color="auto"/>
                    <w:right w:val="none" w:sz="0" w:space="0" w:color="auto"/>
                  </w:divBdr>
                  <w:divsChild>
                    <w:div w:id="705178484">
                      <w:marLeft w:val="0"/>
                      <w:marRight w:val="0"/>
                      <w:marTop w:val="0"/>
                      <w:marBottom w:val="0"/>
                      <w:divBdr>
                        <w:top w:val="none" w:sz="0" w:space="0" w:color="auto"/>
                        <w:left w:val="none" w:sz="0" w:space="0" w:color="auto"/>
                        <w:bottom w:val="none" w:sz="0" w:space="0" w:color="auto"/>
                        <w:right w:val="none" w:sz="0" w:space="0" w:color="auto"/>
                      </w:divBdr>
                    </w:div>
                  </w:divsChild>
                </w:div>
                <w:div w:id="153881761">
                  <w:marLeft w:val="0"/>
                  <w:marRight w:val="0"/>
                  <w:marTop w:val="0"/>
                  <w:marBottom w:val="0"/>
                  <w:divBdr>
                    <w:top w:val="none" w:sz="0" w:space="0" w:color="auto"/>
                    <w:left w:val="none" w:sz="0" w:space="0" w:color="auto"/>
                    <w:bottom w:val="none" w:sz="0" w:space="0" w:color="auto"/>
                    <w:right w:val="none" w:sz="0" w:space="0" w:color="auto"/>
                  </w:divBdr>
                  <w:divsChild>
                    <w:div w:id="630551096">
                      <w:marLeft w:val="0"/>
                      <w:marRight w:val="0"/>
                      <w:marTop w:val="0"/>
                      <w:marBottom w:val="0"/>
                      <w:divBdr>
                        <w:top w:val="none" w:sz="0" w:space="0" w:color="auto"/>
                        <w:left w:val="none" w:sz="0" w:space="0" w:color="auto"/>
                        <w:bottom w:val="none" w:sz="0" w:space="0" w:color="auto"/>
                        <w:right w:val="none" w:sz="0" w:space="0" w:color="auto"/>
                      </w:divBdr>
                    </w:div>
                  </w:divsChild>
                </w:div>
                <w:div w:id="213205137">
                  <w:marLeft w:val="0"/>
                  <w:marRight w:val="0"/>
                  <w:marTop w:val="0"/>
                  <w:marBottom w:val="0"/>
                  <w:divBdr>
                    <w:top w:val="none" w:sz="0" w:space="0" w:color="auto"/>
                    <w:left w:val="none" w:sz="0" w:space="0" w:color="auto"/>
                    <w:bottom w:val="none" w:sz="0" w:space="0" w:color="auto"/>
                    <w:right w:val="none" w:sz="0" w:space="0" w:color="auto"/>
                  </w:divBdr>
                  <w:divsChild>
                    <w:div w:id="1682244575">
                      <w:marLeft w:val="0"/>
                      <w:marRight w:val="0"/>
                      <w:marTop w:val="0"/>
                      <w:marBottom w:val="0"/>
                      <w:divBdr>
                        <w:top w:val="none" w:sz="0" w:space="0" w:color="auto"/>
                        <w:left w:val="none" w:sz="0" w:space="0" w:color="auto"/>
                        <w:bottom w:val="none" w:sz="0" w:space="0" w:color="auto"/>
                        <w:right w:val="none" w:sz="0" w:space="0" w:color="auto"/>
                      </w:divBdr>
                    </w:div>
                  </w:divsChild>
                </w:div>
                <w:div w:id="269973543">
                  <w:marLeft w:val="0"/>
                  <w:marRight w:val="0"/>
                  <w:marTop w:val="0"/>
                  <w:marBottom w:val="0"/>
                  <w:divBdr>
                    <w:top w:val="none" w:sz="0" w:space="0" w:color="auto"/>
                    <w:left w:val="none" w:sz="0" w:space="0" w:color="auto"/>
                    <w:bottom w:val="none" w:sz="0" w:space="0" w:color="auto"/>
                    <w:right w:val="none" w:sz="0" w:space="0" w:color="auto"/>
                  </w:divBdr>
                  <w:divsChild>
                    <w:div w:id="274101103">
                      <w:marLeft w:val="0"/>
                      <w:marRight w:val="0"/>
                      <w:marTop w:val="0"/>
                      <w:marBottom w:val="0"/>
                      <w:divBdr>
                        <w:top w:val="none" w:sz="0" w:space="0" w:color="auto"/>
                        <w:left w:val="none" w:sz="0" w:space="0" w:color="auto"/>
                        <w:bottom w:val="none" w:sz="0" w:space="0" w:color="auto"/>
                        <w:right w:val="none" w:sz="0" w:space="0" w:color="auto"/>
                      </w:divBdr>
                    </w:div>
                  </w:divsChild>
                </w:div>
                <w:div w:id="321466845">
                  <w:marLeft w:val="0"/>
                  <w:marRight w:val="0"/>
                  <w:marTop w:val="0"/>
                  <w:marBottom w:val="0"/>
                  <w:divBdr>
                    <w:top w:val="none" w:sz="0" w:space="0" w:color="auto"/>
                    <w:left w:val="none" w:sz="0" w:space="0" w:color="auto"/>
                    <w:bottom w:val="none" w:sz="0" w:space="0" w:color="auto"/>
                    <w:right w:val="none" w:sz="0" w:space="0" w:color="auto"/>
                  </w:divBdr>
                  <w:divsChild>
                    <w:div w:id="164253121">
                      <w:marLeft w:val="0"/>
                      <w:marRight w:val="0"/>
                      <w:marTop w:val="0"/>
                      <w:marBottom w:val="0"/>
                      <w:divBdr>
                        <w:top w:val="none" w:sz="0" w:space="0" w:color="auto"/>
                        <w:left w:val="none" w:sz="0" w:space="0" w:color="auto"/>
                        <w:bottom w:val="none" w:sz="0" w:space="0" w:color="auto"/>
                        <w:right w:val="none" w:sz="0" w:space="0" w:color="auto"/>
                      </w:divBdr>
                    </w:div>
                  </w:divsChild>
                </w:div>
                <w:div w:id="354884573">
                  <w:marLeft w:val="0"/>
                  <w:marRight w:val="0"/>
                  <w:marTop w:val="0"/>
                  <w:marBottom w:val="0"/>
                  <w:divBdr>
                    <w:top w:val="none" w:sz="0" w:space="0" w:color="auto"/>
                    <w:left w:val="none" w:sz="0" w:space="0" w:color="auto"/>
                    <w:bottom w:val="none" w:sz="0" w:space="0" w:color="auto"/>
                    <w:right w:val="none" w:sz="0" w:space="0" w:color="auto"/>
                  </w:divBdr>
                  <w:divsChild>
                    <w:div w:id="2089885478">
                      <w:marLeft w:val="0"/>
                      <w:marRight w:val="0"/>
                      <w:marTop w:val="0"/>
                      <w:marBottom w:val="0"/>
                      <w:divBdr>
                        <w:top w:val="none" w:sz="0" w:space="0" w:color="auto"/>
                        <w:left w:val="none" w:sz="0" w:space="0" w:color="auto"/>
                        <w:bottom w:val="none" w:sz="0" w:space="0" w:color="auto"/>
                        <w:right w:val="none" w:sz="0" w:space="0" w:color="auto"/>
                      </w:divBdr>
                    </w:div>
                  </w:divsChild>
                </w:div>
                <w:div w:id="448402364">
                  <w:marLeft w:val="0"/>
                  <w:marRight w:val="0"/>
                  <w:marTop w:val="0"/>
                  <w:marBottom w:val="0"/>
                  <w:divBdr>
                    <w:top w:val="none" w:sz="0" w:space="0" w:color="auto"/>
                    <w:left w:val="none" w:sz="0" w:space="0" w:color="auto"/>
                    <w:bottom w:val="none" w:sz="0" w:space="0" w:color="auto"/>
                    <w:right w:val="none" w:sz="0" w:space="0" w:color="auto"/>
                  </w:divBdr>
                  <w:divsChild>
                    <w:div w:id="305430070">
                      <w:marLeft w:val="0"/>
                      <w:marRight w:val="0"/>
                      <w:marTop w:val="0"/>
                      <w:marBottom w:val="0"/>
                      <w:divBdr>
                        <w:top w:val="none" w:sz="0" w:space="0" w:color="auto"/>
                        <w:left w:val="none" w:sz="0" w:space="0" w:color="auto"/>
                        <w:bottom w:val="none" w:sz="0" w:space="0" w:color="auto"/>
                        <w:right w:val="none" w:sz="0" w:space="0" w:color="auto"/>
                      </w:divBdr>
                    </w:div>
                  </w:divsChild>
                </w:div>
                <w:div w:id="470096827">
                  <w:marLeft w:val="0"/>
                  <w:marRight w:val="0"/>
                  <w:marTop w:val="0"/>
                  <w:marBottom w:val="0"/>
                  <w:divBdr>
                    <w:top w:val="none" w:sz="0" w:space="0" w:color="auto"/>
                    <w:left w:val="none" w:sz="0" w:space="0" w:color="auto"/>
                    <w:bottom w:val="none" w:sz="0" w:space="0" w:color="auto"/>
                    <w:right w:val="none" w:sz="0" w:space="0" w:color="auto"/>
                  </w:divBdr>
                  <w:divsChild>
                    <w:div w:id="45301511">
                      <w:marLeft w:val="0"/>
                      <w:marRight w:val="0"/>
                      <w:marTop w:val="0"/>
                      <w:marBottom w:val="0"/>
                      <w:divBdr>
                        <w:top w:val="none" w:sz="0" w:space="0" w:color="auto"/>
                        <w:left w:val="none" w:sz="0" w:space="0" w:color="auto"/>
                        <w:bottom w:val="none" w:sz="0" w:space="0" w:color="auto"/>
                        <w:right w:val="none" w:sz="0" w:space="0" w:color="auto"/>
                      </w:divBdr>
                    </w:div>
                  </w:divsChild>
                </w:div>
                <w:div w:id="531382476">
                  <w:marLeft w:val="0"/>
                  <w:marRight w:val="0"/>
                  <w:marTop w:val="0"/>
                  <w:marBottom w:val="0"/>
                  <w:divBdr>
                    <w:top w:val="none" w:sz="0" w:space="0" w:color="auto"/>
                    <w:left w:val="none" w:sz="0" w:space="0" w:color="auto"/>
                    <w:bottom w:val="none" w:sz="0" w:space="0" w:color="auto"/>
                    <w:right w:val="none" w:sz="0" w:space="0" w:color="auto"/>
                  </w:divBdr>
                  <w:divsChild>
                    <w:div w:id="50082316">
                      <w:marLeft w:val="0"/>
                      <w:marRight w:val="0"/>
                      <w:marTop w:val="0"/>
                      <w:marBottom w:val="0"/>
                      <w:divBdr>
                        <w:top w:val="none" w:sz="0" w:space="0" w:color="auto"/>
                        <w:left w:val="none" w:sz="0" w:space="0" w:color="auto"/>
                        <w:bottom w:val="none" w:sz="0" w:space="0" w:color="auto"/>
                        <w:right w:val="none" w:sz="0" w:space="0" w:color="auto"/>
                      </w:divBdr>
                    </w:div>
                  </w:divsChild>
                </w:div>
                <w:div w:id="566842008">
                  <w:marLeft w:val="0"/>
                  <w:marRight w:val="0"/>
                  <w:marTop w:val="0"/>
                  <w:marBottom w:val="0"/>
                  <w:divBdr>
                    <w:top w:val="none" w:sz="0" w:space="0" w:color="auto"/>
                    <w:left w:val="none" w:sz="0" w:space="0" w:color="auto"/>
                    <w:bottom w:val="none" w:sz="0" w:space="0" w:color="auto"/>
                    <w:right w:val="none" w:sz="0" w:space="0" w:color="auto"/>
                  </w:divBdr>
                  <w:divsChild>
                    <w:div w:id="34700584">
                      <w:marLeft w:val="0"/>
                      <w:marRight w:val="0"/>
                      <w:marTop w:val="0"/>
                      <w:marBottom w:val="0"/>
                      <w:divBdr>
                        <w:top w:val="none" w:sz="0" w:space="0" w:color="auto"/>
                        <w:left w:val="none" w:sz="0" w:space="0" w:color="auto"/>
                        <w:bottom w:val="none" w:sz="0" w:space="0" w:color="auto"/>
                        <w:right w:val="none" w:sz="0" w:space="0" w:color="auto"/>
                      </w:divBdr>
                    </w:div>
                  </w:divsChild>
                </w:div>
                <w:div w:id="569462419">
                  <w:marLeft w:val="0"/>
                  <w:marRight w:val="0"/>
                  <w:marTop w:val="0"/>
                  <w:marBottom w:val="0"/>
                  <w:divBdr>
                    <w:top w:val="none" w:sz="0" w:space="0" w:color="auto"/>
                    <w:left w:val="none" w:sz="0" w:space="0" w:color="auto"/>
                    <w:bottom w:val="none" w:sz="0" w:space="0" w:color="auto"/>
                    <w:right w:val="none" w:sz="0" w:space="0" w:color="auto"/>
                  </w:divBdr>
                  <w:divsChild>
                    <w:div w:id="13045842">
                      <w:marLeft w:val="0"/>
                      <w:marRight w:val="0"/>
                      <w:marTop w:val="0"/>
                      <w:marBottom w:val="0"/>
                      <w:divBdr>
                        <w:top w:val="none" w:sz="0" w:space="0" w:color="auto"/>
                        <w:left w:val="none" w:sz="0" w:space="0" w:color="auto"/>
                        <w:bottom w:val="none" w:sz="0" w:space="0" w:color="auto"/>
                        <w:right w:val="none" w:sz="0" w:space="0" w:color="auto"/>
                      </w:divBdr>
                    </w:div>
                  </w:divsChild>
                </w:div>
                <w:div w:id="582296542">
                  <w:marLeft w:val="0"/>
                  <w:marRight w:val="0"/>
                  <w:marTop w:val="0"/>
                  <w:marBottom w:val="0"/>
                  <w:divBdr>
                    <w:top w:val="none" w:sz="0" w:space="0" w:color="auto"/>
                    <w:left w:val="none" w:sz="0" w:space="0" w:color="auto"/>
                    <w:bottom w:val="none" w:sz="0" w:space="0" w:color="auto"/>
                    <w:right w:val="none" w:sz="0" w:space="0" w:color="auto"/>
                  </w:divBdr>
                  <w:divsChild>
                    <w:div w:id="914628671">
                      <w:marLeft w:val="0"/>
                      <w:marRight w:val="0"/>
                      <w:marTop w:val="0"/>
                      <w:marBottom w:val="0"/>
                      <w:divBdr>
                        <w:top w:val="none" w:sz="0" w:space="0" w:color="auto"/>
                        <w:left w:val="none" w:sz="0" w:space="0" w:color="auto"/>
                        <w:bottom w:val="none" w:sz="0" w:space="0" w:color="auto"/>
                        <w:right w:val="none" w:sz="0" w:space="0" w:color="auto"/>
                      </w:divBdr>
                    </w:div>
                  </w:divsChild>
                </w:div>
                <w:div w:id="635767863">
                  <w:marLeft w:val="0"/>
                  <w:marRight w:val="0"/>
                  <w:marTop w:val="0"/>
                  <w:marBottom w:val="0"/>
                  <w:divBdr>
                    <w:top w:val="none" w:sz="0" w:space="0" w:color="auto"/>
                    <w:left w:val="none" w:sz="0" w:space="0" w:color="auto"/>
                    <w:bottom w:val="none" w:sz="0" w:space="0" w:color="auto"/>
                    <w:right w:val="none" w:sz="0" w:space="0" w:color="auto"/>
                  </w:divBdr>
                  <w:divsChild>
                    <w:div w:id="372965470">
                      <w:marLeft w:val="0"/>
                      <w:marRight w:val="0"/>
                      <w:marTop w:val="0"/>
                      <w:marBottom w:val="0"/>
                      <w:divBdr>
                        <w:top w:val="none" w:sz="0" w:space="0" w:color="auto"/>
                        <w:left w:val="none" w:sz="0" w:space="0" w:color="auto"/>
                        <w:bottom w:val="none" w:sz="0" w:space="0" w:color="auto"/>
                        <w:right w:val="none" w:sz="0" w:space="0" w:color="auto"/>
                      </w:divBdr>
                    </w:div>
                  </w:divsChild>
                </w:div>
                <w:div w:id="677852556">
                  <w:marLeft w:val="0"/>
                  <w:marRight w:val="0"/>
                  <w:marTop w:val="0"/>
                  <w:marBottom w:val="0"/>
                  <w:divBdr>
                    <w:top w:val="none" w:sz="0" w:space="0" w:color="auto"/>
                    <w:left w:val="none" w:sz="0" w:space="0" w:color="auto"/>
                    <w:bottom w:val="none" w:sz="0" w:space="0" w:color="auto"/>
                    <w:right w:val="none" w:sz="0" w:space="0" w:color="auto"/>
                  </w:divBdr>
                  <w:divsChild>
                    <w:div w:id="870996252">
                      <w:marLeft w:val="0"/>
                      <w:marRight w:val="0"/>
                      <w:marTop w:val="0"/>
                      <w:marBottom w:val="0"/>
                      <w:divBdr>
                        <w:top w:val="none" w:sz="0" w:space="0" w:color="auto"/>
                        <w:left w:val="none" w:sz="0" w:space="0" w:color="auto"/>
                        <w:bottom w:val="none" w:sz="0" w:space="0" w:color="auto"/>
                        <w:right w:val="none" w:sz="0" w:space="0" w:color="auto"/>
                      </w:divBdr>
                    </w:div>
                  </w:divsChild>
                </w:div>
                <w:div w:id="701630545">
                  <w:marLeft w:val="0"/>
                  <w:marRight w:val="0"/>
                  <w:marTop w:val="0"/>
                  <w:marBottom w:val="0"/>
                  <w:divBdr>
                    <w:top w:val="none" w:sz="0" w:space="0" w:color="auto"/>
                    <w:left w:val="none" w:sz="0" w:space="0" w:color="auto"/>
                    <w:bottom w:val="none" w:sz="0" w:space="0" w:color="auto"/>
                    <w:right w:val="none" w:sz="0" w:space="0" w:color="auto"/>
                  </w:divBdr>
                  <w:divsChild>
                    <w:div w:id="1936741763">
                      <w:marLeft w:val="0"/>
                      <w:marRight w:val="0"/>
                      <w:marTop w:val="0"/>
                      <w:marBottom w:val="0"/>
                      <w:divBdr>
                        <w:top w:val="none" w:sz="0" w:space="0" w:color="auto"/>
                        <w:left w:val="none" w:sz="0" w:space="0" w:color="auto"/>
                        <w:bottom w:val="none" w:sz="0" w:space="0" w:color="auto"/>
                        <w:right w:val="none" w:sz="0" w:space="0" w:color="auto"/>
                      </w:divBdr>
                    </w:div>
                  </w:divsChild>
                </w:div>
                <w:div w:id="719018969">
                  <w:marLeft w:val="0"/>
                  <w:marRight w:val="0"/>
                  <w:marTop w:val="0"/>
                  <w:marBottom w:val="0"/>
                  <w:divBdr>
                    <w:top w:val="none" w:sz="0" w:space="0" w:color="auto"/>
                    <w:left w:val="none" w:sz="0" w:space="0" w:color="auto"/>
                    <w:bottom w:val="none" w:sz="0" w:space="0" w:color="auto"/>
                    <w:right w:val="none" w:sz="0" w:space="0" w:color="auto"/>
                  </w:divBdr>
                  <w:divsChild>
                    <w:div w:id="1243180768">
                      <w:marLeft w:val="0"/>
                      <w:marRight w:val="0"/>
                      <w:marTop w:val="0"/>
                      <w:marBottom w:val="0"/>
                      <w:divBdr>
                        <w:top w:val="none" w:sz="0" w:space="0" w:color="auto"/>
                        <w:left w:val="none" w:sz="0" w:space="0" w:color="auto"/>
                        <w:bottom w:val="none" w:sz="0" w:space="0" w:color="auto"/>
                        <w:right w:val="none" w:sz="0" w:space="0" w:color="auto"/>
                      </w:divBdr>
                    </w:div>
                  </w:divsChild>
                </w:div>
                <w:div w:id="783111306">
                  <w:marLeft w:val="0"/>
                  <w:marRight w:val="0"/>
                  <w:marTop w:val="0"/>
                  <w:marBottom w:val="0"/>
                  <w:divBdr>
                    <w:top w:val="none" w:sz="0" w:space="0" w:color="auto"/>
                    <w:left w:val="none" w:sz="0" w:space="0" w:color="auto"/>
                    <w:bottom w:val="none" w:sz="0" w:space="0" w:color="auto"/>
                    <w:right w:val="none" w:sz="0" w:space="0" w:color="auto"/>
                  </w:divBdr>
                  <w:divsChild>
                    <w:div w:id="1652170849">
                      <w:marLeft w:val="0"/>
                      <w:marRight w:val="0"/>
                      <w:marTop w:val="0"/>
                      <w:marBottom w:val="0"/>
                      <w:divBdr>
                        <w:top w:val="none" w:sz="0" w:space="0" w:color="auto"/>
                        <w:left w:val="none" w:sz="0" w:space="0" w:color="auto"/>
                        <w:bottom w:val="none" w:sz="0" w:space="0" w:color="auto"/>
                        <w:right w:val="none" w:sz="0" w:space="0" w:color="auto"/>
                      </w:divBdr>
                    </w:div>
                  </w:divsChild>
                </w:div>
                <w:div w:id="811025525">
                  <w:marLeft w:val="0"/>
                  <w:marRight w:val="0"/>
                  <w:marTop w:val="0"/>
                  <w:marBottom w:val="0"/>
                  <w:divBdr>
                    <w:top w:val="none" w:sz="0" w:space="0" w:color="auto"/>
                    <w:left w:val="none" w:sz="0" w:space="0" w:color="auto"/>
                    <w:bottom w:val="none" w:sz="0" w:space="0" w:color="auto"/>
                    <w:right w:val="none" w:sz="0" w:space="0" w:color="auto"/>
                  </w:divBdr>
                  <w:divsChild>
                    <w:div w:id="507014880">
                      <w:marLeft w:val="0"/>
                      <w:marRight w:val="0"/>
                      <w:marTop w:val="0"/>
                      <w:marBottom w:val="0"/>
                      <w:divBdr>
                        <w:top w:val="none" w:sz="0" w:space="0" w:color="auto"/>
                        <w:left w:val="none" w:sz="0" w:space="0" w:color="auto"/>
                        <w:bottom w:val="none" w:sz="0" w:space="0" w:color="auto"/>
                        <w:right w:val="none" w:sz="0" w:space="0" w:color="auto"/>
                      </w:divBdr>
                    </w:div>
                  </w:divsChild>
                </w:div>
                <w:div w:id="851071483">
                  <w:marLeft w:val="0"/>
                  <w:marRight w:val="0"/>
                  <w:marTop w:val="0"/>
                  <w:marBottom w:val="0"/>
                  <w:divBdr>
                    <w:top w:val="none" w:sz="0" w:space="0" w:color="auto"/>
                    <w:left w:val="none" w:sz="0" w:space="0" w:color="auto"/>
                    <w:bottom w:val="none" w:sz="0" w:space="0" w:color="auto"/>
                    <w:right w:val="none" w:sz="0" w:space="0" w:color="auto"/>
                  </w:divBdr>
                  <w:divsChild>
                    <w:div w:id="1090853184">
                      <w:marLeft w:val="0"/>
                      <w:marRight w:val="0"/>
                      <w:marTop w:val="0"/>
                      <w:marBottom w:val="0"/>
                      <w:divBdr>
                        <w:top w:val="none" w:sz="0" w:space="0" w:color="auto"/>
                        <w:left w:val="none" w:sz="0" w:space="0" w:color="auto"/>
                        <w:bottom w:val="none" w:sz="0" w:space="0" w:color="auto"/>
                        <w:right w:val="none" w:sz="0" w:space="0" w:color="auto"/>
                      </w:divBdr>
                    </w:div>
                  </w:divsChild>
                </w:div>
                <w:div w:id="858155920">
                  <w:marLeft w:val="0"/>
                  <w:marRight w:val="0"/>
                  <w:marTop w:val="0"/>
                  <w:marBottom w:val="0"/>
                  <w:divBdr>
                    <w:top w:val="none" w:sz="0" w:space="0" w:color="auto"/>
                    <w:left w:val="none" w:sz="0" w:space="0" w:color="auto"/>
                    <w:bottom w:val="none" w:sz="0" w:space="0" w:color="auto"/>
                    <w:right w:val="none" w:sz="0" w:space="0" w:color="auto"/>
                  </w:divBdr>
                  <w:divsChild>
                    <w:div w:id="1920018413">
                      <w:marLeft w:val="0"/>
                      <w:marRight w:val="0"/>
                      <w:marTop w:val="0"/>
                      <w:marBottom w:val="0"/>
                      <w:divBdr>
                        <w:top w:val="none" w:sz="0" w:space="0" w:color="auto"/>
                        <w:left w:val="none" w:sz="0" w:space="0" w:color="auto"/>
                        <w:bottom w:val="none" w:sz="0" w:space="0" w:color="auto"/>
                        <w:right w:val="none" w:sz="0" w:space="0" w:color="auto"/>
                      </w:divBdr>
                    </w:div>
                  </w:divsChild>
                </w:div>
                <w:div w:id="861555620">
                  <w:marLeft w:val="0"/>
                  <w:marRight w:val="0"/>
                  <w:marTop w:val="0"/>
                  <w:marBottom w:val="0"/>
                  <w:divBdr>
                    <w:top w:val="none" w:sz="0" w:space="0" w:color="auto"/>
                    <w:left w:val="none" w:sz="0" w:space="0" w:color="auto"/>
                    <w:bottom w:val="none" w:sz="0" w:space="0" w:color="auto"/>
                    <w:right w:val="none" w:sz="0" w:space="0" w:color="auto"/>
                  </w:divBdr>
                  <w:divsChild>
                    <w:div w:id="786849386">
                      <w:marLeft w:val="0"/>
                      <w:marRight w:val="0"/>
                      <w:marTop w:val="0"/>
                      <w:marBottom w:val="0"/>
                      <w:divBdr>
                        <w:top w:val="none" w:sz="0" w:space="0" w:color="auto"/>
                        <w:left w:val="none" w:sz="0" w:space="0" w:color="auto"/>
                        <w:bottom w:val="none" w:sz="0" w:space="0" w:color="auto"/>
                        <w:right w:val="none" w:sz="0" w:space="0" w:color="auto"/>
                      </w:divBdr>
                    </w:div>
                  </w:divsChild>
                </w:div>
                <w:div w:id="877594597">
                  <w:marLeft w:val="0"/>
                  <w:marRight w:val="0"/>
                  <w:marTop w:val="0"/>
                  <w:marBottom w:val="0"/>
                  <w:divBdr>
                    <w:top w:val="none" w:sz="0" w:space="0" w:color="auto"/>
                    <w:left w:val="none" w:sz="0" w:space="0" w:color="auto"/>
                    <w:bottom w:val="none" w:sz="0" w:space="0" w:color="auto"/>
                    <w:right w:val="none" w:sz="0" w:space="0" w:color="auto"/>
                  </w:divBdr>
                  <w:divsChild>
                    <w:div w:id="606425488">
                      <w:marLeft w:val="0"/>
                      <w:marRight w:val="0"/>
                      <w:marTop w:val="0"/>
                      <w:marBottom w:val="0"/>
                      <w:divBdr>
                        <w:top w:val="none" w:sz="0" w:space="0" w:color="auto"/>
                        <w:left w:val="none" w:sz="0" w:space="0" w:color="auto"/>
                        <w:bottom w:val="none" w:sz="0" w:space="0" w:color="auto"/>
                        <w:right w:val="none" w:sz="0" w:space="0" w:color="auto"/>
                      </w:divBdr>
                    </w:div>
                  </w:divsChild>
                </w:div>
                <w:div w:id="904871782">
                  <w:marLeft w:val="0"/>
                  <w:marRight w:val="0"/>
                  <w:marTop w:val="0"/>
                  <w:marBottom w:val="0"/>
                  <w:divBdr>
                    <w:top w:val="none" w:sz="0" w:space="0" w:color="auto"/>
                    <w:left w:val="none" w:sz="0" w:space="0" w:color="auto"/>
                    <w:bottom w:val="none" w:sz="0" w:space="0" w:color="auto"/>
                    <w:right w:val="none" w:sz="0" w:space="0" w:color="auto"/>
                  </w:divBdr>
                  <w:divsChild>
                    <w:div w:id="1182284472">
                      <w:marLeft w:val="0"/>
                      <w:marRight w:val="0"/>
                      <w:marTop w:val="0"/>
                      <w:marBottom w:val="0"/>
                      <w:divBdr>
                        <w:top w:val="none" w:sz="0" w:space="0" w:color="auto"/>
                        <w:left w:val="none" w:sz="0" w:space="0" w:color="auto"/>
                        <w:bottom w:val="none" w:sz="0" w:space="0" w:color="auto"/>
                        <w:right w:val="none" w:sz="0" w:space="0" w:color="auto"/>
                      </w:divBdr>
                    </w:div>
                  </w:divsChild>
                </w:div>
                <w:div w:id="915046261">
                  <w:marLeft w:val="0"/>
                  <w:marRight w:val="0"/>
                  <w:marTop w:val="0"/>
                  <w:marBottom w:val="0"/>
                  <w:divBdr>
                    <w:top w:val="none" w:sz="0" w:space="0" w:color="auto"/>
                    <w:left w:val="none" w:sz="0" w:space="0" w:color="auto"/>
                    <w:bottom w:val="none" w:sz="0" w:space="0" w:color="auto"/>
                    <w:right w:val="none" w:sz="0" w:space="0" w:color="auto"/>
                  </w:divBdr>
                  <w:divsChild>
                    <w:div w:id="112095164">
                      <w:marLeft w:val="0"/>
                      <w:marRight w:val="0"/>
                      <w:marTop w:val="0"/>
                      <w:marBottom w:val="0"/>
                      <w:divBdr>
                        <w:top w:val="none" w:sz="0" w:space="0" w:color="auto"/>
                        <w:left w:val="none" w:sz="0" w:space="0" w:color="auto"/>
                        <w:bottom w:val="none" w:sz="0" w:space="0" w:color="auto"/>
                        <w:right w:val="none" w:sz="0" w:space="0" w:color="auto"/>
                      </w:divBdr>
                    </w:div>
                  </w:divsChild>
                </w:div>
                <w:div w:id="918176468">
                  <w:marLeft w:val="0"/>
                  <w:marRight w:val="0"/>
                  <w:marTop w:val="0"/>
                  <w:marBottom w:val="0"/>
                  <w:divBdr>
                    <w:top w:val="none" w:sz="0" w:space="0" w:color="auto"/>
                    <w:left w:val="none" w:sz="0" w:space="0" w:color="auto"/>
                    <w:bottom w:val="none" w:sz="0" w:space="0" w:color="auto"/>
                    <w:right w:val="none" w:sz="0" w:space="0" w:color="auto"/>
                  </w:divBdr>
                  <w:divsChild>
                    <w:div w:id="1441022999">
                      <w:marLeft w:val="0"/>
                      <w:marRight w:val="0"/>
                      <w:marTop w:val="0"/>
                      <w:marBottom w:val="0"/>
                      <w:divBdr>
                        <w:top w:val="none" w:sz="0" w:space="0" w:color="auto"/>
                        <w:left w:val="none" w:sz="0" w:space="0" w:color="auto"/>
                        <w:bottom w:val="none" w:sz="0" w:space="0" w:color="auto"/>
                        <w:right w:val="none" w:sz="0" w:space="0" w:color="auto"/>
                      </w:divBdr>
                    </w:div>
                  </w:divsChild>
                </w:div>
                <w:div w:id="955677349">
                  <w:marLeft w:val="0"/>
                  <w:marRight w:val="0"/>
                  <w:marTop w:val="0"/>
                  <w:marBottom w:val="0"/>
                  <w:divBdr>
                    <w:top w:val="none" w:sz="0" w:space="0" w:color="auto"/>
                    <w:left w:val="none" w:sz="0" w:space="0" w:color="auto"/>
                    <w:bottom w:val="none" w:sz="0" w:space="0" w:color="auto"/>
                    <w:right w:val="none" w:sz="0" w:space="0" w:color="auto"/>
                  </w:divBdr>
                  <w:divsChild>
                    <w:div w:id="429739272">
                      <w:marLeft w:val="0"/>
                      <w:marRight w:val="0"/>
                      <w:marTop w:val="0"/>
                      <w:marBottom w:val="0"/>
                      <w:divBdr>
                        <w:top w:val="none" w:sz="0" w:space="0" w:color="auto"/>
                        <w:left w:val="none" w:sz="0" w:space="0" w:color="auto"/>
                        <w:bottom w:val="none" w:sz="0" w:space="0" w:color="auto"/>
                        <w:right w:val="none" w:sz="0" w:space="0" w:color="auto"/>
                      </w:divBdr>
                    </w:div>
                  </w:divsChild>
                </w:div>
                <w:div w:id="967663388">
                  <w:marLeft w:val="0"/>
                  <w:marRight w:val="0"/>
                  <w:marTop w:val="0"/>
                  <w:marBottom w:val="0"/>
                  <w:divBdr>
                    <w:top w:val="none" w:sz="0" w:space="0" w:color="auto"/>
                    <w:left w:val="none" w:sz="0" w:space="0" w:color="auto"/>
                    <w:bottom w:val="none" w:sz="0" w:space="0" w:color="auto"/>
                    <w:right w:val="none" w:sz="0" w:space="0" w:color="auto"/>
                  </w:divBdr>
                  <w:divsChild>
                    <w:div w:id="2098475893">
                      <w:marLeft w:val="0"/>
                      <w:marRight w:val="0"/>
                      <w:marTop w:val="0"/>
                      <w:marBottom w:val="0"/>
                      <w:divBdr>
                        <w:top w:val="none" w:sz="0" w:space="0" w:color="auto"/>
                        <w:left w:val="none" w:sz="0" w:space="0" w:color="auto"/>
                        <w:bottom w:val="none" w:sz="0" w:space="0" w:color="auto"/>
                        <w:right w:val="none" w:sz="0" w:space="0" w:color="auto"/>
                      </w:divBdr>
                    </w:div>
                  </w:divsChild>
                </w:div>
                <w:div w:id="973371451">
                  <w:marLeft w:val="0"/>
                  <w:marRight w:val="0"/>
                  <w:marTop w:val="0"/>
                  <w:marBottom w:val="0"/>
                  <w:divBdr>
                    <w:top w:val="none" w:sz="0" w:space="0" w:color="auto"/>
                    <w:left w:val="none" w:sz="0" w:space="0" w:color="auto"/>
                    <w:bottom w:val="none" w:sz="0" w:space="0" w:color="auto"/>
                    <w:right w:val="none" w:sz="0" w:space="0" w:color="auto"/>
                  </w:divBdr>
                  <w:divsChild>
                    <w:div w:id="943267193">
                      <w:marLeft w:val="0"/>
                      <w:marRight w:val="0"/>
                      <w:marTop w:val="0"/>
                      <w:marBottom w:val="0"/>
                      <w:divBdr>
                        <w:top w:val="none" w:sz="0" w:space="0" w:color="auto"/>
                        <w:left w:val="none" w:sz="0" w:space="0" w:color="auto"/>
                        <w:bottom w:val="none" w:sz="0" w:space="0" w:color="auto"/>
                        <w:right w:val="none" w:sz="0" w:space="0" w:color="auto"/>
                      </w:divBdr>
                    </w:div>
                  </w:divsChild>
                </w:div>
                <w:div w:id="992566838">
                  <w:marLeft w:val="0"/>
                  <w:marRight w:val="0"/>
                  <w:marTop w:val="0"/>
                  <w:marBottom w:val="0"/>
                  <w:divBdr>
                    <w:top w:val="none" w:sz="0" w:space="0" w:color="auto"/>
                    <w:left w:val="none" w:sz="0" w:space="0" w:color="auto"/>
                    <w:bottom w:val="none" w:sz="0" w:space="0" w:color="auto"/>
                    <w:right w:val="none" w:sz="0" w:space="0" w:color="auto"/>
                  </w:divBdr>
                  <w:divsChild>
                    <w:div w:id="2037541920">
                      <w:marLeft w:val="0"/>
                      <w:marRight w:val="0"/>
                      <w:marTop w:val="0"/>
                      <w:marBottom w:val="0"/>
                      <w:divBdr>
                        <w:top w:val="none" w:sz="0" w:space="0" w:color="auto"/>
                        <w:left w:val="none" w:sz="0" w:space="0" w:color="auto"/>
                        <w:bottom w:val="none" w:sz="0" w:space="0" w:color="auto"/>
                        <w:right w:val="none" w:sz="0" w:space="0" w:color="auto"/>
                      </w:divBdr>
                    </w:div>
                  </w:divsChild>
                </w:div>
                <w:div w:id="1007177593">
                  <w:marLeft w:val="0"/>
                  <w:marRight w:val="0"/>
                  <w:marTop w:val="0"/>
                  <w:marBottom w:val="0"/>
                  <w:divBdr>
                    <w:top w:val="none" w:sz="0" w:space="0" w:color="auto"/>
                    <w:left w:val="none" w:sz="0" w:space="0" w:color="auto"/>
                    <w:bottom w:val="none" w:sz="0" w:space="0" w:color="auto"/>
                    <w:right w:val="none" w:sz="0" w:space="0" w:color="auto"/>
                  </w:divBdr>
                  <w:divsChild>
                    <w:div w:id="1646205054">
                      <w:marLeft w:val="0"/>
                      <w:marRight w:val="0"/>
                      <w:marTop w:val="0"/>
                      <w:marBottom w:val="0"/>
                      <w:divBdr>
                        <w:top w:val="none" w:sz="0" w:space="0" w:color="auto"/>
                        <w:left w:val="none" w:sz="0" w:space="0" w:color="auto"/>
                        <w:bottom w:val="none" w:sz="0" w:space="0" w:color="auto"/>
                        <w:right w:val="none" w:sz="0" w:space="0" w:color="auto"/>
                      </w:divBdr>
                    </w:div>
                  </w:divsChild>
                </w:div>
                <w:div w:id="1023946387">
                  <w:marLeft w:val="0"/>
                  <w:marRight w:val="0"/>
                  <w:marTop w:val="0"/>
                  <w:marBottom w:val="0"/>
                  <w:divBdr>
                    <w:top w:val="none" w:sz="0" w:space="0" w:color="auto"/>
                    <w:left w:val="none" w:sz="0" w:space="0" w:color="auto"/>
                    <w:bottom w:val="none" w:sz="0" w:space="0" w:color="auto"/>
                    <w:right w:val="none" w:sz="0" w:space="0" w:color="auto"/>
                  </w:divBdr>
                  <w:divsChild>
                    <w:div w:id="1513688370">
                      <w:marLeft w:val="0"/>
                      <w:marRight w:val="0"/>
                      <w:marTop w:val="0"/>
                      <w:marBottom w:val="0"/>
                      <w:divBdr>
                        <w:top w:val="none" w:sz="0" w:space="0" w:color="auto"/>
                        <w:left w:val="none" w:sz="0" w:space="0" w:color="auto"/>
                        <w:bottom w:val="none" w:sz="0" w:space="0" w:color="auto"/>
                        <w:right w:val="none" w:sz="0" w:space="0" w:color="auto"/>
                      </w:divBdr>
                    </w:div>
                  </w:divsChild>
                </w:div>
                <w:div w:id="1093669024">
                  <w:marLeft w:val="0"/>
                  <w:marRight w:val="0"/>
                  <w:marTop w:val="0"/>
                  <w:marBottom w:val="0"/>
                  <w:divBdr>
                    <w:top w:val="none" w:sz="0" w:space="0" w:color="auto"/>
                    <w:left w:val="none" w:sz="0" w:space="0" w:color="auto"/>
                    <w:bottom w:val="none" w:sz="0" w:space="0" w:color="auto"/>
                    <w:right w:val="none" w:sz="0" w:space="0" w:color="auto"/>
                  </w:divBdr>
                  <w:divsChild>
                    <w:div w:id="1197045360">
                      <w:marLeft w:val="0"/>
                      <w:marRight w:val="0"/>
                      <w:marTop w:val="0"/>
                      <w:marBottom w:val="0"/>
                      <w:divBdr>
                        <w:top w:val="none" w:sz="0" w:space="0" w:color="auto"/>
                        <w:left w:val="none" w:sz="0" w:space="0" w:color="auto"/>
                        <w:bottom w:val="none" w:sz="0" w:space="0" w:color="auto"/>
                        <w:right w:val="none" w:sz="0" w:space="0" w:color="auto"/>
                      </w:divBdr>
                    </w:div>
                  </w:divsChild>
                </w:div>
                <w:div w:id="1134560887">
                  <w:marLeft w:val="0"/>
                  <w:marRight w:val="0"/>
                  <w:marTop w:val="0"/>
                  <w:marBottom w:val="0"/>
                  <w:divBdr>
                    <w:top w:val="none" w:sz="0" w:space="0" w:color="auto"/>
                    <w:left w:val="none" w:sz="0" w:space="0" w:color="auto"/>
                    <w:bottom w:val="none" w:sz="0" w:space="0" w:color="auto"/>
                    <w:right w:val="none" w:sz="0" w:space="0" w:color="auto"/>
                  </w:divBdr>
                  <w:divsChild>
                    <w:div w:id="1759642429">
                      <w:marLeft w:val="0"/>
                      <w:marRight w:val="0"/>
                      <w:marTop w:val="0"/>
                      <w:marBottom w:val="0"/>
                      <w:divBdr>
                        <w:top w:val="none" w:sz="0" w:space="0" w:color="auto"/>
                        <w:left w:val="none" w:sz="0" w:space="0" w:color="auto"/>
                        <w:bottom w:val="none" w:sz="0" w:space="0" w:color="auto"/>
                        <w:right w:val="none" w:sz="0" w:space="0" w:color="auto"/>
                      </w:divBdr>
                    </w:div>
                  </w:divsChild>
                </w:div>
                <w:div w:id="1145928929">
                  <w:marLeft w:val="0"/>
                  <w:marRight w:val="0"/>
                  <w:marTop w:val="0"/>
                  <w:marBottom w:val="0"/>
                  <w:divBdr>
                    <w:top w:val="none" w:sz="0" w:space="0" w:color="auto"/>
                    <w:left w:val="none" w:sz="0" w:space="0" w:color="auto"/>
                    <w:bottom w:val="none" w:sz="0" w:space="0" w:color="auto"/>
                    <w:right w:val="none" w:sz="0" w:space="0" w:color="auto"/>
                  </w:divBdr>
                  <w:divsChild>
                    <w:div w:id="1162156569">
                      <w:marLeft w:val="0"/>
                      <w:marRight w:val="0"/>
                      <w:marTop w:val="0"/>
                      <w:marBottom w:val="0"/>
                      <w:divBdr>
                        <w:top w:val="none" w:sz="0" w:space="0" w:color="auto"/>
                        <w:left w:val="none" w:sz="0" w:space="0" w:color="auto"/>
                        <w:bottom w:val="none" w:sz="0" w:space="0" w:color="auto"/>
                        <w:right w:val="none" w:sz="0" w:space="0" w:color="auto"/>
                      </w:divBdr>
                    </w:div>
                  </w:divsChild>
                </w:div>
                <w:div w:id="1215849315">
                  <w:marLeft w:val="0"/>
                  <w:marRight w:val="0"/>
                  <w:marTop w:val="0"/>
                  <w:marBottom w:val="0"/>
                  <w:divBdr>
                    <w:top w:val="none" w:sz="0" w:space="0" w:color="auto"/>
                    <w:left w:val="none" w:sz="0" w:space="0" w:color="auto"/>
                    <w:bottom w:val="none" w:sz="0" w:space="0" w:color="auto"/>
                    <w:right w:val="none" w:sz="0" w:space="0" w:color="auto"/>
                  </w:divBdr>
                  <w:divsChild>
                    <w:div w:id="478618435">
                      <w:marLeft w:val="0"/>
                      <w:marRight w:val="0"/>
                      <w:marTop w:val="0"/>
                      <w:marBottom w:val="0"/>
                      <w:divBdr>
                        <w:top w:val="none" w:sz="0" w:space="0" w:color="auto"/>
                        <w:left w:val="none" w:sz="0" w:space="0" w:color="auto"/>
                        <w:bottom w:val="none" w:sz="0" w:space="0" w:color="auto"/>
                        <w:right w:val="none" w:sz="0" w:space="0" w:color="auto"/>
                      </w:divBdr>
                    </w:div>
                  </w:divsChild>
                </w:div>
                <w:div w:id="1231847184">
                  <w:marLeft w:val="0"/>
                  <w:marRight w:val="0"/>
                  <w:marTop w:val="0"/>
                  <w:marBottom w:val="0"/>
                  <w:divBdr>
                    <w:top w:val="none" w:sz="0" w:space="0" w:color="auto"/>
                    <w:left w:val="none" w:sz="0" w:space="0" w:color="auto"/>
                    <w:bottom w:val="none" w:sz="0" w:space="0" w:color="auto"/>
                    <w:right w:val="none" w:sz="0" w:space="0" w:color="auto"/>
                  </w:divBdr>
                  <w:divsChild>
                    <w:div w:id="1191916373">
                      <w:marLeft w:val="0"/>
                      <w:marRight w:val="0"/>
                      <w:marTop w:val="0"/>
                      <w:marBottom w:val="0"/>
                      <w:divBdr>
                        <w:top w:val="none" w:sz="0" w:space="0" w:color="auto"/>
                        <w:left w:val="none" w:sz="0" w:space="0" w:color="auto"/>
                        <w:bottom w:val="none" w:sz="0" w:space="0" w:color="auto"/>
                        <w:right w:val="none" w:sz="0" w:space="0" w:color="auto"/>
                      </w:divBdr>
                    </w:div>
                  </w:divsChild>
                </w:div>
                <w:div w:id="1234243536">
                  <w:marLeft w:val="0"/>
                  <w:marRight w:val="0"/>
                  <w:marTop w:val="0"/>
                  <w:marBottom w:val="0"/>
                  <w:divBdr>
                    <w:top w:val="none" w:sz="0" w:space="0" w:color="auto"/>
                    <w:left w:val="none" w:sz="0" w:space="0" w:color="auto"/>
                    <w:bottom w:val="none" w:sz="0" w:space="0" w:color="auto"/>
                    <w:right w:val="none" w:sz="0" w:space="0" w:color="auto"/>
                  </w:divBdr>
                  <w:divsChild>
                    <w:div w:id="1223251495">
                      <w:marLeft w:val="0"/>
                      <w:marRight w:val="0"/>
                      <w:marTop w:val="0"/>
                      <w:marBottom w:val="0"/>
                      <w:divBdr>
                        <w:top w:val="none" w:sz="0" w:space="0" w:color="auto"/>
                        <w:left w:val="none" w:sz="0" w:space="0" w:color="auto"/>
                        <w:bottom w:val="none" w:sz="0" w:space="0" w:color="auto"/>
                        <w:right w:val="none" w:sz="0" w:space="0" w:color="auto"/>
                      </w:divBdr>
                    </w:div>
                  </w:divsChild>
                </w:div>
                <w:div w:id="1243948912">
                  <w:marLeft w:val="0"/>
                  <w:marRight w:val="0"/>
                  <w:marTop w:val="0"/>
                  <w:marBottom w:val="0"/>
                  <w:divBdr>
                    <w:top w:val="none" w:sz="0" w:space="0" w:color="auto"/>
                    <w:left w:val="none" w:sz="0" w:space="0" w:color="auto"/>
                    <w:bottom w:val="none" w:sz="0" w:space="0" w:color="auto"/>
                    <w:right w:val="none" w:sz="0" w:space="0" w:color="auto"/>
                  </w:divBdr>
                  <w:divsChild>
                    <w:div w:id="1748109484">
                      <w:marLeft w:val="0"/>
                      <w:marRight w:val="0"/>
                      <w:marTop w:val="0"/>
                      <w:marBottom w:val="0"/>
                      <w:divBdr>
                        <w:top w:val="none" w:sz="0" w:space="0" w:color="auto"/>
                        <w:left w:val="none" w:sz="0" w:space="0" w:color="auto"/>
                        <w:bottom w:val="none" w:sz="0" w:space="0" w:color="auto"/>
                        <w:right w:val="none" w:sz="0" w:space="0" w:color="auto"/>
                      </w:divBdr>
                    </w:div>
                  </w:divsChild>
                </w:div>
                <w:div w:id="1340084533">
                  <w:marLeft w:val="0"/>
                  <w:marRight w:val="0"/>
                  <w:marTop w:val="0"/>
                  <w:marBottom w:val="0"/>
                  <w:divBdr>
                    <w:top w:val="none" w:sz="0" w:space="0" w:color="auto"/>
                    <w:left w:val="none" w:sz="0" w:space="0" w:color="auto"/>
                    <w:bottom w:val="none" w:sz="0" w:space="0" w:color="auto"/>
                    <w:right w:val="none" w:sz="0" w:space="0" w:color="auto"/>
                  </w:divBdr>
                  <w:divsChild>
                    <w:div w:id="1988590019">
                      <w:marLeft w:val="0"/>
                      <w:marRight w:val="0"/>
                      <w:marTop w:val="0"/>
                      <w:marBottom w:val="0"/>
                      <w:divBdr>
                        <w:top w:val="none" w:sz="0" w:space="0" w:color="auto"/>
                        <w:left w:val="none" w:sz="0" w:space="0" w:color="auto"/>
                        <w:bottom w:val="none" w:sz="0" w:space="0" w:color="auto"/>
                        <w:right w:val="none" w:sz="0" w:space="0" w:color="auto"/>
                      </w:divBdr>
                    </w:div>
                  </w:divsChild>
                </w:div>
                <w:div w:id="1441415341">
                  <w:marLeft w:val="0"/>
                  <w:marRight w:val="0"/>
                  <w:marTop w:val="0"/>
                  <w:marBottom w:val="0"/>
                  <w:divBdr>
                    <w:top w:val="none" w:sz="0" w:space="0" w:color="auto"/>
                    <w:left w:val="none" w:sz="0" w:space="0" w:color="auto"/>
                    <w:bottom w:val="none" w:sz="0" w:space="0" w:color="auto"/>
                    <w:right w:val="none" w:sz="0" w:space="0" w:color="auto"/>
                  </w:divBdr>
                  <w:divsChild>
                    <w:div w:id="534851102">
                      <w:marLeft w:val="0"/>
                      <w:marRight w:val="0"/>
                      <w:marTop w:val="0"/>
                      <w:marBottom w:val="0"/>
                      <w:divBdr>
                        <w:top w:val="none" w:sz="0" w:space="0" w:color="auto"/>
                        <w:left w:val="none" w:sz="0" w:space="0" w:color="auto"/>
                        <w:bottom w:val="none" w:sz="0" w:space="0" w:color="auto"/>
                        <w:right w:val="none" w:sz="0" w:space="0" w:color="auto"/>
                      </w:divBdr>
                    </w:div>
                  </w:divsChild>
                </w:div>
                <w:div w:id="1533805645">
                  <w:marLeft w:val="0"/>
                  <w:marRight w:val="0"/>
                  <w:marTop w:val="0"/>
                  <w:marBottom w:val="0"/>
                  <w:divBdr>
                    <w:top w:val="none" w:sz="0" w:space="0" w:color="auto"/>
                    <w:left w:val="none" w:sz="0" w:space="0" w:color="auto"/>
                    <w:bottom w:val="none" w:sz="0" w:space="0" w:color="auto"/>
                    <w:right w:val="none" w:sz="0" w:space="0" w:color="auto"/>
                  </w:divBdr>
                  <w:divsChild>
                    <w:div w:id="1849247611">
                      <w:marLeft w:val="0"/>
                      <w:marRight w:val="0"/>
                      <w:marTop w:val="0"/>
                      <w:marBottom w:val="0"/>
                      <w:divBdr>
                        <w:top w:val="none" w:sz="0" w:space="0" w:color="auto"/>
                        <w:left w:val="none" w:sz="0" w:space="0" w:color="auto"/>
                        <w:bottom w:val="none" w:sz="0" w:space="0" w:color="auto"/>
                        <w:right w:val="none" w:sz="0" w:space="0" w:color="auto"/>
                      </w:divBdr>
                    </w:div>
                  </w:divsChild>
                </w:div>
                <w:div w:id="1572236331">
                  <w:marLeft w:val="0"/>
                  <w:marRight w:val="0"/>
                  <w:marTop w:val="0"/>
                  <w:marBottom w:val="0"/>
                  <w:divBdr>
                    <w:top w:val="none" w:sz="0" w:space="0" w:color="auto"/>
                    <w:left w:val="none" w:sz="0" w:space="0" w:color="auto"/>
                    <w:bottom w:val="none" w:sz="0" w:space="0" w:color="auto"/>
                    <w:right w:val="none" w:sz="0" w:space="0" w:color="auto"/>
                  </w:divBdr>
                  <w:divsChild>
                    <w:div w:id="633951364">
                      <w:marLeft w:val="0"/>
                      <w:marRight w:val="0"/>
                      <w:marTop w:val="0"/>
                      <w:marBottom w:val="0"/>
                      <w:divBdr>
                        <w:top w:val="none" w:sz="0" w:space="0" w:color="auto"/>
                        <w:left w:val="none" w:sz="0" w:space="0" w:color="auto"/>
                        <w:bottom w:val="none" w:sz="0" w:space="0" w:color="auto"/>
                        <w:right w:val="none" w:sz="0" w:space="0" w:color="auto"/>
                      </w:divBdr>
                    </w:div>
                  </w:divsChild>
                </w:div>
                <w:div w:id="1671367693">
                  <w:marLeft w:val="0"/>
                  <w:marRight w:val="0"/>
                  <w:marTop w:val="0"/>
                  <w:marBottom w:val="0"/>
                  <w:divBdr>
                    <w:top w:val="none" w:sz="0" w:space="0" w:color="auto"/>
                    <w:left w:val="none" w:sz="0" w:space="0" w:color="auto"/>
                    <w:bottom w:val="none" w:sz="0" w:space="0" w:color="auto"/>
                    <w:right w:val="none" w:sz="0" w:space="0" w:color="auto"/>
                  </w:divBdr>
                  <w:divsChild>
                    <w:div w:id="1794707990">
                      <w:marLeft w:val="0"/>
                      <w:marRight w:val="0"/>
                      <w:marTop w:val="0"/>
                      <w:marBottom w:val="0"/>
                      <w:divBdr>
                        <w:top w:val="none" w:sz="0" w:space="0" w:color="auto"/>
                        <w:left w:val="none" w:sz="0" w:space="0" w:color="auto"/>
                        <w:bottom w:val="none" w:sz="0" w:space="0" w:color="auto"/>
                        <w:right w:val="none" w:sz="0" w:space="0" w:color="auto"/>
                      </w:divBdr>
                    </w:div>
                  </w:divsChild>
                </w:div>
                <w:div w:id="1721396432">
                  <w:marLeft w:val="0"/>
                  <w:marRight w:val="0"/>
                  <w:marTop w:val="0"/>
                  <w:marBottom w:val="0"/>
                  <w:divBdr>
                    <w:top w:val="none" w:sz="0" w:space="0" w:color="auto"/>
                    <w:left w:val="none" w:sz="0" w:space="0" w:color="auto"/>
                    <w:bottom w:val="none" w:sz="0" w:space="0" w:color="auto"/>
                    <w:right w:val="none" w:sz="0" w:space="0" w:color="auto"/>
                  </w:divBdr>
                  <w:divsChild>
                    <w:div w:id="749733344">
                      <w:marLeft w:val="0"/>
                      <w:marRight w:val="0"/>
                      <w:marTop w:val="0"/>
                      <w:marBottom w:val="0"/>
                      <w:divBdr>
                        <w:top w:val="none" w:sz="0" w:space="0" w:color="auto"/>
                        <w:left w:val="none" w:sz="0" w:space="0" w:color="auto"/>
                        <w:bottom w:val="none" w:sz="0" w:space="0" w:color="auto"/>
                        <w:right w:val="none" w:sz="0" w:space="0" w:color="auto"/>
                      </w:divBdr>
                    </w:div>
                  </w:divsChild>
                </w:div>
                <w:div w:id="1742364216">
                  <w:marLeft w:val="0"/>
                  <w:marRight w:val="0"/>
                  <w:marTop w:val="0"/>
                  <w:marBottom w:val="0"/>
                  <w:divBdr>
                    <w:top w:val="none" w:sz="0" w:space="0" w:color="auto"/>
                    <w:left w:val="none" w:sz="0" w:space="0" w:color="auto"/>
                    <w:bottom w:val="none" w:sz="0" w:space="0" w:color="auto"/>
                    <w:right w:val="none" w:sz="0" w:space="0" w:color="auto"/>
                  </w:divBdr>
                  <w:divsChild>
                    <w:div w:id="558590012">
                      <w:marLeft w:val="0"/>
                      <w:marRight w:val="0"/>
                      <w:marTop w:val="0"/>
                      <w:marBottom w:val="0"/>
                      <w:divBdr>
                        <w:top w:val="none" w:sz="0" w:space="0" w:color="auto"/>
                        <w:left w:val="none" w:sz="0" w:space="0" w:color="auto"/>
                        <w:bottom w:val="none" w:sz="0" w:space="0" w:color="auto"/>
                        <w:right w:val="none" w:sz="0" w:space="0" w:color="auto"/>
                      </w:divBdr>
                    </w:div>
                  </w:divsChild>
                </w:div>
                <w:div w:id="1771705790">
                  <w:marLeft w:val="0"/>
                  <w:marRight w:val="0"/>
                  <w:marTop w:val="0"/>
                  <w:marBottom w:val="0"/>
                  <w:divBdr>
                    <w:top w:val="none" w:sz="0" w:space="0" w:color="auto"/>
                    <w:left w:val="none" w:sz="0" w:space="0" w:color="auto"/>
                    <w:bottom w:val="none" w:sz="0" w:space="0" w:color="auto"/>
                    <w:right w:val="none" w:sz="0" w:space="0" w:color="auto"/>
                  </w:divBdr>
                  <w:divsChild>
                    <w:div w:id="1718161458">
                      <w:marLeft w:val="0"/>
                      <w:marRight w:val="0"/>
                      <w:marTop w:val="0"/>
                      <w:marBottom w:val="0"/>
                      <w:divBdr>
                        <w:top w:val="none" w:sz="0" w:space="0" w:color="auto"/>
                        <w:left w:val="none" w:sz="0" w:space="0" w:color="auto"/>
                        <w:bottom w:val="none" w:sz="0" w:space="0" w:color="auto"/>
                        <w:right w:val="none" w:sz="0" w:space="0" w:color="auto"/>
                      </w:divBdr>
                    </w:div>
                  </w:divsChild>
                </w:div>
                <w:div w:id="1804734278">
                  <w:marLeft w:val="0"/>
                  <w:marRight w:val="0"/>
                  <w:marTop w:val="0"/>
                  <w:marBottom w:val="0"/>
                  <w:divBdr>
                    <w:top w:val="none" w:sz="0" w:space="0" w:color="auto"/>
                    <w:left w:val="none" w:sz="0" w:space="0" w:color="auto"/>
                    <w:bottom w:val="none" w:sz="0" w:space="0" w:color="auto"/>
                    <w:right w:val="none" w:sz="0" w:space="0" w:color="auto"/>
                  </w:divBdr>
                  <w:divsChild>
                    <w:div w:id="1354846727">
                      <w:marLeft w:val="0"/>
                      <w:marRight w:val="0"/>
                      <w:marTop w:val="0"/>
                      <w:marBottom w:val="0"/>
                      <w:divBdr>
                        <w:top w:val="none" w:sz="0" w:space="0" w:color="auto"/>
                        <w:left w:val="none" w:sz="0" w:space="0" w:color="auto"/>
                        <w:bottom w:val="none" w:sz="0" w:space="0" w:color="auto"/>
                        <w:right w:val="none" w:sz="0" w:space="0" w:color="auto"/>
                      </w:divBdr>
                    </w:div>
                  </w:divsChild>
                </w:div>
                <w:div w:id="1835411935">
                  <w:marLeft w:val="0"/>
                  <w:marRight w:val="0"/>
                  <w:marTop w:val="0"/>
                  <w:marBottom w:val="0"/>
                  <w:divBdr>
                    <w:top w:val="none" w:sz="0" w:space="0" w:color="auto"/>
                    <w:left w:val="none" w:sz="0" w:space="0" w:color="auto"/>
                    <w:bottom w:val="none" w:sz="0" w:space="0" w:color="auto"/>
                    <w:right w:val="none" w:sz="0" w:space="0" w:color="auto"/>
                  </w:divBdr>
                  <w:divsChild>
                    <w:div w:id="1997419536">
                      <w:marLeft w:val="0"/>
                      <w:marRight w:val="0"/>
                      <w:marTop w:val="0"/>
                      <w:marBottom w:val="0"/>
                      <w:divBdr>
                        <w:top w:val="none" w:sz="0" w:space="0" w:color="auto"/>
                        <w:left w:val="none" w:sz="0" w:space="0" w:color="auto"/>
                        <w:bottom w:val="none" w:sz="0" w:space="0" w:color="auto"/>
                        <w:right w:val="none" w:sz="0" w:space="0" w:color="auto"/>
                      </w:divBdr>
                    </w:div>
                  </w:divsChild>
                </w:div>
                <w:div w:id="1922981273">
                  <w:marLeft w:val="0"/>
                  <w:marRight w:val="0"/>
                  <w:marTop w:val="0"/>
                  <w:marBottom w:val="0"/>
                  <w:divBdr>
                    <w:top w:val="none" w:sz="0" w:space="0" w:color="auto"/>
                    <w:left w:val="none" w:sz="0" w:space="0" w:color="auto"/>
                    <w:bottom w:val="none" w:sz="0" w:space="0" w:color="auto"/>
                    <w:right w:val="none" w:sz="0" w:space="0" w:color="auto"/>
                  </w:divBdr>
                  <w:divsChild>
                    <w:div w:id="1556156643">
                      <w:marLeft w:val="0"/>
                      <w:marRight w:val="0"/>
                      <w:marTop w:val="0"/>
                      <w:marBottom w:val="0"/>
                      <w:divBdr>
                        <w:top w:val="none" w:sz="0" w:space="0" w:color="auto"/>
                        <w:left w:val="none" w:sz="0" w:space="0" w:color="auto"/>
                        <w:bottom w:val="none" w:sz="0" w:space="0" w:color="auto"/>
                        <w:right w:val="none" w:sz="0" w:space="0" w:color="auto"/>
                      </w:divBdr>
                    </w:div>
                  </w:divsChild>
                </w:div>
                <w:div w:id="1982730333">
                  <w:marLeft w:val="0"/>
                  <w:marRight w:val="0"/>
                  <w:marTop w:val="0"/>
                  <w:marBottom w:val="0"/>
                  <w:divBdr>
                    <w:top w:val="none" w:sz="0" w:space="0" w:color="auto"/>
                    <w:left w:val="none" w:sz="0" w:space="0" w:color="auto"/>
                    <w:bottom w:val="none" w:sz="0" w:space="0" w:color="auto"/>
                    <w:right w:val="none" w:sz="0" w:space="0" w:color="auto"/>
                  </w:divBdr>
                  <w:divsChild>
                    <w:div w:id="1688942138">
                      <w:marLeft w:val="0"/>
                      <w:marRight w:val="0"/>
                      <w:marTop w:val="0"/>
                      <w:marBottom w:val="0"/>
                      <w:divBdr>
                        <w:top w:val="none" w:sz="0" w:space="0" w:color="auto"/>
                        <w:left w:val="none" w:sz="0" w:space="0" w:color="auto"/>
                        <w:bottom w:val="none" w:sz="0" w:space="0" w:color="auto"/>
                        <w:right w:val="none" w:sz="0" w:space="0" w:color="auto"/>
                      </w:divBdr>
                    </w:div>
                  </w:divsChild>
                </w:div>
                <w:div w:id="1987128663">
                  <w:marLeft w:val="0"/>
                  <w:marRight w:val="0"/>
                  <w:marTop w:val="0"/>
                  <w:marBottom w:val="0"/>
                  <w:divBdr>
                    <w:top w:val="none" w:sz="0" w:space="0" w:color="auto"/>
                    <w:left w:val="none" w:sz="0" w:space="0" w:color="auto"/>
                    <w:bottom w:val="none" w:sz="0" w:space="0" w:color="auto"/>
                    <w:right w:val="none" w:sz="0" w:space="0" w:color="auto"/>
                  </w:divBdr>
                  <w:divsChild>
                    <w:div w:id="25756615">
                      <w:marLeft w:val="0"/>
                      <w:marRight w:val="0"/>
                      <w:marTop w:val="0"/>
                      <w:marBottom w:val="0"/>
                      <w:divBdr>
                        <w:top w:val="none" w:sz="0" w:space="0" w:color="auto"/>
                        <w:left w:val="none" w:sz="0" w:space="0" w:color="auto"/>
                        <w:bottom w:val="none" w:sz="0" w:space="0" w:color="auto"/>
                        <w:right w:val="none" w:sz="0" w:space="0" w:color="auto"/>
                      </w:divBdr>
                    </w:div>
                  </w:divsChild>
                </w:div>
                <w:div w:id="2088847020">
                  <w:marLeft w:val="0"/>
                  <w:marRight w:val="0"/>
                  <w:marTop w:val="0"/>
                  <w:marBottom w:val="0"/>
                  <w:divBdr>
                    <w:top w:val="none" w:sz="0" w:space="0" w:color="auto"/>
                    <w:left w:val="none" w:sz="0" w:space="0" w:color="auto"/>
                    <w:bottom w:val="none" w:sz="0" w:space="0" w:color="auto"/>
                    <w:right w:val="none" w:sz="0" w:space="0" w:color="auto"/>
                  </w:divBdr>
                  <w:divsChild>
                    <w:div w:id="345909891">
                      <w:marLeft w:val="0"/>
                      <w:marRight w:val="0"/>
                      <w:marTop w:val="0"/>
                      <w:marBottom w:val="0"/>
                      <w:divBdr>
                        <w:top w:val="none" w:sz="0" w:space="0" w:color="auto"/>
                        <w:left w:val="none" w:sz="0" w:space="0" w:color="auto"/>
                        <w:bottom w:val="none" w:sz="0" w:space="0" w:color="auto"/>
                        <w:right w:val="none" w:sz="0" w:space="0" w:color="auto"/>
                      </w:divBdr>
                    </w:div>
                  </w:divsChild>
                </w:div>
                <w:div w:id="2101027984">
                  <w:marLeft w:val="0"/>
                  <w:marRight w:val="0"/>
                  <w:marTop w:val="0"/>
                  <w:marBottom w:val="0"/>
                  <w:divBdr>
                    <w:top w:val="none" w:sz="0" w:space="0" w:color="auto"/>
                    <w:left w:val="none" w:sz="0" w:space="0" w:color="auto"/>
                    <w:bottom w:val="none" w:sz="0" w:space="0" w:color="auto"/>
                    <w:right w:val="none" w:sz="0" w:space="0" w:color="auto"/>
                  </w:divBdr>
                  <w:divsChild>
                    <w:div w:id="472255896">
                      <w:marLeft w:val="0"/>
                      <w:marRight w:val="0"/>
                      <w:marTop w:val="0"/>
                      <w:marBottom w:val="0"/>
                      <w:divBdr>
                        <w:top w:val="none" w:sz="0" w:space="0" w:color="auto"/>
                        <w:left w:val="none" w:sz="0" w:space="0" w:color="auto"/>
                        <w:bottom w:val="none" w:sz="0" w:space="0" w:color="auto"/>
                        <w:right w:val="none" w:sz="0" w:space="0" w:color="auto"/>
                      </w:divBdr>
                    </w:div>
                  </w:divsChild>
                </w:div>
                <w:div w:id="2107651095">
                  <w:marLeft w:val="0"/>
                  <w:marRight w:val="0"/>
                  <w:marTop w:val="0"/>
                  <w:marBottom w:val="0"/>
                  <w:divBdr>
                    <w:top w:val="none" w:sz="0" w:space="0" w:color="auto"/>
                    <w:left w:val="none" w:sz="0" w:space="0" w:color="auto"/>
                    <w:bottom w:val="none" w:sz="0" w:space="0" w:color="auto"/>
                    <w:right w:val="none" w:sz="0" w:space="0" w:color="auto"/>
                  </w:divBdr>
                  <w:divsChild>
                    <w:div w:id="1311860850">
                      <w:marLeft w:val="0"/>
                      <w:marRight w:val="0"/>
                      <w:marTop w:val="0"/>
                      <w:marBottom w:val="0"/>
                      <w:divBdr>
                        <w:top w:val="none" w:sz="0" w:space="0" w:color="auto"/>
                        <w:left w:val="none" w:sz="0" w:space="0" w:color="auto"/>
                        <w:bottom w:val="none" w:sz="0" w:space="0" w:color="auto"/>
                        <w:right w:val="none" w:sz="0" w:space="0" w:color="auto"/>
                      </w:divBdr>
                    </w:div>
                  </w:divsChild>
                </w:div>
                <w:div w:id="2123765937">
                  <w:marLeft w:val="0"/>
                  <w:marRight w:val="0"/>
                  <w:marTop w:val="0"/>
                  <w:marBottom w:val="0"/>
                  <w:divBdr>
                    <w:top w:val="none" w:sz="0" w:space="0" w:color="auto"/>
                    <w:left w:val="none" w:sz="0" w:space="0" w:color="auto"/>
                    <w:bottom w:val="none" w:sz="0" w:space="0" w:color="auto"/>
                    <w:right w:val="none" w:sz="0" w:space="0" w:color="auto"/>
                  </w:divBdr>
                  <w:divsChild>
                    <w:div w:id="21176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687">
      <w:bodyDiv w:val="1"/>
      <w:marLeft w:val="0"/>
      <w:marRight w:val="0"/>
      <w:marTop w:val="0"/>
      <w:marBottom w:val="0"/>
      <w:divBdr>
        <w:top w:val="none" w:sz="0" w:space="0" w:color="auto"/>
        <w:left w:val="none" w:sz="0" w:space="0" w:color="auto"/>
        <w:bottom w:val="none" w:sz="0" w:space="0" w:color="auto"/>
        <w:right w:val="none" w:sz="0" w:space="0" w:color="auto"/>
      </w:divBdr>
    </w:div>
    <w:div w:id="1992128763">
      <w:bodyDiv w:val="1"/>
      <w:marLeft w:val="0"/>
      <w:marRight w:val="0"/>
      <w:marTop w:val="0"/>
      <w:marBottom w:val="0"/>
      <w:divBdr>
        <w:top w:val="none" w:sz="0" w:space="0" w:color="auto"/>
        <w:left w:val="none" w:sz="0" w:space="0" w:color="auto"/>
        <w:bottom w:val="none" w:sz="0" w:space="0" w:color="auto"/>
        <w:right w:val="none" w:sz="0" w:space="0" w:color="auto"/>
      </w:divBdr>
      <w:divsChild>
        <w:div w:id="55203335">
          <w:marLeft w:val="0"/>
          <w:marRight w:val="0"/>
          <w:marTop w:val="0"/>
          <w:marBottom w:val="0"/>
          <w:divBdr>
            <w:top w:val="none" w:sz="0" w:space="0" w:color="auto"/>
            <w:left w:val="none" w:sz="0" w:space="0" w:color="auto"/>
            <w:bottom w:val="none" w:sz="0" w:space="0" w:color="auto"/>
            <w:right w:val="none" w:sz="0" w:space="0" w:color="auto"/>
          </w:divBdr>
        </w:div>
        <w:div w:id="598292174">
          <w:marLeft w:val="0"/>
          <w:marRight w:val="0"/>
          <w:marTop w:val="0"/>
          <w:marBottom w:val="0"/>
          <w:divBdr>
            <w:top w:val="none" w:sz="0" w:space="0" w:color="auto"/>
            <w:left w:val="none" w:sz="0" w:space="0" w:color="auto"/>
            <w:bottom w:val="none" w:sz="0" w:space="0" w:color="auto"/>
            <w:right w:val="none" w:sz="0" w:space="0" w:color="auto"/>
          </w:divBdr>
        </w:div>
      </w:divsChild>
    </w:div>
    <w:div w:id="1999573663">
      <w:bodyDiv w:val="1"/>
      <w:marLeft w:val="0"/>
      <w:marRight w:val="0"/>
      <w:marTop w:val="0"/>
      <w:marBottom w:val="0"/>
      <w:divBdr>
        <w:top w:val="none" w:sz="0" w:space="0" w:color="auto"/>
        <w:left w:val="none" w:sz="0" w:space="0" w:color="auto"/>
        <w:bottom w:val="none" w:sz="0" w:space="0" w:color="auto"/>
        <w:right w:val="none" w:sz="0" w:space="0" w:color="auto"/>
      </w:divBdr>
      <w:divsChild>
        <w:div w:id="86124708">
          <w:marLeft w:val="274"/>
          <w:marRight w:val="0"/>
          <w:marTop w:val="0"/>
          <w:marBottom w:val="0"/>
          <w:divBdr>
            <w:top w:val="none" w:sz="0" w:space="0" w:color="auto"/>
            <w:left w:val="none" w:sz="0" w:space="0" w:color="auto"/>
            <w:bottom w:val="none" w:sz="0" w:space="0" w:color="auto"/>
            <w:right w:val="none" w:sz="0" w:space="0" w:color="auto"/>
          </w:divBdr>
        </w:div>
        <w:div w:id="423184492">
          <w:marLeft w:val="274"/>
          <w:marRight w:val="0"/>
          <w:marTop w:val="0"/>
          <w:marBottom w:val="0"/>
          <w:divBdr>
            <w:top w:val="none" w:sz="0" w:space="0" w:color="auto"/>
            <w:left w:val="none" w:sz="0" w:space="0" w:color="auto"/>
            <w:bottom w:val="none" w:sz="0" w:space="0" w:color="auto"/>
            <w:right w:val="none" w:sz="0" w:space="0" w:color="auto"/>
          </w:divBdr>
        </w:div>
        <w:div w:id="1081223477">
          <w:marLeft w:val="274"/>
          <w:marRight w:val="0"/>
          <w:marTop w:val="0"/>
          <w:marBottom w:val="0"/>
          <w:divBdr>
            <w:top w:val="none" w:sz="0" w:space="0" w:color="auto"/>
            <w:left w:val="none" w:sz="0" w:space="0" w:color="auto"/>
            <w:bottom w:val="none" w:sz="0" w:space="0" w:color="auto"/>
            <w:right w:val="none" w:sz="0" w:space="0" w:color="auto"/>
          </w:divBdr>
        </w:div>
        <w:div w:id="1531992646">
          <w:marLeft w:val="274"/>
          <w:marRight w:val="0"/>
          <w:marTop w:val="0"/>
          <w:marBottom w:val="0"/>
          <w:divBdr>
            <w:top w:val="none" w:sz="0" w:space="0" w:color="auto"/>
            <w:left w:val="none" w:sz="0" w:space="0" w:color="auto"/>
            <w:bottom w:val="none" w:sz="0" w:space="0" w:color="auto"/>
            <w:right w:val="none" w:sz="0" w:space="0" w:color="auto"/>
          </w:divBdr>
        </w:div>
        <w:div w:id="1731996677">
          <w:marLeft w:val="274"/>
          <w:marRight w:val="0"/>
          <w:marTop w:val="0"/>
          <w:marBottom w:val="0"/>
          <w:divBdr>
            <w:top w:val="none" w:sz="0" w:space="0" w:color="auto"/>
            <w:left w:val="none" w:sz="0" w:space="0" w:color="auto"/>
            <w:bottom w:val="none" w:sz="0" w:space="0" w:color="auto"/>
            <w:right w:val="none" w:sz="0" w:space="0" w:color="auto"/>
          </w:divBdr>
        </w:div>
        <w:div w:id="1757943541">
          <w:marLeft w:val="274"/>
          <w:marRight w:val="0"/>
          <w:marTop w:val="0"/>
          <w:marBottom w:val="0"/>
          <w:divBdr>
            <w:top w:val="none" w:sz="0" w:space="0" w:color="auto"/>
            <w:left w:val="none" w:sz="0" w:space="0" w:color="auto"/>
            <w:bottom w:val="none" w:sz="0" w:space="0" w:color="auto"/>
            <w:right w:val="none" w:sz="0" w:space="0" w:color="auto"/>
          </w:divBdr>
        </w:div>
        <w:div w:id="1968001101">
          <w:marLeft w:val="274"/>
          <w:marRight w:val="0"/>
          <w:marTop w:val="0"/>
          <w:marBottom w:val="0"/>
          <w:divBdr>
            <w:top w:val="none" w:sz="0" w:space="0" w:color="auto"/>
            <w:left w:val="none" w:sz="0" w:space="0" w:color="auto"/>
            <w:bottom w:val="none" w:sz="0" w:space="0" w:color="auto"/>
            <w:right w:val="none" w:sz="0" w:space="0" w:color="auto"/>
          </w:divBdr>
        </w:div>
      </w:divsChild>
    </w:div>
    <w:div w:id="2017613808">
      <w:bodyDiv w:val="1"/>
      <w:marLeft w:val="0"/>
      <w:marRight w:val="0"/>
      <w:marTop w:val="0"/>
      <w:marBottom w:val="0"/>
      <w:divBdr>
        <w:top w:val="none" w:sz="0" w:space="0" w:color="auto"/>
        <w:left w:val="none" w:sz="0" w:space="0" w:color="auto"/>
        <w:bottom w:val="none" w:sz="0" w:space="0" w:color="auto"/>
        <w:right w:val="none" w:sz="0" w:space="0" w:color="auto"/>
      </w:divBdr>
    </w:div>
    <w:div w:id="2111462032">
      <w:bodyDiv w:val="1"/>
      <w:marLeft w:val="0"/>
      <w:marRight w:val="0"/>
      <w:marTop w:val="0"/>
      <w:marBottom w:val="0"/>
      <w:divBdr>
        <w:top w:val="none" w:sz="0" w:space="0" w:color="auto"/>
        <w:left w:val="none" w:sz="0" w:space="0" w:color="auto"/>
        <w:bottom w:val="none" w:sz="0" w:space="0" w:color="auto"/>
        <w:right w:val="none" w:sz="0" w:space="0" w:color="auto"/>
      </w:divBdr>
      <w:divsChild>
        <w:div w:id="666709752">
          <w:marLeft w:val="547"/>
          <w:marRight w:val="0"/>
          <w:marTop w:val="200"/>
          <w:marBottom w:val="0"/>
          <w:divBdr>
            <w:top w:val="none" w:sz="0" w:space="0" w:color="auto"/>
            <w:left w:val="none" w:sz="0" w:space="0" w:color="auto"/>
            <w:bottom w:val="none" w:sz="0" w:space="0" w:color="auto"/>
            <w:right w:val="none" w:sz="0" w:space="0" w:color="auto"/>
          </w:divBdr>
        </w:div>
        <w:div w:id="952322925">
          <w:marLeft w:val="547"/>
          <w:marRight w:val="0"/>
          <w:marTop w:val="200"/>
          <w:marBottom w:val="0"/>
          <w:divBdr>
            <w:top w:val="none" w:sz="0" w:space="0" w:color="auto"/>
            <w:left w:val="none" w:sz="0" w:space="0" w:color="auto"/>
            <w:bottom w:val="none" w:sz="0" w:space="0" w:color="auto"/>
            <w:right w:val="none" w:sz="0" w:space="0" w:color="auto"/>
          </w:divBdr>
        </w:div>
        <w:div w:id="1309826494">
          <w:marLeft w:val="547"/>
          <w:marRight w:val="0"/>
          <w:marTop w:val="200"/>
          <w:marBottom w:val="0"/>
          <w:divBdr>
            <w:top w:val="none" w:sz="0" w:space="0" w:color="auto"/>
            <w:left w:val="none" w:sz="0" w:space="0" w:color="auto"/>
            <w:bottom w:val="none" w:sz="0" w:space="0" w:color="auto"/>
            <w:right w:val="none" w:sz="0" w:space="0" w:color="auto"/>
          </w:divBdr>
        </w:div>
        <w:div w:id="1657688743">
          <w:marLeft w:val="547"/>
          <w:marRight w:val="0"/>
          <w:marTop w:val="200"/>
          <w:marBottom w:val="0"/>
          <w:divBdr>
            <w:top w:val="none" w:sz="0" w:space="0" w:color="auto"/>
            <w:left w:val="none" w:sz="0" w:space="0" w:color="auto"/>
            <w:bottom w:val="none" w:sz="0" w:space="0" w:color="auto"/>
            <w:right w:val="none" w:sz="0" w:space="0" w:color="auto"/>
          </w:divBdr>
        </w:div>
      </w:divsChild>
    </w:div>
    <w:div w:id="2115510906">
      <w:bodyDiv w:val="1"/>
      <w:marLeft w:val="0"/>
      <w:marRight w:val="0"/>
      <w:marTop w:val="0"/>
      <w:marBottom w:val="0"/>
      <w:divBdr>
        <w:top w:val="none" w:sz="0" w:space="0" w:color="auto"/>
        <w:left w:val="none" w:sz="0" w:space="0" w:color="auto"/>
        <w:bottom w:val="none" w:sz="0" w:space="0" w:color="auto"/>
        <w:right w:val="none" w:sz="0" w:space="0" w:color="auto"/>
      </w:divBdr>
    </w:div>
    <w:div w:id="21291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publicservice.govt.nz/system/public-service-people/pay-gaps-and-pay-equity/kia-toipoto/"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blicservice.govt.nz/system/public-service-people/pay-gaps-and-pay-equity/kia-toipoto/" TargetMode="External"/><Relationship Id="rId32" Type="http://schemas.openxmlformats.org/officeDocument/2006/relationships/chart" Target="charts/chart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hart" Target="charts/chart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ment.govt.nz" TargetMode="Externa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mfeprodfps01\boonj$\HR%20Data\Gender%20Pay%20Gap\Ethnic%20and%20Gender%20Pay%20Gap%20data%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feprodfps01\boonj$\HR%20Data\Gender%20Pay%20Gap\Ethnic%20and%20Gender%20Pay%20Gap%20data%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feprodfps01\boonj$\HR%20Data\Gender%20Pay%20Gap\Ethnic%20and%20Gender%20Pay%20Gap%20data%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inistryforenvironment-my.sharepoint.com/personal/jing_hu_mfe_govt_nz/Documents/DE&amp;I%20WORKINGS%20Oct%20Data%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inistryforenvironment-my.sharepoint.com/personal/jing_hu_mfe_govt_nz/Documents/DE&amp;I%20WORKINGS%20Oct%20Data%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inistryforenvironment-my.sharepoint.com/personal/jing_hu_mfe_govt_nz/Documents/DE&amp;I%20WORKINGS%20Oct%20Data%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inistryforenvironment-my.sharepoint.com/personal/jing_hu_mfe_govt_nz/Documents/DE&amp;I%20WORKINGS%20Oct%20Data%20202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Tables!$A$66</c:f>
              <c:strCache>
                <c:ptCount val="1"/>
                <c:pt idx="0">
                  <c:v>Ministry for the Environment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4"/>
              <c:layout>
                <c:manualLayout>
                  <c:x val="4.4315652159956928E-3"/>
                  <c:y val="-2.518232058207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18-4FBC-A032-FB87C9C260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Tables!$B$65:$F$65</c:f>
              <c:strCache>
                <c:ptCount val="5"/>
                <c:pt idx="0">
                  <c:v>2017/18</c:v>
                </c:pt>
                <c:pt idx="1">
                  <c:v>2018/19</c:v>
                </c:pt>
                <c:pt idx="2">
                  <c:v>2019/20</c:v>
                </c:pt>
                <c:pt idx="3">
                  <c:v>2020/21</c:v>
                </c:pt>
                <c:pt idx="4">
                  <c:v>2021/22</c:v>
                </c:pt>
              </c:strCache>
            </c:strRef>
          </c:cat>
          <c:val>
            <c:numRef>
              <c:f>Tables!$B$66:$F$66</c:f>
              <c:numCache>
                <c:formatCode>0.0%</c:formatCode>
                <c:ptCount val="5"/>
                <c:pt idx="0">
                  <c:v>9.6000000000000002E-2</c:v>
                </c:pt>
                <c:pt idx="1">
                  <c:v>8.2000000000000003E-2</c:v>
                </c:pt>
                <c:pt idx="2">
                  <c:v>6.7000000000000004E-2</c:v>
                </c:pt>
                <c:pt idx="3">
                  <c:v>7.0999999999999994E-2</c:v>
                </c:pt>
                <c:pt idx="4">
                  <c:v>8.2000000000000003E-2</c:v>
                </c:pt>
              </c:numCache>
            </c:numRef>
          </c:val>
          <c:smooth val="0"/>
          <c:extLst>
            <c:ext xmlns:c16="http://schemas.microsoft.com/office/drawing/2014/chart" uri="{C3380CC4-5D6E-409C-BE32-E72D297353CC}">
              <c16:uniqueId val="{00000001-7618-4FBC-A032-FB87C9C260A5}"/>
            </c:ext>
          </c:extLst>
        </c:ser>
        <c:ser>
          <c:idx val="1"/>
          <c:order val="1"/>
          <c:tx>
            <c:strRef>
              <c:f>Tables!$A$67</c:f>
              <c:strCache>
                <c:ptCount val="1"/>
                <c:pt idx="0">
                  <c:v>Public service average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4"/>
              <c:layout>
                <c:manualLayout>
                  <c:x val="1.0061747383384764E-3"/>
                  <c:y val="2.1828023331118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18-4FBC-A032-FB87C9C260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Tables!$B$65:$F$65</c:f>
              <c:strCache>
                <c:ptCount val="5"/>
                <c:pt idx="0">
                  <c:v>2017/18</c:v>
                </c:pt>
                <c:pt idx="1">
                  <c:v>2018/19</c:v>
                </c:pt>
                <c:pt idx="2">
                  <c:v>2019/20</c:v>
                </c:pt>
                <c:pt idx="3">
                  <c:v>2020/21</c:v>
                </c:pt>
                <c:pt idx="4">
                  <c:v>2021/22</c:v>
                </c:pt>
              </c:strCache>
            </c:strRef>
          </c:cat>
          <c:val>
            <c:numRef>
              <c:f>Tables!$B$67:$F$67</c:f>
              <c:numCache>
                <c:formatCode>0.0%</c:formatCode>
                <c:ptCount val="5"/>
                <c:pt idx="0">
                  <c:v>0.122</c:v>
                </c:pt>
                <c:pt idx="1">
                  <c:v>0.105</c:v>
                </c:pt>
                <c:pt idx="2">
                  <c:v>9.6000000000000002E-2</c:v>
                </c:pt>
                <c:pt idx="3">
                  <c:v>8.5999999999999993E-2</c:v>
                </c:pt>
                <c:pt idx="4">
                  <c:v>7.6999999999999999E-2</c:v>
                </c:pt>
              </c:numCache>
            </c:numRef>
          </c:val>
          <c:smooth val="0"/>
          <c:extLst>
            <c:ext xmlns:c16="http://schemas.microsoft.com/office/drawing/2014/chart" uri="{C3380CC4-5D6E-409C-BE32-E72D297353CC}">
              <c16:uniqueId val="{00000003-7618-4FBC-A032-FB87C9C260A5}"/>
            </c:ext>
          </c:extLst>
        </c:ser>
        <c:dLbls>
          <c:dLblPos val="t"/>
          <c:showLegendKey val="0"/>
          <c:showVal val="1"/>
          <c:showCatName val="0"/>
          <c:showSerName val="0"/>
          <c:showPercent val="0"/>
          <c:showBubbleSize val="0"/>
        </c:dLbls>
        <c:marker val="1"/>
        <c:smooth val="0"/>
        <c:axId val="2099399072"/>
        <c:axId val="2099393248"/>
      </c:lineChart>
      <c:catAx>
        <c:axId val="209939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393248"/>
        <c:crosses val="autoZero"/>
        <c:auto val="1"/>
        <c:lblAlgn val="ctr"/>
        <c:lblOffset val="100"/>
        <c:noMultiLvlLbl val="0"/>
      </c:catAx>
      <c:valAx>
        <c:axId val="2099393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39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Tables!$B$19</c:f>
              <c:strCache>
                <c:ptCount val="1"/>
                <c:pt idx="0">
                  <c:v>Average Salary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Tables!$A$20:$A$27</c:f>
              <c:strCache>
                <c:ptCount val="8"/>
                <c:pt idx="0">
                  <c:v>MELAA total</c:v>
                </c:pt>
                <c:pt idx="1">
                  <c:v>Pacific total</c:v>
                </c:pt>
                <c:pt idx="2">
                  <c:v>Asian female</c:v>
                </c:pt>
                <c:pt idx="3">
                  <c:v>Asian male</c:v>
                </c:pt>
                <c:pt idx="4">
                  <c:v>European female</c:v>
                </c:pt>
                <c:pt idx="5">
                  <c:v>Māori male</c:v>
                </c:pt>
                <c:pt idx="6">
                  <c:v>Māori female</c:v>
                </c:pt>
                <c:pt idx="7">
                  <c:v>European male</c:v>
                </c:pt>
              </c:strCache>
              <c:extLst/>
            </c:strRef>
          </c:cat>
          <c:val>
            <c:numRef>
              <c:f>Tables!$B$20:$B$27</c:f>
              <c:numCache>
                <c:formatCode>_-* #,##0_-;\-* #,##0_-;_-* "-"??_-;_-@_-</c:formatCode>
                <c:ptCount val="8"/>
                <c:pt idx="0">
                  <c:v>88201.428571428565</c:v>
                </c:pt>
                <c:pt idx="1">
                  <c:v>90735.066666666666</c:v>
                </c:pt>
                <c:pt idx="2">
                  <c:v>95772.051282051281</c:v>
                </c:pt>
                <c:pt idx="3">
                  <c:v>112941.37931034483</c:v>
                </c:pt>
                <c:pt idx="4">
                  <c:v>119099.80252821669</c:v>
                </c:pt>
                <c:pt idx="5">
                  <c:v>120439.81818181818</c:v>
                </c:pt>
                <c:pt idx="6">
                  <c:v>120491.93421052632</c:v>
                </c:pt>
                <c:pt idx="7">
                  <c:v>130388.98529411765</c:v>
                </c:pt>
              </c:numCache>
              <c:extLst/>
            </c:numRef>
          </c:val>
          <c:extLst>
            <c:ext xmlns:c16="http://schemas.microsoft.com/office/drawing/2014/chart" uri="{C3380CC4-5D6E-409C-BE32-E72D297353CC}">
              <c16:uniqueId val="{00000000-A83E-46DA-8B7A-637B02A7CCCA}"/>
            </c:ext>
          </c:extLst>
        </c:ser>
        <c:dLbls>
          <c:dLblPos val="outEnd"/>
          <c:showLegendKey val="0"/>
          <c:showVal val="1"/>
          <c:showCatName val="0"/>
          <c:showSerName val="0"/>
          <c:showPercent val="0"/>
          <c:showBubbleSize val="0"/>
        </c:dLbls>
        <c:gapWidth val="31"/>
        <c:axId val="1924144608"/>
        <c:axId val="1924168736"/>
      </c:barChart>
      <c:catAx>
        <c:axId val="192414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168736"/>
        <c:crosses val="autoZero"/>
        <c:auto val="1"/>
        <c:lblAlgn val="ctr"/>
        <c:lblOffset val="100"/>
        <c:noMultiLvlLbl val="0"/>
      </c:catAx>
      <c:valAx>
        <c:axId val="1924168736"/>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14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Tables!$B$43</c:f>
              <c:strCache>
                <c:ptCount val="1"/>
                <c:pt idx="0">
                  <c:v>Ministry for the Environment</c:v>
                </c:pt>
              </c:strCache>
            </c:strRef>
          </c:tx>
          <c:spPr>
            <a:solidFill>
              <a:schemeClr val="accent1"/>
            </a:solidFill>
            <a:ln>
              <a:noFill/>
            </a:ln>
            <a:effectLst/>
          </c:spPr>
          <c:invertIfNegative val="0"/>
          <c:dLbls>
            <c:dLbl>
              <c:idx val="0"/>
              <c:layout>
                <c:manualLayout>
                  <c:x val="4.4316419233325945E-3"/>
                  <c:y val="7.53325325859691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48-4CF4-812E-296FE6F95A4E}"/>
                </c:ext>
              </c:extLst>
            </c:dLbl>
            <c:dLbl>
              <c:idx val="1"/>
              <c:layout>
                <c:manualLayout>
                  <c:x val="0"/>
                  <c:y val="-1.33166857285759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48-4CF4-812E-296FE6F95A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Tables!$A$44:$A$48</c:f>
              <c:strCache>
                <c:ptCount val="5"/>
                <c:pt idx="0">
                  <c:v>European</c:v>
                </c:pt>
                <c:pt idx="1">
                  <c:v>Māori</c:v>
                </c:pt>
                <c:pt idx="2">
                  <c:v>Asian</c:v>
                </c:pt>
                <c:pt idx="3">
                  <c:v>Pacific Peoples</c:v>
                </c:pt>
                <c:pt idx="4">
                  <c:v>MELAA</c:v>
                </c:pt>
              </c:strCache>
            </c:strRef>
          </c:cat>
          <c:val>
            <c:numRef>
              <c:f>Tables!$B$44:$B$48</c:f>
              <c:numCache>
                <c:formatCode>0.0%</c:formatCode>
                <c:ptCount val="5"/>
                <c:pt idx="0">
                  <c:v>-7.2999999999999995E-2</c:v>
                </c:pt>
                <c:pt idx="1">
                  <c:v>-1.4E-2</c:v>
                </c:pt>
                <c:pt idx="2">
                  <c:v>0.152</c:v>
                </c:pt>
                <c:pt idx="3">
                  <c:v>0.26044455583907122</c:v>
                </c:pt>
                <c:pt idx="4">
                  <c:v>0.28109551159083712</c:v>
                </c:pt>
              </c:numCache>
            </c:numRef>
          </c:val>
          <c:extLst>
            <c:ext xmlns:c16="http://schemas.microsoft.com/office/drawing/2014/chart" uri="{C3380CC4-5D6E-409C-BE32-E72D297353CC}">
              <c16:uniqueId val="{00000002-4348-4CF4-812E-296FE6F95A4E}"/>
            </c:ext>
          </c:extLst>
        </c:ser>
        <c:ser>
          <c:idx val="1"/>
          <c:order val="1"/>
          <c:tx>
            <c:strRef>
              <c:f>Tables!$C$43</c:f>
              <c:strCache>
                <c:ptCount val="1"/>
                <c:pt idx="0">
                  <c:v>Public service average</c:v>
                </c:pt>
              </c:strCache>
            </c:strRef>
          </c:tx>
          <c:spPr>
            <a:noFill/>
            <a:ln w="25400">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Tables!$A$44:$A$48</c:f>
              <c:strCache>
                <c:ptCount val="5"/>
                <c:pt idx="0">
                  <c:v>European</c:v>
                </c:pt>
                <c:pt idx="1">
                  <c:v>Māori</c:v>
                </c:pt>
                <c:pt idx="2">
                  <c:v>Asian</c:v>
                </c:pt>
                <c:pt idx="3">
                  <c:v>Pacific Peoples</c:v>
                </c:pt>
                <c:pt idx="4">
                  <c:v>MELAA</c:v>
                </c:pt>
              </c:strCache>
            </c:strRef>
          </c:cat>
          <c:val>
            <c:numRef>
              <c:f>Tables!$C$44:$C$48</c:f>
              <c:numCache>
                <c:formatCode>0.0%</c:formatCode>
                <c:ptCount val="5"/>
                <c:pt idx="0">
                  <c:v>-0.14799999999999999</c:v>
                </c:pt>
                <c:pt idx="1">
                  <c:v>6.5000000000000002E-2</c:v>
                </c:pt>
                <c:pt idx="2">
                  <c:v>0.124</c:v>
                </c:pt>
                <c:pt idx="3">
                  <c:v>0.17699999999999999</c:v>
                </c:pt>
                <c:pt idx="4">
                  <c:v>7.3999999999999996E-2</c:v>
                </c:pt>
              </c:numCache>
            </c:numRef>
          </c:val>
          <c:extLst>
            <c:ext xmlns:c16="http://schemas.microsoft.com/office/drawing/2014/chart" uri="{C3380CC4-5D6E-409C-BE32-E72D297353CC}">
              <c16:uniqueId val="{00000003-4348-4CF4-812E-296FE6F95A4E}"/>
            </c:ext>
          </c:extLst>
        </c:ser>
        <c:dLbls>
          <c:showLegendKey val="0"/>
          <c:showVal val="0"/>
          <c:showCatName val="0"/>
          <c:showSerName val="0"/>
          <c:showPercent val="0"/>
          <c:showBubbleSize val="0"/>
        </c:dLbls>
        <c:gapWidth val="50"/>
        <c:overlap val="100"/>
        <c:axId val="1924172480"/>
        <c:axId val="1924178720"/>
      </c:barChart>
      <c:catAx>
        <c:axId val="192417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24178720"/>
        <c:crosses val="autoZero"/>
        <c:auto val="1"/>
        <c:lblAlgn val="ctr"/>
        <c:lblOffset val="100"/>
        <c:noMultiLvlLbl val="0"/>
      </c:catAx>
      <c:valAx>
        <c:axId val="1924178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1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3937007874016E-2"/>
          <c:y val="0.10184256641510316"/>
          <c:w val="0.86601618547681536"/>
          <c:h val="0.69411403693232709"/>
        </c:manualLayout>
      </c:layout>
      <c:lineChart>
        <c:grouping val="standard"/>
        <c:varyColors val="0"/>
        <c:ser>
          <c:idx val="1"/>
          <c:order val="1"/>
          <c:tx>
            <c:strRef>
              <c:f>'[DE&amp;I WORKINGS Oct Data 2023.xlsx]Figure 1'!$F$5</c:f>
              <c:strCache>
                <c:ptCount val="1"/>
                <c:pt idx="0">
                  <c:v>MfE GPG</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3"/>
              <c:layout>
                <c:manualLayout>
                  <c:x val="-5.0513139148476931E-2"/>
                  <c:y val="-9.3722934758926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7A-421C-A3F2-C4DB57ED9F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'[DE&amp;I WORKINGS Oct Data 2023.xlsx]Figure 1'!$C$7:$C$12</c:f>
              <c:strCache>
                <c:ptCount val="6"/>
                <c:pt idx="0">
                  <c:v>Jun 19</c:v>
                </c:pt>
                <c:pt idx="1">
                  <c:v>Jun 20</c:v>
                </c:pt>
                <c:pt idx="2">
                  <c:v>Jun 21</c:v>
                </c:pt>
                <c:pt idx="3">
                  <c:v>Jun 22</c:v>
                </c:pt>
                <c:pt idx="4">
                  <c:v>Jun 23</c:v>
                </c:pt>
                <c:pt idx="5">
                  <c:v>Oct-23</c:v>
                </c:pt>
              </c:strCache>
            </c:strRef>
          </c:cat>
          <c:val>
            <c:numRef>
              <c:f>'[DE&amp;I WORKINGS Oct Data 2023.xlsx]Figure 1'!$F$7:$F$12</c:f>
              <c:numCache>
                <c:formatCode>0.0%</c:formatCode>
                <c:ptCount val="6"/>
                <c:pt idx="0">
                  <c:v>8.2000000000000003E-2</c:v>
                </c:pt>
                <c:pt idx="1">
                  <c:v>6.7000000000000004E-2</c:v>
                </c:pt>
                <c:pt idx="2">
                  <c:v>7.0999999999999994E-2</c:v>
                </c:pt>
                <c:pt idx="3">
                  <c:v>8.2000000000000003E-2</c:v>
                </c:pt>
                <c:pt idx="4">
                  <c:v>8.7999999999999995E-2</c:v>
                </c:pt>
                <c:pt idx="5">
                  <c:v>0.105</c:v>
                </c:pt>
              </c:numCache>
            </c:numRef>
          </c:val>
          <c:smooth val="0"/>
          <c:extLst>
            <c:ext xmlns:c16="http://schemas.microsoft.com/office/drawing/2014/chart" uri="{C3380CC4-5D6E-409C-BE32-E72D297353CC}">
              <c16:uniqueId val="{00000001-AC7A-421C-A3F2-C4DB57ED9F13}"/>
            </c:ext>
          </c:extLst>
        </c:ser>
        <c:ser>
          <c:idx val="2"/>
          <c:order val="2"/>
          <c:tx>
            <c:strRef>
              <c:f>'[DE&amp;I WORKINGS Oct Data 2023.xlsx]Figure 1'!$H$5</c:f>
              <c:strCache>
                <c:ptCount val="1"/>
                <c:pt idx="0">
                  <c:v>Public Sector Avg GPG</c:v>
                </c:pt>
              </c:strCache>
            </c:strRef>
          </c:tx>
          <c:spPr>
            <a:ln w="28575" cap="rnd">
              <a:solidFill>
                <a:srgbClr val="6FC7B7"/>
              </a:solidFill>
              <a:round/>
            </a:ln>
            <a:effectLst/>
          </c:spPr>
          <c:marker>
            <c:symbol val="circle"/>
            <c:size val="5"/>
            <c:spPr>
              <a:solidFill>
                <a:schemeClr val="accent3"/>
              </a:solidFill>
              <a:ln w="9525">
                <a:solidFill>
                  <a:srgbClr val="6FC7B7"/>
                </a:solidFill>
              </a:ln>
              <a:effectLst/>
            </c:spPr>
          </c:marker>
          <c:dLbls>
            <c:dLbl>
              <c:idx val="3"/>
              <c:layout>
                <c:manualLayout>
                  <c:x val="-3.8717904423305895E-2"/>
                  <c:y val="8.007079951960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7A-421C-A3F2-C4DB57ED9F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'[DE&amp;I WORKINGS Oct Data 2023.xlsx]Figure 1'!$C$7:$C$12</c:f>
              <c:strCache>
                <c:ptCount val="6"/>
                <c:pt idx="0">
                  <c:v>Jun 19</c:v>
                </c:pt>
                <c:pt idx="1">
                  <c:v>Jun 20</c:v>
                </c:pt>
                <c:pt idx="2">
                  <c:v>Jun 21</c:v>
                </c:pt>
                <c:pt idx="3">
                  <c:v>Jun 22</c:v>
                </c:pt>
                <c:pt idx="4">
                  <c:v>Jun 23</c:v>
                </c:pt>
                <c:pt idx="5">
                  <c:v>Oct-23</c:v>
                </c:pt>
              </c:strCache>
            </c:strRef>
          </c:cat>
          <c:val>
            <c:numRef>
              <c:f>'[DE&amp;I WORKINGS Oct Data 2023.xlsx]Figure 1'!$H$7:$H$12</c:f>
              <c:numCache>
                <c:formatCode>0.0%</c:formatCode>
                <c:ptCount val="6"/>
                <c:pt idx="0">
                  <c:v>0.105</c:v>
                </c:pt>
                <c:pt idx="1">
                  <c:v>9.6000000000000002E-2</c:v>
                </c:pt>
                <c:pt idx="2">
                  <c:v>8.5999999999999993E-2</c:v>
                </c:pt>
                <c:pt idx="3">
                  <c:v>7.6999999999999999E-2</c:v>
                </c:pt>
                <c:pt idx="4">
                  <c:v>7.0999999999999994E-2</c:v>
                </c:pt>
                <c:pt idx="5">
                  <c:v>7.0999999999999994E-2</c:v>
                </c:pt>
              </c:numCache>
            </c:numRef>
          </c:val>
          <c:smooth val="0"/>
          <c:extLst>
            <c:ext xmlns:c16="http://schemas.microsoft.com/office/drawing/2014/chart" uri="{C3380CC4-5D6E-409C-BE32-E72D297353CC}">
              <c16:uniqueId val="{00000003-AC7A-421C-A3F2-C4DB57ED9F13}"/>
            </c:ext>
          </c:extLst>
        </c:ser>
        <c:dLbls>
          <c:dLblPos val="t"/>
          <c:showLegendKey val="0"/>
          <c:showVal val="1"/>
          <c:showCatName val="0"/>
          <c:showSerName val="0"/>
          <c:showPercent val="0"/>
          <c:showBubbleSize val="0"/>
        </c:dLbls>
        <c:marker val="1"/>
        <c:smooth val="0"/>
        <c:axId val="631083775"/>
        <c:axId val="371162127"/>
        <c:extLst>
          <c:ext xmlns:c15="http://schemas.microsoft.com/office/drawing/2012/chart" uri="{02D57815-91ED-43cb-92C2-25804820EDAC}">
            <c15:filteredLineSeries>
              <c15:ser>
                <c:idx val="0"/>
                <c:order val="0"/>
                <c:tx>
                  <c:strRef>
                    <c:extLst>
                      <c:ext uri="{02D57815-91ED-43cb-92C2-25804820EDAC}">
                        <c15:formulaRef>
                          <c15:sqref>'[DE&amp;I WORKINGS Oct Data 2023.xlsx]Figure 1'!$D$5</c15:sqref>
                        </c15:formulaRef>
                      </c:ext>
                    </c:extLst>
                    <c:strCache>
                      <c:ptCount val="1"/>
                      <c:pt idx="0">
                        <c:v>MfE EPG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'[DE&amp;I WORKINGS Oct Data 2023.xlsx]Figure 1'!$C$7:$C$12</c15:sqref>
                        </c15:formulaRef>
                      </c:ext>
                    </c:extLst>
                    <c:strCache>
                      <c:ptCount val="6"/>
                      <c:pt idx="0">
                        <c:v>Jun 19</c:v>
                      </c:pt>
                      <c:pt idx="1">
                        <c:v>Jun 20</c:v>
                      </c:pt>
                      <c:pt idx="2">
                        <c:v>Jun 21</c:v>
                      </c:pt>
                      <c:pt idx="3">
                        <c:v>Jun 22</c:v>
                      </c:pt>
                      <c:pt idx="4">
                        <c:v>Jun 23</c:v>
                      </c:pt>
                      <c:pt idx="5">
                        <c:v>Oct-23</c:v>
                      </c:pt>
                    </c:strCache>
                  </c:strRef>
                </c:cat>
                <c:val>
                  <c:numRef>
                    <c:extLst>
                      <c:ext uri="{02D57815-91ED-43cb-92C2-25804820EDAC}">
                        <c15:formulaRef>
                          <c15:sqref>'[DE&amp;I WORKINGS Oct Data 2023.xlsx]Figure 1'!$D$7:$D$12</c15:sqref>
                        </c15:formulaRef>
                      </c:ext>
                    </c:extLst>
                    <c:numCache>
                      <c:formatCode>0.0%</c:formatCode>
                      <c:ptCount val="6"/>
                      <c:pt idx="0">
                        <c:v>0.122</c:v>
                      </c:pt>
                      <c:pt idx="1">
                        <c:v>0.108</c:v>
                      </c:pt>
                      <c:pt idx="2">
                        <c:v>9.9000000000000005E-2</c:v>
                      </c:pt>
                      <c:pt idx="3">
                        <c:v>9.7000000000000003E-2</c:v>
                      </c:pt>
                      <c:pt idx="4">
                        <c:v>7.0000000000000007E-2</c:v>
                      </c:pt>
                    </c:numCache>
                  </c:numRef>
                </c:val>
                <c:smooth val="0"/>
                <c:extLst>
                  <c:ext xmlns:c16="http://schemas.microsoft.com/office/drawing/2014/chart" uri="{C3380CC4-5D6E-409C-BE32-E72D297353CC}">
                    <c16:uniqueId val="{00000004-AC7A-421C-A3F2-C4DB57ED9F13}"/>
                  </c:ext>
                </c:extLst>
              </c15:ser>
            </c15:filteredLineSeries>
          </c:ext>
        </c:extLst>
      </c:lineChart>
      <c:catAx>
        <c:axId val="63108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62127"/>
        <c:crosses val="autoZero"/>
        <c:auto val="1"/>
        <c:lblAlgn val="ctr"/>
        <c:lblOffset val="100"/>
        <c:noMultiLvlLbl val="0"/>
      </c:catAx>
      <c:valAx>
        <c:axId val="3711621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83775"/>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32809C"/>
              </a:solidFill>
              <a:ln>
                <a:noFill/>
              </a:ln>
              <a:effectLst/>
            </c:spPr>
            <c:extLst>
              <c:ext xmlns:c16="http://schemas.microsoft.com/office/drawing/2014/chart" uri="{C3380CC4-5D6E-409C-BE32-E72D297353CC}">
                <c16:uniqueId val="{00000001-6AB0-4DF7-A0BC-A4E417796AF3}"/>
              </c:ext>
            </c:extLst>
          </c:dPt>
          <c:dPt>
            <c:idx val="1"/>
            <c:invertIfNegative val="0"/>
            <c:bubble3D val="0"/>
            <c:spPr>
              <a:solidFill>
                <a:srgbClr val="32809C"/>
              </a:solidFill>
              <a:ln>
                <a:noFill/>
              </a:ln>
              <a:effectLst/>
            </c:spPr>
            <c:extLst>
              <c:ext xmlns:c16="http://schemas.microsoft.com/office/drawing/2014/chart" uri="{C3380CC4-5D6E-409C-BE32-E72D297353CC}">
                <c16:uniqueId val="{00000003-6AB0-4DF7-A0BC-A4E417796AF3}"/>
              </c:ext>
            </c:extLst>
          </c:dPt>
          <c:dPt>
            <c:idx val="2"/>
            <c:invertIfNegative val="0"/>
            <c:bubble3D val="0"/>
            <c:spPr>
              <a:solidFill>
                <a:srgbClr val="32809C"/>
              </a:solidFill>
              <a:ln>
                <a:noFill/>
              </a:ln>
              <a:effectLst/>
            </c:spPr>
            <c:extLst>
              <c:ext xmlns:c16="http://schemas.microsoft.com/office/drawing/2014/chart" uri="{C3380CC4-5D6E-409C-BE32-E72D297353CC}">
                <c16:uniqueId val="{00000005-6AB0-4DF7-A0BC-A4E417796AF3}"/>
              </c:ext>
            </c:extLst>
          </c:dPt>
          <c:dPt>
            <c:idx val="3"/>
            <c:invertIfNegative val="0"/>
            <c:bubble3D val="0"/>
            <c:spPr>
              <a:solidFill>
                <a:srgbClr val="6FC7B7"/>
              </a:solidFill>
              <a:ln>
                <a:noFill/>
              </a:ln>
              <a:effectLst/>
            </c:spPr>
            <c:extLst>
              <c:ext xmlns:c16="http://schemas.microsoft.com/office/drawing/2014/chart" uri="{C3380CC4-5D6E-409C-BE32-E72D297353CC}">
                <c16:uniqueId val="{00000007-6AB0-4DF7-A0BC-A4E417796AF3}"/>
              </c:ext>
            </c:extLst>
          </c:dPt>
          <c:dPt>
            <c:idx val="4"/>
            <c:invertIfNegative val="0"/>
            <c:bubble3D val="0"/>
            <c:spPr>
              <a:solidFill>
                <a:srgbClr val="6FC7B7"/>
              </a:solidFill>
              <a:ln>
                <a:noFill/>
              </a:ln>
              <a:effectLst/>
            </c:spPr>
            <c:extLst>
              <c:ext xmlns:c16="http://schemas.microsoft.com/office/drawing/2014/chart" uri="{C3380CC4-5D6E-409C-BE32-E72D297353CC}">
                <c16:uniqueId val="{00000009-6AB0-4DF7-A0BC-A4E417796AF3}"/>
              </c:ext>
            </c:extLst>
          </c:dPt>
          <c:dPt>
            <c:idx val="5"/>
            <c:invertIfNegative val="0"/>
            <c:bubble3D val="0"/>
            <c:spPr>
              <a:solidFill>
                <a:srgbClr val="6FC7B7"/>
              </a:solidFill>
              <a:ln>
                <a:noFill/>
              </a:ln>
              <a:effectLst/>
            </c:spPr>
            <c:extLst>
              <c:ext xmlns:c16="http://schemas.microsoft.com/office/drawing/2014/chart" uri="{C3380CC4-5D6E-409C-BE32-E72D297353CC}">
                <c16:uniqueId val="{0000000B-6AB0-4DF7-A0BC-A4E417796AF3}"/>
              </c:ext>
            </c:extLst>
          </c:dPt>
          <c:dPt>
            <c:idx val="6"/>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E-6AB0-4DF7-A0BC-A4E417796AF3}"/>
              </c:ext>
            </c:extLst>
          </c:dPt>
          <c:dPt>
            <c:idx val="7"/>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D-6AB0-4DF7-A0BC-A4E417796AF3}"/>
              </c:ext>
            </c:extLst>
          </c:dPt>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'[DE&amp;I WORKINGS Oct Data 2023.xlsx]Figure 2'!$D$33:$D$40</c:f>
              <c:strCache>
                <c:ptCount val="8"/>
                <c:pt idx="0">
                  <c:v>Māori Male</c:v>
                </c:pt>
                <c:pt idx="1">
                  <c:v>European Male</c:v>
                </c:pt>
                <c:pt idx="2">
                  <c:v>Asian Male</c:v>
                </c:pt>
                <c:pt idx="3">
                  <c:v>European Female</c:v>
                </c:pt>
                <c:pt idx="4">
                  <c:v>Māori Female</c:v>
                </c:pt>
                <c:pt idx="5">
                  <c:v>Asian Female</c:v>
                </c:pt>
                <c:pt idx="6">
                  <c:v>Pacific Total</c:v>
                </c:pt>
                <c:pt idx="7">
                  <c:v>MELAA Total</c:v>
                </c:pt>
              </c:strCache>
            </c:strRef>
          </c:cat>
          <c:val>
            <c:numRef>
              <c:f>'[DE&amp;I WORKINGS Oct Data 2023.xlsx]Figure 2'!$E$33:$E$40</c:f>
              <c:numCache>
                <c:formatCode>0</c:formatCode>
                <c:ptCount val="8"/>
                <c:pt idx="0">
                  <c:v>146289.73913043478</c:v>
                </c:pt>
                <c:pt idx="1">
                  <c:v>140540.70834645667</c:v>
                </c:pt>
                <c:pt idx="2">
                  <c:v>127224.08269230768</c:v>
                </c:pt>
                <c:pt idx="3">
                  <c:v>126666.25737642584</c:v>
                </c:pt>
                <c:pt idx="4">
                  <c:v>123856.54639175258</c:v>
                </c:pt>
                <c:pt idx="5">
                  <c:v>108425.16020408162</c:v>
                </c:pt>
                <c:pt idx="6">
                  <c:v>102811.86956521739</c:v>
                </c:pt>
                <c:pt idx="7">
                  <c:v>99238.11294117647</c:v>
                </c:pt>
              </c:numCache>
            </c:numRef>
          </c:val>
          <c:extLst>
            <c:ext xmlns:c16="http://schemas.microsoft.com/office/drawing/2014/chart" uri="{C3380CC4-5D6E-409C-BE32-E72D297353CC}">
              <c16:uniqueId val="{0000000C-6AB0-4DF7-A0BC-A4E417796AF3}"/>
            </c:ext>
          </c:extLst>
        </c:ser>
        <c:dLbls>
          <c:dLblPos val="inEnd"/>
          <c:showLegendKey val="0"/>
          <c:showVal val="1"/>
          <c:showCatName val="0"/>
          <c:showSerName val="0"/>
          <c:showPercent val="0"/>
          <c:showBubbleSize val="0"/>
        </c:dLbls>
        <c:gapWidth val="75"/>
        <c:axId val="1595156447"/>
        <c:axId val="13807055"/>
      </c:barChart>
      <c:catAx>
        <c:axId val="15951564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7055"/>
        <c:crosses val="autoZero"/>
        <c:auto val="1"/>
        <c:lblAlgn val="ctr"/>
        <c:lblOffset val="100"/>
        <c:noMultiLvlLbl val="0"/>
      </c:catAx>
      <c:valAx>
        <c:axId val="13807055"/>
        <c:scaling>
          <c:orientation val="minMax"/>
        </c:scaling>
        <c:delete val="0"/>
        <c:axPos val="t"/>
        <c:numFmt formatCode="#,##0" sourceLinked="0"/>
        <c:majorTickMark val="out"/>
        <c:minorTickMark val="none"/>
        <c:tickLblPos val="nextTo"/>
        <c:spPr>
          <a:noFill/>
          <a:ln>
            <a:noFill/>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5951564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'[DE&amp;I WORKINGS Oct Data 2023.xlsx]Action Plan Table 1'!$D$74</c:f>
              <c:strCache>
                <c:ptCount val="1"/>
                <c:pt idx="0">
                  <c:v>MfE Oct 2023</c:v>
                </c:pt>
              </c:strCache>
            </c:strRef>
          </c:tx>
          <c:spPr>
            <a:solidFill>
              <a:schemeClr val="accent6"/>
            </a:solidFill>
            <a:ln>
              <a:noFill/>
            </a:ln>
            <a:effectLst/>
          </c:spPr>
          <c:invertIfNegative val="0"/>
          <c:dLbls>
            <c:dLbl>
              <c:idx val="4"/>
              <c:layout>
                <c:manualLayout>
                  <c:x val="-4.703115814227098E-3"/>
                  <c:y val="-3.76222723852520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03-403F-AEEC-B4F6C16835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'[DE&amp;I WORKINGS Oct Data 2023.xlsx]Action Plan Table 1'!$A$75:$A$79</c:f>
              <c:strCache>
                <c:ptCount val="5"/>
                <c:pt idx="0">
                  <c:v>Asian</c:v>
                </c:pt>
                <c:pt idx="1">
                  <c:v>European</c:v>
                </c:pt>
                <c:pt idx="2">
                  <c:v>MELAA</c:v>
                </c:pt>
                <c:pt idx="3">
                  <c:v>Pacific Peoples</c:v>
                </c:pt>
                <c:pt idx="4">
                  <c:v>Māori</c:v>
                </c:pt>
              </c:strCache>
            </c:strRef>
          </c:cat>
          <c:val>
            <c:numRef>
              <c:f>'[DE&amp;I WORKINGS Oct Data 2023.xlsx]Action Plan Table 1'!$D$75:$D$79</c:f>
              <c:numCache>
                <c:formatCode>0.0%</c:formatCode>
                <c:ptCount val="5"/>
                <c:pt idx="0">
                  <c:v>0.11442460899248892</c:v>
                </c:pt>
                <c:pt idx="1">
                  <c:v>-6.1607759149983864E-2</c:v>
                </c:pt>
                <c:pt idx="2">
                  <c:v>0.23215758458446056</c:v>
                </c:pt>
                <c:pt idx="3">
                  <c:v>0.21147036850796874</c:v>
                </c:pt>
                <c:pt idx="4">
                  <c:v>-1.6005376084958917E-2</c:v>
                </c:pt>
              </c:numCache>
            </c:numRef>
          </c:val>
          <c:extLst>
            <c:ext xmlns:c16="http://schemas.microsoft.com/office/drawing/2014/chart" uri="{C3380CC4-5D6E-409C-BE32-E72D297353CC}">
              <c16:uniqueId val="{00000001-7B03-403F-AEEC-B4F6C168355D}"/>
            </c:ext>
          </c:extLst>
        </c:ser>
        <c:ser>
          <c:idx val="1"/>
          <c:order val="1"/>
          <c:tx>
            <c:strRef>
              <c:f>'[DE&amp;I WORKINGS Oct Data 2023.xlsx]Action Plan Table 1'!$E$74</c:f>
              <c:strCache>
                <c:ptCount val="1"/>
                <c:pt idx="0">
                  <c:v>Publice Service Average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'[DE&amp;I WORKINGS Oct Data 2023.xlsx]Action Plan Table 1'!$A$75:$A$79</c:f>
              <c:strCache>
                <c:ptCount val="5"/>
                <c:pt idx="0">
                  <c:v>Asian</c:v>
                </c:pt>
                <c:pt idx="1">
                  <c:v>European</c:v>
                </c:pt>
                <c:pt idx="2">
                  <c:v>MELAA</c:v>
                </c:pt>
                <c:pt idx="3">
                  <c:v>Pacific Peoples</c:v>
                </c:pt>
                <c:pt idx="4">
                  <c:v>Māori</c:v>
                </c:pt>
              </c:strCache>
            </c:strRef>
          </c:cat>
          <c:val>
            <c:numRef>
              <c:f>'[DE&amp;I WORKINGS Oct Data 2023.xlsx]Action Plan Table 1'!$E$75:$E$79</c:f>
              <c:numCache>
                <c:formatCode>0.0%</c:formatCode>
                <c:ptCount val="5"/>
                <c:pt idx="0">
                  <c:v>0.13</c:v>
                </c:pt>
                <c:pt idx="1">
                  <c:v>-0.14799999999999999</c:v>
                </c:pt>
                <c:pt idx="2">
                  <c:v>7.3999999999999996E-2</c:v>
                </c:pt>
                <c:pt idx="3">
                  <c:v>0.16600000000000001</c:v>
                </c:pt>
                <c:pt idx="4">
                  <c:v>5.3999999999999999E-2</c:v>
                </c:pt>
              </c:numCache>
            </c:numRef>
          </c:val>
          <c:extLst>
            <c:ext xmlns:c16="http://schemas.microsoft.com/office/drawing/2014/chart" uri="{C3380CC4-5D6E-409C-BE32-E72D297353CC}">
              <c16:uniqueId val="{00000002-7B03-403F-AEEC-B4F6C168355D}"/>
            </c:ext>
          </c:extLst>
        </c:ser>
        <c:dLbls>
          <c:dLblPos val="outEnd"/>
          <c:showLegendKey val="0"/>
          <c:showVal val="1"/>
          <c:showCatName val="0"/>
          <c:showSerName val="0"/>
          <c:showPercent val="0"/>
          <c:showBubbleSize val="0"/>
        </c:dLbls>
        <c:gapWidth val="150"/>
        <c:axId val="682378383"/>
        <c:axId val="739918127"/>
      </c:barChart>
      <c:lineChart>
        <c:grouping val="standard"/>
        <c:varyColors val="0"/>
        <c:dLbls>
          <c:showLegendKey val="0"/>
          <c:showVal val="0"/>
          <c:showCatName val="0"/>
          <c:showSerName val="0"/>
          <c:showPercent val="0"/>
          <c:showBubbleSize val="0"/>
        </c:dLbls>
        <c:marker val="1"/>
        <c:smooth val="0"/>
        <c:axId val="682378383"/>
        <c:axId val="739918127"/>
        <c:extLst>
          <c:ext xmlns:c15="http://schemas.microsoft.com/office/drawing/2012/chart" uri="{02D57815-91ED-43cb-92C2-25804820EDAC}">
            <c15:filteredLineSeries>
              <c15:ser>
                <c:idx val="2"/>
                <c:order val="2"/>
                <c:tx>
                  <c:strRef>
                    <c:extLst>
                      <c:ext uri="{02D57815-91ED-43cb-92C2-25804820EDAC}">
                        <c15:formulaRef>
                          <c15:sqref>'[DE&amp;I WORKINGS Oct Data 2023.xlsx]Action Plan Table 1'!$H$74</c15:sqref>
                        </c15:formulaRef>
                      </c:ext>
                    </c:extLst>
                    <c:strCache>
                      <c:ptCount val="1"/>
                      <c:pt idx="0">
                        <c:v>MfE EPG Movement Jun 2022 - Oct 2023</c:v>
                      </c:pt>
                    </c:strCache>
                  </c:strRef>
                </c:tx>
                <c:spPr>
                  <a:ln w="28575" cap="rnd">
                    <a:solidFill>
                      <a:schemeClr val="accent3"/>
                    </a:solidFill>
                    <a:round/>
                  </a:ln>
                  <a:effectLst/>
                </c:spPr>
                <c:marker>
                  <c:symbol val="none"/>
                </c:marker>
                <c:dLbls>
                  <c:dLbl>
                    <c:idx val="0"/>
                    <c:layout>
                      <c:manualLayout>
                        <c:x val="0"/>
                        <c:y val="1.5936254980079681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3-7B03-403F-AEEC-B4F6C168355D}"/>
                      </c:ext>
                    </c:extLst>
                  </c:dLbl>
                  <c:dLbl>
                    <c:idx val="1"/>
                    <c:layout>
                      <c:manualLayout>
                        <c:x val="0"/>
                        <c:y val="-2.6560424966799535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4-7B03-403F-AEEC-B4F6C168355D}"/>
                      </c:ext>
                    </c:extLst>
                  </c:dLbl>
                  <c:dLbl>
                    <c:idx val="2"/>
                    <c:layout>
                      <c:manualLayout>
                        <c:x val="0"/>
                        <c:y val="2.3019034971226208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5-7B03-403F-AEEC-B4F6C168355D}"/>
                      </c:ext>
                    </c:extLst>
                  </c:dLbl>
                  <c:dLbl>
                    <c:idx val="3"/>
                    <c:layout>
                      <c:manualLayout>
                        <c:x val="1.0675206832132373E-3"/>
                        <c:y val="1.9477644975652943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6-7B03-403F-AEEC-B4F6C168355D}"/>
                      </c:ext>
                    </c:extLst>
                  </c:dLbl>
                  <c:dLbl>
                    <c:idx val="4"/>
                    <c:layout>
                      <c:manualLayout>
                        <c:x val="2.0282892981051508E-2"/>
                        <c:y val="5.8432934926958828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7-7B03-403F-AEEC-B4F6C16835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'[DE&amp;I WORKINGS Oct Data 2023.xlsx]Action Plan Table 1'!$A$75:$A$79</c15:sqref>
                        </c15:formulaRef>
                      </c:ext>
                    </c:extLst>
                    <c:strCache>
                      <c:ptCount val="5"/>
                      <c:pt idx="0">
                        <c:v>Asian</c:v>
                      </c:pt>
                      <c:pt idx="1">
                        <c:v>European</c:v>
                      </c:pt>
                      <c:pt idx="2">
                        <c:v>MELAA</c:v>
                      </c:pt>
                      <c:pt idx="3">
                        <c:v>Pacific Peoples</c:v>
                      </c:pt>
                      <c:pt idx="4">
                        <c:v>Māori</c:v>
                      </c:pt>
                    </c:strCache>
                  </c:strRef>
                </c:cat>
                <c:val>
                  <c:numRef>
                    <c:extLst>
                      <c:ext uri="{02D57815-91ED-43cb-92C2-25804820EDAC}">
                        <c15:formulaRef>
                          <c15:sqref>'[DE&amp;I WORKINGS Oct Data 2023.xlsx]Action Plan Table 1'!$H$75:$H$79</c15:sqref>
                        </c15:formulaRef>
                      </c:ext>
                    </c:extLst>
                    <c:numCache>
                      <c:formatCode>0.0%</c:formatCode>
                      <c:ptCount val="5"/>
                      <c:pt idx="0">
                        <c:v>-3.7575391007511075E-2</c:v>
                      </c:pt>
                      <c:pt idx="1">
                        <c:v>1.1392240850016132E-2</c:v>
                      </c:pt>
                      <c:pt idx="2">
                        <c:v>-4.8842415415539464E-2</c:v>
                      </c:pt>
                      <c:pt idx="3">
                        <c:v>-4.8529631492031267E-2</c:v>
                      </c:pt>
                      <c:pt idx="4">
                        <c:v>-2.0053760849589163E-3</c:v>
                      </c:pt>
                    </c:numCache>
                  </c:numRef>
                </c:val>
                <c:smooth val="0"/>
                <c:extLst>
                  <c:ext xmlns:c16="http://schemas.microsoft.com/office/drawing/2014/chart" uri="{C3380CC4-5D6E-409C-BE32-E72D297353CC}">
                    <c16:uniqueId val="{00000008-7B03-403F-AEEC-B4F6C168355D}"/>
                  </c:ext>
                </c:extLst>
              </c15:ser>
            </c15:filteredLineSeries>
          </c:ext>
        </c:extLst>
      </c:lineChart>
      <c:catAx>
        <c:axId val="682378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39918127"/>
        <c:crosses val="autoZero"/>
        <c:auto val="0"/>
        <c:lblAlgn val="ctr"/>
        <c:lblOffset val="100"/>
        <c:noMultiLvlLbl val="0"/>
      </c:catAx>
      <c:valAx>
        <c:axId val="7399181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378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116685791160527"/>
          <c:y val="4.09207161125319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4567280848687884E-2"/>
          <c:y val="0.16739982949701621"/>
          <c:w val="0.95086543830262427"/>
          <c:h val="0.79508951406649619"/>
        </c:manualLayout>
      </c:layout>
      <c:barChart>
        <c:barDir val="col"/>
        <c:grouping val="clustered"/>
        <c:varyColors val="0"/>
        <c:ser>
          <c:idx val="0"/>
          <c:order val="0"/>
          <c:tx>
            <c:strRef>
              <c:f>'[DE&amp;I WORKINGS Oct Data 2023.xlsx]Action Plan Table 1'!$H$74</c:f>
              <c:strCache>
                <c:ptCount val="1"/>
                <c:pt idx="0">
                  <c:v>MfE EPG Movement Jun 2022 - Oct 2023</c:v>
                </c:pt>
              </c:strCache>
            </c:strRef>
          </c:tx>
          <c:spPr>
            <a:solidFill>
              <a:schemeClr val="accent2"/>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6548-4C05-BE7D-35E735EA9AE0}"/>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6548-4C05-BE7D-35E735EA9AE0}"/>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5-6548-4C05-BE7D-35E735EA9AE0}"/>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6548-4C05-BE7D-35E735EA9AE0}"/>
              </c:ext>
            </c:extLst>
          </c:dPt>
          <c:dLbls>
            <c:dLbl>
              <c:idx val="4"/>
              <c:layout>
                <c:manualLayout>
                  <c:x val="0"/>
                  <c:y val="-2.387041773231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48-4C05-BE7D-35E735EA9A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'[DE&amp;I WORKINGS Oct Data 2023.xlsx]Action Plan Table 1'!$A$75:$A$79</c:f>
              <c:strCache>
                <c:ptCount val="5"/>
                <c:pt idx="0">
                  <c:v>Asian</c:v>
                </c:pt>
                <c:pt idx="1">
                  <c:v>European</c:v>
                </c:pt>
                <c:pt idx="2">
                  <c:v>MELAA</c:v>
                </c:pt>
                <c:pt idx="3">
                  <c:v>Pacific Peoples</c:v>
                </c:pt>
                <c:pt idx="4">
                  <c:v>Māori</c:v>
                </c:pt>
              </c:strCache>
            </c:strRef>
          </c:cat>
          <c:val>
            <c:numRef>
              <c:f>'[DE&amp;I WORKINGS Oct Data 2023.xlsx]Action Plan Table 1'!$H$75:$H$79</c:f>
              <c:numCache>
                <c:formatCode>0.0%</c:formatCode>
                <c:ptCount val="5"/>
                <c:pt idx="0">
                  <c:v>-3.7575391007511075E-2</c:v>
                </c:pt>
                <c:pt idx="1">
                  <c:v>1.1392240850016132E-2</c:v>
                </c:pt>
                <c:pt idx="2">
                  <c:v>-4.8842415415539464E-2</c:v>
                </c:pt>
                <c:pt idx="3">
                  <c:v>-4.8529631492031267E-2</c:v>
                </c:pt>
                <c:pt idx="4">
                  <c:v>-2.0053760849589163E-3</c:v>
                </c:pt>
              </c:numCache>
            </c:numRef>
          </c:val>
          <c:extLst>
            <c:ext xmlns:c16="http://schemas.microsoft.com/office/drawing/2014/chart" uri="{C3380CC4-5D6E-409C-BE32-E72D297353CC}">
              <c16:uniqueId val="{00000008-6548-4C05-BE7D-35E735EA9AE0}"/>
            </c:ext>
          </c:extLst>
        </c:ser>
        <c:dLbls>
          <c:showLegendKey val="0"/>
          <c:showVal val="1"/>
          <c:showCatName val="0"/>
          <c:showSerName val="0"/>
          <c:showPercent val="0"/>
          <c:showBubbleSize val="0"/>
        </c:dLbls>
        <c:gapWidth val="150"/>
        <c:overlap val="-25"/>
        <c:axId val="812771663"/>
        <c:axId val="423299344"/>
      </c:barChart>
      <c:catAx>
        <c:axId val="81277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23299344"/>
        <c:crosses val="autoZero"/>
        <c:auto val="1"/>
        <c:lblAlgn val="ctr"/>
        <c:lblOffset val="100"/>
        <c:noMultiLvlLbl val="0"/>
      </c:catAx>
      <c:valAx>
        <c:axId val="4232993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8127716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_x0020_Table xmlns="4a94300e-a927-4b92-9d3a-682523035cb6" xsi:nil="true"/>
    <Sender_x0020_Date xmlns="4a94300e-a927-4b92-9d3a-682523035cb6" xsi:nil="true"/>
    <Class xmlns="4a94300e-a927-4b92-9d3a-682523035cb6" xsi:nil="true"/>
    <Carbon_x0020_Copy xmlns="4a94300e-a927-4b92-9d3a-682523035cb6" xsi:nil="true"/>
    <From xmlns="4a94300e-a927-4b92-9d3a-682523035cb6" xsi:nil="true"/>
    <_dlc_DocId xmlns="58a6f171-52cb-4404-b47d-af1c8daf8fd1">ECM-1122293896-110202</_dlc_DocId>
    <Other_x0020_Details_2 xmlns="4a94300e-a927-4b92-9d3a-682523035cb6" xsi:nil="true"/>
    <Receiver xmlns="4a94300e-a927-4b92-9d3a-682523035cb6" xsi:nil="true"/>
    <Legacy_x0020_Version xmlns="4a94300e-a927-4b92-9d3a-682523035cb6" xsi:nil="true"/>
    <Author0 xmlns="4a94300e-a927-4b92-9d3a-682523035cb6" xsi:nil="true"/>
    <IconOverlay xmlns="http://schemas.microsoft.com/sharepoint/v4" xsi:nil="true"/>
    <Sent_x002f_Received xmlns="4a94300e-a927-4b92-9d3a-682523035cb6" xsi:nil="true"/>
    <Other_x0020_Details_3 xmlns="4a94300e-a927-4b92-9d3a-682523035cb6" xsi:nil="true"/>
    <_ip_UnifiedCompliancePolicyUIAction xmlns="http://schemas.microsoft.com/sharepoint/v3" xsi:nil="true"/>
    <Library xmlns="4a94300e-a927-4b92-9d3a-682523035cb6" xsi:nil="true"/>
    <Document_x0020_Type xmlns="4a94300e-a927-4b92-9d3a-682523035cb6" xsi:nil="true"/>
    <Other_x0020_Details xmlns="4a94300e-a927-4b92-9d3a-682523035cb6" xsi:nil="true"/>
    <_dlc_DocIdUrl xmlns="58a6f171-52cb-4404-b47d-af1c8daf8fd1">
      <Url>https://ministryforenvironment.sharepoint.com/sites/ECM-ER-Comms/_layouts/15/DocIdRedir.aspx?ID=ECM-1122293896-110202</Url>
      <Description>ECM-1122293896-110202</Description>
    </_dlc_DocIdUrl>
    <Legacy_x0020_DocID xmlns="4a94300e-a927-4b92-9d3a-682523035cb6" xsi:nil="true"/>
    <_ip_UnifiedCompliancePolicyProperties xmlns="http://schemas.microsoft.com/sharepoint/v3" xsi:nil="true"/>
    <Receiver_x0020_Date xmlns="4a94300e-a927-4b92-9d3a-682523035cb6" xsi:nil="true"/>
    <Year xmlns="4a94300e-a927-4b92-9d3a-682523035cb6" xsi:nil="true"/>
    <MTS_x0020_Type xmlns="4a94300e-a927-4b92-9d3a-682523035cb6" xsi:nil="true"/>
    <lcf76f155ced4ddcb4097134ff3c332f xmlns="4a94300e-a927-4b92-9d3a-682523035cb6">
      <Terms xmlns="http://schemas.microsoft.com/office/infopath/2007/PartnerControls"/>
    </lcf76f155ced4ddcb4097134ff3c332f>
    <Status xmlns="4a94300e-a927-4b92-9d3a-682523035cb6" xsi:nil="true"/>
    <TaxCatchAll xmlns="58a6f171-52cb-4404-b47d-af1c8daf8fd1" xsi:nil="true"/>
    <Sender xmlns="4a94300e-a927-4b92-9d3a-682523035cb6" xsi:nil="true"/>
    <MTS_x0020_ID xmlns="4a94300e-a927-4b92-9d3a-682523035cb6" xsi:nil="true"/>
    <To xmlns="4a94300e-a927-4b92-9d3a-682523035cb6" xsi:nil="true"/>
  </documentManagement>
</p:properties>
</file>

<file path=customXml/itemProps1.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2.xml><?xml version="1.0" encoding="utf-8"?>
<ds:datastoreItem xmlns:ds="http://schemas.openxmlformats.org/officeDocument/2006/customXml" ds:itemID="{848A54FE-6733-4571-84E7-35B3CCEE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B33ED-9DA6-4F09-B9B3-519A7845D8EE}">
  <ds:schemaRefs>
    <ds:schemaRef ds:uri="http://schemas.microsoft.com/sharepoint/events"/>
  </ds:schemaRefs>
</ds:datastoreItem>
</file>

<file path=customXml/itemProps4.xml><?xml version="1.0" encoding="utf-8"?>
<ds:datastoreItem xmlns:ds="http://schemas.openxmlformats.org/officeDocument/2006/customXml" ds:itemID="{F4FD68D4-8BF7-4434-A1E2-5861912C29ED}">
  <ds:schemaRefs>
    <ds:schemaRef ds:uri="http://schemas.microsoft.com/sharepoint/v3/contenttype/forms"/>
  </ds:schemaRefs>
</ds:datastoreItem>
</file>

<file path=customXml/itemProps5.xml><?xml version="1.0" encoding="utf-8"?>
<ds:datastoreItem xmlns:ds="http://schemas.openxmlformats.org/officeDocument/2006/customXml" ds:itemID="{AF831E1C-97DD-40E1-B51D-C5C0062C1744}">
  <ds:schemaRefs>
    <ds:schemaRef ds:uri="http://schemas.microsoft.com/office/2006/metadata/properties"/>
    <ds:schemaRef ds:uri="http://schemas.microsoft.com/office/2006/documentManagement/types"/>
    <ds:schemaRef ds:uri="http://purl.org/dc/terms/"/>
    <ds:schemaRef ds:uri="4a94300e-a927-4b92-9d3a-682523035cb6"/>
    <ds:schemaRef ds:uri="http://schemas.microsoft.com/office/infopath/2007/PartnerControls"/>
    <ds:schemaRef ds:uri="http://schemas.openxmlformats.org/package/2006/metadata/core-properties"/>
    <ds:schemaRef ds:uri="0a5b0190-e301-4766-933d-448c7c363fce"/>
    <ds:schemaRef ds:uri="http://purl.org/dc/elements/1.1/"/>
    <ds:schemaRef ds:uri="http://schemas.microsoft.com/sharepoint/v4"/>
    <ds:schemaRef ds:uri="58a6f171-52cb-4404-b47d-af1c8daf8fd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Links>
    <vt:vector size="126" baseType="variant">
      <vt:variant>
        <vt:i4>2752523</vt:i4>
      </vt:variant>
      <vt:variant>
        <vt:i4>99</vt:i4>
      </vt:variant>
      <vt:variant>
        <vt:i4>0</vt:i4>
      </vt:variant>
      <vt:variant>
        <vt:i4>5</vt:i4>
      </vt:variant>
      <vt:variant>
        <vt:lpwstr/>
      </vt:variant>
      <vt:variant>
        <vt:lpwstr>_Te_taunoa_o</vt:lpwstr>
      </vt:variant>
      <vt:variant>
        <vt:i4>7209031</vt:i4>
      </vt:variant>
      <vt:variant>
        <vt:i4>96</vt:i4>
      </vt:variant>
      <vt:variant>
        <vt:i4>0</vt:i4>
      </vt:variant>
      <vt:variant>
        <vt:i4>5</vt:i4>
      </vt:variant>
      <vt:variant>
        <vt:lpwstr/>
      </vt:variant>
      <vt:variant>
        <vt:lpwstr>_Te_whakakore_i</vt:lpwstr>
      </vt:variant>
      <vt:variant>
        <vt:i4>6488155</vt:i4>
      </vt:variant>
      <vt:variant>
        <vt:i4>93</vt:i4>
      </vt:variant>
      <vt:variant>
        <vt:i4>0</vt:i4>
      </vt:variant>
      <vt:variant>
        <vt:i4>5</vt:i4>
      </vt:variant>
      <vt:variant>
        <vt:lpwstr/>
      </vt:variant>
      <vt:variant>
        <vt:lpwstr>_Te_whakawhanaketanga_i</vt:lpwstr>
      </vt:variant>
      <vt:variant>
        <vt:i4>4653181</vt:i4>
      </vt:variant>
      <vt:variant>
        <vt:i4>90</vt:i4>
      </vt:variant>
      <vt:variant>
        <vt:i4>0</vt:i4>
      </vt:variant>
      <vt:variant>
        <vt:i4>5</vt:i4>
      </vt:variant>
      <vt:variant>
        <vt:lpwstr/>
      </vt:variant>
      <vt:variant>
        <vt:lpwstr>_Te_whai_kanohi</vt:lpwstr>
      </vt:variant>
      <vt:variant>
        <vt:i4>17957221</vt:i4>
      </vt:variant>
      <vt:variant>
        <vt:i4>87</vt:i4>
      </vt:variant>
      <vt:variant>
        <vt:i4>0</vt:i4>
      </vt:variant>
      <vt:variant>
        <vt:i4>5</vt:i4>
      </vt:variant>
      <vt:variant>
        <vt:lpwstr/>
      </vt:variant>
      <vt:variant>
        <vt:lpwstr>_Ngā_hua_tōkeke</vt:lpwstr>
      </vt:variant>
      <vt:variant>
        <vt:i4>540541051</vt:i4>
      </vt:variant>
      <vt:variant>
        <vt:i4>84</vt:i4>
      </vt:variant>
      <vt:variant>
        <vt:i4>0</vt:i4>
      </vt:variant>
      <vt:variant>
        <vt:i4>5</vt:i4>
      </vt:variant>
      <vt:variant>
        <vt:lpwstr/>
      </vt:variant>
      <vt:variant>
        <vt:lpwstr>_Te_pono_–</vt:lpwstr>
      </vt:variant>
      <vt:variant>
        <vt:i4>6750244</vt:i4>
      </vt:variant>
      <vt:variant>
        <vt:i4>81</vt:i4>
      </vt:variant>
      <vt:variant>
        <vt:i4>0</vt:i4>
      </vt:variant>
      <vt:variant>
        <vt:i4>5</vt:i4>
      </vt:variant>
      <vt:variant>
        <vt:lpwstr>https://www.publicservice.govt.nz/system/public-service-people/pay-gaps-and-pay-equity/kia-toipoto/</vt:lpwstr>
      </vt:variant>
      <vt:variant>
        <vt:lpwstr/>
      </vt:variant>
      <vt:variant>
        <vt:i4>6750244</vt:i4>
      </vt:variant>
      <vt:variant>
        <vt:i4>78</vt:i4>
      </vt:variant>
      <vt:variant>
        <vt:i4>0</vt:i4>
      </vt:variant>
      <vt:variant>
        <vt:i4>5</vt:i4>
      </vt:variant>
      <vt:variant>
        <vt:lpwstr>https://www.publicservice.govt.nz/system/public-service-people/pay-gaps-and-pay-equity/kia-toipoto/</vt:lpwstr>
      </vt:variant>
      <vt:variant>
        <vt:lpwstr/>
      </vt:variant>
      <vt:variant>
        <vt:i4>1310775</vt:i4>
      </vt:variant>
      <vt:variant>
        <vt:i4>71</vt:i4>
      </vt:variant>
      <vt:variant>
        <vt:i4>0</vt:i4>
      </vt:variant>
      <vt:variant>
        <vt:i4>5</vt:i4>
      </vt:variant>
      <vt:variant>
        <vt:lpwstr/>
      </vt:variant>
      <vt:variant>
        <vt:lpwstr>_Toc152926698</vt:lpwstr>
      </vt:variant>
      <vt:variant>
        <vt:i4>1310775</vt:i4>
      </vt:variant>
      <vt:variant>
        <vt:i4>65</vt:i4>
      </vt:variant>
      <vt:variant>
        <vt:i4>0</vt:i4>
      </vt:variant>
      <vt:variant>
        <vt:i4>5</vt:i4>
      </vt:variant>
      <vt:variant>
        <vt:lpwstr/>
      </vt:variant>
      <vt:variant>
        <vt:lpwstr>_Toc152926697</vt:lpwstr>
      </vt:variant>
      <vt:variant>
        <vt:i4>1310775</vt:i4>
      </vt:variant>
      <vt:variant>
        <vt:i4>59</vt:i4>
      </vt:variant>
      <vt:variant>
        <vt:i4>0</vt:i4>
      </vt:variant>
      <vt:variant>
        <vt:i4>5</vt:i4>
      </vt:variant>
      <vt:variant>
        <vt:lpwstr/>
      </vt:variant>
      <vt:variant>
        <vt:lpwstr>_Toc152926696</vt:lpwstr>
      </vt:variant>
      <vt:variant>
        <vt:i4>1310775</vt:i4>
      </vt:variant>
      <vt:variant>
        <vt:i4>53</vt:i4>
      </vt:variant>
      <vt:variant>
        <vt:i4>0</vt:i4>
      </vt:variant>
      <vt:variant>
        <vt:i4>5</vt:i4>
      </vt:variant>
      <vt:variant>
        <vt:lpwstr/>
      </vt:variant>
      <vt:variant>
        <vt:lpwstr>_Toc152926695</vt:lpwstr>
      </vt:variant>
      <vt:variant>
        <vt:i4>1310775</vt:i4>
      </vt:variant>
      <vt:variant>
        <vt:i4>47</vt:i4>
      </vt:variant>
      <vt:variant>
        <vt:i4>0</vt:i4>
      </vt:variant>
      <vt:variant>
        <vt:i4>5</vt:i4>
      </vt:variant>
      <vt:variant>
        <vt:lpwstr/>
      </vt:variant>
      <vt:variant>
        <vt:lpwstr>_Toc152926694</vt:lpwstr>
      </vt:variant>
      <vt:variant>
        <vt:i4>1310775</vt:i4>
      </vt:variant>
      <vt:variant>
        <vt:i4>41</vt:i4>
      </vt:variant>
      <vt:variant>
        <vt:i4>0</vt:i4>
      </vt:variant>
      <vt:variant>
        <vt:i4>5</vt:i4>
      </vt:variant>
      <vt:variant>
        <vt:lpwstr/>
      </vt:variant>
      <vt:variant>
        <vt:lpwstr>_Toc152926693</vt:lpwstr>
      </vt:variant>
      <vt:variant>
        <vt:i4>1310775</vt:i4>
      </vt:variant>
      <vt:variant>
        <vt:i4>35</vt:i4>
      </vt:variant>
      <vt:variant>
        <vt:i4>0</vt:i4>
      </vt:variant>
      <vt:variant>
        <vt:i4>5</vt:i4>
      </vt:variant>
      <vt:variant>
        <vt:lpwstr/>
      </vt:variant>
      <vt:variant>
        <vt:lpwstr>_Toc152926692</vt:lpwstr>
      </vt:variant>
      <vt:variant>
        <vt:i4>1310775</vt:i4>
      </vt:variant>
      <vt:variant>
        <vt:i4>29</vt:i4>
      </vt:variant>
      <vt:variant>
        <vt:i4>0</vt:i4>
      </vt:variant>
      <vt:variant>
        <vt:i4>5</vt:i4>
      </vt:variant>
      <vt:variant>
        <vt:lpwstr/>
      </vt:variant>
      <vt:variant>
        <vt:lpwstr>_Toc152926691</vt:lpwstr>
      </vt:variant>
      <vt:variant>
        <vt:i4>1310775</vt:i4>
      </vt:variant>
      <vt:variant>
        <vt:i4>23</vt:i4>
      </vt:variant>
      <vt:variant>
        <vt:i4>0</vt:i4>
      </vt:variant>
      <vt:variant>
        <vt:i4>5</vt:i4>
      </vt:variant>
      <vt:variant>
        <vt:lpwstr/>
      </vt:variant>
      <vt:variant>
        <vt:lpwstr>_Toc152926690</vt:lpwstr>
      </vt:variant>
      <vt:variant>
        <vt:i4>1376311</vt:i4>
      </vt:variant>
      <vt:variant>
        <vt:i4>17</vt:i4>
      </vt:variant>
      <vt:variant>
        <vt:i4>0</vt:i4>
      </vt:variant>
      <vt:variant>
        <vt:i4>5</vt:i4>
      </vt:variant>
      <vt:variant>
        <vt:lpwstr/>
      </vt:variant>
      <vt:variant>
        <vt:lpwstr>_Toc152926689</vt:lpwstr>
      </vt:variant>
      <vt:variant>
        <vt:i4>1376311</vt:i4>
      </vt:variant>
      <vt:variant>
        <vt:i4>11</vt:i4>
      </vt:variant>
      <vt:variant>
        <vt:i4>0</vt:i4>
      </vt:variant>
      <vt:variant>
        <vt:i4>5</vt:i4>
      </vt:variant>
      <vt:variant>
        <vt:lpwstr/>
      </vt:variant>
      <vt:variant>
        <vt:lpwstr>_Toc152926688</vt:lpwstr>
      </vt:variant>
      <vt:variant>
        <vt:i4>1376311</vt:i4>
      </vt:variant>
      <vt:variant>
        <vt:i4>5</vt:i4>
      </vt:variant>
      <vt:variant>
        <vt:i4>0</vt:i4>
      </vt:variant>
      <vt:variant>
        <vt:i4>5</vt:i4>
      </vt:variant>
      <vt:variant>
        <vt:lpwstr/>
      </vt:variant>
      <vt:variant>
        <vt:lpwstr>_Toc152926687</vt:lpwstr>
      </vt:variant>
      <vt:variant>
        <vt:i4>7340128</vt:i4>
      </vt:variant>
      <vt:variant>
        <vt:i4>0</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2023-12-08T02:39:00Z</dcterms:created>
  <dcterms:modified xsi:type="dcterms:W3CDTF">2023-12-10T21:44:00Z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2023-12-08T02:40:13Z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2b8e5b63-5309-4c92-9485-7f27a5df4826</vt:lpwstr>
  </property>
  <property fmtid="{D5CDD505-2E9C-101B-9397-08002B2CF9AE}" pid="8" name="MSIP_Label_52dda6cc-d61d-4fd2-bf18-9b3017d931cc_ContentBits">
    <vt:lpwstr>0</vt:lpwstr>
  </property>
  <property fmtid="{D5CDD505-2E9C-101B-9397-08002B2CF9AE}" pid="9" name="MediaServiceImageTags">
    <vt:lpwstr/>
  </property>
  <property fmtid="{D5CDD505-2E9C-101B-9397-08002B2CF9AE}" pid="10" name="ContentTypeId">
    <vt:lpwstr>0x010100EA5FB0BEBF7DE54D9F252D8A06C053F7</vt:lpwstr>
  </property>
  <property fmtid="{D5CDD505-2E9C-101B-9397-08002B2CF9AE}" pid="11" name="_dlc_DocIdItemGuid">
    <vt:lpwstr>c4db0787-42c3-4953-ac39-cba11403a1c9</vt:lpwstr>
  </property>
</Properties>
</file>