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5AD1A" w14:textId="4A311A45" w:rsidR="0003640E" w:rsidRPr="006B77BB" w:rsidRDefault="00D67B3E" w:rsidP="0080531E">
      <w:pPr>
        <w:jc w:val="left"/>
        <w:rPr>
          <w:color w:val="FF0000"/>
        </w:rPr>
        <w:sectPr w:rsidR="0003640E" w:rsidRPr="006B77BB" w:rsidSect="00B86F2A">
          <w:headerReference w:type="even" r:id="rId12"/>
          <w:headerReference w:type="default" r:id="rId13"/>
          <w:footerReference w:type="even" r:id="rId14"/>
          <w:footerReference w:type="default" r:id="rId15"/>
          <w:pgSz w:w="11907" w:h="16840" w:code="9"/>
          <w:pgMar w:top="5670" w:right="1701" w:bottom="1701" w:left="1701" w:header="567" w:footer="1134" w:gutter="0"/>
          <w:cols w:space="720"/>
        </w:sectPr>
      </w:pPr>
      <w:bookmarkStart w:id="0" w:name="_Hlk200020975"/>
      <w:r>
        <w:rPr>
          <w:noProof/>
          <w:color w:val="FF0000"/>
        </w:rPr>
        <w:drawing>
          <wp:anchor distT="0" distB="0" distL="114300" distR="114300" simplePos="0" relativeHeight="251658240" behindDoc="0" locked="0" layoutInCell="1" allowOverlap="1" wp14:anchorId="58C9AC32" wp14:editId="5A172C01">
            <wp:simplePos x="0" y="0"/>
            <wp:positionH relativeFrom="page">
              <wp:posOffset>0</wp:posOffset>
            </wp:positionH>
            <wp:positionV relativeFrom="paragraph">
              <wp:posOffset>-3594514</wp:posOffset>
            </wp:positionV>
            <wp:extent cx="7560614" cy="10694868"/>
            <wp:effectExtent l="0" t="0" r="2540" b="0"/>
            <wp:wrapNone/>
            <wp:docPr id="1890878897" name="Picture 1" descr="A blue and whit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78897" name="Picture 1" descr="A blue and white background with white text&#10;&#10;AI-generated content may be incorrect."/>
                    <pic:cNvPicPr/>
                  </pic:nvPicPr>
                  <pic:blipFill>
                    <a:blip r:embed="rId16"/>
                    <a:stretch>
                      <a:fillRect/>
                    </a:stretch>
                  </pic:blipFill>
                  <pic:spPr>
                    <a:xfrm>
                      <a:off x="0" y="0"/>
                      <a:ext cx="7560614" cy="10694868"/>
                    </a:xfrm>
                    <a:prstGeom prst="rect">
                      <a:avLst/>
                    </a:prstGeom>
                  </pic:spPr>
                </pic:pic>
              </a:graphicData>
            </a:graphic>
            <wp14:sizeRelH relativeFrom="margin">
              <wp14:pctWidth>0</wp14:pctWidth>
            </wp14:sizeRelH>
            <wp14:sizeRelV relativeFrom="margin">
              <wp14:pctHeight>0</wp14:pctHeight>
            </wp14:sizeRelV>
          </wp:anchor>
        </w:drawing>
      </w:r>
    </w:p>
    <w:p w14:paraId="3A5EAD5F" w14:textId="77777777" w:rsidR="00452EC4" w:rsidRPr="003C16C7" w:rsidRDefault="00452EC4" w:rsidP="00775F57">
      <w:pPr>
        <w:pStyle w:val="Imprint"/>
        <w:spacing w:before="0" w:after="0"/>
        <w:rPr>
          <w:b/>
        </w:rPr>
      </w:pPr>
      <w:r w:rsidRPr="003C16C7">
        <w:rPr>
          <w:b/>
        </w:rPr>
        <w:lastRenderedPageBreak/>
        <w:t>Disclaimer</w:t>
      </w:r>
    </w:p>
    <w:p w14:paraId="4788F2C1" w14:textId="5A4EEC43" w:rsidR="0059040D" w:rsidRPr="003C16C7" w:rsidRDefault="0059040D" w:rsidP="0059040D">
      <w:pPr>
        <w:pStyle w:val="Imprint"/>
      </w:pPr>
      <w:r w:rsidRPr="003C16C7">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6BD5AA2E" w14:textId="77777777" w:rsidR="0059040D" w:rsidRPr="003C16C7" w:rsidRDefault="0059040D" w:rsidP="00D01DD6">
      <w:pPr>
        <w:pStyle w:val="Bullet"/>
        <w:rPr>
          <w:szCs w:val="22"/>
        </w:rPr>
      </w:pPr>
      <w:r w:rsidRPr="003C16C7">
        <w:rPr>
          <w:szCs w:val="22"/>
        </w:rPr>
        <w:t xml:space="preserve">the information does not alter the laws of New Zealand, other official guidelines, or requirements </w:t>
      </w:r>
    </w:p>
    <w:p w14:paraId="7EEE9F44" w14:textId="77777777" w:rsidR="0059040D" w:rsidRPr="003C16C7" w:rsidRDefault="0059040D" w:rsidP="00D01DD6">
      <w:pPr>
        <w:pStyle w:val="Bullet"/>
        <w:rPr>
          <w:szCs w:val="22"/>
        </w:rPr>
      </w:pPr>
      <w:r w:rsidRPr="003C16C7">
        <w:rPr>
          <w:szCs w:val="22"/>
        </w:rPr>
        <w:t xml:space="preserve">it does not constitute legal advice, and users should take specific advice from qualified professionals before taking any action based on information in this publication </w:t>
      </w:r>
    </w:p>
    <w:p w14:paraId="2360FDF3" w14:textId="77777777" w:rsidR="0059040D" w:rsidRPr="003C16C7" w:rsidRDefault="0059040D" w:rsidP="00D01DD6">
      <w:pPr>
        <w:pStyle w:val="Bullet"/>
        <w:rPr>
          <w:szCs w:val="22"/>
        </w:rPr>
      </w:pPr>
      <w:r w:rsidRPr="003C16C7">
        <w:rPr>
          <w:szCs w:val="22"/>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5AFB0BB2" w14:textId="77777777" w:rsidR="00452EC4" w:rsidRPr="003C16C7" w:rsidRDefault="0059040D" w:rsidP="00D01DD6">
      <w:pPr>
        <w:pStyle w:val="Bullet"/>
        <w:rPr>
          <w:szCs w:val="22"/>
        </w:rPr>
      </w:pPr>
      <w:r w:rsidRPr="003C16C7">
        <w:rPr>
          <w:szCs w:val="22"/>
        </w:rPr>
        <w:t>all references to websites, organisations or people not within the Ministry are for convenience only and should not be taken as endorsement of those websites or information contained in those websites nor of organisations or people referred to.</w:t>
      </w:r>
    </w:p>
    <w:p w14:paraId="3E5E61DE" w14:textId="688AFF38" w:rsidR="3ED69ABD" w:rsidRPr="003C16C7" w:rsidRDefault="3ED69ABD" w:rsidP="3ED69ABD">
      <w:pPr>
        <w:pStyle w:val="Imprint"/>
        <w:spacing w:after="0"/>
      </w:pPr>
    </w:p>
    <w:p w14:paraId="6BFCA33F" w14:textId="77777777" w:rsidR="00452EC4" w:rsidRPr="003C16C7" w:rsidRDefault="00452EC4" w:rsidP="00FC25AB">
      <w:pPr>
        <w:pStyle w:val="Imprint"/>
        <w:rPr>
          <w:b/>
        </w:rPr>
      </w:pPr>
      <w:r w:rsidRPr="003C16C7">
        <w:rPr>
          <w:b/>
          <w:bCs/>
        </w:rPr>
        <w:t>Acknowledgements</w:t>
      </w:r>
    </w:p>
    <w:p w14:paraId="5797E11C" w14:textId="18A8A751" w:rsidR="78748116" w:rsidRPr="003C16C7" w:rsidRDefault="78748116" w:rsidP="3ED69ABD">
      <w:pPr>
        <w:spacing w:before="0" w:after="0" w:line="240" w:lineRule="auto"/>
        <w:jc w:val="left"/>
        <w:rPr>
          <w:rFonts w:eastAsia="Calibri" w:cs="Calibri"/>
          <w:color w:val="000000" w:themeColor="text1"/>
        </w:rPr>
      </w:pPr>
      <w:r w:rsidRPr="003C16C7">
        <w:rPr>
          <w:rStyle w:val="normaltextrun"/>
          <w:rFonts w:ascii="Calibri" w:eastAsia="Calibri" w:hAnsi="Calibri" w:cs="Calibri"/>
          <w:color w:val="000000" w:themeColor="text1"/>
        </w:rPr>
        <w:t>We would like to thank the following for their feedback and contributions to the development of this guidance:</w:t>
      </w:r>
    </w:p>
    <w:p w14:paraId="1EFFD514" w14:textId="0BE285E4" w:rsidR="78748116" w:rsidRPr="003C16C7" w:rsidRDefault="78748116" w:rsidP="1ACDBE05">
      <w:pPr>
        <w:spacing w:before="40" w:after="40"/>
        <w:ind w:left="397" w:hanging="397"/>
        <w:jc w:val="left"/>
        <w:rPr>
          <w:rFonts w:eastAsia="Calibri" w:cs="Calibri"/>
        </w:rPr>
      </w:pPr>
      <w:r w:rsidRPr="003C16C7">
        <w:rPr>
          <w:rStyle w:val="normaltextrun"/>
          <w:rFonts w:ascii="Calibri" w:eastAsia="Calibri" w:hAnsi="Calibri" w:cs="Calibri"/>
        </w:rPr>
        <w:t>Mike Scarsbrook and Jon Palmer, Waikato Regional Council</w:t>
      </w:r>
    </w:p>
    <w:p w14:paraId="09C3C205" w14:textId="5314BDCE" w:rsidR="78748116" w:rsidRPr="003C16C7" w:rsidRDefault="78748116" w:rsidP="1ACDBE05">
      <w:pPr>
        <w:spacing w:before="40" w:after="40"/>
        <w:ind w:left="397" w:hanging="397"/>
        <w:jc w:val="left"/>
        <w:rPr>
          <w:rFonts w:eastAsia="Calibri" w:cs="Calibri"/>
          <w:color w:val="000000" w:themeColor="text1"/>
        </w:rPr>
      </w:pPr>
      <w:r w:rsidRPr="003C16C7">
        <w:rPr>
          <w:rStyle w:val="normaltextrun"/>
          <w:rFonts w:ascii="Calibri" w:eastAsia="Calibri" w:hAnsi="Calibri" w:cs="Calibri"/>
        </w:rPr>
        <w:t>Kate Proctor, Hawke’s Bay Regional Council</w:t>
      </w:r>
    </w:p>
    <w:p w14:paraId="4BA12BAA" w14:textId="5CF8AE01" w:rsidR="78748116" w:rsidRPr="003C16C7" w:rsidRDefault="78748116" w:rsidP="1ACDBE05">
      <w:pPr>
        <w:spacing w:before="40" w:after="40"/>
        <w:ind w:left="397" w:hanging="397"/>
        <w:jc w:val="left"/>
        <w:rPr>
          <w:rFonts w:eastAsia="Calibri" w:cs="Calibri"/>
          <w:color w:val="000000" w:themeColor="text1"/>
        </w:rPr>
      </w:pPr>
      <w:r w:rsidRPr="003C16C7">
        <w:rPr>
          <w:rStyle w:val="normaltextrun"/>
          <w:rFonts w:ascii="Calibri" w:eastAsia="Calibri" w:hAnsi="Calibri" w:cs="Calibri"/>
        </w:rPr>
        <w:t>Olivia Cook, Environment Canterbury</w:t>
      </w:r>
    </w:p>
    <w:p w14:paraId="7B03A8CB" w14:textId="43851652" w:rsidR="78748116" w:rsidRPr="003C16C7" w:rsidRDefault="78748116" w:rsidP="1ACDBE05">
      <w:pPr>
        <w:spacing w:before="40" w:after="40"/>
        <w:ind w:left="397" w:hanging="397"/>
        <w:jc w:val="left"/>
        <w:rPr>
          <w:rFonts w:eastAsia="Calibri" w:cs="Calibri"/>
        </w:rPr>
      </w:pPr>
      <w:r w:rsidRPr="003C16C7">
        <w:rPr>
          <w:rStyle w:val="normaltextrun"/>
          <w:rFonts w:ascii="Calibri" w:eastAsia="Calibri" w:hAnsi="Calibri" w:cs="Calibri"/>
        </w:rPr>
        <w:t xml:space="preserve">Jane Carroll, </w:t>
      </w:r>
      <w:r w:rsidR="006A6B87" w:rsidRPr="003C16C7">
        <w:rPr>
          <w:rStyle w:val="normaltextrun"/>
          <w:rFonts w:ascii="Calibri" w:eastAsia="Calibri" w:hAnsi="Calibri" w:cs="Calibri"/>
        </w:rPr>
        <w:t>Environment Southland</w:t>
      </w:r>
    </w:p>
    <w:p w14:paraId="31326A8C" w14:textId="0465A052" w:rsidR="78748116" w:rsidRPr="003C16C7" w:rsidRDefault="78748116" w:rsidP="1ACDBE05">
      <w:pPr>
        <w:spacing w:before="40" w:after="40"/>
        <w:ind w:left="397" w:hanging="397"/>
        <w:jc w:val="left"/>
        <w:rPr>
          <w:rFonts w:eastAsia="Calibri" w:cs="Calibri"/>
          <w:lang w:val="en-US"/>
        </w:rPr>
      </w:pPr>
      <w:r w:rsidRPr="003C16C7">
        <w:rPr>
          <w:rStyle w:val="normaltextrun"/>
          <w:rFonts w:ascii="Calibri" w:eastAsia="Calibri" w:hAnsi="Calibri" w:cs="Calibri"/>
        </w:rPr>
        <w:t>Ian McNab, Horizons Regional Council</w:t>
      </w:r>
    </w:p>
    <w:p w14:paraId="1149950C" w14:textId="04E04AF4" w:rsidR="78748116" w:rsidRPr="003C16C7" w:rsidRDefault="78748116" w:rsidP="1ACDBE05">
      <w:pPr>
        <w:spacing w:before="40" w:after="40"/>
        <w:ind w:left="397" w:hanging="397"/>
        <w:jc w:val="left"/>
        <w:rPr>
          <w:rFonts w:eastAsia="Calibri" w:cs="Calibri"/>
          <w:color w:val="000000" w:themeColor="text1"/>
          <w:lang w:val="en-US"/>
        </w:rPr>
      </w:pPr>
      <w:r w:rsidRPr="003C16C7">
        <w:rPr>
          <w:rStyle w:val="normaltextrun"/>
          <w:rFonts w:ascii="Calibri" w:eastAsia="Calibri" w:hAnsi="Calibri" w:cs="Calibri"/>
        </w:rPr>
        <w:t>Jackson Efford, Bay of Plenty Regional Council</w:t>
      </w:r>
    </w:p>
    <w:p w14:paraId="10F0B701" w14:textId="4E716B51" w:rsidR="78748116" w:rsidRPr="003C16C7" w:rsidRDefault="78748116" w:rsidP="1ACDBE05">
      <w:pPr>
        <w:spacing w:before="40" w:after="40"/>
        <w:ind w:left="397" w:hanging="397"/>
        <w:jc w:val="left"/>
        <w:rPr>
          <w:rFonts w:eastAsia="Calibri" w:cs="Calibri"/>
          <w:color w:val="000000" w:themeColor="text1"/>
        </w:rPr>
      </w:pPr>
      <w:r w:rsidRPr="003C16C7">
        <w:rPr>
          <w:rStyle w:val="normaltextrun"/>
          <w:rFonts w:ascii="Calibri" w:eastAsia="Calibri" w:hAnsi="Calibri" w:cs="Calibri"/>
        </w:rPr>
        <w:t>Richard McDowell, Lincoln University</w:t>
      </w:r>
    </w:p>
    <w:p w14:paraId="7FA8C95C" w14:textId="39C0662B" w:rsidR="78748116" w:rsidRPr="003C16C7" w:rsidRDefault="78748116" w:rsidP="1ACDBE05">
      <w:pPr>
        <w:spacing w:before="40" w:after="40"/>
        <w:ind w:left="397" w:hanging="397"/>
        <w:jc w:val="left"/>
        <w:rPr>
          <w:rFonts w:eastAsia="Calibri" w:cs="Calibri"/>
        </w:rPr>
      </w:pPr>
      <w:r w:rsidRPr="003C16C7">
        <w:rPr>
          <w:rStyle w:val="normaltextrun"/>
          <w:rFonts w:ascii="Calibri" w:eastAsia="Calibri" w:hAnsi="Calibri" w:cs="Calibri"/>
        </w:rPr>
        <w:t xml:space="preserve">Val Snow, </w:t>
      </w:r>
      <w:proofErr w:type="spellStart"/>
      <w:r w:rsidRPr="003C16C7">
        <w:rPr>
          <w:rStyle w:val="normaltextrun"/>
          <w:rFonts w:ascii="Calibri" w:eastAsia="Calibri" w:hAnsi="Calibri" w:cs="Calibri"/>
        </w:rPr>
        <w:t>AgResearch</w:t>
      </w:r>
      <w:proofErr w:type="spellEnd"/>
    </w:p>
    <w:p w14:paraId="40A918AE" w14:textId="37981706" w:rsidR="004E0F60" w:rsidRDefault="78748116" w:rsidP="003C16C7">
      <w:pPr>
        <w:spacing w:before="40" w:after="40"/>
        <w:ind w:left="397" w:hanging="397"/>
        <w:jc w:val="left"/>
        <w:rPr>
          <w:rStyle w:val="normaltextrun"/>
          <w:rFonts w:ascii="Calibri" w:eastAsia="Calibri" w:hAnsi="Calibri" w:cs="Calibri"/>
        </w:rPr>
      </w:pPr>
      <w:r w:rsidRPr="003C16C7">
        <w:rPr>
          <w:rStyle w:val="normaltextrun"/>
          <w:rFonts w:ascii="Calibri" w:eastAsia="Calibri" w:hAnsi="Calibri" w:cs="Calibri"/>
        </w:rPr>
        <w:t>Gerald Rys, Ministry for Primary Industries</w:t>
      </w:r>
    </w:p>
    <w:p w14:paraId="46061DC2" w14:textId="77777777" w:rsidR="003C16C7" w:rsidRPr="003C16C7" w:rsidRDefault="003C16C7" w:rsidP="003C16C7">
      <w:pPr>
        <w:spacing w:before="40" w:after="40"/>
        <w:ind w:left="397" w:hanging="397"/>
        <w:jc w:val="left"/>
        <w:rPr>
          <w:rFonts w:eastAsia="Calibri" w:cs="Calibri"/>
        </w:rPr>
      </w:pPr>
    </w:p>
    <w:p w14:paraId="15979F2C" w14:textId="7B296075" w:rsidR="00950CB1" w:rsidRPr="003C16C7" w:rsidRDefault="00950CB1" w:rsidP="00950CB1">
      <w:pPr>
        <w:pStyle w:val="Imprint"/>
      </w:pPr>
      <w:r w:rsidRPr="003C16C7">
        <w:t xml:space="preserve">This document may be cited as: Ministry for the Environment. 2025. </w:t>
      </w:r>
      <w:r w:rsidRPr="003C16C7">
        <w:rPr>
          <w:i/>
          <w:iCs/>
        </w:rPr>
        <w:t xml:space="preserve">Contaminant </w:t>
      </w:r>
      <w:r w:rsidR="3B99C801" w:rsidRPr="003C16C7">
        <w:rPr>
          <w:i/>
          <w:iCs/>
        </w:rPr>
        <w:t xml:space="preserve">Loss </w:t>
      </w:r>
      <w:r w:rsidRPr="003C16C7">
        <w:rPr>
          <w:i/>
          <w:iCs/>
        </w:rPr>
        <w:t>Risk Index Tool: Understanding Scores and Heatmaps.</w:t>
      </w:r>
      <w:r w:rsidRPr="003C16C7">
        <w:t xml:space="preserve"> Wellington: Ministry for the Environment.</w:t>
      </w:r>
    </w:p>
    <w:p w14:paraId="6F3219C7" w14:textId="627007A3" w:rsidR="0080531E" w:rsidRPr="003C16C7" w:rsidRDefault="0080531E" w:rsidP="0080531E">
      <w:pPr>
        <w:pStyle w:val="Imprint"/>
      </w:pPr>
      <w:r w:rsidRPr="003C16C7">
        <w:t xml:space="preserve">Published in </w:t>
      </w:r>
      <w:r w:rsidR="002448DF" w:rsidRPr="00D31960">
        <w:t>September</w:t>
      </w:r>
      <w:r w:rsidR="00775F57" w:rsidRPr="003C16C7">
        <w:t xml:space="preserve"> </w:t>
      </w:r>
      <w:r w:rsidR="001F5600" w:rsidRPr="003C16C7">
        <w:t>2025</w:t>
      </w:r>
      <w:r w:rsidRPr="003C16C7">
        <w:t xml:space="preserve"> by the</w:t>
      </w:r>
      <w:r w:rsidRPr="003C16C7">
        <w:br/>
        <w:t xml:space="preserve">Ministry for the Environment </w:t>
      </w:r>
      <w:r w:rsidRPr="003C16C7">
        <w:br/>
      </w:r>
      <w:proofErr w:type="spellStart"/>
      <w:r w:rsidRPr="003C16C7">
        <w:t>Manatū</w:t>
      </w:r>
      <w:proofErr w:type="spellEnd"/>
      <w:r w:rsidRPr="003C16C7">
        <w:t xml:space="preserve"> </w:t>
      </w:r>
      <w:proofErr w:type="spellStart"/>
      <w:r w:rsidR="001201AD" w:rsidRPr="003C16C7">
        <w:t>m</w:t>
      </w:r>
      <w:r w:rsidRPr="003C16C7">
        <w:t>ō</w:t>
      </w:r>
      <w:proofErr w:type="spellEnd"/>
      <w:r w:rsidRPr="003C16C7">
        <w:t xml:space="preserve"> </w:t>
      </w:r>
      <w:proofErr w:type="spellStart"/>
      <w:r w:rsidR="001201AD" w:rsidRPr="003C16C7">
        <w:t>t</w:t>
      </w:r>
      <w:r w:rsidRPr="003C16C7">
        <w:t>e</w:t>
      </w:r>
      <w:proofErr w:type="spellEnd"/>
      <w:r w:rsidRPr="003C16C7">
        <w:t xml:space="preserve"> Taiao</w:t>
      </w:r>
      <w:r w:rsidRPr="003C16C7">
        <w:br/>
        <w:t>PO Box 10362, Wellington 6143, New Zealand</w:t>
      </w:r>
      <w:r w:rsidR="00F27E5C" w:rsidRPr="003C16C7">
        <w:br/>
      </w:r>
      <w:hyperlink r:id="rId17" w:history="1">
        <w:r w:rsidR="00F27E5C" w:rsidRPr="003C16C7">
          <w:rPr>
            <w:rStyle w:val="Hyperlink"/>
          </w:rPr>
          <w:t>environment.govt.nz</w:t>
        </w:r>
      </w:hyperlink>
    </w:p>
    <w:p w14:paraId="4496BC7A" w14:textId="72BF442F" w:rsidR="0080531E" w:rsidRPr="003C16C7" w:rsidRDefault="0080531E" w:rsidP="001F5600">
      <w:pPr>
        <w:pStyle w:val="Imprint"/>
      </w:pPr>
      <w:r w:rsidRPr="00D31960">
        <w:t xml:space="preserve">ISBN: </w:t>
      </w:r>
      <w:r w:rsidR="00D31960" w:rsidRPr="00D31960">
        <w:t>978-1-991404-05-3</w:t>
      </w:r>
      <w:r w:rsidR="001F5600" w:rsidRPr="00D31960">
        <w:br/>
      </w:r>
      <w:r w:rsidRPr="00D31960">
        <w:t xml:space="preserve">Publication number: ME </w:t>
      </w:r>
      <w:r w:rsidR="002E4035" w:rsidRPr="00D31960">
        <w:t>1916</w:t>
      </w:r>
    </w:p>
    <w:p w14:paraId="76760D84" w14:textId="5DDA6643" w:rsidR="001F5600" w:rsidRPr="00CB4FE4" w:rsidRDefault="0080531E" w:rsidP="001F5600">
      <w:pPr>
        <w:jc w:val="left"/>
        <w:rPr>
          <w:sz w:val="20"/>
          <w:szCs w:val="20"/>
        </w:rPr>
      </w:pPr>
      <w:r w:rsidRPr="003C16C7">
        <w:t xml:space="preserve">© Crown copyright New Zealand </w:t>
      </w:r>
      <w:r w:rsidR="001F5600" w:rsidRPr="003C16C7">
        <w:t>2025</w:t>
      </w:r>
      <w:r w:rsidRPr="00CB4FE4">
        <w:rPr>
          <w:sz w:val="20"/>
          <w:szCs w:val="20"/>
        </w:rPr>
        <w:br/>
      </w:r>
    </w:p>
    <w:p w14:paraId="798E83D8" w14:textId="77777777" w:rsidR="0080531E" w:rsidRPr="00A84FE1" w:rsidRDefault="0080531E" w:rsidP="00A84FE1">
      <w:pPr>
        <w:sectPr w:rsidR="0080531E" w:rsidRPr="00A84FE1" w:rsidSect="008A7498">
          <w:headerReference w:type="even" r:id="rId18"/>
          <w:headerReference w:type="default" r:id="rId19"/>
          <w:footerReference w:type="even" r:id="rId20"/>
          <w:footerReference w:type="default" r:id="rId21"/>
          <w:pgSz w:w="11907" w:h="16840" w:code="9"/>
          <w:pgMar w:top="1134" w:right="1701" w:bottom="1134" w:left="1701" w:header="567" w:footer="567" w:gutter="0"/>
          <w:pgNumType w:fmt="lowerRoman"/>
          <w:cols w:space="720"/>
        </w:sectPr>
      </w:pPr>
    </w:p>
    <w:p w14:paraId="0A8A2E8F" w14:textId="77777777" w:rsidR="00C40F64" w:rsidRPr="00F06E0B" w:rsidRDefault="00C40F64" w:rsidP="00C40F64">
      <w:pPr>
        <w:pStyle w:val="Heading"/>
      </w:pPr>
      <w:r>
        <w:lastRenderedPageBreak/>
        <w:t>Contents</w:t>
      </w:r>
    </w:p>
    <w:p w14:paraId="5798A85B" w14:textId="4287BA91" w:rsidR="00C40F64"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F37576E">
        <w:rPr>
          <w:color w:val="0092CF"/>
        </w:rPr>
        <w:instrText xml:space="preserve"> TOC \h \z \t "Heading 1,1,Heading 2,2" </w:instrText>
      </w:r>
      <w:r w:rsidRPr="006B77BB">
        <w:rPr>
          <w:color w:val="0092CF"/>
        </w:rPr>
        <w:fldChar w:fldCharType="separate"/>
      </w:r>
      <w:hyperlink w:anchor="_Toc206066530" w:history="1">
        <w:r w:rsidR="00C40F64" w:rsidRPr="001B31EF">
          <w:rPr>
            <w:rStyle w:val="Hyperlink"/>
            <w:noProof/>
          </w:rPr>
          <w:t>Background</w:t>
        </w:r>
        <w:r w:rsidR="00C40F64">
          <w:rPr>
            <w:noProof/>
            <w:webHidden/>
          </w:rPr>
          <w:tab/>
        </w:r>
        <w:r w:rsidR="00C40F64">
          <w:rPr>
            <w:noProof/>
            <w:webHidden/>
          </w:rPr>
          <w:fldChar w:fldCharType="begin"/>
        </w:r>
        <w:r w:rsidR="00C40F64">
          <w:rPr>
            <w:noProof/>
            <w:webHidden/>
          </w:rPr>
          <w:instrText xml:space="preserve"> PAGEREF _Toc206066530 \h </w:instrText>
        </w:r>
        <w:r w:rsidR="00C40F64">
          <w:rPr>
            <w:noProof/>
            <w:webHidden/>
          </w:rPr>
        </w:r>
        <w:r w:rsidR="00C40F64">
          <w:rPr>
            <w:noProof/>
            <w:webHidden/>
          </w:rPr>
          <w:fldChar w:fldCharType="separate"/>
        </w:r>
        <w:r w:rsidR="00C56A39">
          <w:rPr>
            <w:noProof/>
            <w:webHidden/>
          </w:rPr>
          <w:t>5</w:t>
        </w:r>
        <w:r w:rsidR="00C40F64">
          <w:rPr>
            <w:noProof/>
            <w:webHidden/>
          </w:rPr>
          <w:fldChar w:fldCharType="end"/>
        </w:r>
      </w:hyperlink>
    </w:p>
    <w:p w14:paraId="167F8FFD" w14:textId="3BA8A802" w:rsidR="00C40F64" w:rsidRDefault="00C40F64">
      <w:pPr>
        <w:pStyle w:val="TOC2"/>
        <w:rPr>
          <w:rFonts w:asciiTheme="minorHAnsi" w:hAnsiTheme="minorHAnsi"/>
          <w:noProof/>
          <w:kern w:val="2"/>
          <w:sz w:val="24"/>
          <w:szCs w:val="24"/>
          <w14:ligatures w14:val="standardContextual"/>
        </w:rPr>
      </w:pPr>
      <w:hyperlink w:anchor="_Toc206066531" w:history="1">
        <w:r w:rsidRPr="001B31EF">
          <w:rPr>
            <w:rStyle w:val="Hyperlink"/>
            <w:rFonts w:eastAsia="Georgia"/>
            <w:noProof/>
          </w:rPr>
          <w:t>Audience</w:t>
        </w:r>
        <w:r>
          <w:rPr>
            <w:noProof/>
            <w:webHidden/>
          </w:rPr>
          <w:tab/>
        </w:r>
        <w:r>
          <w:rPr>
            <w:noProof/>
            <w:webHidden/>
          </w:rPr>
          <w:fldChar w:fldCharType="begin"/>
        </w:r>
        <w:r>
          <w:rPr>
            <w:noProof/>
            <w:webHidden/>
          </w:rPr>
          <w:instrText xml:space="preserve"> PAGEREF _Toc206066531 \h </w:instrText>
        </w:r>
        <w:r>
          <w:rPr>
            <w:noProof/>
            <w:webHidden/>
          </w:rPr>
        </w:r>
        <w:r>
          <w:rPr>
            <w:noProof/>
            <w:webHidden/>
          </w:rPr>
          <w:fldChar w:fldCharType="separate"/>
        </w:r>
        <w:r w:rsidR="00C56A39">
          <w:rPr>
            <w:noProof/>
            <w:webHidden/>
          </w:rPr>
          <w:t>5</w:t>
        </w:r>
        <w:r>
          <w:rPr>
            <w:noProof/>
            <w:webHidden/>
          </w:rPr>
          <w:fldChar w:fldCharType="end"/>
        </w:r>
      </w:hyperlink>
    </w:p>
    <w:p w14:paraId="36C3AA16" w14:textId="173A9441" w:rsidR="00C40F64" w:rsidRDefault="00C40F64">
      <w:pPr>
        <w:pStyle w:val="TOC1"/>
        <w:rPr>
          <w:rFonts w:asciiTheme="minorHAnsi" w:hAnsiTheme="minorHAnsi"/>
          <w:noProof/>
          <w:kern w:val="2"/>
          <w:sz w:val="24"/>
          <w:szCs w:val="24"/>
          <w14:ligatures w14:val="standardContextual"/>
        </w:rPr>
      </w:pPr>
      <w:hyperlink w:anchor="_Toc206066532" w:history="1">
        <w:r w:rsidRPr="001B31EF">
          <w:rPr>
            <w:rStyle w:val="Hyperlink"/>
            <w:noProof/>
          </w:rPr>
          <w:t>Overview</w:t>
        </w:r>
        <w:r>
          <w:rPr>
            <w:noProof/>
            <w:webHidden/>
          </w:rPr>
          <w:tab/>
        </w:r>
        <w:r>
          <w:rPr>
            <w:noProof/>
            <w:webHidden/>
          </w:rPr>
          <w:fldChar w:fldCharType="begin"/>
        </w:r>
        <w:r>
          <w:rPr>
            <w:noProof/>
            <w:webHidden/>
          </w:rPr>
          <w:instrText xml:space="preserve"> PAGEREF _Toc206066532 \h </w:instrText>
        </w:r>
        <w:r>
          <w:rPr>
            <w:noProof/>
            <w:webHidden/>
          </w:rPr>
        </w:r>
        <w:r>
          <w:rPr>
            <w:noProof/>
            <w:webHidden/>
          </w:rPr>
          <w:fldChar w:fldCharType="separate"/>
        </w:r>
        <w:r w:rsidR="00C56A39">
          <w:rPr>
            <w:noProof/>
            <w:webHidden/>
          </w:rPr>
          <w:t>6</w:t>
        </w:r>
        <w:r>
          <w:rPr>
            <w:noProof/>
            <w:webHidden/>
          </w:rPr>
          <w:fldChar w:fldCharType="end"/>
        </w:r>
      </w:hyperlink>
    </w:p>
    <w:p w14:paraId="0B60EB48" w14:textId="30DA9289" w:rsidR="00C40F64" w:rsidRDefault="00C40F64">
      <w:pPr>
        <w:pStyle w:val="TOC2"/>
        <w:rPr>
          <w:rFonts w:asciiTheme="minorHAnsi" w:hAnsiTheme="minorHAnsi"/>
          <w:noProof/>
          <w:kern w:val="2"/>
          <w:sz w:val="24"/>
          <w:szCs w:val="24"/>
          <w14:ligatures w14:val="standardContextual"/>
        </w:rPr>
      </w:pPr>
      <w:hyperlink w:anchor="_Toc206066533" w:history="1">
        <w:r w:rsidRPr="001B31EF">
          <w:rPr>
            <w:rStyle w:val="Hyperlink"/>
            <w:noProof/>
          </w:rPr>
          <w:t>How the tool works</w:t>
        </w:r>
        <w:r>
          <w:rPr>
            <w:noProof/>
            <w:webHidden/>
          </w:rPr>
          <w:tab/>
        </w:r>
        <w:r>
          <w:rPr>
            <w:noProof/>
            <w:webHidden/>
          </w:rPr>
          <w:fldChar w:fldCharType="begin"/>
        </w:r>
        <w:r>
          <w:rPr>
            <w:noProof/>
            <w:webHidden/>
          </w:rPr>
          <w:instrText xml:space="preserve"> PAGEREF _Toc206066533 \h </w:instrText>
        </w:r>
        <w:r>
          <w:rPr>
            <w:noProof/>
            <w:webHidden/>
          </w:rPr>
        </w:r>
        <w:r>
          <w:rPr>
            <w:noProof/>
            <w:webHidden/>
          </w:rPr>
          <w:fldChar w:fldCharType="separate"/>
        </w:r>
        <w:r w:rsidR="00C56A39">
          <w:rPr>
            <w:noProof/>
            <w:webHidden/>
          </w:rPr>
          <w:t>6</w:t>
        </w:r>
        <w:r>
          <w:rPr>
            <w:noProof/>
            <w:webHidden/>
          </w:rPr>
          <w:fldChar w:fldCharType="end"/>
        </w:r>
      </w:hyperlink>
    </w:p>
    <w:p w14:paraId="202EE21B" w14:textId="0FEC0A0C" w:rsidR="00C40F64" w:rsidRDefault="00C40F64">
      <w:pPr>
        <w:pStyle w:val="TOC1"/>
        <w:rPr>
          <w:rFonts w:asciiTheme="minorHAnsi" w:hAnsiTheme="minorHAnsi"/>
          <w:noProof/>
          <w:kern w:val="2"/>
          <w:sz w:val="24"/>
          <w:szCs w:val="24"/>
          <w14:ligatures w14:val="standardContextual"/>
        </w:rPr>
      </w:pPr>
      <w:hyperlink w:anchor="_Toc206066534" w:history="1">
        <w:r w:rsidRPr="001B31EF">
          <w:rPr>
            <w:rStyle w:val="Hyperlink"/>
            <w:noProof/>
          </w:rPr>
          <w:t>Calculating risk scores and their definitions</w:t>
        </w:r>
        <w:r>
          <w:rPr>
            <w:noProof/>
            <w:webHidden/>
          </w:rPr>
          <w:tab/>
        </w:r>
        <w:r>
          <w:rPr>
            <w:noProof/>
            <w:webHidden/>
          </w:rPr>
          <w:fldChar w:fldCharType="begin"/>
        </w:r>
        <w:r>
          <w:rPr>
            <w:noProof/>
            <w:webHidden/>
          </w:rPr>
          <w:instrText xml:space="preserve"> PAGEREF _Toc206066534 \h </w:instrText>
        </w:r>
        <w:r>
          <w:rPr>
            <w:noProof/>
            <w:webHidden/>
          </w:rPr>
        </w:r>
        <w:r>
          <w:rPr>
            <w:noProof/>
            <w:webHidden/>
          </w:rPr>
          <w:fldChar w:fldCharType="separate"/>
        </w:r>
        <w:r w:rsidR="00C56A39">
          <w:rPr>
            <w:noProof/>
            <w:webHidden/>
          </w:rPr>
          <w:t>8</w:t>
        </w:r>
        <w:r>
          <w:rPr>
            <w:noProof/>
            <w:webHidden/>
          </w:rPr>
          <w:fldChar w:fldCharType="end"/>
        </w:r>
      </w:hyperlink>
    </w:p>
    <w:p w14:paraId="41A4DB15" w14:textId="52E95EEB" w:rsidR="00C40F64" w:rsidRDefault="00C40F64">
      <w:pPr>
        <w:pStyle w:val="TOC2"/>
        <w:rPr>
          <w:rFonts w:asciiTheme="minorHAnsi" w:hAnsiTheme="minorHAnsi"/>
          <w:noProof/>
          <w:kern w:val="2"/>
          <w:sz w:val="24"/>
          <w:szCs w:val="24"/>
          <w14:ligatures w14:val="standardContextual"/>
        </w:rPr>
      </w:pPr>
      <w:hyperlink w:anchor="_Toc206066535" w:history="1">
        <w:r w:rsidRPr="001B31EF">
          <w:rPr>
            <w:rStyle w:val="Hyperlink"/>
            <w:noProof/>
          </w:rPr>
          <w:t>Baseline risk</w:t>
        </w:r>
        <w:r>
          <w:rPr>
            <w:noProof/>
            <w:webHidden/>
          </w:rPr>
          <w:tab/>
        </w:r>
        <w:r>
          <w:rPr>
            <w:noProof/>
            <w:webHidden/>
          </w:rPr>
          <w:fldChar w:fldCharType="begin"/>
        </w:r>
        <w:r>
          <w:rPr>
            <w:noProof/>
            <w:webHidden/>
          </w:rPr>
          <w:instrText xml:space="preserve"> PAGEREF _Toc206066535 \h </w:instrText>
        </w:r>
        <w:r>
          <w:rPr>
            <w:noProof/>
            <w:webHidden/>
          </w:rPr>
        </w:r>
        <w:r>
          <w:rPr>
            <w:noProof/>
            <w:webHidden/>
          </w:rPr>
          <w:fldChar w:fldCharType="separate"/>
        </w:r>
        <w:r w:rsidR="00C56A39">
          <w:rPr>
            <w:noProof/>
            <w:webHidden/>
          </w:rPr>
          <w:t>8</w:t>
        </w:r>
        <w:r>
          <w:rPr>
            <w:noProof/>
            <w:webHidden/>
          </w:rPr>
          <w:fldChar w:fldCharType="end"/>
        </w:r>
      </w:hyperlink>
    </w:p>
    <w:p w14:paraId="6C759416" w14:textId="24A9192B" w:rsidR="00C40F64" w:rsidRDefault="00C40F64">
      <w:pPr>
        <w:pStyle w:val="TOC2"/>
        <w:rPr>
          <w:rFonts w:asciiTheme="minorHAnsi" w:hAnsiTheme="minorHAnsi"/>
          <w:noProof/>
          <w:kern w:val="2"/>
          <w:sz w:val="24"/>
          <w:szCs w:val="24"/>
          <w14:ligatures w14:val="standardContextual"/>
        </w:rPr>
      </w:pPr>
      <w:hyperlink w:anchor="_Toc206066536" w:history="1">
        <w:r w:rsidRPr="001B31EF">
          <w:rPr>
            <w:rStyle w:val="Hyperlink"/>
            <w:noProof/>
          </w:rPr>
          <w:t>Overall risk</w:t>
        </w:r>
        <w:r>
          <w:rPr>
            <w:noProof/>
            <w:webHidden/>
          </w:rPr>
          <w:tab/>
        </w:r>
        <w:r>
          <w:rPr>
            <w:noProof/>
            <w:webHidden/>
          </w:rPr>
          <w:fldChar w:fldCharType="begin"/>
        </w:r>
        <w:r>
          <w:rPr>
            <w:noProof/>
            <w:webHidden/>
          </w:rPr>
          <w:instrText xml:space="preserve"> PAGEREF _Toc206066536 \h </w:instrText>
        </w:r>
        <w:r>
          <w:rPr>
            <w:noProof/>
            <w:webHidden/>
          </w:rPr>
        </w:r>
        <w:r>
          <w:rPr>
            <w:noProof/>
            <w:webHidden/>
          </w:rPr>
          <w:fldChar w:fldCharType="separate"/>
        </w:r>
        <w:r w:rsidR="00C56A39">
          <w:rPr>
            <w:noProof/>
            <w:webHidden/>
          </w:rPr>
          <w:t>8</w:t>
        </w:r>
        <w:r>
          <w:rPr>
            <w:noProof/>
            <w:webHidden/>
          </w:rPr>
          <w:fldChar w:fldCharType="end"/>
        </w:r>
      </w:hyperlink>
    </w:p>
    <w:p w14:paraId="75BEF990" w14:textId="140C7119" w:rsidR="00C40F64" w:rsidRDefault="00C40F64">
      <w:pPr>
        <w:pStyle w:val="TOC2"/>
        <w:rPr>
          <w:rFonts w:asciiTheme="minorHAnsi" w:hAnsiTheme="minorHAnsi"/>
          <w:noProof/>
          <w:kern w:val="2"/>
          <w:sz w:val="24"/>
          <w:szCs w:val="24"/>
          <w14:ligatures w14:val="standardContextual"/>
        </w:rPr>
      </w:pPr>
      <w:hyperlink w:anchor="_Toc206066537" w:history="1">
        <w:r w:rsidRPr="001B31EF">
          <w:rPr>
            <w:rStyle w:val="Hyperlink"/>
            <w:noProof/>
          </w:rPr>
          <w:t>Aggregated scores</w:t>
        </w:r>
        <w:r>
          <w:rPr>
            <w:noProof/>
            <w:webHidden/>
          </w:rPr>
          <w:tab/>
        </w:r>
        <w:r>
          <w:rPr>
            <w:noProof/>
            <w:webHidden/>
          </w:rPr>
          <w:fldChar w:fldCharType="begin"/>
        </w:r>
        <w:r>
          <w:rPr>
            <w:noProof/>
            <w:webHidden/>
          </w:rPr>
          <w:instrText xml:space="preserve"> PAGEREF _Toc206066537 \h </w:instrText>
        </w:r>
        <w:r>
          <w:rPr>
            <w:noProof/>
            <w:webHidden/>
          </w:rPr>
        </w:r>
        <w:r>
          <w:rPr>
            <w:noProof/>
            <w:webHidden/>
          </w:rPr>
          <w:fldChar w:fldCharType="separate"/>
        </w:r>
        <w:r w:rsidR="00C56A39">
          <w:rPr>
            <w:noProof/>
            <w:webHidden/>
          </w:rPr>
          <w:t>9</w:t>
        </w:r>
        <w:r>
          <w:rPr>
            <w:noProof/>
            <w:webHidden/>
          </w:rPr>
          <w:fldChar w:fldCharType="end"/>
        </w:r>
      </w:hyperlink>
    </w:p>
    <w:p w14:paraId="3A7906F8" w14:textId="1BB833F4" w:rsidR="00C40F64" w:rsidRDefault="00C40F64">
      <w:pPr>
        <w:pStyle w:val="TOC2"/>
        <w:rPr>
          <w:rFonts w:asciiTheme="minorHAnsi" w:hAnsiTheme="minorHAnsi"/>
          <w:noProof/>
          <w:kern w:val="2"/>
          <w:sz w:val="24"/>
          <w:szCs w:val="24"/>
          <w14:ligatures w14:val="standardContextual"/>
        </w:rPr>
      </w:pPr>
      <w:hyperlink w:anchor="_Toc206066538" w:history="1">
        <w:r w:rsidRPr="001B31EF">
          <w:rPr>
            <w:rStyle w:val="Hyperlink"/>
            <w:noProof/>
          </w:rPr>
          <w:t>Per hectare scores</w:t>
        </w:r>
        <w:r>
          <w:rPr>
            <w:noProof/>
            <w:webHidden/>
          </w:rPr>
          <w:tab/>
        </w:r>
        <w:r>
          <w:rPr>
            <w:noProof/>
            <w:webHidden/>
          </w:rPr>
          <w:fldChar w:fldCharType="begin"/>
        </w:r>
        <w:r>
          <w:rPr>
            <w:noProof/>
            <w:webHidden/>
          </w:rPr>
          <w:instrText xml:space="preserve"> PAGEREF _Toc206066538 \h </w:instrText>
        </w:r>
        <w:r>
          <w:rPr>
            <w:noProof/>
            <w:webHidden/>
          </w:rPr>
        </w:r>
        <w:r>
          <w:rPr>
            <w:noProof/>
            <w:webHidden/>
          </w:rPr>
          <w:fldChar w:fldCharType="separate"/>
        </w:r>
        <w:r w:rsidR="00C56A39">
          <w:rPr>
            <w:noProof/>
            <w:webHidden/>
          </w:rPr>
          <w:t>9</w:t>
        </w:r>
        <w:r>
          <w:rPr>
            <w:noProof/>
            <w:webHidden/>
          </w:rPr>
          <w:fldChar w:fldCharType="end"/>
        </w:r>
      </w:hyperlink>
    </w:p>
    <w:p w14:paraId="500D2319" w14:textId="1C89763A" w:rsidR="00C40F64" w:rsidRDefault="00C40F64">
      <w:pPr>
        <w:pStyle w:val="TOC2"/>
        <w:rPr>
          <w:rFonts w:asciiTheme="minorHAnsi" w:hAnsiTheme="minorHAnsi"/>
          <w:noProof/>
          <w:kern w:val="2"/>
          <w:sz w:val="24"/>
          <w:szCs w:val="24"/>
          <w14:ligatures w14:val="standardContextual"/>
        </w:rPr>
      </w:pPr>
      <w:hyperlink w:anchor="_Toc206066539" w:history="1">
        <w:r w:rsidRPr="001B31EF">
          <w:rPr>
            <w:rStyle w:val="Hyperlink"/>
            <w:noProof/>
          </w:rPr>
          <w:t>Heatmaps</w:t>
        </w:r>
        <w:r>
          <w:rPr>
            <w:noProof/>
            <w:webHidden/>
          </w:rPr>
          <w:tab/>
        </w:r>
        <w:r>
          <w:rPr>
            <w:noProof/>
            <w:webHidden/>
          </w:rPr>
          <w:fldChar w:fldCharType="begin"/>
        </w:r>
        <w:r>
          <w:rPr>
            <w:noProof/>
            <w:webHidden/>
          </w:rPr>
          <w:instrText xml:space="preserve"> PAGEREF _Toc206066539 \h </w:instrText>
        </w:r>
        <w:r>
          <w:rPr>
            <w:noProof/>
            <w:webHidden/>
          </w:rPr>
        </w:r>
        <w:r>
          <w:rPr>
            <w:noProof/>
            <w:webHidden/>
          </w:rPr>
          <w:fldChar w:fldCharType="separate"/>
        </w:r>
        <w:r w:rsidR="00C56A39">
          <w:rPr>
            <w:noProof/>
            <w:webHidden/>
          </w:rPr>
          <w:t>10</w:t>
        </w:r>
        <w:r>
          <w:rPr>
            <w:noProof/>
            <w:webHidden/>
          </w:rPr>
          <w:fldChar w:fldCharType="end"/>
        </w:r>
      </w:hyperlink>
    </w:p>
    <w:p w14:paraId="2308491B" w14:textId="0C690AEF" w:rsidR="00C40F64" w:rsidRDefault="00C40F64">
      <w:pPr>
        <w:pStyle w:val="TOC1"/>
        <w:rPr>
          <w:rFonts w:asciiTheme="minorHAnsi" w:hAnsiTheme="minorHAnsi"/>
          <w:noProof/>
          <w:kern w:val="2"/>
          <w:sz w:val="24"/>
          <w:szCs w:val="24"/>
          <w14:ligatures w14:val="standardContextual"/>
        </w:rPr>
      </w:pPr>
      <w:hyperlink w:anchor="_Toc206066540" w:history="1">
        <w:r w:rsidRPr="001B31EF">
          <w:rPr>
            <w:rStyle w:val="Hyperlink"/>
            <w:noProof/>
          </w:rPr>
          <w:t>Score interpretation</w:t>
        </w:r>
        <w:r>
          <w:rPr>
            <w:noProof/>
            <w:webHidden/>
          </w:rPr>
          <w:tab/>
        </w:r>
        <w:r>
          <w:rPr>
            <w:noProof/>
            <w:webHidden/>
          </w:rPr>
          <w:fldChar w:fldCharType="begin"/>
        </w:r>
        <w:r>
          <w:rPr>
            <w:noProof/>
            <w:webHidden/>
          </w:rPr>
          <w:instrText xml:space="preserve"> PAGEREF _Toc206066540 \h </w:instrText>
        </w:r>
        <w:r>
          <w:rPr>
            <w:noProof/>
            <w:webHidden/>
          </w:rPr>
        </w:r>
        <w:r>
          <w:rPr>
            <w:noProof/>
            <w:webHidden/>
          </w:rPr>
          <w:fldChar w:fldCharType="separate"/>
        </w:r>
        <w:r w:rsidR="00C56A39">
          <w:rPr>
            <w:noProof/>
            <w:webHidden/>
          </w:rPr>
          <w:t>11</w:t>
        </w:r>
        <w:r>
          <w:rPr>
            <w:noProof/>
            <w:webHidden/>
          </w:rPr>
          <w:fldChar w:fldCharType="end"/>
        </w:r>
      </w:hyperlink>
    </w:p>
    <w:p w14:paraId="0FE94E2E" w14:textId="6E1A4170" w:rsidR="00C40F64" w:rsidRDefault="00C40F64">
      <w:pPr>
        <w:pStyle w:val="TOC2"/>
        <w:rPr>
          <w:rFonts w:asciiTheme="minorHAnsi" w:hAnsiTheme="minorHAnsi"/>
          <w:noProof/>
          <w:kern w:val="2"/>
          <w:sz w:val="24"/>
          <w:szCs w:val="24"/>
          <w14:ligatures w14:val="standardContextual"/>
        </w:rPr>
      </w:pPr>
      <w:hyperlink w:anchor="_Toc206066541" w:history="1">
        <w:r w:rsidRPr="001B31EF">
          <w:rPr>
            <w:rStyle w:val="Hyperlink"/>
            <w:noProof/>
          </w:rPr>
          <w:t>Scores are ‘unbounded’</w:t>
        </w:r>
        <w:r>
          <w:rPr>
            <w:noProof/>
            <w:webHidden/>
          </w:rPr>
          <w:tab/>
        </w:r>
        <w:r>
          <w:rPr>
            <w:noProof/>
            <w:webHidden/>
          </w:rPr>
          <w:fldChar w:fldCharType="begin"/>
        </w:r>
        <w:r>
          <w:rPr>
            <w:noProof/>
            <w:webHidden/>
          </w:rPr>
          <w:instrText xml:space="preserve"> PAGEREF _Toc206066541 \h </w:instrText>
        </w:r>
        <w:r>
          <w:rPr>
            <w:noProof/>
            <w:webHidden/>
          </w:rPr>
        </w:r>
        <w:r>
          <w:rPr>
            <w:noProof/>
            <w:webHidden/>
          </w:rPr>
          <w:fldChar w:fldCharType="separate"/>
        </w:r>
        <w:r w:rsidR="00C56A39">
          <w:rPr>
            <w:noProof/>
            <w:webHidden/>
          </w:rPr>
          <w:t>11</w:t>
        </w:r>
        <w:r>
          <w:rPr>
            <w:noProof/>
            <w:webHidden/>
          </w:rPr>
          <w:fldChar w:fldCharType="end"/>
        </w:r>
      </w:hyperlink>
    </w:p>
    <w:p w14:paraId="0468E520" w14:textId="32E07DDF" w:rsidR="00C40F64" w:rsidRDefault="00C40F64">
      <w:pPr>
        <w:pStyle w:val="TOC1"/>
        <w:rPr>
          <w:rFonts w:asciiTheme="minorHAnsi" w:hAnsiTheme="minorHAnsi"/>
          <w:noProof/>
          <w:kern w:val="2"/>
          <w:sz w:val="24"/>
          <w:szCs w:val="24"/>
          <w14:ligatures w14:val="standardContextual"/>
        </w:rPr>
      </w:pPr>
      <w:hyperlink w:anchor="_Toc206066542" w:history="1">
        <w:r w:rsidRPr="001B31EF">
          <w:rPr>
            <w:rStyle w:val="Hyperlink"/>
            <w:noProof/>
          </w:rPr>
          <w:t>Deciding if risk is low, medium or high</w:t>
        </w:r>
        <w:r>
          <w:rPr>
            <w:noProof/>
            <w:webHidden/>
          </w:rPr>
          <w:tab/>
        </w:r>
        <w:r>
          <w:rPr>
            <w:noProof/>
            <w:webHidden/>
          </w:rPr>
          <w:fldChar w:fldCharType="begin"/>
        </w:r>
        <w:r>
          <w:rPr>
            <w:noProof/>
            <w:webHidden/>
          </w:rPr>
          <w:instrText xml:space="preserve"> PAGEREF _Toc206066542 \h </w:instrText>
        </w:r>
        <w:r>
          <w:rPr>
            <w:noProof/>
            <w:webHidden/>
          </w:rPr>
        </w:r>
        <w:r>
          <w:rPr>
            <w:noProof/>
            <w:webHidden/>
          </w:rPr>
          <w:fldChar w:fldCharType="separate"/>
        </w:r>
        <w:r w:rsidR="00C56A39">
          <w:rPr>
            <w:noProof/>
            <w:webHidden/>
          </w:rPr>
          <w:t>14</w:t>
        </w:r>
        <w:r>
          <w:rPr>
            <w:noProof/>
            <w:webHidden/>
          </w:rPr>
          <w:fldChar w:fldCharType="end"/>
        </w:r>
      </w:hyperlink>
    </w:p>
    <w:p w14:paraId="472AA8C2" w14:textId="48ED57C8" w:rsidR="00C40F64" w:rsidRDefault="00C40F64">
      <w:pPr>
        <w:pStyle w:val="TOC1"/>
        <w:rPr>
          <w:rFonts w:asciiTheme="minorHAnsi" w:hAnsiTheme="minorHAnsi"/>
          <w:noProof/>
          <w:kern w:val="2"/>
          <w:sz w:val="24"/>
          <w:szCs w:val="24"/>
          <w14:ligatures w14:val="standardContextual"/>
        </w:rPr>
      </w:pPr>
      <w:hyperlink w:anchor="_Toc206066543" w:history="1">
        <w:r w:rsidRPr="001B31EF">
          <w:rPr>
            <w:rStyle w:val="Hyperlink"/>
            <w:noProof/>
          </w:rPr>
          <w:t>Use cases</w:t>
        </w:r>
        <w:r>
          <w:rPr>
            <w:noProof/>
            <w:webHidden/>
          </w:rPr>
          <w:tab/>
        </w:r>
        <w:r>
          <w:rPr>
            <w:noProof/>
            <w:webHidden/>
          </w:rPr>
          <w:fldChar w:fldCharType="begin"/>
        </w:r>
        <w:r>
          <w:rPr>
            <w:noProof/>
            <w:webHidden/>
          </w:rPr>
          <w:instrText xml:space="preserve"> PAGEREF _Toc206066543 \h </w:instrText>
        </w:r>
        <w:r>
          <w:rPr>
            <w:noProof/>
            <w:webHidden/>
          </w:rPr>
        </w:r>
        <w:r>
          <w:rPr>
            <w:noProof/>
            <w:webHidden/>
          </w:rPr>
          <w:fldChar w:fldCharType="separate"/>
        </w:r>
        <w:r w:rsidR="00C56A39">
          <w:rPr>
            <w:noProof/>
            <w:webHidden/>
          </w:rPr>
          <w:t>15</w:t>
        </w:r>
        <w:r>
          <w:rPr>
            <w:noProof/>
            <w:webHidden/>
          </w:rPr>
          <w:fldChar w:fldCharType="end"/>
        </w:r>
      </w:hyperlink>
    </w:p>
    <w:p w14:paraId="4A98F3CA" w14:textId="39EA0D40" w:rsidR="00C40F64" w:rsidRDefault="00C40F64">
      <w:pPr>
        <w:pStyle w:val="TOC2"/>
        <w:rPr>
          <w:rFonts w:asciiTheme="minorHAnsi" w:hAnsiTheme="minorHAnsi"/>
          <w:noProof/>
          <w:kern w:val="2"/>
          <w:sz w:val="24"/>
          <w:szCs w:val="24"/>
          <w14:ligatures w14:val="standardContextual"/>
        </w:rPr>
      </w:pPr>
      <w:hyperlink w:anchor="_Toc206066544" w:history="1">
        <w:r w:rsidRPr="001B31EF">
          <w:rPr>
            <w:rStyle w:val="Hyperlink"/>
            <w:noProof/>
          </w:rPr>
          <w:t>Councils</w:t>
        </w:r>
        <w:r>
          <w:rPr>
            <w:noProof/>
            <w:webHidden/>
          </w:rPr>
          <w:tab/>
        </w:r>
        <w:r>
          <w:rPr>
            <w:noProof/>
            <w:webHidden/>
          </w:rPr>
          <w:fldChar w:fldCharType="begin"/>
        </w:r>
        <w:r>
          <w:rPr>
            <w:noProof/>
            <w:webHidden/>
          </w:rPr>
          <w:instrText xml:space="preserve"> PAGEREF _Toc206066544 \h </w:instrText>
        </w:r>
        <w:r>
          <w:rPr>
            <w:noProof/>
            <w:webHidden/>
          </w:rPr>
        </w:r>
        <w:r>
          <w:rPr>
            <w:noProof/>
            <w:webHidden/>
          </w:rPr>
          <w:fldChar w:fldCharType="separate"/>
        </w:r>
        <w:r w:rsidR="00C56A39">
          <w:rPr>
            <w:noProof/>
            <w:webHidden/>
          </w:rPr>
          <w:t>15</w:t>
        </w:r>
        <w:r>
          <w:rPr>
            <w:noProof/>
            <w:webHidden/>
          </w:rPr>
          <w:fldChar w:fldCharType="end"/>
        </w:r>
      </w:hyperlink>
    </w:p>
    <w:p w14:paraId="68CD7A00" w14:textId="3ABA0FCD" w:rsidR="00C40F64" w:rsidRDefault="00C40F64">
      <w:pPr>
        <w:pStyle w:val="TOC2"/>
        <w:rPr>
          <w:rFonts w:asciiTheme="minorHAnsi" w:hAnsiTheme="minorHAnsi"/>
          <w:noProof/>
          <w:kern w:val="2"/>
          <w:sz w:val="24"/>
          <w:szCs w:val="24"/>
          <w14:ligatures w14:val="standardContextual"/>
        </w:rPr>
      </w:pPr>
      <w:hyperlink w:anchor="_Toc206066545" w:history="1">
        <w:r w:rsidRPr="001B31EF">
          <w:rPr>
            <w:rStyle w:val="Hyperlink"/>
            <w:noProof/>
          </w:rPr>
          <w:t>Risk accounting</w:t>
        </w:r>
        <w:r>
          <w:rPr>
            <w:noProof/>
            <w:webHidden/>
          </w:rPr>
          <w:tab/>
        </w:r>
        <w:r>
          <w:rPr>
            <w:noProof/>
            <w:webHidden/>
          </w:rPr>
          <w:fldChar w:fldCharType="begin"/>
        </w:r>
        <w:r>
          <w:rPr>
            <w:noProof/>
            <w:webHidden/>
          </w:rPr>
          <w:instrText xml:space="preserve"> PAGEREF _Toc206066545 \h </w:instrText>
        </w:r>
        <w:r>
          <w:rPr>
            <w:noProof/>
            <w:webHidden/>
          </w:rPr>
        </w:r>
        <w:r>
          <w:rPr>
            <w:noProof/>
            <w:webHidden/>
          </w:rPr>
          <w:fldChar w:fldCharType="separate"/>
        </w:r>
        <w:r w:rsidR="00C56A39">
          <w:rPr>
            <w:noProof/>
            <w:webHidden/>
          </w:rPr>
          <w:t>15</w:t>
        </w:r>
        <w:r>
          <w:rPr>
            <w:noProof/>
            <w:webHidden/>
          </w:rPr>
          <w:fldChar w:fldCharType="end"/>
        </w:r>
      </w:hyperlink>
    </w:p>
    <w:p w14:paraId="2DCE483D" w14:textId="19F2D48F" w:rsidR="00C40F64" w:rsidRDefault="00C40F64">
      <w:pPr>
        <w:pStyle w:val="TOC2"/>
        <w:rPr>
          <w:rFonts w:asciiTheme="minorHAnsi" w:hAnsiTheme="minorHAnsi"/>
          <w:noProof/>
          <w:kern w:val="2"/>
          <w:sz w:val="24"/>
          <w:szCs w:val="24"/>
          <w14:ligatures w14:val="standardContextual"/>
        </w:rPr>
      </w:pPr>
      <w:hyperlink w:anchor="_Toc206066546" w:history="1">
        <w:r w:rsidRPr="001B31EF">
          <w:rPr>
            <w:rStyle w:val="Hyperlink"/>
            <w:rFonts w:eastAsia="Calibri Light"/>
            <w:noProof/>
          </w:rPr>
          <w:t>Catchment risk hotspots for planning purposes</w:t>
        </w:r>
        <w:r>
          <w:rPr>
            <w:noProof/>
            <w:webHidden/>
          </w:rPr>
          <w:tab/>
        </w:r>
        <w:r>
          <w:rPr>
            <w:noProof/>
            <w:webHidden/>
          </w:rPr>
          <w:fldChar w:fldCharType="begin"/>
        </w:r>
        <w:r>
          <w:rPr>
            <w:noProof/>
            <w:webHidden/>
          </w:rPr>
          <w:instrText xml:space="preserve"> PAGEREF _Toc206066546 \h </w:instrText>
        </w:r>
        <w:r>
          <w:rPr>
            <w:noProof/>
            <w:webHidden/>
          </w:rPr>
        </w:r>
        <w:r>
          <w:rPr>
            <w:noProof/>
            <w:webHidden/>
          </w:rPr>
          <w:fldChar w:fldCharType="separate"/>
        </w:r>
        <w:r w:rsidR="00C56A39">
          <w:rPr>
            <w:noProof/>
            <w:webHidden/>
          </w:rPr>
          <w:t>16</w:t>
        </w:r>
        <w:r>
          <w:rPr>
            <w:noProof/>
            <w:webHidden/>
          </w:rPr>
          <w:fldChar w:fldCharType="end"/>
        </w:r>
      </w:hyperlink>
    </w:p>
    <w:p w14:paraId="5DB617C3" w14:textId="5B366584" w:rsidR="00C40F64" w:rsidRDefault="00C40F64">
      <w:pPr>
        <w:pStyle w:val="TOC2"/>
        <w:rPr>
          <w:rFonts w:asciiTheme="minorHAnsi" w:hAnsiTheme="minorHAnsi"/>
          <w:noProof/>
          <w:kern w:val="2"/>
          <w:sz w:val="24"/>
          <w:szCs w:val="24"/>
          <w14:ligatures w14:val="standardContextual"/>
        </w:rPr>
      </w:pPr>
      <w:hyperlink w:anchor="_Toc206066547" w:history="1">
        <w:r w:rsidRPr="001B31EF">
          <w:rPr>
            <w:rStyle w:val="Hyperlink"/>
            <w:noProof/>
          </w:rPr>
          <w:t>Consenting</w:t>
        </w:r>
        <w:r>
          <w:rPr>
            <w:noProof/>
            <w:webHidden/>
          </w:rPr>
          <w:tab/>
        </w:r>
        <w:r>
          <w:rPr>
            <w:noProof/>
            <w:webHidden/>
          </w:rPr>
          <w:fldChar w:fldCharType="begin"/>
        </w:r>
        <w:r>
          <w:rPr>
            <w:noProof/>
            <w:webHidden/>
          </w:rPr>
          <w:instrText xml:space="preserve"> PAGEREF _Toc206066547 \h </w:instrText>
        </w:r>
        <w:r>
          <w:rPr>
            <w:noProof/>
            <w:webHidden/>
          </w:rPr>
        </w:r>
        <w:r>
          <w:rPr>
            <w:noProof/>
            <w:webHidden/>
          </w:rPr>
          <w:fldChar w:fldCharType="separate"/>
        </w:r>
        <w:r w:rsidR="00C56A39">
          <w:rPr>
            <w:noProof/>
            <w:webHidden/>
          </w:rPr>
          <w:t>17</w:t>
        </w:r>
        <w:r>
          <w:rPr>
            <w:noProof/>
            <w:webHidden/>
          </w:rPr>
          <w:fldChar w:fldCharType="end"/>
        </w:r>
      </w:hyperlink>
    </w:p>
    <w:p w14:paraId="2DBA783F" w14:textId="71908C21" w:rsidR="00C40F64" w:rsidRDefault="00C40F64">
      <w:pPr>
        <w:pStyle w:val="TOC1"/>
        <w:rPr>
          <w:rFonts w:asciiTheme="minorHAnsi" w:hAnsiTheme="minorHAnsi"/>
          <w:noProof/>
          <w:kern w:val="2"/>
          <w:sz w:val="24"/>
          <w:szCs w:val="24"/>
          <w14:ligatures w14:val="standardContextual"/>
        </w:rPr>
      </w:pPr>
      <w:hyperlink w:anchor="_Toc206066548" w:history="1">
        <w:r w:rsidRPr="001B31EF">
          <w:rPr>
            <w:rStyle w:val="Hyperlink"/>
            <w:noProof/>
          </w:rPr>
          <w:t>Tool users</w:t>
        </w:r>
        <w:r>
          <w:rPr>
            <w:noProof/>
            <w:webHidden/>
          </w:rPr>
          <w:tab/>
        </w:r>
        <w:r>
          <w:rPr>
            <w:noProof/>
            <w:webHidden/>
          </w:rPr>
          <w:fldChar w:fldCharType="begin"/>
        </w:r>
        <w:r>
          <w:rPr>
            <w:noProof/>
            <w:webHidden/>
          </w:rPr>
          <w:instrText xml:space="preserve"> PAGEREF _Toc206066548 \h </w:instrText>
        </w:r>
        <w:r>
          <w:rPr>
            <w:noProof/>
            <w:webHidden/>
          </w:rPr>
        </w:r>
        <w:r>
          <w:rPr>
            <w:noProof/>
            <w:webHidden/>
          </w:rPr>
          <w:fldChar w:fldCharType="separate"/>
        </w:r>
        <w:r w:rsidR="00C56A39">
          <w:rPr>
            <w:noProof/>
            <w:webHidden/>
          </w:rPr>
          <w:t>19</w:t>
        </w:r>
        <w:r>
          <w:rPr>
            <w:noProof/>
            <w:webHidden/>
          </w:rPr>
          <w:fldChar w:fldCharType="end"/>
        </w:r>
      </w:hyperlink>
    </w:p>
    <w:p w14:paraId="65A3CBA5" w14:textId="6C798C59" w:rsidR="00C40F64" w:rsidRDefault="00C40F64">
      <w:pPr>
        <w:pStyle w:val="TOC2"/>
        <w:rPr>
          <w:rFonts w:asciiTheme="minorHAnsi" w:hAnsiTheme="minorHAnsi"/>
          <w:noProof/>
          <w:kern w:val="2"/>
          <w:sz w:val="24"/>
          <w:szCs w:val="24"/>
          <w14:ligatures w14:val="standardContextual"/>
        </w:rPr>
      </w:pPr>
      <w:hyperlink w:anchor="_Toc206066549" w:history="1">
        <w:r w:rsidRPr="001B31EF">
          <w:rPr>
            <w:rStyle w:val="Hyperlink"/>
            <w:noProof/>
          </w:rPr>
          <w:t>Tool users</w:t>
        </w:r>
        <w:r>
          <w:rPr>
            <w:noProof/>
            <w:webHidden/>
          </w:rPr>
          <w:tab/>
        </w:r>
        <w:r>
          <w:rPr>
            <w:noProof/>
            <w:webHidden/>
          </w:rPr>
          <w:fldChar w:fldCharType="begin"/>
        </w:r>
        <w:r>
          <w:rPr>
            <w:noProof/>
            <w:webHidden/>
          </w:rPr>
          <w:instrText xml:space="preserve"> PAGEREF _Toc206066549 \h </w:instrText>
        </w:r>
        <w:r>
          <w:rPr>
            <w:noProof/>
            <w:webHidden/>
          </w:rPr>
        </w:r>
        <w:r>
          <w:rPr>
            <w:noProof/>
            <w:webHidden/>
          </w:rPr>
          <w:fldChar w:fldCharType="separate"/>
        </w:r>
        <w:r w:rsidR="00C56A39">
          <w:rPr>
            <w:noProof/>
            <w:webHidden/>
          </w:rPr>
          <w:t>19</w:t>
        </w:r>
        <w:r>
          <w:rPr>
            <w:noProof/>
            <w:webHidden/>
          </w:rPr>
          <w:fldChar w:fldCharType="end"/>
        </w:r>
      </w:hyperlink>
    </w:p>
    <w:p w14:paraId="57C87313" w14:textId="3405D459" w:rsidR="00C40F64" w:rsidRDefault="00C40F64">
      <w:pPr>
        <w:pStyle w:val="TOC2"/>
        <w:rPr>
          <w:rFonts w:asciiTheme="minorHAnsi" w:hAnsiTheme="minorHAnsi"/>
          <w:noProof/>
          <w:kern w:val="2"/>
          <w:sz w:val="24"/>
          <w:szCs w:val="24"/>
          <w14:ligatures w14:val="standardContextual"/>
        </w:rPr>
      </w:pPr>
      <w:hyperlink w:anchor="_Toc206066550" w:history="1">
        <w:r w:rsidRPr="001B31EF">
          <w:rPr>
            <w:rStyle w:val="Hyperlink"/>
            <w:noProof/>
          </w:rPr>
          <w:t>Freshwater farm plans</w:t>
        </w:r>
        <w:r>
          <w:rPr>
            <w:noProof/>
            <w:webHidden/>
          </w:rPr>
          <w:tab/>
        </w:r>
        <w:r>
          <w:rPr>
            <w:noProof/>
            <w:webHidden/>
          </w:rPr>
          <w:fldChar w:fldCharType="begin"/>
        </w:r>
        <w:r>
          <w:rPr>
            <w:noProof/>
            <w:webHidden/>
          </w:rPr>
          <w:instrText xml:space="preserve"> PAGEREF _Toc206066550 \h </w:instrText>
        </w:r>
        <w:r>
          <w:rPr>
            <w:noProof/>
            <w:webHidden/>
          </w:rPr>
        </w:r>
        <w:r>
          <w:rPr>
            <w:noProof/>
            <w:webHidden/>
          </w:rPr>
          <w:fldChar w:fldCharType="separate"/>
        </w:r>
        <w:r w:rsidR="00C56A39">
          <w:rPr>
            <w:noProof/>
            <w:webHidden/>
          </w:rPr>
          <w:t>19</w:t>
        </w:r>
        <w:r>
          <w:rPr>
            <w:noProof/>
            <w:webHidden/>
          </w:rPr>
          <w:fldChar w:fldCharType="end"/>
        </w:r>
      </w:hyperlink>
    </w:p>
    <w:p w14:paraId="3FF37C97" w14:textId="27F0F79E" w:rsidR="00C40F64" w:rsidRDefault="00C40F64">
      <w:pPr>
        <w:pStyle w:val="TOC2"/>
        <w:rPr>
          <w:rFonts w:asciiTheme="minorHAnsi" w:hAnsiTheme="minorHAnsi"/>
          <w:noProof/>
          <w:kern w:val="2"/>
          <w:sz w:val="24"/>
          <w:szCs w:val="24"/>
          <w14:ligatures w14:val="standardContextual"/>
        </w:rPr>
      </w:pPr>
      <w:hyperlink w:anchor="_Toc206066551" w:history="1">
        <w:r w:rsidRPr="001B31EF">
          <w:rPr>
            <w:rStyle w:val="Hyperlink"/>
            <w:noProof/>
          </w:rPr>
          <w:t>Consenting</w:t>
        </w:r>
        <w:r>
          <w:rPr>
            <w:noProof/>
            <w:webHidden/>
          </w:rPr>
          <w:tab/>
        </w:r>
        <w:r>
          <w:rPr>
            <w:noProof/>
            <w:webHidden/>
          </w:rPr>
          <w:fldChar w:fldCharType="begin"/>
        </w:r>
        <w:r>
          <w:rPr>
            <w:noProof/>
            <w:webHidden/>
          </w:rPr>
          <w:instrText xml:space="preserve"> PAGEREF _Toc206066551 \h </w:instrText>
        </w:r>
        <w:r>
          <w:rPr>
            <w:noProof/>
            <w:webHidden/>
          </w:rPr>
        </w:r>
        <w:r>
          <w:rPr>
            <w:noProof/>
            <w:webHidden/>
          </w:rPr>
          <w:fldChar w:fldCharType="separate"/>
        </w:r>
        <w:r w:rsidR="00C56A39">
          <w:rPr>
            <w:noProof/>
            <w:webHidden/>
          </w:rPr>
          <w:t>20</w:t>
        </w:r>
        <w:r>
          <w:rPr>
            <w:noProof/>
            <w:webHidden/>
          </w:rPr>
          <w:fldChar w:fldCharType="end"/>
        </w:r>
      </w:hyperlink>
    </w:p>
    <w:p w14:paraId="7AFF7AC7" w14:textId="6AB080D8" w:rsidR="00C40F64" w:rsidRDefault="00C40F64">
      <w:pPr>
        <w:pStyle w:val="TOC1"/>
        <w:rPr>
          <w:rFonts w:asciiTheme="minorHAnsi" w:hAnsiTheme="minorHAnsi"/>
          <w:noProof/>
          <w:kern w:val="2"/>
          <w:sz w:val="24"/>
          <w:szCs w:val="24"/>
          <w14:ligatures w14:val="standardContextual"/>
        </w:rPr>
      </w:pPr>
      <w:hyperlink w:anchor="_Toc206066552" w:history="1">
        <w:r w:rsidRPr="001B31EF">
          <w:rPr>
            <w:rStyle w:val="Hyperlink"/>
            <w:noProof/>
          </w:rPr>
          <w:t>Non-regulatory purposes</w:t>
        </w:r>
        <w:r>
          <w:rPr>
            <w:noProof/>
            <w:webHidden/>
          </w:rPr>
          <w:tab/>
        </w:r>
        <w:r>
          <w:rPr>
            <w:noProof/>
            <w:webHidden/>
          </w:rPr>
          <w:fldChar w:fldCharType="begin"/>
        </w:r>
        <w:r>
          <w:rPr>
            <w:noProof/>
            <w:webHidden/>
          </w:rPr>
          <w:instrText xml:space="preserve"> PAGEREF _Toc206066552 \h </w:instrText>
        </w:r>
        <w:r>
          <w:rPr>
            <w:noProof/>
            <w:webHidden/>
          </w:rPr>
        </w:r>
        <w:r>
          <w:rPr>
            <w:noProof/>
            <w:webHidden/>
          </w:rPr>
          <w:fldChar w:fldCharType="separate"/>
        </w:r>
        <w:r w:rsidR="00C56A39">
          <w:rPr>
            <w:noProof/>
            <w:webHidden/>
          </w:rPr>
          <w:t>21</w:t>
        </w:r>
        <w:r>
          <w:rPr>
            <w:noProof/>
            <w:webHidden/>
          </w:rPr>
          <w:fldChar w:fldCharType="end"/>
        </w:r>
      </w:hyperlink>
    </w:p>
    <w:p w14:paraId="44DC6F2F" w14:textId="361620E6" w:rsidR="0080531E" w:rsidRPr="006B77BB" w:rsidRDefault="00775F57" w:rsidP="002B4778">
      <w:pPr>
        <w:pStyle w:val="Glossary"/>
      </w:pPr>
      <w:r w:rsidRPr="006B77BB">
        <w:rPr>
          <w:color w:val="0092CF"/>
        </w:rPr>
        <w:fldChar w:fldCharType="end"/>
      </w:r>
    </w:p>
    <w:p w14:paraId="57A22AE0" w14:textId="77777777" w:rsidR="00796A6F" w:rsidRPr="00554B30" w:rsidRDefault="00796A6F" w:rsidP="00554B30">
      <w:r w:rsidRPr="00554B30">
        <w:br w:type="page"/>
      </w:r>
    </w:p>
    <w:p w14:paraId="0353B430" w14:textId="3E874DAB" w:rsidR="00532334" w:rsidRPr="006B77BB" w:rsidRDefault="00532334" w:rsidP="00585FD0">
      <w:pPr>
        <w:pStyle w:val="Heading"/>
      </w:pPr>
      <w:r>
        <w:lastRenderedPageBreak/>
        <w:t>Tables</w:t>
      </w:r>
    </w:p>
    <w:p w14:paraId="07D6151D" w14:textId="674665D0" w:rsidR="00A23320" w:rsidRPr="00D67B3E" w:rsidRDefault="00A23320" w:rsidP="00D67B3E">
      <w:pPr>
        <w:pStyle w:val="TableofFigures"/>
        <w:tabs>
          <w:tab w:val="right" w:pos="8494"/>
        </w:tabs>
        <w:rPr>
          <w:rStyle w:val="Hyperlink"/>
          <w:noProof/>
          <w:color w:val="auto"/>
        </w:rPr>
      </w:pPr>
      <w:r w:rsidRPr="00D67B3E">
        <w:rPr>
          <w:rStyle w:val="Hyperlink"/>
          <w:noProof/>
          <w:color w:val="auto"/>
        </w:rPr>
        <w:t xml:space="preserve">Table 1: </w:t>
      </w:r>
      <w:r w:rsidRPr="00D67B3E">
        <w:rPr>
          <w:rStyle w:val="Hyperlink"/>
          <w:noProof/>
          <w:color w:val="auto"/>
        </w:rPr>
        <w:tab/>
        <w:t xml:space="preserve">An Excel format table showing the baseline and overall risks for leaching, </w:t>
      </w:r>
      <w:r w:rsidR="00CD3D48" w:rsidRPr="00D67B3E">
        <w:rPr>
          <w:rStyle w:val="Hyperlink"/>
          <w:noProof/>
          <w:color w:val="auto"/>
        </w:rPr>
        <w:br/>
      </w:r>
      <w:r w:rsidRPr="00D67B3E">
        <w:rPr>
          <w:rStyle w:val="Hyperlink"/>
          <w:noProof/>
          <w:color w:val="auto"/>
        </w:rPr>
        <w:t>runoff and the whole farm score (total)</w:t>
      </w:r>
      <w:r w:rsidR="006D42E5" w:rsidRPr="00D67B3E">
        <w:rPr>
          <w:rStyle w:val="Hyperlink"/>
          <w:noProof/>
          <w:color w:val="auto"/>
        </w:rPr>
        <w:tab/>
      </w:r>
      <w:r w:rsidR="00D67B3E">
        <w:rPr>
          <w:rStyle w:val="Hyperlink"/>
          <w:noProof/>
          <w:color w:val="auto"/>
        </w:rPr>
        <w:t>15</w:t>
      </w:r>
    </w:p>
    <w:p w14:paraId="5130CF89" w14:textId="77777777" w:rsidR="00532334" w:rsidRDefault="00532334" w:rsidP="004B5BDD"/>
    <w:p w14:paraId="1136C496" w14:textId="77777777" w:rsidR="00D169F8" w:rsidRPr="006B77BB" w:rsidRDefault="00D169F8" w:rsidP="004B5BDD"/>
    <w:p w14:paraId="58968F36" w14:textId="3344325F" w:rsidR="00532334" w:rsidRPr="006B77BB" w:rsidRDefault="00B51610" w:rsidP="00585FD0">
      <w:pPr>
        <w:pStyle w:val="Heading"/>
      </w:pPr>
      <w:r>
        <w:t>Figure</w:t>
      </w:r>
      <w:r w:rsidR="00532334">
        <w:t>s</w:t>
      </w:r>
    </w:p>
    <w:p w14:paraId="5B7440D2" w14:textId="1F822C48" w:rsidR="00F9337D" w:rsidRDefault="004943C2">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98907113" w:history="1">
        <w:r w:rsidR="00F9337D" w:rsidRPr="00753DA3">
          <w:rPr>
            <w:rStyle w:val="Hyperlink"/>
            <w:noProof/>
          </w:rPr>
          <w:t>Figure 1</w:t>
        </w:r>
        <w:r w:rsidR="00C871AB">
          <w:rPr>
            <w:rStyle w:val="Hyperlink"/>
            <w:noProof/>
          </w:rPr>
          <w:t>:</w:t>
        </w:r>
        <w:r w:rsidR="00F9337D" w:rsidRPr="00753DA3">
          <w:rPr>
            <w:rStyle w:val="Hyperlink"/>
            <w:noProof/>
          </w:rPr>
          <w:t xml:space="preserve"> </w:t>
        </w:r>
        <w:r w:rsidR="00EC2470">
          <w:rPr>
            <w:rStyle w:val="Hyperlink"/>
            <w:noProof/>
          </w:rPr>
          <w:tab/>
        </w:r>
        <w:r w:rsidR="00C871AB">
          <w:rPr>
            <w:rStyle w:val="Hyperlink"/>
            <w:noProof/>
          </w:rPr>
          <w:t>T</w:t>
        </w:r>
        <w:r w:rsidR="00F9337D" w:rsidRPr="00753DA3">
          <w:rPr>
            <w:rStyle w:val="Hyperlink"/>
            <w:noProof/>
          </w:rPr>
          <w:t>ool workflow diagram and data sources</w:t>
        </w:r>
        <w:r w:rsidR="00F9337D">
          <w:rPr>
            <w:noProof/>
            <w:webHidden/>
          </w:rPr>
          <w:tab/>
        </w:r>
        <w:r w:rsidR="00F9337D">
          <w:rPr>
            <w:noProof/>
            <w:webHidden/>
          </w:rPr>
          <w:fldChar w:fldCharType="begin"/>
        </w:r>
        <w:r w:rsidR="00F9337D">
          <w:rPr>
            <w:noProof/>
            <w:webHidden/>
          </w:rPr>
          <w:instrText xml:space="preserve"> PAGEREF _Toc198907113 \h </w:instrText>
        </w:r>
        <w:r w:rsidR="00F9337D">
          <w:rPr>
            <w:noProof/>
            <w:webHidden/>
          </w:rPr>
        </w:r>
        <w:r w:rsidR="00F9337D">
          <w:rPr>
            <w:noProof/>
            <w:webHidden/>
          </w:rPr>
          <w:fldChar w:fldCharType="separate"/>
        </w:r>
        <w:r w:rsidR="00C56A39">
          <w:rPr>
            <w:noProof/>
            <w:webHidden/>
          </w:rPr>
          <w:t>6</w:t>
        </w:r>
        <w:r w:rsidR="00F9337D">
          <w:rPr>
            <w:noProof/>
            <w:webHidden/>
          </w:rPr>
          <w:fldChar w:fldCharType="end"/>
        </w:r>
      </w:hyperlink>
    </w:p>
    <w:p w14:paraId="15E78D09" w14:textId="1F66F9ED" w:rsidR="00F9337D" w:rsidRDefault="00F9337D">
      <w:pPr>
        <w:pStyle w:val="TableofFigures"/>
        <w:tabs>
          <w:tab w:val="right" w:pos="8495"/>
        </w:tabs>
        <w:rPr>
          <w:rFonts w:asciiTheme="minorHAnsi" w:hAnsiTheme="minorHAnsi"/>
          <w:noProof/>
          <w:kern w:val="2"/>
          <w:sz w:val="24"/>
          <w:szCs w:val="24"/>
          <w14:ligatures w14:val="standardContextual"/>
        </w:rPr>
      </w:pPr>
      <w:hyperlink w:anchor="_Toc198907114" w:history="1">
        <w:r w:rsidRPr="00753DA3">
          <w:rPr>
            <w:rStyle w:val="Hyperlink"/>
            <w:rFonts w:eastAsia="Calibri" w:cs="Calibri"/>
            <w:bCs/>
            <w:noProof/>
          </w:rPr>
          <w:t xml:space="preserve">Figure 2: </w:t>
        </w:r>
        <w:r w:rsidR="00EC2470">
          <w:rPr>
            <w:rStyle w:val="Hyperlink"/>
            <w:rFonts w:eastAsia="Calibri" w:cs="Calibri"/>
            <w:bCs/>
            <w:noProof/>
          </w:rPr>
          <w:tab/>
        </w:r>
        <w:r w:rsidRPr="00753DA3">
          <w:rPr>
            <w:rStyle w:val="Hyperlink"/>
            <w:rFonts w:eastAsia="Calibri" w:cs="Calibri"/>
            <w:bCs/>
            <w:noProof/>
          </w:rPr>
          <w:t>Baseline risk calculation</w:t>
        </w:r>
        <w:r>
          <w:rPr>
            <w:noProof/>
            <w:webHidden/>
          </w:rPr>
          <w:tab/>
        </w:r>
        <w:r>
          <w:rPr>
            <w:noProof/>
            <w:webHidden/>
          </w:rPr>
          <w:fldChar w:fldCharType="begin"/>
        </w:r>
        <w:r>
          <w:rPr>
            <w:noProof/>
            <w:webHidden/>
          </w:rPr>
          <w:instrText xml:space="preserve"> PAGEREF _Toc198907114 \h </w:instrText>
        </w:r>
        <w:r>
          <w:rPr>
            <w:noProof/>
            <w:webHidden/>
          </w:rPr>
        </w:r>
        <w:r>
          <w:rPr>
            <w:noProof/>
            <w:webHidden/>
          </w:rPr>
          <w:fldChar w:fldCharType="separate"/>
        </w:r>
        <w:r w:rsidR="00C56A39">
          <w:rPr>
            <w:noProof/>
            <w:webHidden/>
          </w:rPr>
          <w:t>8</w:t>
        </w:r>
        <w:r>
          <w:rPr>
            <w:noProof/>
            <w:webHidden/>
          </w:rPr>
          <w:fldChar w:fldCharType="end"/>
        </w:r>
      </w:hyperlink>
    </w:p>
    <w:p w14:paraId="6F1A5674" w14:textId="193A2CAC" w:rsidR="00F9337D" w:rsidRDefault="00F9337D">
      <w:pPr>
        <w:pStyle w:val="TableofFigures"/>
        <w:tabs>
          <w:tab w:val="right" w:pos="8495"/>
        </w:tabs>
        <w:rPr>
          <w:rFonts w:asciiTheme="minorHAnsi" w:hAnsiTheme="minorHAnsi"/>
          <w:noProof/>
          <w:kern w:val="2"/>
          <w:sz w:val="24"/>
          <w:szCs w:val="24"/>
          <w14:ligatures w14:val="standardContextual"/>
        </w:rPr>
      </w:pPr>
      <w:hyperlink w:anchor="_Toc198907115" w:history="1">
        <w:r w:rsidRPr="00753DA3">
          <w:rPr>
            <w:rStyle w:val="Hyperlink"/>
            <w:rFonts w:eastAsia="Calibri" w:cs="Calibri"/>
            <w:noProof/>
          </w:rPr>
          <w:t xml:space="preserve">Figure 3: </w:t>
        </w:r>
        <w:r w:rsidR="00EC2470">
          <w:rPr>
            <w:rStyle w:val="Hyperlink"/>
            <w:rFonts w:eastAsia="Calibri" w:cs="Calibri"/>
            <w:noProof/>
          </w:rPr>
          <w:tab/>
        </w:r>
        <w:r w:rsidRPr="00753DA3">
          <w:rPr>
            <w:rStyle w:val="Hyperlink"/>
            <w:rFonts w:eastAsia="Calibri" w:cs="Calibri"/>
            <w:noProof/>
          </w:rPr>
          <w:t>Overall block risk calculation</w:t>
        </w:r>
        <w:r>
          <w:rPr>
            <w:noProof/>
            <w:webHidden/>
          </w:rPr>
          <w:tab/>
        </w:r>
        <w:r>
          <w:rPr>
            <w:noProof/>
            <w:webHidden/>
          </w:rPr>
          <w:fldChar w:fldCharType="begin"/>
        </w:r>
        <w:r>
          <w:rPr>
            <w:noProof/>
            <w:webHidden/>
          </w:rPr>
          <w:instrText xml:space="preserve"> PAGEREF _Toc198907115 \h </w:instrText>
        </w:r>
        <w:r>
          <w:rPr>
            <w:noProof/>
            <w:webHidden/>
          </w:rPr>
        </w:r>
        <w:r>
          <w:rPr>
            <w:noProof/>
            <w:webHidden/>
          </w:rPr>
          <w:fldChar w:fldCharType="separate"/>
        </w:r>
        <w:r w:rsidR="00C56A39">
          <w:rPr>
            <w:noProof/>
            <w:webHidden/>
          </w:rPr>
          <w:t>8</w:t>
        </w:r>
        <w:r>
          <w:rPr>
            <w:noProof/>
            <w:webHidden/>
          </w:rPr>
          <w:fldChar w:fldCharType="end"/>
        </w:r>
      </w:hyperlink>
    </w:p>
    <w:p w14:paraId="60738538" w14:textId="4352CFA7" w:rsidR="00F9337D" w:rsidRDefault="00F9337D">
      <w:pPr>
        <w:pStyle w:val="TableofFigures"/>
        <w:tabs>
          <w:tab w:val="right" w:pos="8495"/>
        </w:tabs>
        <w:rPr>
          <w:rFonts w:asciiTheme="minorHAnsi" w:hAnsiTheme="minorHAnsi"/>
          <w:noProof/>
          <w:kern w:val="2"/>
          <w:sz w:val="24"/>
          <w:szCs w:val="24"/>
          <w14:ligatures w14:val="standardContextual"/>
        </w:rPr>
      </w:pPr>
      <w:hyperlink w:anchor="_Toc198907116" w:history="1">
        <w:r w:rsidRPr="00753DA3">
          <w:rPr>
            <w:rStyle w:val="Hyperlink"/>
            <w:noProof/>
          </w:rPr>
          <w:t xml:space="preserve">Figure 4: </w:t>
        </w:r>
        <w:r w:rsidR="00EC2470">
          <w:rPr>
            <w:rStyle w:val="Hyperlink"/>
            <w:noProof/>
          </w:rPr>
          <w:tab/>
        </w:r>
        <w:r w:rsidRPr="00753DA3">
          <w:rPr>
            <w:rStyle w:val="Hyperlink"/>
            <w:noProof/>
          </w:rPr>
          <w:t>Leaching and runoff risk score components of the baseline and overall risk score</w:t>
        </w:r>
        <w:r>
          <w:rPr>
            <w:noProof/>
            <w:webHidden/>
          </w:rPr>
          <w:tab/>
        </w:r>
        <w:r>
          <w:rPr>
            <w:noProof/>
            <w:webHidden/>
          </w:rPr>
          <w:fldChar w:fldCharType="begin"/>
        </w:r>
        <w:r>
          <w:rPr>
            <w:noProof/>
            <w:webHidden/>
          </w:rPr>
          <w:instrText xml:space="preserve"> PAGEREF _Toc198907116 \h </w:instrText>
        </w:r>
        <w:r>
          <w:rPr>
            <w:noProof/>
            <w:webHidden/>
          </w:rPr>
        </w:r>
        <w:r>
          <w:rPr>
            <w:noProof/>
            <w:webHidden/>
          </w:rPr>
          <w:fldChar w:fldCharType="separate"/>
        </w:r>
        <w:r w:rsidR="00C56A39">
          <w:rPr>
            <w:noProof/>
            <w:webHidden/>
          </w:rPr>
          <w:t>9</w:t>
        </w:r>
        <w:r>
          <w:rPr>
            <w:noProof/>
            <w:webHidden/>
          </w:rPr>
          <w:fldChar w:fldCharType="end"/>
        </w:r>
      </w:hyperlink>
    </w:p>
    <w:p w14:paraId="4ACA9088" w14:textId="050EAA04" w:rsidR="00F9337D" w:rsidRDefault="00F9337D">
      <w:pPr>
        <w:pStyle w:val="TableofFigures"/>
        <w:tabs>
          <w:tab w:val="right" w:pos="8495"/>
        </w:tabs>
        <w:rPr>
          <w:rFonts w:asciiTheme="minorHAnsi" w:hAnsiTheme="minorHAnsi"/>
          <w:noProof/>
          <w:kern w:val="2"/>
          <w:sz w:val="24"/>
          <w:szCs w:val="24"/>
          <w14:ligatures w14:val="standardContextual"/>
        </w:rPr>
      </w:pPr>
      <w:hyperlink w:anchor="_Toc198907117" w:history="1">
        <w:r w:rsidRPr="00753DA3">
          <w:rPr>
            <w:rStyle w:val="Hyperlink"/>
            <w:noProof/>
          </w:rPr>
          <w:t>Figure 5</w:t>
        </w:r>
        <w:r w:rsidR="00C871AB">
          <w:rPr>
            <w:rStyle w:val="Hyperlink"/>
            <w:noProof/>
          </w:rPr>
          <w:t>:</w:t>
        </w:r>
        <w:r w:rsidRPr="00753DA3">
          <w:rPr>
            <w:rStyle w:val="Hyperlink"/>
            <w:noProof/>
          </w:rPr>
          <w:t xml:space="preserve"> </w:t>
        </w:r>
        <w:r w:rsidR="00EC2470">
          <w:rPr>
            <w:rStyle w:val="Hyperlink"/>
            <w:noProof/>
          </w:rPr>
          <w:tab/>
        </w:r>
        <w:r w:rsidR="00C871AB">
          <w:rPr>
            <w:rStyle w:val="Hyperlink"/>
            <w:noProof/>
          </w:rPr>
          <w:t>E</w:t>
        </w:r>
        <w:r w:rsidRPr="00753DA3">
          <w:rPr>
            <w:rStyle w:val="Hyperlink"/>
            <w:noProof/>
          </w:rPr>
          <w:t>xample overall score heatmap</w:t>
        </w:r>
        <w:r>
          <w:rPr>
            <w:noProof/>
            <w:webHidden/>
          </w:rPr>
          <w:tab/>
        </w:r>
        <w:r>
          <w:rPr>
            <w:noProof/>
            <w:webHidden/>
          </w:rPr>
          <w:fldChar w:fldCharType="begin"/>
        </w:r>
        <w:r>
          <w:rPr>
            <w:noProof/>
            <w:webHidden/>
          </w:rPr>
          <w:instrText xml:space="preserve"> PAGEREF _Toc198907117 \h </w:instrText>
        </w:r>
        <w:r>
          <w:rPr>
            <w:noProof/>
            <w:webHidden/>
          </w:rPr>
        </w:r>
        <w:r>
          <w:rPr>
            <w:noProof/>
            <w:webHidden/>
          </w:rPr>
          <w:fldChar w:fldCharType="separate"/>
        </w:r>
        <w:r w:rsidR="00C56A39">
          <w:rPr>
            <w:noProof/>
            <w:webHidden/>
          </w:rPr>
          <w:t>10</w:t>
        </w:r>
        <w:r>
          <w:rPr>
            <w:noProof/>
            <w:webHidden/>
          </w:rPr>
          <w:fldChar w:fldCharType="end"/>
        </w:r>
      </w:hyperlink>
    </w:p>
    <w:p w14:paraId="58178D6B" w14:textId="0C609A78" w:rsidR="00F9337D" w:rsidRDefault="00F9337D">
      <w:pPr>
        <w:pStyle w:val="TableofFigures"/>
        <w:tabs>
          <w:tab w:val="right" w:pos="8495"/>
        </w:tabs>
        <w:rPr>
          <w:rFonts w:asciiTheme="minorHAnsi" w:hAnsiTheme="minorHAnsi"/>
          <w:noProof/>
          <w:kern w:val="2"/>
          <w:sz w:val="24"/>
          <w:szCs w:val="24"/>
          <w14:ligatures w14:val="standardContextual"/>
        </w:rPr>
      </w:pPr>
      <w:hyperlink w:anchor="_Toc198907118" w:history="1">
        <w:r w:rsidRPr="00753DA3">
          <w:rPr>
            <w:rStyle w:val="Hyperlink"/>
            <w:noProof/>
          </w:rPr>
          <w:t xml:space="preserve">Figure 6: </w:t>
        </w:r>
        <w:r w:rsidR="00EC2470">
          <w:rPr>
            <w:rStyle w:val="Hyperlink"/>
            <w:noProof/>
          </w:rPr>
          <w:tab/>
        </w:r>
        <w:r w:rsidR="00C871AB">
          <w:rPr>
            <w:rStyle w:val="Hyperlink"/>
            <w:noProof/>
          </w:rPr>
          <w:t>H</w:t>
        </w:r>
        <w:r w:rsidRPr="00753DA3">
          <w:rPr>
            <w:rStyle w:val="Hyperlink"/>
            <w:noProof/>
          </w:rPr>
          <w:t>eatmap of per hectare risk</w:t>
        </w:r>
        <w:r>
          <w:rPr>
            <w:noProof/>
            <w:webHidden/>
          </w:rPr>
          <w:tab/>
        </w:r>
        <w:r>
          <w:rPr>
            <w:noProof/>
            <w:webHidden/>
          </w:rPr>
          <w:fldChar w:fldCharType="begin"/>
        </w:r>
        <w:r>
          <w:rPr>
            <w:noProof/>
            <w:webHidden/>
          </w:rPr>
          <w:instrText xml:space="preserve"> PAGEREF _Toc198907118 \h </w:instrText>
        </w:r>
        <w:r>
          <w:rPr>
            <w:noProof/>
            <w:webHidden/>
          </w:rPr>
        </w:r>
        <w:r>
          <w:rPr>
            <w:noProof/>
            <w:webHidden/>
          </w:rPr>
          <w:fldChar w:fldCharType="separate"/>
        </w:r>
        <w:r w:rsidR="00C56A39">
          <w:rPr>
            <w:noProof/>
            <w:webHidden/>
          </w:rPr>
          <w:t>10</w:t>
        </w:r>
        <w:r>
          <w:rPr>
            <w:noProof/>
            <w:webHidden/>
          </w:rPr>
          <w:fldChar w:fldCharType="end"/>
        </w:r>
      </w:hyperlink>
    </w:p>
    <w:p w14:paraId="6DF5E843" w14:textId="423C9168" w:rsidR="00D330E5" w:rsidRDefault="00D330E5" w:rsidP="00D330E5">
      <w:pPr>
        <w:rPr>
          <w:noProof/>
        </w:rPr>
      </w:pPr>
    </w:p>
    <w:p w14:paraId="1455740D" w14:textId="42D3493A" w:rsidR="00796A6F" w:rsidRPr="00554B30" w:rsidRDefault="004943C2" w:rsidP="00D169F8">
      <w:pPr>
        <w:pStyle w:val="BodyText"/>
      </w:pPr>
      <w:r w:rsidRPr="006B77BB">
        <w:fldChar w:fldCharType="end"/>
      </w:r>
      <w:r w:rsidR="00796A6F" w:rsidRPr="00554B30">
        <w:br w:type="page"/>
      </w:r>
    </w:p>
    <w:p w14:paraId="17795804" w14:textId="6D32BBB4" w:rsidR="001F5600" w:rsidRPr="001F5600" w:rsidRDefault="001F5600" w:rsidP="001F5600">
      <w:pPr>
        <w:pStyle w:val="Heading1"/>
      </w:pPr>
      <w:bookmarkStart w:id="1" w:name="_Toc1169234492"/>
      <w:bookmarkStart w:id="2" w:name="_Toc206066530"/>
      <w:bookmarkStart w:id="3" w:name="_Toc345760336"/>
      <w:r>
        <w:lastRenderedPageBreak/>
        <w:t>Background</w:t>
      </w:r>
      <w:bookmarkEnd w:id="1"/>
      <w:bookmarkEnd w:id="2"/>
    </w:p>
    <w:p w14:paraId="4C9D9228" w14:textId="0C961B4E" w:rsidR="001F5600" w:rsidRDefault="001F5600" w:rsidP="001F5600">
      <w:pPr>
        <w:pStyle w:val="BodyText"/>
      </w:pPr>
      <w:r>
        <w:t>Development of the Risk Index Tool (RIT) began in early 2022</w:t>
      </w:r>
      <w:r w:rsidR="6CE15B92">
        <w:t xml:space="preserve"> and is ongoing in 2024</w:t>
      </w:r>
      <w:r>
        <w:t xml:space="preserve">. </w:t>
      </w:r>
      <w:r w:rsidR="3D22C851">
        <w:t xml:space="preserve">Councils chose nitrogen as the priority contaminant. </w:t>
      </w:r>
      <w:r>
        <w:t xml:space="preserve">Phase 1 is a functional tool for farmers, growers and councils to understand </w:t>
      </w:r>
      <w:r w:rsidR="0050326C">
        <w:t xml:space="preserve">the risk of </w:t>
      </w:r>
      <w:r w:rsidR="00FB156C">
        <w:t>n</w:t>
      </w:r>
      <w:r>
        <w:t>itrogen loss (N</w:t>
      </w:r>
      <w:r w:rsidR="00B95B03">
        <w:t xml:space="preserve"> </w:t>
      </w:r>
      <w:r>
        <w:t xml:space="preserve">loss) on farms. </w:t>
      </w:r>
    </w:p>
    <w:p w14:paraId="373908C3" w14:textId="671D2363" w:rsidR="001F5600" w:rsidRDefault="001F5600" w:rsidP="001F5600">
      <w:pPr>
        <w:pStyle w:val="BodyText"/>
      </w:pPr>
      <w:r>
        <w:t>The RIT does not estimate the amount of N</w:t>
      </w:r>
      <w:r w:rsidR="001948B8">
        <w:t xml:space="preserve"> </w:t>
      </w:r>
      <w:r>
        <w:t>loss</w:t>
      </w:r>
      <w:r w:rsidR="004A667E">
        <w:t xml:space="preserve"> measured in kilograms per hectare per year (</w:t>
      </w:r>
      <w:r>
        <w:t>kg/ha/yr)</w:t>
      </w:r>
      <w:r w:rsidR="007654B8">
        <w:t xml:space="preserve">; </w:t>
      </w:r>
      <w:r w:rsidR="001E55A2">
        <w:t xml:space="preserve">rather, </w:t>
      </w:r>
      <w:r w:rsidR="007654B8">
        <w:t>it</w:t>
      </w:r>
      <w:r>
        <w:t xml:space="preserve"> indicates the risk of N</w:t>
      </w:r>
      <w:r w:rsidR="004A667E">
        <w:t xml:space="preserve"> </w:t>
      </w:r>
      <w:r>
        <w:t>loss from the farm system.</w:t>
      </w:r>
      <w:r w:rsidR="61A56A60">
        <w:t xml:space="preserve"> </w:t>
      </w:r>
      <w:r w:rsidR="61A56A60" w:rsidRPr="1ACDBE05">
        <w:rPr>
          <w:rFonts w:eastAsia="Calibri"/>
        </w:rPr>
        <w:t xml:space="preserve">Scores are not a direct measure of the risk of the </w:t>
      </w:r>
      <w:r w:rsidR="00A96F6F" w:rsidRPr="1ACDBE05">
        <w:rPr>
          <w:rFonts w:eastAsia="Calibri"/>
        </w:rPr>
        <w:t>nitrogen</w:t>
      </w:r>
      <w:r w:rsidR="61A56A60" w:rsidRPr="1ACDBE05">
        <w:rPr>
          <w:rFonts w:eastAsia="Calibri"/>
        </w:rPr>
        <w:t xml:space="preserve"> ending up in the receiving environment (</w:t>
      </w:r>
      <w:r w:rsidR="00A96F6F" w:rsidRPr="1ACDBE05">
        <w:rPr>
          <w:rFonts w:eastAsia="Calibri"/>
        </w:rPr>
        <w:t>such as</w:t>
      </w:r>
      <w:r w:rsidR="61A56A60" w:rsidRPr="1ACDBE05">
        <w:rPr>
          <w:rFonts w:eastAsia="Calibri"/>
        </w:rPr>
        <w:t xml:space="preserve"> streams or groundwater).</w:t>
      </w:r>
      <w:r>
        <w:t xml:space="preserve"> </w:t>
      </w:r>
    </w:p>
    <w:p w14:paraId="19361997" w14:textId="5A73E8E0" w:rsidR="001F5600" w:rsidRDefault="51C62162" w:rsidP="001F5600">
      <w:pPr>
        <w:pStyle w:val="BodyText"/>
      </w:pPr>
      <w:r>
        <w:t xml:space="preserve">Using the RIT is not a legal requirement through any central government policy. Councils may mandate </w:t>
      </w:r>
      <w:r w:rsidR="00DE6BC4">
        <w:t xml:space="preserve">use of the RIT </w:t>
      </w:r>
      <w:r>
        <w:t>in their regions as part of a multi</w:t>
      </w:r>
      <w:r w:rsidR="00DE6BC4">
        <w:t>-</w:t>
      </w:r>
      <w:r>
        <w:t>evidence approach for understanding on</w:t>
      </w:r>
      <w:r w:rsidR="00DE6BC4">
        <w:t>-</w:t>
      </w:r>
      <w:r>
        <w:t>farm risks</w:t>
      </w:r>
      <w:r w:rsidR="00DE6BC4">
        <w:t xml:space="preserve">, but it is </w:t>
      </w:r>
      <w:r w:rsidR="001F5600">
        <w:t xml:space="preserve">just </w:t>
      </w:r>
      <w:r w:rsidR="00DE6BC4">
        <w:t xml:space="preserve">one possible tool </w:t>
      </w:r>
      <w:r w:rsidR="001F5600">
        <w:t xml:space="preserve">people may use to model risks and actions to mitigate </w:t>
      </w:r>
      <w:r w:rsidR="00FC1B04">
        <w:t>risks</w:t>
      </w:r>
      <w:r w:rsidR="001F5600">
        <w:t xml:space="preserve">. We acknowledge that this first phase is not a ‘one size fits all’ solution, and </w:t>
      </w:r>
      <w:r w:rsidR="00FC1B04">
        <w:t>further refinement will be required</w:t>
      </w:r>
      <w:r w:rsidR="001F5600">
        <w:t xml:space="preserve">. </w:t>
      </w:r>
    </w:p>
    <w:p w14:paraId="4B806BF4" w14:textId="7EA249A5" w:rsidR="001F5600" w:rsidRDefault="001F5600" w:rsidP="00F9337D">
      <w:pPr>
        <w:pStyle w:val="Heading2"/>
        <w:rPr>
          <w:rFonts w:eastAsia="Georgia"/>
        </w:rPr>
      </w:pPr>
      <w:bookmarkStart w:id="4" w:name="_Toc329025165"/>
      <w:bookmarkStart w:id="5" w:name="_Toc206066531"/>
      <w:r w:rsidRPr="0F37576E">
        <w:rPr>
          <w:rFonts w:eastAsia="Georgia"/>
        </w:rPr>
        <w:t>Audience</w:t>
      </w:r>
      <w:bookmarkEnd w:id="4"/>
      <w:bookmarkEnd w:id="5"/>
    </w:p>
    <w:p w14:paraId="3E767BC9" w14:textId="3C04BC07" w:rsidR="001F5600" w:rsidRDefault="00026C6D" w:rsidP="001F5600">
      <w:pPr>
        <w:pStyle w:val="BodyText"/>
      </w:pPr>
      <w:r>
        <w:t xml:space="preserve">This guide is intended </w:t>
      </w:r>
      <w:r w:rsidR="00A324E2">
        <w:t>for</w:t>
      </w:r>
      <w:r>
        <w:t xml:space="preserve"> </w:t>
      </w:r>
      <w:r w:rsidR="001F5600">
        <w:t>regional councils, unitary authorities (councils) and tool users (farmers/growers/advisors)</w:t>
      </w:r>
      <w:r w:rsidR="00A324E2">
        <w:t>, to help them</w:t>
      </w:r>
      <w:r w:rsidR="001F5600">
        <w:t xml:space="preserve"> understand the reports</w:t>
      </w:r>
      <w:r w:rsidR="00982893">
        <w:t xml:space="preserve">, </w:t>
      </w:r>
      <w:r w:rsidR="001F5600">
        <w:t>how scores and heatmaps can</w:t>
      </w:r>
      <w:r w:rsidR="00A324E2">
        <w:t xml:space="preserve"> be used</w:t>
      </w:r>
      <w:r w:rsidR="00982893">
        <w:t>,</w:t>
      </w:r>
      <w:r w:rsidR="00A324E2">
        <w:t xml:space="preserve"> and where they should </w:t>
      </w:r>
      <w:r w:rsidR="001F5600">
        <w:t xml:space="preserve">not be used. </w:t>
      </w:r>
    </w:p>
    <w:p w14:paraId="692A5E1C" w14:textId="52168FC0" w:rsidR="001F5600" w:rsidRPr="00F9337D" w:rsidRDefault="001F5600" w:rsidP="00F9337D">
      <w:pPr>
        <w:pStyle w:val="BodyText"/>
        <w:rPr>
          <w:rStyle w:val="Heading1Char"/>
          <w:rFonts w:ascii="Calibri" w:eastAsiaTheme="minorEastAsia" w:hAnsi="Calibri" w:cstheme="minorBidi"/>
          <w:b w:val="0"/>
          <w:bCs w:val="0"/>
          <w:color w:val="auto"/>
          <w:sz w:val="22"/>
          <w:szCs w:val="22"/>
        </w:rPr>
      </w:pPr>
      <w:r w:rsidRPr="00F9337D">
        <w:rPr>
          <w:rStyle w:val="Heading1Char"/>
          <w:rFonts w:ascii="Calibri" w:eastAsiaTheme="minorEastAsia" w:hAnsi="Calibri" w:cstheme="minorBidi"/>
          <w:b w:val="0"/>
          <w:bCs w:val="0"/>
          <w:color w:val="auto"/>
          <w:sz w:val="22"/>
          <w:szCs w:val="22"/>
        </w:rPr>
        <w:br w:type="page"/>
      </w:r>
    </w:p>
    <w:p w14:paraId="094CB396" w14:textId="7C3501EC" w:rsidR="001F5600" w:rsidRDefault="001F5600" w:rsidP="001F5600">
      <w:pPr>
        <w:pStyle w:val="Heading1"/>
        <w:rPr>
          <w:rFonts w:ascii="Calibri" w:eastAsia="Calibri" w:hAnsi="Calibri" w:cs="Calibri"/>
        </w:rPr>
      </w:pPr>
      <w:bookmarkStart w:id="6" w:name="_Toc308536058"/>
      <w:bookmarkStart w:id="7" w:name="_Toc206066532"/>
      <w:r>
        <w:lastRenderedPageBreak/>
        <w:t>Overview</w:t>
      </w:r>
      <w:bookmarkEnd w:id="6"/>
      <w:bookmarkEnd w:id="7"/>
    </w:p>
    <w:p w14:paraId="5E92339E" w14:textId="23B16301" w:rsidR="001F5600" w:rsidRDefault="001F5600" w:rsidP="001F5600">
      <w:pPr>
        <w:pStyle w:val="BodyText"/>
      </w:pPr>
      <w:r>
        <w:t>The RIT is an online farm decision-support tool. Adaptable across sectors, it provides a</w:t>
      </w:r>
      <w:r w:rsidR="3E6B6395">
        <w:t>n N</w:t>
      </w:r>
      <w:r w:rsidR="4CEB33B0">
        <w:t>-</w:t>
      </w:r>
      <w:r>
        <w:t>loss risk score based on farm activity and biophysical characteristics – soil, slope, climate (precipitation)</w:t>
      </w:r>
      <w:r w:rsidR="6127FBFC">
        <w:t xml:space="preserve"> </w:t>
      </w:r>
      <w:r>
        <w:t xml:space="preserve">and irrigation </w:t>
      </w:r>
      <w:r w:rsidR="047A0525">
        <w:t xml:space="preserve">(which </w:t>
      </w:r>
      <w:r w:rsidR="6EAEA306">
        <w:t xml:space="preserve">is included </w:t>
      </w:r>
      <w:r>
        <w:t xml:space="preserve">at this first </w:t>
      </w:r>
      <w:r w:rsidR="7704E076">
        <w:t>stage</w:t>
      </w:r>
      <w:r w:rsidR="047A0525">
        <w:t>)</w:t>
      </w:r>
      <w:r>
        <w:t xml:space="preserve">. </w:t>
      </w:r>
    </w:p>
    <w:p w14:paraId="29D32218" w14:textId="125FB6CF" w:rsidR="001F5600" w:rsidRDefault="001F5600" w:rsidP="001F5600">
      <w:pPr>
        <w:pStyle w:val="BodyText"/>
      </w:pPr>
      <w:r>
        <w:t xml:space="preserve">RIT risk assessments </w:t>
      </w:r>
      <w:r w:rsidR="008B4B8F">
        <w:t xml:space="preserve">work as part of a multi-evidence approach to </w:t>
      </w:r>
      <w:r>
        <w:t>inform users</w:t>
      </w:r>
      <w:r w:rsidR="008B4B8F">
        <w:t xml:space="preserve"> about </w:t>
      </w:r>
      <w:r>
        <w:t>the risk of N</w:t>
      </w:r>
      <w:r w:rsidR="008B4B8F">
        <w:t> </w:t>
      </w:r>
      <w:r>
        <w:t>loss from agricultural land use</w:t>
      </w:r>
      <w:r w:rsidR="4123C62F">
        <w:t>.</w:t>
      </w:r>
      <w:r>
        <w:t xml:space="preserve"> This will help to achieve improved outcomes for freshwater quality.</w:t>
      </w:r>
    </w:p>
    <w:p w14:paraId="23CFC990" w14:textId="3E03E609" w:rsidR="001F5600" w:rsidRDefault="001F5600" w:rsidP="001F5600">
      <w:pPr>
        <w:pStyle w:val="Heading2"/>
      </w:pPr>
      <w:bookmarkStart w:id="8" w:name="_Toc206066533"/>
      <w:r>
        <w:t>How the tool works</w:t>
      </w:r>
      <w:bookmarkEnd w:id="8"/>
    </w:p>
    <w:p w14:paraId="757460CB" w14:textId="2B3350D9" w:rsidR="001F5600" w:rsidRDefault="001F5600" w:rsidP="001F5600">
      <w:pPr>
        <w:pStyle w:val="BodyText"/>
        <w:rPr>
          <w:rFonts w:eastAsia="Calibri"/>
        </w:rPr>
      </w:pPr>
      <w:r w:rsidRPr="1ACDBE05">
        <w:rPr>
          <w:rFonts w:eastAsia="Calibri"/>
          <w:lang w:val="en-US"/>
        </w:rPr>
        <w:t>Biophysical factors such as soil, slope and climate, alongside management practices, have a strong influence on N</w:t>
      </w:r>
      <w:r w:rsidR="008042B3" w:rsidRPr="1ACDBE05">
        <w:rPr>
          <w:rFonts w:eastAsia="Calibri"/>
          <w:lang w:val="en-US"/>
        </w:rPr>
        <w:t> </w:t>
      </w:r>
      <w:r w:rsidRPr="1ACDBE05">
        <w:rPr>
          <w:rFonts w:eastAsia="Calibri"/>
          <w:lang w:val="en-US"/>
        </w:rPr>
        <w:t>loss.</w:t>
      </w:r>
      <w:r w:rsidRPr="1ACDBE05">
        <w:rPr>
          <w:rFonts w:eastAsia="Calibri"/>
        </w:rPr>
        <w:t xml:space="preserve"> Figure 1 </w:t>
      </w:r>
      <w:r w:rsidR="00EC5F7D" w:rsidRPr="1ACDBE05">
        <w:rPr>
          <w:rFonts w:eastAsia="Calibri"/>
        </w:rPr>
        <w:t xml:space="preserve">presents a diagram of </w:t>
      </w:r>
      <w:r w:rsidRPr="1ACDBE05">
        <w:rPr>
          <w:rFonts w:eastAsia="Calibri"/>
        </w:rPr>
        <w:t xml:space="preserve">the </w:t>
      </w:r>
      <w:r w:rsidR="007E0981" w:rsidRPr="1ACDBE05">
        <w:rPr>
          <w:rFonts w:eastAsia="Calibri"/>
        </w:rPr>
        <w:t>RIT’s</w:t>
      </w:r>
      <w:r w:rsidR="008042B3" w:rsidRPr="1ACDBE05">
        <w:rPr>
          <w:rFonts w:eastAsia="Calibri"/>
        </w:rPr>
        <w:t xml:space="preserve"> </w:t>
      </w:r>
      <w:r w:rsidRPr="1ACDBE05">
        <w:rPr>
          <w:rFonts w:eastAsia="Calibri"/>
        </w:rPr>
        <w:t>workflow</w:t>
      </w:r>
      <w:r w:rsidR="00EC5F7D" w:rsidRPr="1ACDBE05">
        <w:rPr>
          <w:rFonts w:eastAsia="Calibri"/>
        </w:rPr>
        <w:t xml:space="preserve">, which includes </w:t>
      </w:r>
      <w:r w:rsidRPr="1ACDBE05">
        <w:rPr>
          <w:rFonts w:eastAsia="Calibri"/>
        </w:rPr>
        <w:t xml:space="preserve">the underlaying data and user inputs that are entered into the </w:t>
      </w:r>
      <w:r w:rsidR="007E0981" w:rsidRPr="1ACDBE05">
        <w:rPr>
          <w:rFonts w:eastAsia="Calibri"/>
        </w:rPr>
        <w:t xml:space="preserve">tool’s </w:t>
      </w:r>
      <w:r w:rsidRPr="1ACDBE05">
        <w:rPr>
          <w:rFonts w:eastAsia="Calibri"/>
        </w:rPr>
        <w:t>calculation service</w:t>
      </w:r>
      <w:r w:rsidR="007E0981" w:rsidRPr="1ACDBE05">
        <w:rPr>
          <w:rFonts w:eastAsia="Calibri"/>
        </w:rPr>
        <w:t>,</w:t>
      </w:r>
      <w:r w:rsidRPr="1ACDBE05">
        <w:rPr>
          <w:rFonts w:eastAsia="Calibri"/>
        </w:rPr>
        <w:t xml:space="preserve"> as well as the outputs for reports and scenarios. </w:t>
      </w:r>
    </w:p>
    <w:p w14:paraId="2A8527E6" w14:textId="3CBD5643" w:rsidR="001F5600" w:rsidRDefault="001F5600" w:rsidP="001F5600">
      <w:pPr>
        <w:pStyle w:val="Figureheading"/>
      </w:pPr>
      <w:bookmarkStart w:id="9" w:name="_Toc198907113"/>
      <w:r>
        <w:t>Figure 1</w:t>
      </w:r>
      <w:r w:rsidR="00146CCF">
        <w:t>:</w:t>
      </w:r>
      <w:r w:rsidR="007E0981">
        <w:t xml:space="preserve"> </w:t>
      </w:r>
      <w:r w:rsidR="00A24BA6">
        <w:tab/>
      </w:r>
      <w:r w:rsidR="007B7F0D">
        <w:t>Tool</w:t>
      </w:r>
      <w:r w:rsidR="007E0981">
        <w:t xml:space="preserve"> </w:t>
      </w:r>
      <w:r>
        <w:t>workflow diagram and data sources</w:t>
      </w:r>
      <w:bookmarkEnd w:id="9"/>
    </w:p>
    <w:p w14:paraId="789D495F" w14:textId="0D2F86E3" w:rsidR="00A24BA6" w:rsidRPr="00A24BA6" w:rsidRDefault="00A24BA6" w:rsidP="00B2730D">
      <w:pPr>
        <w:pStyle w:val="BodyText"/>
      </w:pPr>
      <w:r>
        <w:rPr>
          <w:noProof/>
        </w:rPr>
        <w:drawing>
          <wp:inline distT="0" distB="0" distL="0" distR="0" wp14:anchorId="73567107" wp14:editId="01F1ACAB">
            <wp:extent cx="5400675" cy="4951730"/>
            <wp:effectExtent l="0" t="0" r="9525" b="1270"/>
            <wp:docPr id="431650589" name="Picture 1" descr="A diagram of a dat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50589" name="Picture 1" descr="A diagram of a data model&#10;&#10;AI-generated content may be incorrect."/>
                    <pic:cNvPicPr/>
                  </pic:nvPicPr>
                  <pic:blipFill>
                    <a:blip r:embed="rId22"/>
                    <a:stretch>
                      <a:fillRect/>
                    </a:stretch>
                  </pic:blipFill>
                  <pic:spPr>
                    <a:xfrm>
                      <a:off x="0" y="0"/>
                      <a:ext cx="5400675" cy="4951730"/>
                    </a:xfrm>
                    <a:prstGeom prst="rect">
                      <a:avLst/>
                    </a:prstGeom>
                  </pic:spPr>
                </pic:pic>
              </a:graphicData>
            </a:graphic>
          </wp:inline>
        </w:drawing>
      </w:r>
    </w:p>
    <w:p w14:paraId="75F3F183" w14:textId="108F8C43" w:rsidR="001F5600" w:rsidRDefault="001F5600" w:rsidP="001F5600">
      <w:pPr>
        <w:pStyle w:val="BodyText"/>
        <w:rPr>
          <w:rFonts w:eastAsia="Calibri"/>
        </w:rPr>
      </w:pPr>
    </w:p>
    <w:p w14:paraId="01564D1D" w14:textId="04B767F3" w:rsidR="001F5600" w:rsidRDefault="001F5600" w:rsidP="001F5600">
      <w:pPr>
        <w:pStyle w:val="Heading3"/>
        <w:rPr>
          <w:rFonts w:eastAsia="Calibri"/>
        </w:rPr>
      </w:pPr>
      <w:r w:rsidRPr="0F37576E">
        <w:rPr>
          <w:rFonts w:eastAsia="Calibri"/>
          <w:lang w:val="en-US"/>
        </w:rPr>
        <w:lastRenderedPageBreak/>
        <w:t>Polygons and transport factors</w:t>
      </w:r>
    </w:p>
    <w:p w14:paraId="66D90383" w14:textId="768C0FF8" w:rsidR="001F5600" w:rsidRDefault="001F5600" w:rsidP="0050326C">
      <w:pPr>
        <w:pStyle w:val="BodyText"/>
        <w:rPr>
          <w:rFonts w:eastAsia="Calibri"/>
        </w:rPr>
      </w:pPr>
      <w:r w:rsidRPr="6711C071">
        <w:rPr>
          <w:rFonts w:eastAsia="Calibri"/>
          <w:lang w:val="en-US"/>
        </w:rPr>
        <w:t xml:space="preserve">The RIT uses an underpinning map layer which contains soil type, slope and climate data. This map layer is produced using </w:t>
      </w:r>
      <w:r w:rsidR="000B0A70" w:rsidRPr="6711C071">
        <w:rPr>
          <w:rFonts w:eastAsia="Calibri"/>
          <w:lang w:val="en-US"/>
        </w:rPr>
        <w:t xml:space="preserve">Agricultural Production System </w:t>
      </w:r>
      <w:r w:rsidR="00D755F8" w:rsidRPr="6711C071">
        <w:rPr>
          <w:rFonts w:eastAsia="Calibri"/>
          <w:lang w:val="en-US"/>
        </w:rPr>
        <w:t>Sim</w:t>
      </w:r>
      <w:r w:rsidR="000B0A70" w:rsidRPr="6711C071">
        <w:rPr>
          <w:rFonts w:eastAsia="Calibri"/>
          <w:lang w:val="en-US"/>
        </w:rPr>
        <w:t>ulator (</w:t>
      </w:r>
      <w:r w:rsidRPr="6711C071">
        <w:rPr>
          <w:rFonts w:eastAsia="Calibri"/>
          <w:lang w:val="en-US"/>
        </w:rPr>
        <w:t>APSIM</w:t>
      </w:r>
      <w:r w:rsidR="000B0A70" w:rsidRPr="6711C071">
        <w:rPr>
          <w:rFonts w:eastAsia="Calibri"/>
          <w:lang w:val="en-US"/>
        </w:rPr>
        <w:t>)</w:t>
      </w:r>
      <w:r w:rsidRPr="6711C071">
        <w:rPr>
          <w:rFonts w:eastAsia="Calibri"/>
          <w:lang w:val="en-US"/>
        </w:rPr>
        <w:t xml:space="preserve"> modelling and provides transport factors for runoff and leaching for different </w:t>
      </w:r>
      <w:r w:rsidR="00D755F8" w:rsidRPr="6711C071">
        <w:rPr>
          <w:rFonts w:eastAsia="Calibri"/>
          <w:lang w:val="en-US"/>
        </w:rPr>
        <w:t xml:space="preserve">combinations of </w:t>
      </w:r>
      <w:r w:rsidRPr="6711C071">
        <w:rPr>
          <w:rFonts w:eastAsia="Calibri"/>
          <w:lang w:val="en-US"/>
        </w:rPr>
        <w:t>soil, slope</w:t>
      </w:r>
      <w:r w:rsidR="00D755F8" w:rsidRPr="6711C071">
        <w:rPr>
          <w:rFonts w:eastAsia="Calibri"/>
          <w:lang w:val="en-US"/>
        </w:rPr>
        <w:t xml:space="preserve"> and </w:t>
      </w:r>
      <w:r w:rsidRPr="6711C071">
        <w:rPr>
          <w:rFonts w:eastAsia="Calibri"/>
          <w:lang w:val="en-US"/>
        </w:rPr>
        <w:t xml:space="preserve">climate (drawn as polygons in the map layer). </w:t>
      </w:r>
      <w:r w:rsidR="00D755F8" w:rsidRPr="6711C071">
        <w:rPr>
          <w:rFonts w:eastAsia="Calibri"/>
          <w:lang w:val="en-US"/>
        </w:rPr>
        <w:t>T</w:t>
      </w:r>
      <w:r w:rsidRPr="6711C071">
        <w:rPr>
          <w:rFonts w:eastAsia="Calibri"/>
          <w:lang w:val="en-US"/>
        </w:rPr>
        <w:t xml:space="preserve">wo factors </w:t>
      </w:r>
      <w:r w:rsidR="00D755F8" w:rsidRPr="6711C071">
        <w:rPr>
          <w:rFonts w:eastAsia="Calibri"/>
          <w:lang w:val="en-US"/>
        </w:rPr>
        <w:t xml:space="preserve">are </w:t>
      </w:r>
      <w:r w:rsidRPr="6711C071">
        <w:rPr>
          <w:rFonts w:eastAsia="Calibri"/>
          <w:lang w:val="en-US"/>
        </w:rPr>
        <w:t xml:space="preserve">given for each of the two transport pathways (leaching and runoff) </w:t>
      </w:r>
      <w:r w:rsidR="00D755F8" w:rsidRPr="6711C071">
        <w:rPr>
          <w:rFonts w:eastAsia="Calibri"/>
          <w:lang w:val="en-US"/>
        </w:rPr>
        <w:t xml:space="preserve">– </w:t>
      </w:r>
      <w:r w:rsidRPr="6711C071">
        <w:rPr>
          <w:rFonts w:eastAsia="Calibri"/>
          <w:lang w:val="en-US"/>
        </w:rPr>
        <w:t xml:space="preserve">one for </w:t>
      </w:r>
      <w:r w:rsidR="00D755F8" w:rsidRPr="6711C071">
        <w:rPr>
          <w:rFonts w:eastAsia="Calibri"/>
          <w:lang w:val="en-US"/>
        </w:rPr>
        <w:t>‘</w:t>
      </w:r>
      <w:r w:rsidRPr="6711C071">
        <w:rPr>
          <w:rFonts w:eastAsia="Calibri"/>
          <w:lang w:val="en-US"/>
        </w:rPr>
        <w:t>with irrigation</w:t>
      </w:r>
      <w:r w:rsidR="00D755F8" w:rsidRPr="6711C071">
        <w:rPr>
          <w:rFonts w:eastAsia="Calibri"/>
          <w:lang w:val="en-US"/>
        </w:rPr>
        <w:t>’</w:t>
      </w:r>
      <w:r w:rsidRPr="6711C071">
        <w:rPr>
          <w:rFonts w:eastAsia="Calibri"/>
          <w:lang w:val="en-US"/>
        </w:rPr>
        <w:t xml:space="preserve"> and one for </w:t>
      </w:r>
      <w:r w:rsidR="00D755F8" w:rsidRPr="6711C071">
        <w:rPr>
          <w:rFonts w:eastAsia="Calibri"/>
          <w:lang w:val="en-US"/>
        </w:rPr>
        <w:t>‘</w:t>
      </w:r>
      <w:r w:rsidRPr="6711C071">
        <w:rPr>
          <w:rFonts w:eastAsia="Calibri"/>
          <w:lang w:val="en-US"/>
        </w:rPr>
        <w:t>without irrigation</w:t>
      </w:r>
      <w:r w:rsidR="00D755F8" w:rsidRPr="6711C071">
        <w:rPr>
          <w:rFonts w:eastAsia="Calibri"/>
          <w:lang w:val="en-US"/>
        </w:rPr>
        <w:t>’</w:t>
      </w:r>
      <w:r w:rsidRPr="6711C071">
        <w:rPr>
          <w:rFonts w:eastAsia="Calibri"/>
          <w:lang w:val="en-US"/>
        </w:rPr>
        <w:t>. The user tells the tool if the land is irrigated or not when they create their farm blocks</w:t>
      </w:r>
      <w:r w:rsidR="00CA11CA" w:rsidRPr="6711C071">
        <w:rPr>
          <w:rFonts w:eastAsia="Calibri"/>
          <w:lang w:val="en-US"/>
        </w:rPr>
        <w:t>,</w:t>
      </w:r>
      <w:r w:rsidRPr="6711C071">
        <w:rPr>
          <w:rFonts w:eastAsia="Calibri"/>
          <w:lang w:val="en-US"/>
        </w:rPr>
        <w:t xml:space="preserve"> and the tool uses the corresponding transport factor.</w:t>
      </w:r>
    </w:p>
    <w:p w14:paraId="2E68985A" w14:textId="5A7B29F9" w:rsidR="001F5600" w:rsidRDefault="001F5600" w:rsidP="0050326C">
      <w:pPr>
        <w:pStyle w:val="BodyText"/>
        <w:rPr>
          <w:rFonts w:eastAsia="Calibri"/>
        </w:rPr>
      </w:pPr>
      <w:r w:rsidRPr="53909BF2">
        <w:rPr>
          <w:rFonts w:eastAsia="Calibri"/>
        </w:rPr>
        <w:t>Users do not need to see the polygons when blocking their land. The tool is designed for users to block land into areas they manage consistently (</w:t>
      </w:r>
      <w:proofErr w:type="spellStart"/>
      <w:r w:rsidRPr="53909BF2">
        <w:rPr>
          <w:rFonts w:eastAsia="Calibri"/>
        </w:rPr>
        <w:t>eg</w:t>
      </w:r>
      <w:proofErr w:type="spellEnd"/>
      <w:r w:rsidR="51AAFF4D" w:rsidRPr="53909BF2">
        <w:rPr>
          <w:rFonts w:eastAsia="Calibri"/>
        </w:rPr>
        <w:t>,</w:t>
      </w:r>
      <w:r w:rsidRPr="53909BF2">
        <w:rPr>
          <w:rFonts w:eastAsia="Calibri"/>
        </w:rPr>
        <w:t xml:space="preserve"> stocking rate, fertiliser, crops, irrigation, effluent application, and adopted farm practices). They do not need to block by biophysical characteristics (</w:t>
      </w:r>
      <w:proofErr w:type="spellStart"/>
      <w:r w:rsidR="3C165B0A" w:rsidRPr="53909BF2">
        <w:rPr>
          <w:rFonts w:eastAsia="Calibri"/>
        </w:rPr>
        <w:t>ie</w:t>
      </w:r>
      <w:proofErr w:type="spellEnd"/>
      <w:r w:rsidR="3C165B0A" w:rsidRPr="53909BF2">
        <w:rPr>
          <w:rFonts w:eastAsia="Calibri"/>
        </w:rPr>
        <w:t xml:space="preserve">, </w:t>
      </w:r>
      <w:r w:rsidRPr="53909BF2">
        <w:rPr>
          <w:rFonts w:eastAsia="Calibri"/>
        </w:rPr>
        <w:t>soil, slope, climate</w:t>
      </w:r>
      <w:r w:rsidR="029FE035" w:rsidRPr="53909BF2">
        <w:rPr>
          <w:rFonts w:eastAsia="Calibri"/>
        </w:rPr>
        <w:t xml:space="preserve"> and irrigation area</w:t>
      </w:r>
      <w:r w:rsidRPr="53909BF2">
        <w:rPr>
          <w:rFonts w:eastAsia="Calibri"/>
        </w:rPr>
        <w:t>).</w:t>
      </w:r>
    </w:p>
    <w:p w14:paraId="520CF18B" w14:textId="2F325BE6" w:rsidR="001F5600" w:rsidRDefault="001F5600" w:rsidP="001F5600">
      <w:pPr>
        <w:pStyle w:val="Heading3"/>
        <w:rPr>
          <w:rFonts w:eastAsia="Calibri"/>
        </w:rPr>
      </w:pPr>
      <w:r w:rsidRPr="0F37576E">
        <w:rPr>
          <w:rFonts w:eastAsia="Calibri"/>
        </w:rPr>
        <w:t>User interface</w:t>
      </w:r>
    </w:p>
    <w:p w14:paraId="559B4FF0" w14:textId="6C65334F" w:rsidR="001F5600" w:rsidRDefault="001F5600" w:rsidP="001F5600">
      <w:pPr>
        <w:pStyle w:val="BodyText"/>
        <w:rPr>
          <w:rFonts w:eastAsia="Calibri"/>
        </w:rPr>
      </w:pPr>
      <w:r w:rsidRPr="1ACDBE05">
        <w:rPr>
          <w:rFonts w:eastAsia="Calibri"/>
        </w:rPr>
        <w:t xml:space="preserve">Users map their farms into management blocks and inform the </w:t>
      </w:r>
      <w:r w:rsidR="001150BC" w:rsidRPr="1ACDBE05">
        <w:rPr>
          <w:rFonts w:eastAsia="Calibri"/>
        </w:rPr>
        <w:t xml:space="preserve">RIT </w:t>
      </w:r>
      <w:r w:rsidRPr="1ACDBE05">
        <w:rPr>
          <w:rFonts w:eastAsia="Calibri"/>
        </w:rPr>
        <w:t>if the land is irrigated or receives effluent. Users then enter their N source data (</w:t>
      </w:r>
      <w:proofErr w:type="spellStart"/>
      <w:r w:rsidR="00B607AF" w:rsidRPr="1ACDBE05">
        <w:rPr>
          <w:rFonts w:eastAsia="Calibri"/>
        </w:rPr>
        <w:t>ie</w:t>
      </w:r>
      <w:proofErr w:type="spellEnd"/>
      <w:r w:rsidR="00B607AF" w:rsidRPr="1ACDBE05">
        <w:rPr>
          <w:rFonts w:eastAsia="Calibri"/>
        </w:rPr>
        <w:t xml:space="preserve">, </w:t>
      </w:r>
      <w:r w:rsidRPr="1ACDBE05">
        <w:rPr>
          <w:rFonts w:eastAsia="Calibri"/>
        </w:rPr>
        <w:t xml:space="preserve">stock, fertiliser, crops, effluent) for each block. They </w:t>
      </w:r>
      <w:r w:rsidR="00B607AF" w:rsidRPr="1ACDBE05">
        <w:rPr>
          <w:rFonts w:eastAsia="Calibri"/>
        </w:rPr>
        <w:t>may also</w:t>
      </w:r>
      <w:r w:rsidRPr="1ACDBE05">
        <w:rPr>
          <w:rFonts w:eastAsia="Calibri"/>
        </w:rPr>
        <w:t xml:space="preserve"> select, from a pre-populated list, any modifiers that are applicable to the block. These modifiers only reduce risk</w:t>
      </w:r>
      <w:r w:rsidR="00582EB0" w:rsidRPr="1ACDBE05">
        <w:rPr>
          <w:rFonts w:eastAsia="Calibri"/>
        </w:rPr>
        <w:t xml:space="preserve">; </w:t>
      </w:r>
      <w:r w:rsidRPr="1ACDBE05">
        <w:rPr>
          <w:rFonts w:eastAsia="Calibri"/>
        </w:rPr>
        <w:t>no modifiers increase risk.</w:t>
      </w:r>
    </w:p>
    <w:p w14:paraId="4256A059" w14:textId="0CEC9D5D" w:rsidR="001F5600" w:rsidRPr="001F5600" w:rsidRDefault="001F5600" w:rsidP="001F5600">
      <w:pPr>
        <w:pStyle w:val="Heading3"/>
        <w:rPr>
          <w:rFonts w:eastAsia="Calibri"/>
        </w:rPr>
      </w:pPr>
      <w:r w:rsidRPr="0F37576E">
        <w:rPr>
          <w:rFonts w:eastAsia="Calibri"/>
        </w:rPr>
        <w:t>Calculation service</w:t>
      </w:r>
    </w:p>
    <w:p w14:paraId="10526155" w14:textId="0AD4D7C3" w:rsidR="001F5600" w:rsidRDefault="001F5600" w:rsidP="001F5600">
      <w:pPr>
        <w:pStyle w:val="BodyText"/>
        <w:rPr>
          <w:rFonts w:eastAsia="Calibri"/>
        </w:rPr>
      </w:pPr>
      <w:r w:rsidRPr="1ACDBE05">
        <w:rPr>
          <w:rFonts w:eastAsia="Calibri"/>
        </w:rPr>
        <w:t xml:space="preserve">The </w:t>
      </w:r>
      <w:r w:rsidR="00C66D16" w:rsidRPr="1ACDBE05">
        <w:rPr>
          <w:rFonts w:eastAsia="Calibri"/>
        </w:rPr>
        <w:t xml:space="preserve">RIT </w:t>
      </w:r>
      <w:r w:rsidRPr="1ACDBE05">
        <w:rPr>
          <w:rFonts w:eastAsia="Calibri"/>
        </w:rPr>
        <w:t>then uses the underpinning maps and transport factors, as well as the user</w:t>
      </w:r>
      <w:r w:rsidR="00C66D16" w:rsidRPr="1ACDBE05">
        <w:rPr>
          <w:rFonts w:eastAsia="Calibri"/>
        </w:rPr>
        <w:t>’</w:t>
      </w:r>
      <w:r w:rsidRPr="1ACDBE05">
        <w:rPr>
          <w:rFonts w:eastAsia="Calibri"/>
        </w:rPr>
        <w:t>s N source inputs, to estimate the baseline risk for each polygon. The tool then uses the selected modifiers to reduce the risk of N</w:t>
      </w:r>
      <w:r w:rsidR="001150BC" w:rsidRPr="1ACDBE05">
        <w:rPr>
          <w:rFonts w:eastAsia="Calibri"/>
        </w:rPr>
        <w:t> </w:t>
      </w:r>
      <w:r w:rsidRPr="1ACDBE05">
        <w:rPr>
          <w:rFonts w:eastAsia="Calibri"/>
        </w:rPr>
        <w:t>loss for each of the polygons. These modifiers act on the baseline risk to produce an overall risk for each polygon within the block.</w:t>
      </w:r>
    </w:p>
    <w:p w14:paraId="436CBC0A" w14:textId="6BAC0716" w:rsidR="001F5600" w:rsidRDefault="001F5600" w:rsidP="001F5600">
      <w:pPr>
        <w:pStyle w:val="BodyText"/>
        <w:rPr>
          <w:rFonts w:eastAsia="Calibri"/>
        </w:rPr>
      </w:pPr>
      <w:r w:rsidRPr="6711C071">
        <w:rPr>
          <w:rFonts w:eastAsia="Calibri"/>
        </w:rPr>
        <w:t xml:space="preserve">The </w:t>
      </w:r>
      <w:r w:rsidR="001150BC" w:rsidRPr="6711C071">
        <w:rPr>
          <w:rFonts w:eastAsia="Calibri"/>
        </w:rPr>
        <w:t xml:space="preserve">RIT </w:t>
      </w:r>
      <w:r w:rsidRPr="6711C071">
        <w:rPr>
          <w:rFonts w:eastAsia="Calibri"/>
        </w:rPr>
        <w:t xml:space="preserve">adds the risk scores of each polygon within the block to give a block score. It then adds block scores and ineffective </w:t>
      </w:r>
      <w:r w:rsidR="6C826D6F" w:rsidRPr="6711C071">
        <w:rPr>
          <w:rFonts w:eastAsia="Calibri"/>
        </w:rPr>
        <w:t>land</w:t>
      </w:r>
      <w:r w:rsidRPr="6711C071">
        <w:rPr>
          <w:rFonts w:eastAsia="Calibri"/>
        </w:rPr>
        <w:t xml:space="preserve"> risk scores together to provide a farm score. These initial scores are called aggregated scores. The aggregated scores are then divided by area to create a per</w:t>
      </w:r>
      <w:r w:rsidR="00E216C3" w:rsidRPr="6711C071">
        <w:rPr>
          <w:rFonts w:eastAsia="Calibri"/>
        </w:rPr>
        <w:t xml:space="preserve"> </w:t>
      </w:r>
      <w:r w:rsidRPr="6711C071">
        <w:rPr>
          <w:rFonts w:eastAsia="Calibri"/>
        </w:rPr>
        <w:t xml:space="preserve">hectare score for each polygon, </w:t>
      </w:r>
      <w:r w:rsidR="00E216C3" w:rsidRPr="6711C071">
        <w:rPr>
          <w:rFonts w:eastAsia="Calibri"/>
        </w:rPr>
        <w:t xml:space="preserve">for </w:t>
      </w:r>
      <w:r w:rsidRPr="6711C071">
        <w:rPr>
          <w:rFonts w:eastAsia="Calibri"/>
        </w:rPr>
        <w:t>each block, and for the farm.</w:t>
      </w:r>
    </w:p>
    <w:p w14:paraId="3D76B462" w14:textId="100038B3" w:rsidR="001F5600" w:rsidRPr="001F5600" w:rsidRDefault="001F5600" w:rsidP="001F5600">
      <w:pPr>
        <w:pStyle w:val="Heading3"/>
        <w:rPr>
          <w:rFonts w:eastAsia="Calibri"/>
        </w:rPr>
      </w:pPr>
      <w:r w:rsidRPr="0F37576E">
        <w:rPr>
          <w:rFonts w:eastAsia="Calibri"/>
        </w:rPr>
        <w:t>Outputs</w:t>
      </w:r>
    </w:p>
    <w:p w14:paraId="0DF2EAE5" w14:textId="7E567486" w:rsidR="001F5600" w:rsidRDefault="001F5600" w:rsidP="001F5600">
      <w:pPr>
        <w:pStyle w:val="BodyText"/>
        <w:rPr>
          <w:rFonts w:eastAsia="Calibri"/>
        </w:rPr>
      </w:pPr>
      <w:r w:rsidRPr="53909BF2">
        <w:rPr>
          <w:rFonts w:eastAsia="Calibri"/>
        </w:rPr>
        <w:t xml:space="preserve">Finally, the </w:t>
      </w:r>
      <w:r w:rsidR="47144E26" w:rsidRPr="53909BF2">
        <w:rPr>
          <w:rFonts w:eastAsia="Calibri"/>
        </w:rPr>
        <w:t xml:space="preserve">RIT </w:t>
      </w:r>
      <w:r w:rsidRPr="53909BF2">
        <w:rPr>
          <w:rFonts w:eastAsia="Calibri"/>
        </w:rPr>
        <w:t xml:space="preserve">presents users with </w:t>
      </w:r>
      <w:r w:rsidR="47144E26" w:rsidRPr="53909BF2">
        <w:rPr>
          <w:rFonts w:eastAsia="Calibri"/>
        </w:rPr>
        <w:t xml:space="preserve">PDF </w:t>
      </w:r>
      <w:r w:rsidRPr="53909BF2">
        <w:rPr>
          <w:rFonts w:eastAsia="Calibri"/>
        </w:rPr>
        <w:t>reports (risk based on real farm data)</w:t>
      </w:r>
      <w:r w:rsidR="47144E26" w:rsidRPr="53909BF2">
        <w:rPr>
          <w:rFonts w:eastAsia="Calibri"/>
        </w:rPr>
        <w:t>. The report</w:t>
      </w:r>
      <w:r w:rsidR="67CEDC6A" w:rsidRPr="53909BF2">
        <w:rPr>
          <w:rFonts w:eastAsia="Calibri"/>
        </w:rPr>
        <w:t>s</w:t>
      </w:r>
      <w:r w:rsidRPr="53909BF2">
        <w:rPr>
          <w:rFonts w:eastAsia="Calibri"/>
        </w:rPr>
        <w:t xml:space="preserve"> contain heatmaps (at the polygon level), risk scores for the blocks and farm, and suggest other modifiers and mitigations that could be adopted. </w:t>
      </w:r>
    </w:p>
    <w:p w14:paraId="59D25750" w14:textId="17D31E76" w:rsidR="001F5600" w:rsidRDefault="25F3A2B8" w:rsidP="001F5600">
      <w:pPr>
        <w:pStyle w:val="BodyText"/>
        <w:rPr>
          <w:rFonts w:eastAsia="Calibri"/>
        </w:rPr>
      </w:pPr>
      <w:r w:rsidRPr="53909BF2">
        <w:rPr>
          <w:rFonts w:eastAsia="Calibri"/>
        </w:rPr>
        <w:t xml:space="preserve">The tool </w:t>
      </w:r>
      <w:r w:rsidR="001F5600" w:rsidRPr="53909BF2">
        <w:rPr>
          <w:rFonts w:eastAsia="Calibri"/>
        </w:rPr>
        <w:t xml:space="preserve">also provides an </w:t>
      </w:r>
      <w:r w:rsidR="69E50EDE" w:rsidRPr="53909BF2">
        <w:rPr>
          <w:rFonts w:eastAsia="Calibri"/>
        </w:rPr>
        <w:t>E</w:t>
      </w:r>
      <w:r w:rsidR="001F5600" w:rsidRPr="53909BF2">
        <w:rPr>
          <w:rFonts w:eastAsia="Calibri"/>
        </w:rPr>
        <w:t xml:space="preserve">xcel </w:t>
      </w:r>
      <w:r w:rsidRPr="53909BF2">
        <w:rPr>
          <w:rFonts w:eastAsia="Calibri"/>
        </w:rPr>
        <w:t>spread</w:t>
      </w:r>
      <w:r w:rsidR="001F5600" w:rsidRPr="53909BF2">
        <w:rPr>
          <w:rFonts w:eastAsia="Calibri"/>
        </w:rPr>
        <w:t>sheet with the inputs for each block</w:t>
      </w:r>
      <w:r w:rsidR="292BBDAA" w:rsidRPr="53909BF2">
        <w:rPr>
          <w:rFonts w:eastAsia="Calibri"/>
        </w:rPr>
        <w:t>,</w:t>
      </w:r>
      <w:r w:rsidR="001F5600" w:rsidRPr="53909BF2">
        <w:rPr>
          <w:rFonts w:eastAsia="Calibri"/>
        </w:rPr>
        <w:t xml:space="preserve"> so users have an editable copy of inputs. </w:t>
      </w:r>
      <w:r w:rsidR="001F5600" w:rsidRPr="53909BF2">
        <w:rPr>
          <w:rFonts w:eastAsia="Calibri"/>
          <w:lang w:val="en-US"/>
        </w:rPr>
        <w:t xml:space="preserve">Users can then run </w:t>
      </w:r>
      <w:r w:rsidR="292BBDAA" w:rsidRPr="53909BF2">
        <w:rPr>
          <w:rFonts w:eastAsia="Calibri"/>
          <w:lang w:val="en-US"/>
        </w:rPr>
        <w:t>‘</w:t>
      </w:r>
      <w:r w:rsidR="001F5600" w:rsidRPr="53909BF2">
        <w:rPr>
          <w:rFonts w:eastAsia="Calibri"/>
          <w:lang w:val="en-US"/>
        </w:rPr>
        <w:t>scenarios</w:t>
      </w:r>
      <w:r w:rsidR="292BBDAA" w:rsidRPr="53909BF2">
        <w:rPr>
          <w:rFonts w:eastAsia="Calibri"/>
          <w:lang w:val="en-US"/>
        </w:rPr>
        <w:t xml:space="preserve">’ to </w:t>
      </w:r>
      <w:r w:rsidR="001F5600" w:rsidRPr="53909BF2">
        <w:rPr>
          <w:rFonts w:eastAsia="Calibri"/>
          <w:lang w:val="en-US"/>
        </w:rPr>
        <w:t xml:space="preserve">experiment with how risk changes </w:t>
      </w:r>
      <w:r w:rsidR="28D08CBF" w:rsidRPr="53909BF2">
        <w:rPr>
          <w:rFonts w:eastAsia="Calibri"/>
          <w:lang w:val="en-US"/>
        </w:rPr>
        <w:t xml:space="preserve">as </w:t>
      </w:r>
      <w:r w:rsidR="001F5600" w:rsidRPr="53909BF2">
        <w:rPr>
          <w:rFonts w:eastAsia="Calibri"/>
          <w:lang w:val="en-US"/>
        </w:rPr>
        <w:t>land</w:t>
      </w:r>
      <w:r w:rsidRPr="53909BF2">
        <w:rPr>
          <w:rFonts w:eastAsia="Calibri"/>
          <w:lang w:val="en-US"/>
        </w:rPr>
        <w:t xml:space="preserve"> </w:t>
      </w:r>
      <w:r w:rsidR="1B1B3D1B" w:rsidRPr="53909BF2">
        <w:rPr>
          <w:rFonts w:eastAsia="Calibri"/>
          <w:lang w:val="en-US"/>
        </w:rPr>
        <w:t>use</w:t>
      </w:r>
      <w:r w:rsidR="001F5600" w:rsidRPr="53909BF2">
        <w:rPr>
          <w:rFonts w:eastAsia="Calibri"/>
          <w:lang w:val="en-US"/>
        </w:rPr>
        <w:t xml:space="preserve"> and practice</w:t>
      </w:r>
      <w:r w:rsidR="28D08CBF" w:rsidRPr="53909BF2">
        <w:rPr>
          <w:rFonts w:eastAsia="Calibri"/>
          <w:lang w:val="en-US"/>
        </w:rPr>
        <w:t xml:space="preserve"> change</w:t>
      </w:r>
      <w:r w:rsidR="001F5600" w:rsidRPr="53909BF2">
        <w:rPr>
          <w:rFonts w:eastAsia="Calibri"/>
          <w:lang w:val="en-US"/>
        </w:rPr>
        <w:t>.</w:t>
      </w:r>
    </w:p>
    <w:p w14:paraId="3D5204CB" w14:textId="0D57D395" w:rsidR="3ED69ABD" w:rsidRDefault="3ED69ABD" w:rsidP="3ED69ABD">
      <w:pPr>
        <w:pStyle w:val="BodyText"/>
      </w:pPr>
    </w:p>
    <w:p w14:paraId="726FD626" w14:textId="6DA16067" w:rsidR="001F5600" w:rsidRDefault="001F5600" w:rsidP="001F5600">
      <w:pPr>
        <w:pStyle w:val="Heading1"/>
      </w:pPr>
      <w:bookmarkStart w:id="10" w:name="_Toc1823715319"/>
      <w:bookmarkStart w:id="11" w:name="_Toc206066534"/>
      <w:r>
        <w:lastRenderedPageBreak/>
        <w:t>Calculating risk scores and their definitions</w:t>
      </w:r>
      <w:bookmarkEnd w:id="10"/>
      <w:bookmarkEnd w:id="11"/>
    </w:p>
    <w:p w14:paraId="477764D8" w14:textId="0DCD4702" w:rsidR="001F5600" w:rsidRPr="00BA1891" w:rsidRDefault="001F5600" w:rsidP="00BA1891">
      <w:pPr>
        <w:pStyle w:val="Heading2"/>
      </w:pPr>
      <w:bookmarkStart w:id="12" w:name="_Toc485258731"/>
      <w:bookmarkStart w:id="13" w:name="_Toc206066535"/>
      <w:r>
        <w:t>Baseline risk</w:t>
      </w:r>
      <w:bookmarkEnd w:id="12"/>
      <w:bookmarkEnd w:id="13"/>
    </w:p>
    <w:p w14:paraId="4A6481D1" w14:textId="2E3B3529" w:rsidR="001F5600" w:rsidRDefault="001F5600" w:rsidP="001F5600">
      <w:pPr>
        <w:pStyle w:val="BodyText"/>
        <w:rPr>
          <w:rFonts w:eastAsia="Calibri"/>
        </w:rPr>
      </w:pPr>
      <w:r w:rsidRPr="6711C071">
        <w:rPr>
          <w:rFonts w:eastAsia="Calibri"/>
        </w:rPr>
        <w:t>The baseline risk assesses the initial risk of N</w:t>
      </w:r>
      <w:r w:rsidR="0017465C" w:rsidRPr="6711C071">
        <w:rPr>
          <w:rFonts w:eastAsia="Calibri"/>
        </w:rPr>
        <w:t> </w:t>
      </w:r>
      <w:r w:rsidRPr="6711C071">
        <w:rPr>
          <w:rFonts w:eastAsia="Calibri"/>
        </w:rPr>
        <w:t>loss from land at a block</w:t>
      </w:r>
      <w:r w:rsidR="0017465C" w:rsidRPr="6711C071">
        <w:rPr>
          <w:rFonts w:eastAsia="Calibri"/>
        </w:rPr>
        <w:t xml:space="preserve"> </w:t>
      </w:r>
      <w:r w:rsidRPr="6711C071">
        <w:rPr>
          <w:rFonts w:eastAsia="Calibri"/>
        </w:rPr>
        <w:t>scale within a farm. This is calculated as the sum of the products of nitrogen source(s) and nitrogen transport factors for both leaching and runoff (figure 2) as they interact with biophysical characteristics (soil type, slope, climate (</w:t>
      </w:r>
      <w:proofErr w:type="spellStart"/>
      <w:r w:rsidR="00537839" w:rsidRPr="6711C071">
        <w:rPr>
          <w:rFonts w:eastAsia="Calibri"/>
        </w:rPr>
        <w:t>ie</w:t>
      </w:r>
      <w:proofErr w:type="spellEnd"/>
      <w:r w:rsidR="00537839" w:rsidRPr="6711C071">
        <w:rPr>
          <w:rFonts w:eastAsia="Calibri"/>
        </w:rPr>
        <w:t xml:space="preserve">, </w:t>
      </w:r>
      <w:r w:rsidRPr="6711C071">
        <w:rPr>
          <w:rFonts w:eastAsia="Calibri"/>
        </w:rPr>
        <w:t xml:space="preserve">precipitation), and irrigation). </w:t>
      </w:r>
    </w:p>
    <w:p w14:paraId="788654C7" w14:textId="12E32439" w:rsidR="001F5600" w:rsidRDefault="001F5600" w:rsidP="002A0458">
      <w:pPr>
        <w:pStyle w:val="BodyText"/>
        <w:rPr>
          <w:rFonts w:eastAsia="Calibri"/>
          <w:color w:val="000000" w:themeColor="text1"/>
        </w:rPr>
      </w:pPr>
      <w:r w:rsidRPr="1ACDBE05">
        <w:rPr>
          <w:rFonts w:eastAsia="Calibri"/>
        </w:rPr>
        <w:t xml:space="preserve">Users manually change the </w:t>
      </w:r>
      <w:r w:rsidR="000B1AEE" w:rsidRPr="1ACDBE05">
        <w:rPr>
          <w:rFonts w:eastAsia="Calibri"/>
        </w:rPr>
        <w:t>nitrogen</w:t>
      </w:r>
      <w:r w:rsidRPr="1ACDBE05">
        <w:rPr>
          <w:rFonts w:eastAsia="Calibri"/>
        </w:rPr>
        <w:t xml:space="preserve"> source inputs if they are adopting, or scenario modelling, any of the </w:t>
      </w:r>
      <w:r w:rsidR="000B1AEE" w:rsidRPr="1ACDBE05">
        <w:rPr>
          <w:rFonts w:eastAsia="Calibri"/>
        </w:rPr>
        <w:t xml:space="preserve">RIT’s </w:t>
      </w:r>
      <w:r w:rsidRPr="1ACDBE05">
        <w:rPr>
          <w:rFonts w:eastAsia="Calibri"/>
        </w:rPr>
        <w:t>suggested mitigations.</w:t>
      </w:r>
    </w:p>
    <w:p w14:paraId="546F4F3A" w14:textId="37CA688F" w:rsidR="001F5600" w:rsidRDefault="001F5600" w:rsidP="001F5600">
      <w:pPr>
        <w:pStyle w:val="Figureheading"/>
        <w:rPr>
          <w:rFonts w:eastAsia="Calibri" w:cs="Calibri"/>
          <w:color w:val="000000" w:themeColor="text1"/>
        </w:rPr>
      </w:pPr>
      <w:bookmarkStart w:id="14" w:name="_Toc198907114"/>
      <w:r w:rsidRPr="4B85013E">
        <w:rPr>
          <w:rFonts w:eastAsia="Calibri" w:cs="Calibri"/>
          <w:bCs/>
          <w:color w:val="000000" w:themeColor="text1"/>
        </w:rPr>
        <w:t xml:space="preserve">Figure 2: </w:t>
      </w:r>
      <w:r w:rsidR="00EE1160">
        <w:rPr>
          <w:rFonts w:eastAsia="Calibri" w:cs="Calibri"/>
          <w:bCs/>
          <w:color w:val="000000" w:themeColor="text1"/>
        </w:rPr>
        <w:tab/>
      </w:r>
      <w:r w:rsidRPr="4B85013E">
        <w:rPr>
          <w:rFonts w:eastAsia="Calibri" w:cs="Calibri"/>
          <w:bCs/>
          <w:color w:val="000000" w:themeColor="text1"/>
        </w:rPr>
        <w:t>Baseline risk calculation</w:t>
      </w:r>
      <w:bookmarkEnd w:id="14"/>
    </w:p>
    <w:p w14:paraId="3E9AD230" w14:textId="77777777" w:rsidR="00BA1891" w:rsidRPr="007D5388" w:rsidRDefault="00BA1891" w:rsidP="00BA1891">
      <w:pPr>
        <w:pStyle w:val="BodyText"/>
        <w:rPr>
          <w:rStyle w:val="Heading2Char"/>
          <w:rFonts w:ascii="Calibri" w:eastAsiaTheme="minorEastAsia" w:hAnsi="Calibri" w:cstheme="minorBidi"/>
          <w:b w:val="0"/>
          <w:bCs w:val="0"/>
          <w:color w:val="auto"/>
          <w:sz w:val="22"/>
          <w:szCs w:val="22"/>
        </w:rPr>
      </w:pPr>
      <w:bookmarkStart w:id="15" w:name="_Toc119332484"/>
      <w:r>
        <w:rPr>
          <w:noProof/>
        </w:rPr>
        <w:drawing>
          <wp:inline distT="0" distB="0" distL="0" distR="0" wp14:anchorId="547E4458" wp14:editId="0B10B3B2">
            <wp:extent cx="5400675" cy="892175"/>
            <wp:effectExtent l="0" t="0" r="9525" b="3175"/>
            <wp:docPr id="2119515753" name="Picture 3" descr="A blue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15753" name="Picture 3" descr="A blue and white sign with white text&#10;&#10;AI-generated content may be incorrect."/>
                    <pic:cNvPicPr/>
                  </pic:nvPicPr>
                  <pic:blipFill>
                    <a:blip r:embed="rId23"/>
                    <a:stretch>
                      <a:fillRect/>
                    </a:stretch>
                  </pic:blipFill>
                  <pic:spPr>
                    <a:xfrm>
                      <a:off x="0" y="0"/>
                      <a:ext cx="5400675" cy="892175"/>
                    </a:xfrm>
                    <a:prstGeom prst="rect">
                      <a:avLst/>
                    </a:prstGeom>
                  </pic:spPr>
                </pic:pic>
              </a:graphicData>
            </a:graphic>
          </wp:inline>
        </w:drawing>
      </w:r>
    </w:p>
    <w:p w14:paraId="0F33D9F0" w14:textId="07F81F5A" w:rsidR="001F5600" w:rsidRPr="00BA1891" w:rsidRDefault="001F5600" w:rsidP="00BA1891">
      <w:pPr>
        <w:pStyle w:val="Heading2"/>
      </w:pPr>
      <w:bookmarkStart w:id="16" w:name="_Toc828349380"/>
      <w:bookmarkStart w:id="17" w:name="_Toc206066536"/>
      <w:bookmarkEnd w:id="15"/>
      <w:r>
        <w:t>Overall risk</w:t>
      </w:r>
      <w:bookmarkEnd w:id="16"/>
      <w:bookmarkEnd w:id="17"/>
    </w:p>
    <w:p w14:paraId="533C9431" w14:textId="194D0143" w:rsidR="001F5600" w:rsidRDefault="001F5600" w:rsidP="001F5600">
      <w:pPr>
        <w:pStyle w:val="BodyText"/>
        <w:rPr>
          <w:rFonts w:eastAsia="Calibri"/>
        </w:rPr>
      </w:pPr>
      <w:r w:rsidRPr="6711C071">
        <w:rPr>
          <w:rFonts w:eastAsia="Calibri"/>
        </w:rPr>
        <w:t>Overall risk is the risk of N</w:t>
      </w:r>
      <w:r w:rsidR="0010126E" w:rsidRPr="6711C071">
        <w:rPr>
          <w:rFonts w:eastAsia="Calibri"/>
        </w:rPr>
        <w:t> </w:t>
      </w:r>
      <w:r w:rsidRPr="6711C071">
        <w:rPr>
          <w:rFonts w:eastAsia="Calibri"/>
        </w:rPr>
        <w:t>loss from land relevant to management blocks within a farm</w:t>
      </w:r>
      <w:r w:rsidR="008F2507" w:rsidRPr="6711C071">
        <w:rPr>
          <w:rFonts w:eastAsia="Calibri"/>
        </w:rPr>
        <w:t>,</w:t>
      </w:r>
      <w:r w:rsidRPr="6711C071">
        <w:rPr>
          <w:rFonts w:eastAsia="Calibri"/>
        </w:rPr>
        <w:t xml:space="preserve"> after N</w:t>
      </w:r>
      <w:r w:rsidR="00787B6E">
        <w:rPr>
          <w:rFonts w:eastAsia="Calibri"/>
        </w:rPr>
        <w:t>-</w:t>
      </w:r>
      <w:r w:rsidRPr="6711C071">
        <w:rPr>
          <w:rFonts w:eastAsia="Calibri"/>
        </w:rPr>
        <w:t xml:space="preserve">loss modifiers are applied. </w:t>
      </w:r>
    </w:p>
    <w:p w14:paraId="560E0AFE" w14:textId="13217175" w:rsidR="001F5600" w:rsidRDefault="001F5600" w:rsidP="001F5600">
      <w:pPr>
        <w:pStyle w:val="BodyText"/>
        <w:rPr>
          <w:rFonts w:eastAsia="Calibri"/>
        </w:rPr>
      </w:pPr>
      <w:r w:rsidRPr="1ACDBE05">
        <w:rPr>
          <w:rFonts w:eastAsia="Calibri"/>
        </w:rPr>
        <w:t xml:space="preserve">The overall risk is calculated as the sum of the products of the baseline risk after modifiers are applied (figure 3). </w:t>
      </w:r>
    </w:p>
    <w:p w14:paraId="73C8A164" w14:textId="47603C2E" w:rsidR="001F5600" w:rsidRDefault="001F5600" w:rsidP="001F5600">
      <w:pPr>
        <w:pStyle w:val="Figureheading"/>
        <w:rPr>
          <w:rFonts w:eastAsia="Calibri" w:cs="Calibri"/>
          <w:color w:val="000000" w:themeColor="text1"/>
          <w:lang w:val="en-US"/>
        </w:rPr>
      </w:pPr>
      <w:bookmarkStart w:id="18" w:name="_Toc198907115"/>
      <w:r w:rsidRPr="4B85013E">
        <w:rPr>
          <w:rFonts w:eastAsia="Calibri" w:cs="Calibri"/>
          <w:color w:val="000000" w:themeColor="text1"/>
        </w:rPr>
        <w:t xml:space="preserve">Figure 3: </w:t>
      </w:r>
      <w:r w:rsidR="00BA2684">
        <w:rPr>
          <w:rFonts w:eastAsia="Calibri" w:cs="Calibri"/>
          <w:color w:val="000000" w:themeColor="text1"/>
        </w:rPr>
        <w:tab/>
      </w:r>
      <w:r w:rsidRPr="4B85013E">
        <w:rPr>
          <w:rFonts w:eastAsia="Calibri" w:cs="Calibri"/>
          <w:color w:val="000000" w:themeColor="text1"/>
        </w:rPr>
        <w:t>Overall block risk calculation</w:t>
      </w:r>
      <w:bookmarkEnd w:id="18"/>
      <w:r w:rsidRPr="4B85013E">
        <w:rPr>
          <w:rFonts w:eastAsia="Calibri" w:cs="Calibri"/>
          <w:color w:val="000000" w:themeColor="text1"/>
        </w:rPr>
        <w:t xml:space="preserve"> </w:t>
      </w:r>
    </w:p>
    <w:p w14:paraId="7C665801" w14:textId="77777777" w:rsidR="00900E4F" w:rsidRDefault="00900E4F" w:rsidP="00900E4F">
      <w:pPr>
        <w:pStyle w:val="BodyText"/>
      </w:pPr>
      <w:r>
        <w:rPr>
          <w:noProof/>
        </w:rPr>
        <w:drawing>
          <wp:inline distT="0" distB="0" distL="0" distR="0" wp14:anchorId="42D85557" wp14:editId="004ECB31">
            <wp:extent cx="5400675" cy="772160"/>
            <wp:effectExtent l="0" t="0" r="9525" b="8890"/>
            <wp:docPr id="1414326792"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26792" name="Picture 1" descr="A blue square with white text&#10;&#10;AI-generated content may be incorrect."/>
                    <pic:cNvPicPr/>
                  </pic:nvPicPr>
                  <pic:blipFill>
                    <a:blip r:embed="rId24"/>
                    <a:stretch>
                      <a:fillRect/>
                    </a:stretch>
                  </pic:blipFill>
                  <pic:spPr>
                    <a:xfrm>
                      <a:off x="0" y="0"/>
                      <a:ext cx="5400675" cy="772160"/>
                    </a:xfrm>
                    <a:prstGeom prst="rect">
                      <a:avLst/>
                    </a:prstGeom>
                  </pic:spPr>
                </pic:pic>
              </a:graphicData>
            </a:graphic>
          </wp:inline>
        </w:drawing>
      </w:r>
    </w:p>
    <w:p w14:paraId="5C147D1D" w14:textId="374500AB" w:rsidR="001F5600" w:rsidRDefault="001F5600" w:rsidP="001F5600">
      <w:pPr>
        <w:pStyle w:val="BodyText"/>
        <w:rPr>
          <w:rFonts w:eastAsia="Calibri"/>
        </w:rPr>
      </w:pPr>
      <w:r w:rsidRPr="6711C071">
        <w:rPr>
          <w:rFonts w:eastAsia="Calibri"/>
        </w:rPr>
        <w:t>Leaching and runoff scores are also presented</w:t>
      </w:r>
      <w:r w:rsidR="63E72881" w:rsidRPr="6711C071">
        <w:rPr>
          <w:rFonts w:eastAsia="Calibri"/>
        </w:rPr>
        <w:t>,</w:t>
      </w:r>
      <w:r w:rsidRPr="6711C071">
        <w:rPr>
          <w:rFonts w:eastAsia="Calibri"/>
        </w:rPr>
        <w:t xml:space="preserve"> so the user can see how each pathway is contributing to the risk score (</w:t>
      </w:r>
      <w:hyperlink w:anchor="figure4" w:history="1">
        <w:r w:rsidRPr="00A35BCE">
          <w:rPr>
            <w:rStyle w:val="Hyperlink"/>
            <w:rFonts w:eastAsia="Calibri"/>
          </w:rPr>
          <w:t>figure 4</w:t>
        </w:r>
      </w:hyperlink>
      <w:r w:rsidRPr="53909BF2">
        <w:rPr>
          <w:rFonts w:eastAsia="Calibri"/>
        </w:rPr>
        <w:t>).</w:t>
      </w:r>
    </w:p>
    <w:p w14:paraId="4268504F" w14:textId="0671F060" w:rsidR="001F5600" w:rsidRDefault="001F5600" w:rsidP="001F5600">
      <w:pPr>
        <w:pStyle w:val="Figureheading"/>
        <w:rPr>
          <w:rFonts w:eastAsia="Calibri" w:cs="Calibri"/>
          <w:color w:val="000000" w:themeColor="text1"/>
          <w:lang w:val="en-US"/>
        </w:rPr>
      </w:pPr>
      <w:bookmarkStart w:id="19" w:name="figure4"/>
      <w:bookmarkStart w:id="20" w:name="_Toc198907116"/>
      <w:r>
        <w:lastRenderedPageBreak/>
        <w:t xml:space="preserve">Figure </w:t>
      </w:r>
      <w:bookmarkEnd w:id="19"/>
      <w:r>
        <w:t xml:space="preserve">4: </w:t>
      </w:r>
      <w:r w:rsidR="00F35F30">
        <w:tab/>
      </w:r>
      <w:r>
        <w:t>Leaching and runoff risk score components of the baseline and overall risk score</w:t>
      </w:r>
      <w:bookmarkEnd w:id="20"/>
    </w:p>
    <w:p w14:paraId="36DDB380" w14:textId="77777777" w:rsidR="001F5600" w:rsidRDefault="001F5600" w:rsidP="001F5600">
      <w:r>
        <w:rPr>
          <w:noProof/>
        </w:rPr>
        <w:drawing>
          <wp:inline distT="0" distB="0" distL="0" distR="0" wp14:anchorId="68C68306" wp14:editId="1CE9E32A">
            <wp:extent cx="5400000" cy="3608651"/>
            <wp:effectExtent l="0" t="0" r="0" b="0"/>
            <wp:docPr id="1115996219" name="Picture 111599621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96219" name="Picture 1115996219" descr="A screenshot of a computer scree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400000" cy="3608651"/>
                    </a:xfrm>
                    <a:prstGeom prst="rect">
                      <a:avLst/>
                    </a:prstGeom>
                  </pic:spPr>
                </pic:pic>
              </a:graphicData>
            </a:graphic>
          </wp:inline>
        </w:drawing>
      </w:r>
    </w:p>
    <w:p w14:paraId="723C164E" w14:textId="4DF92478" w:rsidR="001F5600" w:rsidRDefault="001F5600" w:rsidP="001F5600">
      <w:pPr>
        <w:pStyle w:val="BodyText"/>
        <w:rPr>
          <w:rFonts w:eastAsia="Calibri"/>
        </w:rPr>
      </w:pPr>
      <w:r w:rsidRPr="0F37576E">
        <w:rPr>
          <w:rFonts w:eastAsia="Calibri"/>
        </w:rPr>
        <w:t>Other scores are presented at block and farm level and shown as aggregated scores and per hectare scores.</w:t>
      </w:r>
    </w:p>
    <w:p w14:paraId="0630A241" w14:textId="0D86A879" w:rsidR="001F5600" w:rsidRDefault="001F5600" w:rsidP="001F5600">
      <w:pPr>
        <w:pStyle w:val="BodyText"/>
        <w:rPr>
          <w:rFonts w:eastAsia="Calibri"/>
        </w:rPr>
      </w:pPr>
      <w:r w:rsidRPr="194D7946">
        <w:rPr>
          <w:rFonts w:eastAsia="Calibri"/>
        </w:rPr>
        <w:t>All scores have their own purpose and provide consumers of the reports with different insights into N-loss risks on farm.</w:t>
      </w:r>
    </w:p>
    <w:p w14:paraId="12CD4B18" w14:textId="77777777" w:rsidR="001F5600" w:rsidRDefault="001F5600" w:rsidP="001F5600">
      <w:pPr>
        <w:pStyle w:val="BodyText"/>
        <w:rPr>
          <w:rFonts w:eastAsia="Calibri"/>
        </w:rPr>
      </w:pPr>
      <w:r w:rsidRPr="6426649E">
        <w:rPr>
          <w:rFonts w:eastAsia="Calibri"/>
        </w:rPr>
        <w:t>The different scores produced by the tool are described below.</w:t>
      </w:r>
    </w:p>
    <w:p w14:paraId="14E4D7AC" w14:textId="77777777" w:rsidR="00C560C2" w:rsidRDefault="001F5600" w:rsidP="00EC55C0">
      <w:pPr>
        <w:pStyle w:val="Heading3"/>
        <w:rPr>
          <w:rStyle w:val="Heading2Char"/>
          <w:color w:val="auto"/>
          <w:sz w:val="28"/>
          <w:szCs w:val="28"/>
        </w:rPr>
      </w:pPr>
      <w:bookmarkStart w:id="21" w:name="_Toc206066537"/>
      <w:bookmarkStart w:id="22" w:name="_Toc580141957"/>
      <w:r w:rsidRPr="0F37576E">
        <w:rPr>
          <w:rStyle w:val="Heading2Char"/>
          <w:b/>
          <w:bCs/>
          <w:color w:val="auto"/>
          <w:sz w:val="28"/>
          <w:szCs w:val="28"/>
        </w:rPr>
        <w:t>Aggregated scores</w:t>
      </w:r>
      <w:bookmarkEnd w:id="21"/>
      <w:r w:rsidRPr="0F37576E">
        <w:rPr>
          <w:rStyle w:val="Heading2Char"/>
          <w:b/>
          <w:bCs/>
          <w:color w:val="auto"/>
          <w:sz w:val="28"/>
          <w:szCs w:val="28"/>
        </w:rPr>
        <w:t xml:space="preserve"> </w:t>
      </w:r>
      <w:bookmarkEnd w:id="22"/>
    </w:p>
    <w:p w14:paraId="18208188" w14:textId="4314ED6A" w:rsidR="001F5600" w:rsidRDefault="001F5600" w:rsidP="001F5600">
      <w:pPr>
        <w:pStyle w:val="BodyText"/>
        <w:rPr>
          <w:rFonts w:eastAsia="Calibri"/>
        </w:rPr>
      </w:pPr>
      <w:r w:rsidRPr="1ACDBE05">
        <w:rPr>
          <w:rFonts w:eastAsia="Calibri"/>
        </w:rPr>
        <w:t>Aggregated scores are total scores presented at block level and farm level as seen in figure 4</w:t>
      </w:r>
      <w:r w:rsidR="00BC6F29" w:rsidRPr="1ACDBE05">
        <w:rPr>
          <w:rFonts w:eastAsia="Calibri"/>
        </w:rPr>
        <w:t>.</w:t>
      </w:r>
    </w:p>
    <w:p w14:paraId="3215EA8A" w14:textId="7469E469" w:rsidR="001F5600" w:rsidRDefault="001F5600" w:rsidP="001F5600">
      <w:pPr>
        <w:pStyle w:val="BodyText"/>
        <w:rPr>
          <w:rFonts w:eastAsia="Calibri"/>
        </w:rPr>
      </w:pPr>
      <w:r w:rsidRPr="1ACDBE05">
        <w:rPr>
          <w:rFonts w:eastAsia="Calibri"/>
          <w:b/>
          <w:bCs/>
        </w:rPr>
        <w:t>Block score (aggregated):</w:t>
      </w:r>
      <w:r w:rsidRPr="000F5A40">
        <w:rPr>
          <w:rFonts w:eastAsia="Calibri"/>
        </w:rPr>
        <w:t xml:space="preserve"> </w:t>
      </w:r>
      <w:r w:rsidRPr="1ACDBE05">
        <w:rPr>
          <w:rFonts w:eastAsia="Calibri"/>
        </w:rPr>
        <w:t>calculated as the total N</w:t>
      </w:r>
      <w:r w:rsidR="00401AE2">
        <w:rPr>
          <w:rFonts w:eastAsia="Calibri"/>
        </w:rPr>
        <w:t>-</w:t>
      </w:r>
      <w:r w:rsidRPr="1ACDBE05">
        <w:rPr>
          <w:rFonts w:eastAsia="Calibri"/>
        </w:rPr>
        <w:t>loss risk of all polygons, or parts of polygons, contained within the area of that block.</w:t>
      </w:r>
      <w:r w:rsidRPr="1ACDBE05">
        <w:rPr>
          <w:rFonts w:eastAsia="Calibri"/>
          <w:b/>
          <w:bCs/>
        </w:rPr>
        <w:t xml:space="preserve"> </w:t>
      </w:r>
    </w:p>
    <w:p w14:paraId="0DD38973" w14:textId="4058FBF0" w:rsidR="001F5600" w:rsidRDefault="001F5600" w:rsidP="001F5600">
      <w:pPr>
        <w:pStyle w:val="BodyText"/>
        <w:rPr>
          <w:rFonts w:eastAsia="Calibri"/>
        </w:rPr>
      </w:pPr>
      <w:r w:rsidRPr="6711C071">
        <w:rPr>
          <w:rFonts w:eastAsia="Calibri"/>
          <w:b/>
          <w:bCs/>
        </w:rPr>
        <w:t>Farm score (aggregated):</w:t>
      </w:r>
      <w:r w:rsidRPr="000F5A40">
        <w:rPr>
          <w:rFonts w:eastAsia="Calibri"/>
        </w:rPr>
        <w:t xml:space="preserve"> </w:t>
      </w:r>
      <w:r w:rsidRPr="6711C071">
        <w:rPr>
          <w:rFonts w:eastAsia="Calibri"/>
        </w:rPr>
        <w:t>the total score of all blocks within the farm</w:t>
      </w:r>
      <w:r w:rsidR="003607F1" w:rsidRPr="6711C071">
        <w:rPr>
          <w:rFonts w:eastAsia="Calibri"/>
        </w:rPr>
        <w:t>,</w:t>
      </w:r>
      <w:r w:rsidRPr="6711C071">
        <w:rPr>
          <w:rFonts w:eastAsia="Calibri"/>
        </w:rPr>
        <w:t xml:space="preserve"> </w:t>
      </w:r>
      <w:r w:rsidR="003607F1" w:rsidRPr="6711C071">
        <w:rPr>
          <w:rFonts w:eastAsia="Calibri"/>
        </w:rPr>
        <w:t xml:space="preserve">including </w:t>
      </w:r>
      <w:r w:rsidRPr="6711C071">
        <w:rPr>
          <w:rFonts w:eastAsia="Calibri"/>
        </w:rPr>
        <w:t>the ineffective land.</w:t>
      </w:r>
    </w:p>
    <w:p w14:paraId="45FD5693" w14:textId="65BF3625" w:rsidR="001F5600" w:rsidRPr="00EC55C0" w:rsidRDefault="001F5600" w:rsidP="00EC55C0">
      <w:pPr>
        <w:pStyle w:val="Heading3"/>
        <w:rPr>
          <w:rStyle w:val="Heading2Char"/>
          <w:b/>
          <w:bCs/>
          <w:color w:val="auto"/>
          <w:sz w:val="28"/>
          <w:szCs w:val="22"/>
        </w:rPr>
      </w:pPr>
      <w:bookmarkStart w:id="23" w:name="_Toc206066538"/>
      <w:bookmarkStart w:id="24" w:name="_Toc1482854126"/>
      <w:r w:rsidRPr="00EC55C0">
        <w:rPr>
          <w:rStyle w:val="Heading2Char"/>
          <w:b/>
          <w:bCs/>
          <w:color w:val="auto"/>
          <w:sz w:val="28"/>
          <w:szCs w:val="22"/>
        </w:rPr>
        <w:t>Per hectare scores</w:t>
      </w:r>
      <w:bookmarkEnd w:id="23"/>
      <w:r w:rsidRPr="00EC55C0">
        <w:rPr>
          <w:rStyle w:val="Heading2Char"/>
          <w:b/>
          <w:bCs/>
          <w:color w:val="auto"/>
          <w:sz w:val="28"/>
          <w:szCs w:val="22"/>
        </w:rPr>
        <w:t xml:space="preserve"> </w:t>
      </w:r>
      <w:bookmarkEnd w:id="24"/>
    </w:p>
    <w:p w14:paraId="22EF1E0B" w14:textId="1A1FE6AF" w:rsidR="001F5600" w:rsidRDefault="001F5600" w:rsidP="001F5600">
      <w:pPr>
        <w:pStyle w:val="BodyText"/>
        <w:rPr>
          <w:rFonts w:eastAsia="Calibri"/>
        </w:rPr>
      </w:pPr>
      <w:r w:rsidRPr="1ACDBE05">
        <w:rPr>
          <w:rFonts w:eastAsia="Calibri"/>
        </w:rPr>
        <w:t>Per hectare scores are presented at block level and farm level</w:t>
      </w:r>
      <w:r w:rsidR="004B5978" w:rsidRPr="1ACDBE05">
        <w:rPr>
          <w:rFonts w:eastAsia="Calibri"/>
        </w:rPr>
        <w:t>.</w:t>
      </w:r>
    </w:p>
    <w:p w14:paraId="4A606144" w14:textId="21A72DBB" w:rsidR="001F5600" w:rsidRDefault="001F5600" w:rsidP="001F5600">
      <w:pPr>
        <w:pStyle w:val="BodyText"/>
        <w:rPr>
          <w:rFonts w:eastAsia="Calibri"/>
        </w:rPr>
      </w:pPr>
      <w:r w:rsidRPr="1ACDBE05">
        <w:rPr>
          <w:rFonts w:eastAsia="Calibri"/>
          <w:b/>
          <w:bCs/>
        </w:rPr>
        <w:t xml:space="preserve">Block score (per hectare): </w:t>
      </w:r>
      <w:r w:rsidRPr="1ACDBE05">
        <w:rPr>
          <w:rFonts w:eastAsia="Calibri"/>
        </w:rPr>
        <w:t>calculated as the aggregated block score divided by the area of the block in hectares.</w:t>
      </w:r>
    </w:p>
    <w:p w14:paraId="6E803C4D" w14:textId="607863C9" w:rsidR="001F5600" w:rsidRDefault="001F5600" w:rsidP="001F5600">
      <w:pPr>
        <w:pStyle w:val="BodyText"/>
        <w:rPr>
          <w:rFonts w:eastAsia="Calibri"/>
        </w:rPr>
      </w:pPr>
      <w:r w:rsidRPr="1ACDBE05">
        <w:rPr>
          <w:rFonts w:eastAsia="Calibri"/>
          <w:b/>
          <w:bCs/>
        </w:rPr>
        <w:t xml:space="preserve">Farm score (per hectare): </w:t>
      </w:r>
      <w:r w:rsidRPr="1ACDBE05">
        <w:rPr>
          <w:rFonts w:eastAsia="Calibri"/>
        </w:rPr>
        <w:t xml:space="preserve">calculated using the aggregated farm score divided by the area of the farm (including ineffective </w:t>
      </w:r>
      <w:r w:rsidR="43AE0FDB" w:rsidRPr="1ACDBE05">
        <w:rPr>
          <w:rFonts w:eastAsia="Calibri"/>
        </w:rPr>
        <w:t>land</w:t>
      </w:r>
      <w:r w:rsidRPr="1ACDBE05">
        <w:rPr>
          <w:rFonts w:eastAsia="Calibri"/>
        </w:rPr>
        <w:t>).</w:t>
      </w:r>
    </w:p>
    <w:p w14:paraId="47D14C69" w14:textId="3A444B31" w:rsidR="001F5600" w:rsidRDefault="001F5600" w:rsidP="001F5600">
      <w:pPr>
        <w:pStyle w:val="Heading2"/>
      </w:pPr>
      <w:bookmarkStart w:id="25" w:name="_Toc687939264"/>
      <w:bookmarkStart w:id="26" w:name="_Toc206066539"/>
      <w:r>
        <w:lastRenderedPageBreak/>
        <w:t>Heatmaps</w:t>
      </w:r>
      <w:bookmarkEnd w:id="25"/>
      <w:bookmarkEnd w:id="26"/>
    </w:p>
    <w:p w14:paraId="436D3AE6" w14:textId="0B6C1C90" w:rsidR="001F5600" w:rsidRDefault="001F5600" w:rsidP="001F5600">
      <w:pPr>
        <w:pStyle w:val="BodyText"/>
        <w:rPr>
          <w:rFonts w:eastAsia="Calibri"/>
        </w:rPr>
      </w:pPr>
      <w:r w:rsidRPr="6711C071">
        <w:rPr>
          <w:rFonts w:eastAsia="Calibri"/>
        </w:rPr>
        <w:t>Risk scores are used to create heatmaps of risk</w:t>
      </w:r>
      <w:r w:rsidR="00EE3C56" w:rsidRPr="6711C071">
        <w:rPr>
          <w:rFonts w:eastAsia="Calibri"/>
        </w:rPr>
        <w:t>,</w:t>
      </w:r>
      <w:r w:rsidRPr="6711C071">
        <w:rPr>
          <w:rFonts w:eastAsia="Calibri"/>
        </w:rPr>
        <w:t xml:space="preserve"> using polygon scores. Two different heatmaps are produced</w:t>
      </w:r>
      <w:r w:rsidR="00EE3C56" w:rsidRPr="6711C071">
        <w:rPr>
          <w:rFonts w:eastAsia="Calibri"/>
        </w:rPr>
        <w:t>.</w:t>
      </w:r>
    </w:p>
    <w:p w14:paraId="5E3710B8" w14:textId="3166DDAC" w:rsidR="001F5600" w:rsidRDefault="001F5600" w:rsidP="001F5600">
      <w:pPr>
        <w:pStyle w:val="BodyText"/>
        <w:rPr>
          <w:rFonts w:eastAsia="Calibri"/>
        </w:rPr>
      </w:pPr>
      <w:r w:rsidRPr="1ACDBE05">
        <w:rPr>
          <w:rFonts w:eastAsia="Calibri"/>
          <w:b/>
          <w:bCs/>
        </w:rPr>
        <w:t xml:space="preserve">Heatmap of overall risk per </w:t>
      </w:r>
      <w:proofErr w:type="gramStart"/>
      <w:r w:rsidRPr="1ACDBE05">
        <w:rPr>
          <w:rFonts w:eastAsia="Calibri"/>
          <w:b/>
          <w:bCs/>
        </w:rPr>
        <w:t>polygon:</w:t>
      </w:r>
      <w:proofErr w:type="gramEnd"/>
      <w:r w:rsidRPr="00E70DFA">
        <w:rPr>
          <w:rFonts w:eastAsia="Calibri"/>
        </w:rPr>
        <w:t xml:space="preserve"> </w:t>
      </w:r>
      <w:r w:rsidRPr="1ACDBE05">
        <w:rPr>
          <w:rFonts w:eastAsia="Calibri"/>
        </w:rPr>
        <w:t xml:space="preserve">shows all the polygons within the report area, shaded according to the overall risk of each polygon. </w:t>
      </w:r>
      <w:r w:rsidR="001B396E" w:rsidRPr="1ACDBE05">
        <w:rPr>
          <w:rFonts w:eastAsia="Calibri"/>
        </w:rPr>
        <w:t>L</w:t>
      </w:r>
      <w:r w:rsidRPr="1ACDBE05">
        <w:rPr>
          <w:rFonts w:eastAsia="Calibri"/>
        </w:rPr>
        <w:t>arger polygons are likely to be higher</w:t>
      </w:r>
      <w:r w:rsidR="00ED5FDD" w:rsidRPr="1ACDBE05">
        <w:rPr>
          <w:rFonts w:eastAsia="Calibri"/>
        </w:rPr>
        <w:t xml:space="preserve"> </w:t>
      </w:r>
      <w:r w:rsidRPr="1ACDBE05">
        <w:rPr>
          <w:rFonts w:eastAsia="Calibri"/>
        </w:rPr>
        <w:t>risk</w:t>
      </w:r>
      <w:r w:rsidR="00ED5FDD" w:rsidRPr="1ACDBE05">
        <w:rPr>
          <w:rFonts w:eastAsia="Calibri"/>
        </w:rPr>
        <w:t>,</w:t>
      </w:r>
      <w:r w:rsidRPr="1ACDBE05">
        <w:rPr>
          <w:rFonts w:eastAsia="Calibri"/>
        </w:rPr>
        <w:t xml:space="preserve"> due to their larger area. An example heatmap of the overall risk is shown in figure 5.</w:t>
      </w:r>
    </w:p>
    <w:p w14:paraId="519F4511" w14:textId="355930FA" w:rsidR="001F5600" w:rsidRDefault="001F5600" w:rsidP="001F5600">
      <w:pPr>
        <w:pStyle w:val="Figureheading"/>
      </w:pPr>
      <w:bookmarkStart w:id="27" w:name="figure5"/>
      <w:bookmarkStart w:id="28" w:name="_Toc198907117"/>
      <w:r>
        <w:t>Figure 5</w:t>
      </w:r>
      <w:bookmarkEnd w:id="27"/>
      <w:r w:rsidR="00ED5FDD">
        <w:t>:</w:t>
      </w:r>
      <w:r>
        <w:t xml:space="preserve"> </w:t>
      </w:r>
      <w:r w:rsidR="00BE5172">
        <w:tab/>
      </w:r>
      <w:r w:rsidR="00ED5FDD">
        <w:t>E</w:t>
      </w:r>
      <w:r>
        <w:t>xample overall score heatmap</w:t>
      </w:r>
      <w:bookmarkEnd w:id="28"/>
    </w:p>
    <w:p w14:paraId="6115171F" w14:textId="12793509" w:rsidR="001F5600" w:rsidRDefault="001F5600" w:rsidP="53909BF2">
      <w:pPr>
        <w:spacing w:before="60" w:after="60" w:line="240" w:lineRule="atLeast"/>
      </w:pPr>
      <w:r>
        <w:rPr>
          <w:noProof/>
        </w:rPr>
        <w:drawing>
          <wp:inline distT="0" distB="0" distL="0" distR="0" wp14:anchorId="7A72ABC4" wp14:editId="660498C4">
            <wp:extent cx="5400000" cy="2423077"/>
            <wp:effectExtent l="0" t="0" r="0" b="0"/>
            <wp:docPr id="1499024415" name="Picture 1499024415" descr="A map of land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24415" name="Picture 1499024415" descr="A map of land with red lines&#10;&#10;AI-generated content may be incorrect."/>
                    <pic:cNvPicPr/>
                  </pic:nvPicPr>
                  <pic:blipFill rotWithShape="1">
                    <a:blip r:embed="rId26">
                      <a:extLst>
                        <a:ext uri="{28A0092B-C50C-407E-A947-70E740481C1C}">
                          <a14:useLocalDpi xmlns:a14="http://schemas.microsoft.com/office/drawing/2010/main" val="0"/>
                        </a:ext>
                      </a:extLst>
                    </a:blip>
                    <a:srcRect t="10828"/>
                    <a:stretch/>
                  </pic:blipFill>
                  <pic:spPr bwMode="auto">
                    <a:xfrm>
                      <a:off x="0" y="0"/>
                      <a:ext cx="5400000" cy="2423077"/>
                    </a:xfrm>
                    <a:prstGeom prst="rect">
                      <a:avLst/>
                    </a:prstGeom>
                    <a:ln>
                      <a:noFill/>
                    </a:ln>
                    <a:extLst>
                      <a:ext uri="{53640926-AAD7-44D8-BBD7-CCE9431645EC}">
                        <a14:shadowObscured xmlns:a14="http://schemas.microsoft.com/office/drawing/2010/main"/>
                      </a:ext>
                    </a:extLst>
                  </pic:spPr>
                </pic:pic>
              </a:graphicData>
            </a:graphic>
          </wp:inline>
        </w:drawing>
      </w:r>
    </w:p>
    <w:p w14:paraId="23AFDBD7" w14:textId="3E7F8C94" w:rsidR="00765065" w:rsidRDefault="5E8E6D04" w:rsidP="00765065">
      <w:pPr>
        <w:pStyle w:val="Note"/>
      </w:pPr>
      <w:r>
        <w:t>N</w:t>
      </w:r>
      <w:r w:rsidR="03AF911E">
        <w:t>ote</w:t>
      </w:r>
      <w:r>
        <w:t>: This heatmap was generated using fictitious data that has no relevance to the real land use at this location.</w:t>
      </w:r>
    </w:p>
    <w:p w14:paraId="00D80634" w14:textId="580D28D4" w:rsidR="001F5600" w:rsidRDefault="001F5600" w:rsidP="001F5600">
      <w:pPr>
        <w:pStyle w:val="BodyText"/>
        <w:rPr>
          <w:rFonts w:eastAsia="Calibri"/>
        </w:rPr>
      </w:pPr>
      <w:r w:rsidRPr="1ACDBE05">
        <w:rPr>
          <w:rFonts w:eastAsia="Calibri"/>
          <w:b/>
          <w:bCs/>
        </w:rPr>
        <w:t xml:space="preserve">Heatmap of risk per </w:t>
      </w:r>
      <w:proofErr w:type="gramStart"/>
      <w:r w:rsidRPr="1ACDBE05">
        <w:rPr>
          <w:rFonts w:eastAsia="Calibri"/>
          <w:b/>
          <w:bCs/>
        </w:rPr>
        <w:t>hectare:</w:t>
      </w:r>
      <w:proofErr w:type="gramEnd"/>
      <w:r w:rsidRPr="00E70DFA">
        <w:rPr>
          <w:rFonts w:eastAsia="Calibri"/>
        </w:rPr>
        <w:t xml:space="preserve"> </w:t>
      </w:r>
      <w:r w:rsidRPr="1ACDBE05">
        <w:rPr>
          <w:rFonts w:eastAsia="Calibri"/>
        </w:rPr>
        <w:t>shows all the polygons within the report area, shaded according to the risk per hectare of each polygon (</w:t>
      </w:r>
      <w:proofErr w:type="spellStart"/>
      <w:r w:rsidRPr="1ACDBE05">
        <w:rPr>
          <w:rFonts w:eastAsia="Calibri"/>
        </w:rPr>
        <w:t>ie</w:t>
      </w:r>
      <w:proofErr w:type="spellEnd"/>
      <w:r w:rsidRPr="1ACDBE05">
        <w:rPr>
          <w:rFonts w:eastAsia="Calibri"/>
        </w:rPr>
        <w:t>, the total risk of each polygon divided by its area in hectares). Figure 6 shows the per hectare risk</w:t>
      </w:r>
      <w:r w:rsidR="0089459B" w:rsidRPr="1ACDBE05">
        <w:rPr>
          <w:rFonts w:eastAsia="Calibri"/>
        </w:rPr>
        <w:t xml:space="preserve"> – note</w:t>
      </w:r>
      <w:r w:rsidRPr="1ACDBE05">
        <w:rPr>
          <w:rFonts w:eastAsia="Calibri"/>
        </w:rPr>
        <w:t xml:space="preserve"> the colour change between overall risk and per hectare risk.</w:t>
      </w:r>
    </w:p>
    <w:p w14:paraId="6241DC63" w14:textId="78B98202" w:rsidR="001F5600" w:rsidRDefault="001F5600" w:rsidP="001F5600">
      <w:pPr>
        <w:pStyle w:val="Figureheading"/>
      </w:pPr>
      <w:bookmarkStart w:id="29" w:name="figure6"/>
      <w:bookmarkStart w:id="30" w:name="_Toc198907118"/>
      <w:r>
        <w:t>Figure 6</w:t>
      </w:r>
      <w:bookmarkEnd w:id="29"/>
      <w:r>
        <w:t xml:space="preserve">: </w:t>
      </w:r>
      <w:r w:rsidR="000936D0">
        <w:tab/>
      </w:r>
      <w:r w:rsidR="0089459B">
        <w:t>H</w:t>
      </w:r>
      <w:r>
        <w:t>eatmap of per hectare risk</w:t>
      </w:r>
      <w:bookmarkEnd w:id="30"/>
    </w:p>
    <w:p w14:paraId="79EB78C8" w14:textId="441A1F56" w:rsidR="001F5600" w:rsidRDefault="001F5600" w:rsidP="53909BF2">
      <w:pPr>
        <w:spacing w:before="60" w:after="60" w:line="240" w:lineRule="atLeast"/>
      </w:pPr>
      <w:r>
        <w:rPr>
          <w:noProof/>
        </w:rPr>
        <w:drawing>
          <wp:inline distT="0" distB="0" distL="0" distR="0" wp14:anchorId="70A3813D" wp14:editId="1A144D55">
            <wp:extent cx="5400000" cy="2387086"/>
            <wp:effectExtent l="0" t="0" r="0" b="0"/>
            <wp:docPr id="1976398146" name="Picture 1976398146" descr="A map of land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98146" name="Picture 1976398146" descr="A map of land with red lines&#10;&#10;AI-generated content may be incorrect."/>
                    <pic:cNvPicPr/>
                  </pic:nvPicPr>
                  <pic:blipFill rotWithShape="1">
                    <a:blip r:embed="rId27">
                      <a:extLst>
                        <a:ext uri="{28A0092B-C50C-407E-A947-70E740481C1C}">
                          <a14:useLocalDpi xmlns:a14="http://schemas.microsoft.com/office/drawing/2010/main" val="0"/>
                        </a:ext>
                      </a:extLst>
                    </a:blip>
                    <a:srcRect l="1762" t="13794" r="1443" b="2508"/>
                    <a:stretch/>
                  </pic:blipFill>
                  <pic:spPr bwMode="auto">
                    <a:xfrm>
                      <a:off x="0" y="0"/>
                      <a:ext cx="5400000" cy="2387086"/>
                    </a:xfrm>
                    <a:prstGeom prst="rect">
                      <a:avLst/>
                    </a:prstGeom>
                    <a:ln>
                      <a:noFill/>
                    </a:ln>
                    <a:extLst>
                      <a:ext uri="{53640926-AAD7-44D8-BBD7-CCE9431645EC}">
                        <a14:shadowObscured xmlns:a14="http://schemas.microsoft.com/office/drawing/2010/main"/>
                      </a:ext>
                    </a:extLst>
                  </pic:spPr>
                </pic:pic>
              </a:graphicData>
            </a:graphic>
          </wp:inline>
        </w:drawing>
      </w:r>
    </w:p>
    <w:p w14:paraId="296E4588" w14:textId="26A5B2DC" w:rsidR="00352454" w:rsidRDefault="03AF911E" w:rsidP="00352454">
      <w:pPr>
        <w:pStyle w:val="Note"/>
      </w:pPr>
      <w:bookmarkStart w:id="31" w:name="_Toc1484345534"/>
      <w:r>
        <w:t>Note: This heatmap was generated using fictitious data that has no relevance to the real land use at this location.</w:t>
      </w:r>
    </w:p>
    <w:p w14:paraId="6057FA87" w14:textId="33B8A697" w:rsidR="001F5600" w:rsidRDefault="001F5600" w:rsidP="001F5600">
      <w:pPr>
        <w:pStyle w:val="Heading1"/>
      </w:pPr>
      <w:bookmarkStart w:id="32" w:name="_Toc206066540"/>
      <w:r>
        <w:lastRenderedPageBreak/>
        <w:t>Score interpretation</w:t>
      </w:r>
      <w:bookmarkEnd w:id="31"/>
      <w:bookmarkEnd w:id="32"/>
    </w:p>
    <w:p w14:paraId="2A33047B" w14:textId="6269D9C3" w:rsidR="001F5600" w:rsidRPr="00ED1B8E" w:rsidRDefault="001F5600" w:rsidP="00295595">
      <w:pPr>
        <w:pStyle w:val="BodyText"/>
      </w:pPr>
      <w:r w:rsidRPr="00295595">
        <w:t>The RIT produces an index of N</w:t>
      </w:r>
      <w:r w:rsidR="00401AE2" w:rsidRPr="00295595">
        <w:t>-</w:t>
      </w:r>
      <w:r w:rsidRPr="00295595">
        <w:t xml:space="preserve">loss risk from agricultural land use. The index is a measure of relative magnitude </w:t>
      </w:r>
      <w:r w:rsidR="0005547C" w:rsidRPr="00ED1B8E">
        <w:t>and</w:t>
      </w:r>
      <w:r w:rsidR="0005547C" w:rsidRPr="00295595">
        <w:t xml:space="preserve"> </w:t>
      </w:r>
      <w:r w:rsidRPr="00295595">
        <w:t xml:space="preserve">likelihood. It is important to note that the RIT does not try to balance mass of </w:t>
      </w:r>
      <w:r w:rsidR="0005547C" w:rsidRPr="00295595">
        <w:t xml:space="preserve">nitrogen, and risk is not expressed as </w:t>
      </w:r>
      <w:r w:rsidRPr="00295595">
        <w:t xml:space="preserve">kg/N/ha. </w:t>
      </w:r>
    </w:p>
    <w:p w14:paraId="023FAAB2" w14:textId="7FADFB0F" w:rsidR="001F5600" w:rsidRPr="00ED1B8E" w:rsidRDefault="001F5600" w:rsidP="00295595">
      <w:pPr>
        <w:pStyle w:val="BodyText"/>
      </w:pPr>
      <w:r>
        <w:t>Scores represent the risk of nitrogen being lost from the plant root zone via leaching or leaving the farm via runoff. It is not a measure of the risk of the nitrogen ending up in the receiving environment (</w:t>
      </w:r>
      <w:proofErr w:type="spellStart"/>
      <w:r>
        <w:t>eg</w:t>
      </w:r>
      <w:proofErr w:type="spellEnd"/>
      <w:r w:rsidR="424768EB">
        <w:t>,</w:t>
      </w:r>
      <w:r>
        <w:t xml:space="preserve"> surface water bodies or groundwater). </w:t>
      </w:r>
    </w:p>
    <w:p w14:paraId="5F841121" w14:textId="56B53954" w:rsidR="001F5600" w:rsidRPr="00ED1B8E" w:rsidRDefault="5338C8E0" w:rsidP="00295595">
      <w:pPr>
        <w:pStyle w:val="BodyText"/>
      </w:pPr>
      <w:r w:rsidRPr="00295595">
        <w:t>L</w:t>
      </w:r>
      <w:r w:rsidR="001F5600" w:rsidRPr="00295595">
        <w:t>ower scores relate to lower N</w:t>
      </w:r>
      <w:r w:rsidR="00EF1681" w:rsidRPr="00295595">
        <w:t> </w:t>
      </w:r>
      <w:r w:rsidR="001F5600" w:rsidRPr="00295595">
        <w:t>losses and higher scores to higher N</w:t>
      </w:r>
      <w:r w:rsidR="00EF1681" w:rsidRPr="00295595">
        <w:t> </w:t>
      </w:r>
      <w:r w:rsidR="001F5600" w:rsidRPr="00295595">
        <w:t xml:space="preserve">losses (kg) </w:t>
      </w:r>
      <w:r w:rsidR="00EF1681" w:rsidRPr="00295595">
        <w:t xml:space="preserve">– </w:t>
      </w:r>
      <w:r w:rsidR="001F5600" w:rsidRPr="00295595">
        <w:t>this</w:t>
      </w:r>
      <w:r w:rsidR="3D34A3E0" w:rsidRPr="00295595">
        <w:t xml:space="preserve"> </w:t>
      </w:r>
      <w:r w:rsidR="001F5600" w:rsidRPr="00295595">
        <w:t>linear relationship</w:t>
      </w:r>
      <w:r w:rsidR="02919F23" w:rsidRPr="00295595">
        <w:t xml:space="preserve"> </w:t>
      </w:r>
      <w:r w:rsidR="02919F23" w:rsidRPr="00ED1B8E">
        <w:t>is between ranked scores and losses</w:t>
      </w:r>
      <w:r w:rsidR="00EF1681" w:rsidRPr="00ED1B8E">
        <w:t>.</w:t>
      </w:r>
      <w:r w:rsidR="001F5600" w:rsidRPr="00ED1B8E">
        <w:rPr>
          <w:rStyle w:val="FootnoteReference"/>
          <w:color w:val="auto"/>
          <w:vertAlign w:val="baseline"/>
        </w:rPr>
        <w:footnoteReference w:id="2"/>
      </w:r>
    </w:p>
    <w:p w14:paraId="68920E1B" w14:textId="1BEF2DBC" w:rsidR="001F5600" w:rsidRPr="00295595" w:rsidRDefault="001F5600" w:rsidP="00295595">
      <w:pPr>
        <w:pStyle w:val="BodyText"/>
      </w:pPr>
      <w:r w:rsidRPr="00295595">
        <w:t xml:space="preserve">For example, a farm with a score of 500 has half the likelihood of loss </w:t>
      </w:r>
      <w:r w:rsidR="009F0CEE" w:rsidRPr="00295595">
        <w:t xml:space="preserve">compared to a </w:t>
      </w:r>
      <w:r w:rsidRPr="00295595">
        <w:t>farm with a score of 1</w:t>
      </w:r>
      <w:r w:rsidR="00EF1681" w:rsidRPr="00295595">
        <w:t>,</w:t>
      </w:r>
      <w:r w:rsidRPr="00295595">
        <w:t xml:space="preserve">000. However, the farm with the score of 500 may not necessarily contribute half the amount of nitrogen (in kg) </w:t>
      </w:r>
      <w:r w:rsidR="009F0CEE" w:rsidRPr="00295595">
        <w:t>compared to</w:t>
      </w:r>
      <w:r w:rsidRPr="00295595">
        <w:t xml:space="preserve"> the farm with score of 1</w:t>
      </w:r>
      <w:r w:rsidR="002C413E" w:rsidRPr="00295595">
        <w:t>,</w:t>
      </w:r>
      <w:r w:rsidRPr="00295595">
        <w:t>000.</w:t>
      </w:r>
    </w:p>
    <w:p w14:paraId="463420F6" w14:textId="14B05596" w:rsidR="001F5600" w:rsidRPr="00295595" w:rsidRDefault="005619EB" w:rsidP="00295595">
      <w:pPr>
        <w:pStyle w:val="BodyText"/>
      </w:pPr>
      <w:r w:rsidRPr="00295595">
        <w:t>Importantly,</w:t>
      </w:r>
      <w:r w:rsidR="001F5600" w:rsidRPr="00295595">
        <w:t xml:space="preserve"> the risk score does not give a full indication of the farm’s impact on the receiving environment. Rather, this will be influenced by:</w:t>
      </w:r>
    </w:p>
    <w:p w14:paraId="58E16092" w14:textId="0F0D7331" w:rsidR="001F5600" w:rsidRPr="00295595" w:rsidRDefault="7F3265EC" w:rsidP="00295595">
      <w:pPr>
        <w:pStyle w:val="Bullet"/>
      </w:pPr>
      <w:r>
        <w:t>t</w:t>
      </w:r>
      <w:r w:rsidR="001F5600">
        <w:t xml:space="preserve">he likelihood </w:t>
      </w:r>
      <w:r>
        <w:t>that</w:t>
      </w:r>
      <w:r w:rsidR="001F5600">
        <w:t xml:space="preserve"> the </w:t>
      </w:r>
      <w:r>
        <w:t>nitrogen</w:t>
      </w:r>
      <w:r w:rsidR="001F5600">
        <w:t xml:space="preserve"> leaving the root</w:t>
      </w:r>
      <w:r w:rsidR="2B65F7D8">
        <w:t xml:space="preserve"> </w:t>
      </w:r>
      <w:r w:rsidR="001F5600">
        <w:t>zone reach</w:t>
      </w:r>
      <w:r>
        <w:t>es</w:t>
      </w:r>
      <w:r w:rsidR="001F5600">
        <w:t xml:space="preserve"> a water body</w:t>
      </w:r>
    </w:p>
    <w:p w14:paraId="5942ADC2" w14:textId="21A20B68" w:rsidR="001F5600" w:rsidRPr="00295595" w:rsidRDefault="005619EB" w:rsidP="00295595">
      <w:pPr>
        <w:pStyle w:val="Bullet"/>
      </w:pPr>
      <w:r w:rsidRPr="00295595">
        <w:t xml:space="preserve">the </w:t>
      </w:r>
      <w:r w:rsidR="001F5600" w:rsidRPr="00295595">
        <w:t>state of the receiving environment (</w:t>
      </w:r>
      <w:proofErr w:type="spellStart"/>
      <w:r w:rsidR="001F5600" w:rsidRPr="00295595">
        <w:t>e</w:t>
      </w:r>
      <w:r w:rsidR="00964981" w:rsidRPr="00295595">
        <w:t>g</w:t>
      </w:r>
      <w:proofErr w:type="spellEnd"/>
      <w:r w:rsidR="00964981" w:rsidRPr="00295595">
        <w:t xml:space="preserve">, </w:t>
      </w:r>
      <w:r w:rsidR="001F5600" w:rsidRPr="00295595">
        <w:t>whether it is overallocated for nitrogen)</w:t>
      </w:r>
    </w:p>
    <w:p w14:paraId="6E10DAD1" w14:textId="005E151F" w:rsidR="001F5600" w:rsidRPr="00295595" w:rsidRDefault="00964981" w:rsidP="00295595">
      <w:pPr>
        <w:pStyle w:val="Bullet"/>
      </w:pPr>
      <w:r w:rsidRPr="00295595">
        <w:t>the s</w:t>
      </w:r>
      <w:r w:rsidR="001F5600" w:rsidRPr="00295595">
        <w:t>ensitivity of the receiving environment to nitrogen inputs</w:t>
      </w:r>
    </w:p>
    <w:p w14:paraId="17A780FC" w14:textId="04FA0ABA" w:rsidR="001F5600" w:rsidRPr="00295595" w:rsidRDefault="00964981" w:rsidP="00295595">
      <w:pPr>
        <w:pStyle w:val="Bullet"/>
      </w:pPr>
      <w:r w:rsidRPr="00295595">
        <w:t>c</w:t>
      </w:r>
      <w:r w:rsidR="001F5600" w:rsidRPr="00295595">
        <w:t>ultural and social factors (</w:t>
      </w:r>
      <w:proofErr w:type="spellStart"/>
      <w:r w:rsidR="001F5600" w:rsidRPr="00295595">
        <w:t>eg</w:t>
      </w:r>
      <w:proofErr w:type="spellEnd"/>
      <w:r w:rsidR="001F5600" w:rsidRPr="00295595">
        <w:t>, cultural significance of the receiving environment).</w:t>
      </w:r>
    </w:p>
    <w:p w14:paraId="6637F492" w14:textId="168C5756" w:rsidR="001F5600" w:rsidRDefault="001F5600" w:rsidP="001F5600">
      <w:pPr>
        <w:pStyle w:val="Heading2"/>
        <w:rPr>
          <w:b w:val="0"/>
          <w:bCs w:val="0"/>
        </w:rPr>
      </w:pPr>
      <w:bookmarkStart w:id="33" w:name="_Toc510544744"/>
      <w:bookmarkStart w:id="34" w:name="_Toc206066541"/>
      <w:r>
        <w:t>Scores are ‘unbounded’</w:t>
      </w:r>
      <w:bookmarkEnd w:id="33"/>
      <w:bookmarkEnd w:id="34"/>
    </w:p>
    <w:p w14:paraId="0BAE7848" w14:textId="7ED577EA" w:rsidR="001F5600" w:rsidRPr="00ED1B8E" w:rsidRDefault="001F5600" w:rsidP="00295595">
      <w:pPr>
        <w:pStyle w:val="BodyText"/>
      </w:pPr>
      <w:r w:rsidRPr="00ED1B8E">
        <w:t xml:space="preserve">Scores are a number between </w:t>
      </w:r>
      <w:r w:rsidR="004722F3" w:rsidRPr="00ED1B8E">
        <w:t>zero</w:t>
      </w:r>
      <w:r w:rsidRPr="00ED1B8E">
        <w:t xml:space="preserve"> and infinity (technically, although limited by practicality) and are termed ‘unbounded’.</w:t>
      </w:r>
    </w:p>
    <w:p w14:paraId="3F492392" w14:textId="5E665AD2" w:rsidR="001F5600" w:rsidRPr="00ED1B8E" w:rsidRDefault="001F5600" w:rsidP="00295595">
      <w:pPr>
        <w:pStyle w:val="BodyText"/>
      </w:pPr>
      <w:r w:rsidRPr="00ED1B8E">
        <w:t>Scores of fixed numerical categories were deemed unsuitable</w:t>
      </w:r>
      <w:r w:rsidR="00384755" w:rsidRPr="00ED1B8E">
        <w:t xml:space="preserve">. </w:t>
      </w:r>
      <w:r w:rsidR="00702BBB" w:rsidRPr="00ED1B8E">
        <w:t>This was because f</w:t>
      </w:r>
      <w:r w:rsidRPr="00ED1B8E">
        <w:t>arms from the same sector (land</w:t>
      </w:r>
      <w:r w:rsidR="00770DF9" w:rsidRPr="00ED1B8E">
        <w:t>-</w:t>
      </w:r>
      <w:r w:rsidRPr="00ED1B8E">
        <w:t>use type) may have received the same score even though they were managing their farms differently</w:t>
      </w:r>
      <w:r w:rsidR="00384755" w:rsidRPr="00ED1B8E">
        <w:t>, so</w:t>
      </w:r>
      <w:r w:rsidRPr="00ED1B8E">
        <w:t xml:space="preserve"> have a different risk profile. For example</w:t>
      </w:r>
      <w:r w:rsidR="00702BBB" w:rsidRPr="00ED1B8E">
        <w:t xml:space="preserve">, a </w:t>
      </w:r>
      <w:r w:rsidRPr="00ED1B8E">
        <w:t>scor</w:t>
      </w:r>
      <w:r w:rsidR="00702BBB" w:rsidRPr="00ED1B8E">
        <w:t xml:space="preserve">e spread </w:t>
      </w:r>
      <w:r w:rsidRPr="00ED1B8E">
        <w:t>of 1</w:t>
      </w:r>
      <w:r w:rsidR="00702BBB" w:rsidRPr="00ED1B8E">
        <w:t xml:space="preserve"> to </w:t>
      </w:r>
      <w:r w:rsidRPr="00ED1B8E">
        <w:t xml:space="preserve">5 could have seen all viticulture receive a score of 1 </w:t>
      </w:r>
      <w:r w:rsidR="00702BBB" w:rsidRPr="00ED1B8E">
        <w:t xml:space="preserve">and </w:t>
      </w:r>
      <w:r w:rsidRPr="00ED1B8E">
        <w:t xml:space="preserve">all dairying and vegetable production </w:t>
      </w:r>
      <w:r w:rsidR="00702BBB" w:rsidRPr="00ED1B8E">
        <w:t>receive</w:t>
      </w:r>
      <w:r w:rsidRPr="00ED1B8E">
        <w:t xml:space="preserve"> scores of 4 or 5. </w:t>
      </w:r>
      <w:r w:rsidR="00BE5A4A" w:rsidRPr="00ED1B8E">
        <w:t>Applying the risk profiles in this way</w:t>
      </w:r>
      <w:r w:rsidR="000F20A2" w:rsidRPr="00ED1B8E">
        <w:t xml:space="preserve"> would </w:t>
      </w:r>
      <w:r w:rsidRPr="00ED1B8E">
        <w:t>be unhelpful for both farmers and councils</w:t>
      </w:r>
      <w:r w:rsidR="000F20A2" w:rsidRPr="00ED1B8E">
        <w:t xml:space="preserve">, </w:t>
      </w:r>
      <w:r w:rsidR="0059687A" w:rsidRPr="00ED1B8E">
        <w:t xml:space="preserve">because it would not recognise or </w:t>
      </w:r>
      <w:r w:rsidRPr="00ED1B8E">
        <w:t>reward those farmers who were undertaking the activity in a less risky way.</w:t>
      </w:r>
    </w:p>
    <w:p w14:paraId="73E66177" w14:textId="17B70C39" w:rsidR="001F5600" w:rsidRPr="00295595" w:rsidRDefault="00BE5A4A" w:rsidP="00295595">
      <w:pPr>
        <w:pStyle w:val="BodyText"/>
      </w:pPr>
      <w:r w:rsidRPr="00ED1B8E">
        <w:t xml:space="preserve">It was also deemed unsuitable to apply </w:t>
      </w:r>
      <w:r w:rsidR="00F24691" w:rsidRPr="00ED1B8E">
        <w:t xml:space="preserve">risk score </w:t>
      </w:r>
      <w:r w:rsidRPr="00ED1B8E">
        <w:t xml:space="preserve">categories </w:t>
      </w:r>
      <w:r w:rsidR="00F24691" w:rsidRPr="00ED1B8E">
        <w:t xml:space="preserve">of </w:t>
      </w:r>
      <w:r w:rsidR="001F5600" w:rsidRPr="00ED1B8E">
        <w:t>low, medium</w:t>
      </w:r>
      <w:r w:rsidRPr="00ED1B8E">
        <w:t xml:space="preserve"> </w:t>
      </w:r>
      <w:r w:rsidR="001F5600" w:rsidRPr="00ED1B8E">
        <w:t>or high</w:t>
      </w:r>
      <w:r w:rsidR="00F24691" w:rsidRPr="00ED1B8E">
        <w:t xml:space="preserve">, because </w:t>
      </w:r>
      <w:r w:rsidR="001F5600" w:rsidRPr="00ED1B8E">
        <w:t>the RIT does not consider catchment contexts. For example</w:t>
      </w:r>
      <w:r w:rsidR="00F24691" w:rsidRPr="00ED1B8E">
        <w:t>, a</w:t>
      </w:r>
      <w:r w:rsidR="001F5600" w:rsidRPr="00ED1B8E">
        <w:t xml:space="preserve"> </w:t>
      </w:r>
      <w:r w:rsidR="5CB12F49" w:rsidRPr="00ED1B8E">
        <w:t>low</w:t>
      </w:r>
      <w:r w:rsidR="4A222306" w:rsidRPr="00ED1B8E">
        <w:t>er</w:t>
      </w:r>
      <w:r w:rsidR="5CB12F49" w:rsidRPr="00ED1B8E">
        <w:t xml:space="preserve"> numerical </w:t>
      </w:r>
      <w:r w:rsidR="001F5600" w:rsidRPr="00ED1B8E">
        <w:t>risk score could be considered a high risk in an overallocated catchment</w:t>
      </w:r>
      <w:r w:rsidR="2EE0E4B7" w:rsidRPr="00ED1B8E">
        <w:t>.</w:t>
      </w:r>
    </w:p>
    <w:p w14:paraId="247F9BD5" w14:textId="5802136F" w:rsidR="00AA6756" w:rsidRDefault="00AA6756" w:rsidP="00AA6756">
      <w:pPr>
        <w:pStyle w:val="Heading3"/>
      </w:pPr>
      <w:r>
        <w:lastRenderedPageBreak/>
        <w:t xml:space="preserve">Why scores are presented at polygon, block and farm </w:t>
      </w:r>
      <w:r w:rsidR="00221830">
        <w:t>l</w:t>
      </w:r>
      <w:r>
        <w:t>evel</w:t>
      </w:r>
      <w:r w:rsidR="00221830">
        <w:t>s</w:t>
      </w:r>
    </w:p>
    <w:p w14:paraId="4E89F1FA" w14:textId="4C7A8508" w:rsidR="00AA6756" w:rsidRPr="00295595" w:rsidRDefault="00AA6756" w:rsidP="00295595">
      <w:pPr>
        <w:pStyle w:val="BodyText"/>
      </w:pPr>
      <w:r w:rsidRPr="00295595">
        <w:t xml:space="preserve">Presenting scores at all levels </w:t>
      </w:r>
      <w:r w:rsidR="00E7091F" w:rsidRPr="00295595">
        <w:t xml:space="preserve">is </w:t>
      </w:r>
      <w:r w:rsidRPr="00295595">
        <w:t xml:space="preserve">a critical component </w:t>
      </w:r>
      <w:r w:rsidR="00E7091F" w:rsidRPr="00295595">
        <w:t>of</w:t>
      </w:r>
      <w:r w:rsidRPr="00295595">
        <w:t xml:space="preserve"> the RIT. Polygon and block scores allow users to understand </w:t>
      </w:r>
      <w:r w:rsidR="00E7091F" w:rsidRPr="00295595">
        <w:t xml:space="preserve">which </w:t>
      </w:r>
      <w:r w:rsidRPr="00295595">
        <w:t xml:space="preserve">areas of their farm are </w:t>
      </w:r>
      <w:r w:rsidR="00E7091F" w:rsidRPr="00295595">
        <w:t xml:space="preserve">riskier, </w:t>
      </w:r>
      <w:r w:rsidRPr="00295595">
        <w:t>given the combination of biophysical attributes (soil, climate</w:t>
      </w:r>
      <w:r w:rsidR="00637994" w:rsidRPr="00295595">
        <w:t xml:space="preserve">, </w:t>
      </w:r>
      <w:r w:rsidRPr="00295595">
        <w:t>slope</w:t>
      </w:r>
      <w:r w:rsidR="00637994" w:rsidRPr="00295595">
        <w:t xml:space="preserve"> and irrigation</w:t>
      </w:r>
      <w:r w:rsidRPr="00295595">
        <w:t xml:space="preserve">) and management activities. </w:t>
      </w:r>
    </w:p>
    <w:p w14:paraId="442D8B69" w14:textId="3F299ACF" w:rsidR="00AA6756" w:rsidRPr="00295595" w:rsidRDefault="00AA6756" w:rsidP="00295595">
      <w:pPr>
        <w:pStyle w:val="BodyText"/>
      </w:pPr>
      <w:r w:rsidRPr="00295595">
        <w:t xml:space="preserve">Presenting score at a farm level allows users to understand their contribution of risk to the environment. </w:t>
      </w:r>
      <w:r w:rsidR="008543B7" w:rsidRPr="00295595">
        <w:t xml:space="preserve">Although </w:t>
      </w:r>
      <w:r w:rsidRPr="00295595">
        <w:t xml:space="preserve">users </w:t>
      </w:r>
      <w:r w:rsidR="008543B7" w:rsidRPr="00295595">
        <w:t xml:space="preserve">cannot </w:t>
      </w:r>
      <w:r w:rsidRPr="00295595">
        <w:t xml:space="preserve">currently see other scores for </w:t>
      </w:r>
      <w:r w:rsidR="1AB25455" w:rsidRPr="00295595">
        <w:t>neighbouring</w:t>
      </w:r>
      <w:r w:rsidRPr="00295595">
        <w:t xml:space="preserve"> properties, users could share their reports with their community and with their trusted advisors to understand where they fit. </w:t>
      </w:r>
    </w:p>
    <w:p w14:paraId="1D14D51F" w14:textId="1C5388A1" w:rsidR="00AA6756" w:rsidRPr="00295595" w:rsidRDefault="00AA6756" w:rsidP="00295595">
      <w:pPr>
        <w:pStyle w:val="BodyText"/>
      </w:pPr>
      <w:r w:rsidRPr="00295595">
        <w:t xml:space="preserve">The </w:t>
      </w:r>
      <w:r w:rsidR="0090037E" w:rsidRPr="00295595">
        <w:t xml:space="preserve">Ministry for the Environment </w:t>
      </w:r>
      <w:r w:rsidRPr="00295595">
        <w:t>is also planning</w:t>
      </w:r>
      <w:r w:rsidR="00C4288C" w:rsidRPr="00295595">
        <w:t xml:space="preserve"> to implement</w:t>
      </w:r>
      <w:r w:rsidRPr="00295595">
        <w:t xml:space="preserve"> a portal where users could choose to publish their reports</w:t>
      </w:r>
      <w:r w:rsidR="00C4288C" w:rsidRPr="00295595">
        <w:t>,</w:t>
      </w:r>
      <w:r w:rsidRPr="00295595">
        <w:t xml:space="preserve"> to </w:t>
      </w:r>
      <w:r w:rsidR="00C4288C" w:rsidRPr="00295595">
        <w:t xml:space="preserve">contribute to </w:t>
      </w:r>
      <w:r w:rsidRPr="00295595">
        <w:t xml:space="preserve">a </w:t>
      </w:r>
      <w:r w:rsidR="00C4288C" w:rsidRPr="00295595">
        <w:t>‘</w:t>
      </w:r>
      <w:r w:rsidRPr="00295595">
        <w:t>catchment view</w:t>
      </w:r>
      <w:r w:rsidR="00C4288C" w:rsidRPr="00295595">
        <w:t>’</w:t>
      </w:r>
      <w:r w:rsidRPr="00295595">
        <w:t xml:space="preserve">. </w:t>
      </w:r>
      <w:r w:rsidR="36553D44" w:rsidRPr="00295595">
        <w:t>This portal is intended to be restricted to specified consumers and would not be publicly available.</w:t>
      </w:r>
    </w:p>
    <w:p w14:paraId="25983408" w14:textId="7D7728C1" w:rsidR="00AA6756" w:rsidRPr="00AA6756" w:rsidRDefault="00AA6756" w:rsidP="00AA6756">
      <w:pPr>
        <w:pStyle w:val="Heading3"/>
      </w:pPr>
      <w:r>
        <w:t>Why provide aggregated and per hectare scores</w:t>
      </w:r>
    </w:p>
    <w:p w14:paraId="5CA9C02B" w14:textId="5B8024FF" w:rsidR="00AA6756" w:rsidRDefault="00AA6756" w:rsidP="00722C03">
      <w:pPr>
        <w:pStyle w:val="BodyText"/>
      </w:pPr>
      <w:r>
        <w:t>Aggregated and per hectare scores are both important. The environment is impacted by the total risk</w:t>
      </w:r>
      <w:r w:rsidR="00ED11B4">
        <w:t>,</w:t>
      </w:r>
      <w:r>
        <w:t xml:space="preserve"> not an average of risk. </w:t>
      </w:r>
      <w:r w:rsidR="22C78B09">
        <w:t>However, understanding an average risk per hectare helps people compare scores between blocks on individual farms, and scores between different farms.</w:t>
      </w:r>
    </w:p>
    <w:p w14:paraId="318C5C9B" w14:textId="1EF0250B" w:rsidR="00AA6756" w:rsidRPr="00AA6756" w:rsidRDefault="00AA6756" w:rsidP="00AA6756">
      <w:pPr>
        <w:pStyle w:val="Heading3"/>
      </w:pPr>
      <w:r>
        <w:t>Comparison between polygons and blocks on farm</w:t>
      </w:r>
    </w:p>
    <w:p w14:paraId="70C97B20" w14:textId="621634E2" w:rsidR="00AA6756" w:rsidRDefault="00AA6756" w:rsidP="00295595">
      <w:pPr>
        <w:pStyle w:val="BodyText"/>
      </w:pPr>
      <w:r>
        <w:t xml:space="preserve">The heatmaps will use both the aggregated score and the per hectare score at the polygon level. Presenting the heatmap risk at polygon level, </w:t>
      </w:r>
      <w:r w:rsidR="00D663B6">
        <w:t>rather than</w:t>
      </w:r>
      <w:r>
        <w:t xml:space="preserve"> block level, means the tool will not hide areas </w:t>
      </w:r>
      <w:r w:rsidR="68CD1BE4">
        <w:t>of risk</w:t>
      </w:r>
      <w:r>
        <w:t xml:space="preserve"> within a single block.</w:t>
      </w:r>
    </w:p>
    <w:p w14:paraId="7BBFCD3A" w14:textId="29024E2E" w:rsidR="00AA6756" w:rsidRDefault="00AA6756" w:rsidP="00722C03">
      <w:pPr>
        <w:pStyle w:val="BodyText"/>
        <w:rPr>
          <w:color w:val="000000" w:themeColor="text1"/>
        </w:rPr>
      </w:pPr>
      <w:r w:rsidRPr="53909BF2">
        <w:rPr>
          <w:color w:val="000000" w:themeColor="text1"/>
        </w:rPr>
        <w:t>Using both overall scores and per hectare scores is crucial</w:t>
      </w:r>
      <w:r w:rsidR="62B6F6C3" w:rsidRPr="53909BF2">
        <w:rPr>
          <w:color w:val="000000" w:themeColor="text1"/>
        </w:rPr>
        <w:t xml:space="preserve">, </w:t>
      </w:r>
      <w:r w:rsidRPr="53909BF2">
        <w:rPr>
          <w:color w:val="000000" w:themeColor="text1"/>
        </w:rPr>
        <w:t xml:space="preserve">as testing has found </w:t>
      </w:r>
      <w:r w:rsidR="64F6F43E" w:rsidRPr="53909BF2">
        <w:rPr>
          <w:color w:val="000000" w:themeColor="text1"/>
        </w:rPr>
        <w:t xml:space="preserve">that </w:t>
      </w:r>
      <w:r w:rsidRPr="53909BF2">
        <w:rPr>
          <w:color w:val="000000" w:themeColor="text1"/>
        </w:rPr>
        <w:t>using overall scores</w:t>
      </w:r>
      <w:r w:rsidR="64F6F43E" w:rsidRPr="53909BF2">
        <w:rPr>
          <w:color w:val="000000" w:themeColor="text1"/>
        </w:rPr>
        <w:t xml:space="preserve"> shows</w:t>
      </w:r>
      <w:r w:rsidRPr="53909BF2">
        <w:rPr>
          <w:color w:val="000000" w:themeColor="text1"/>
        </w:rPr>
        <w:t xml:space="preserve"> the biggest polygons as the riskiest. </w:t>
      </w:r>
      <w:r w:rsidR="41AECA01" w:rsidRPr="53909BF2">
        <w:rPr>
          <w:color w:val="000000" w:themeColor="text1"/>
        </w:rPr>
        <w:t>Although</w:t>
      </w:r>
      <w:r w:rsidR="1CCC6FEF" w:rsidRPr="53909BF2">
        <w:rPr>
          <w:color w:val="000000" w:themeColor="text1"/>
        </w:rPr>
        <w:t xml:space="preserve"> </w:t>
      </w:r>
      <w:r w:rsidRPr="53909BF2">
        <w:rPr>
          <w:color w:val="000000" w:themeColor="text1"/>
        </w:rPr>
        <w:t xml:space="preserve">this is true </w:t>
      </w:r>
      <w:r w:rsidR="64F6F43E" w:rsidRPr="53909BF2">
        <w:rPr>
          <w:color w:val="000000" w:themeColor="text1"/>
        </w:rPr>
        <w:t>for</w:t>
      </w:r>
      <w:r w:rsidRPr="53909BF2">
        <w:rPr>
          <w:color w:val="000000" w:themeColor="text1"/>
        </w:rPr>
        <w:t xml:space="preserve"> total contribution </w:t>
      </w:r>
      <w:r w:rsidR="64F6F43E" w:rsidRPr="53909BF2">
        <w:rPr>
          <w:color w:val="000000" w:themeColor="text1"/>
        </w:rPr>
        <w:t xml:space="preserve">to </w:t>
      </w:r>
      <w:r w:rsidRPr="53909BF2">
        <w:rPr>
          <w:color w:val="000000" w:themeColor="text1"/>
        </w:rPr>
        <w:t>N</w:t>
      </w:r>
      <w:r w:rsidR="64F6F43E" w:rsidRPr="53909BF2">
        <w:rPr>
          <w:color w:val="000000" w:themeColor="text1"/>
        </w:rPr>
        <w:t> </w:t>
      </w:r>
      <w:r w:rsidRPr="53909BF2">
        <w:rPr>
          <w:color w:val="000000" w:themeColor="text1"/>
        </w:rPr>
        <w:t>loss, there may be riskier</w:t>
      </w:r>
      <w:r w:rsidR="763B803C" w:rsidRPr="53909BF2">
        <w:rPr>
          <w:color w:val="000000" w:themeColor="text1"/>
        </w:rPr>
        <w:t>,</w:t>
      </w:r>
      <w:r w:rsidRPr="53909BF2">
        <w:rPr>
          <w:color w:val="000000" w:themeColor="text1"/>
        </w:rPr>
        <w:t xml:space="preserve"> smaller areas where attention should be focused (</w:t>
      </w:r>
      <w:proofErr w:type="spellStart"/>
      <w:r w:rsidR="763B803C" w:rsidRPr="53909BF2">
        <w:rPr>
          <w:color w:val="000000" w:themeColor="text1"/>
        </w:rPr>
        <w:t>eg</w:t>
      </w:r>
      <w:proofErr w:type="spellEnd"/>
      <w:r w:rsidR="763B803C" w:rsidRPr="53909BF2">
        <w:rPr>
          <w:color w:val="000000" w:themeColor="text1"/>
        </w:rPr>
        <w:t xml:space="preserve">, areas with </w:t>
      </w:r>
      <w:r w:rsidRPr="53909BF2">
        <w:rPr>
          <w:color w:val="000000" w:themeColor="text1"/>
        </w:rPr>
        <w:t>leakier soils or steeper slopes).</w:t>
      </w:r>
    </w:p>
    <w:p w14:paraId="08311C0A" w14:textId="31FA0F32" w:rsidR="00AA6756" w:rsidRDefault="16C797B0" w:rsidP="00722C03">
      <w:pPr>
        <w:pStyle w:val="BodyText"/>
      </w:pPr>
      <w:r>
        <w:t>Note</w:t>
      </w:r>
      <w:r w:rsidR="00AA6756">
        <w:t>: The colour selection of the heatmap is related to the distribution of</w:t>
      </w:r>
      <w:r w:rsidR="763B803C">
        <w:t xml:space="preserve"> a</w:t>
      </w:r>
      <w:r w:rsidR="00AA6756">
        <w:t xml:space="preserve"> farm’s polygon scores</w:t>
      </w:r>
      <w:r w:rsidR="1A7C807F">
        <w:t xml:space="preserve"> </w:t>
      </w:r>
      <w:r w:rsidR="00AA6756">
        <w:t xml:space="preserve">and </w:t>
      </w:r>
      <w:r w:rsidR="1AAE7533">
        <w:t xml:space="preserve">does not consider </w:t>
      </w:r>
      <w:r w:rsidR="00AA6756">
        <w:t xml:space="preserve">other farms mapped within the </w:t>
      </w:r>
      <w:r w:rsidR="1AAE7533">
        <w:t>RIT</w:t>
      </w:r>
      <w:r w:rsidR="00AA6756">
        <w:t xml:space="preserve">. </w:t>
      </w:r>
    </w:p>
    <w:p w14:paraId="5F0D69BF" w14:textId="65FB5FC5" w:rsidR="00AA6756" w:rsidRDefault="4F1B6FDB" w:rsidP="788E1171">
      <w:pPr>
        <w:rPr>
          <w:color w:val="000000" w:themeColor="text1"/>
        </w:rPr>
      </w:pPr>
      <w:r>
        <w:t>Blocks will have their scores presented numerically</w:t>
      </w:r>
      <w:r w:rsidR="049DAA34">
        <w:t>,</w:t>
      </w:r>
      <w:r>
        <w:t xml:space="preserve"> </w:t>
      </w:r>
      <w:r w:rsidR="2202D696">
        <w:t>to allow them to be compared</w:t>
      </w:r>
      <w:r>
        <w:t xml:space="preserve">. This allows users to understand how their different blocks contribute to the overall farm risk. </w:t>
      </w:r>
    </w:p>
    <w:p w14:paraId="209EB47B" w14:textId="67178481" w:rsidR="00AA6756" w:rsidRPr="00AA6756" w:rsidRDefault="00AA6756" w:rsidP="00AA6756">
      <w:pPr>
        <w:pStyle w:val="Heading3"/>
      </w:pPr>
      <w:r>
        <w:t>Comparison between farms</w:t>
      </w:r>
    </w:p>
    <w:p w14:paraId="037EA256" w14:textId="1D4D8151" w:rsidR="00AA6756" w:rsidRPr="00295595" w:rsidRDefault="00530F18" w:rsidP="00295595">
      <w:pPr>
        <w:pStyle w:val="BodyText"/>
      </w:pPr>
      <w:r w:rsidRPr="00295595">
        <w:t xml:space="preserve">Although </w:t>
      </w:r>
      <w:r w:rsidR="00AA6756" w:rsidRPr="00295595">
        <w:t xml:space="preserve">the </w:t>
      </w:r>
      <w:r w:rsidRPr="00295595">
        <w:t xml:space="preserve">RIT </w:t>
      </w:r>
      <w:r w:rsidR="00AA6756" w:rsidRPr="00295595">
        <w:t xml:space="preserve">does not currently allow for comparison between farms within the tool, this should be </w:t>
      </w:r>
      <w:r w:rsidRPr="00295595">
        <w:t xml:space="preserve">possible </w:t>
      </w:r>
      <w:r w:rsidR="00AA6756" w:rsidRPr="00295595">
        <w:t xml:space="preserve">in the future. </w:t>
      </w:r>
      <w:r w:rsidR="00DE3D00" w:rsidRPr="00295595">
        <w:t>For now</w:t>
      </w:r>
      <w:r w:rsidR="00AA6756" w:rsidRPr="00295595">
        <w:t xml:space="preserve">, users </w:t>
      </w:r>
      <w:r w:rsidR="00DE3D00" w:rsidRPr="00295595">
        <w:t xml:space="preserve">can </w:t>
      </w:r>
      <w:r w:rsidR="00AA6756" w:rsidRPr="00295595">
        <w:t>provide their reports or scores to others</w:t>
      </w:r>
      <w:r w:rsidR="00DE3D00" w:rsidRPr="00295595">
        <w:t>, for</w:t>
      </w:r>
      <w:r w:rsidR="00AA6756" w:rsidRPr="00295595">
        <w:t xml:space="preserve"> comparison outside the </w:t>
      </w:r>
      <w:r w:rsidR="00DE3D00" w:rsidRPr="00295595">
        <w:t>RIT</w:t>
      </w:r>
      <w:r w:rsidR="00AA6756" w:rsidRPr="00295595">
        <w:t>.</w:t>
      </w:r>
    </w:p>
    <w:p w14:paraId="2C2673F1" w14:textId="46CD282B" w:rsidR="00AA6756" w:rsidRPr="00295595" w:rsidRDefault="7E41A8DE" w:rsidP="00295595">
      <w:pPr>
        <w:pStyle w:val="BodyText"/>
      </w:pPr>
      <w:r>
        <w:t xml:space="preserve">Presentation of </w:t>
      </w:r>
      <w:r w:rsidR="00AA6756">
        <w:t>only an aggregated score could result in large but low</w:t>
      </w:r>
      <w:r w:rsidR="37B36B20">
        <w:t>-</w:t>
      </w:r>
      <w:r w:rsidR="00AA6756">
        <w:t>intensity properties having high scores</w:t>
      </w:r>
      <w:r w:rsidR="37B36B20">
        <w:t>,</w:t>
      </w:r>
      <w:r w:rsidR="00AA6756">
        <w:t xml:space="preserve"> based on their larger size. This could give the false impression they have </w:t>
      </w:r>
      <w:r w:rsidR="3A0FB9BA">
        <w:t xml:space="preserve">more </w:t>
      </w:r>
      <w:r w:rsidR="00AA6756">
        <w:t>opportunities to reduce their risk through practice change, whe</w:t>
      </w:r>
      <w:r w:rsidR="3A11F8AC">
        <w:t>n</w:t>
      </w:r>
      <w:r w:rsidR="00AA6756">
        <w:t xml:space="preserve"> </w:t>
      </w:r>
      <w:r w:rsidR="3BF7EA69">
        <w:t xml:space="preserve">in fact they may only be able to change their risk </w:t>
      </w:r>
      <w:r w:rsidR="00AA6756">
        <w:t>by reducing effective hectares.</w:t>
      </w:r>
    </w:p>
    <w:p w14:paraId="1856AEA5" w14:textId="6AF6BCF0" w:rsidR="00AA6756" w:rsidRPr="00295595" w:rsidDel="00AE097A" w:rsidRDefault="00404CF1" w:rsidP="00295595">
      <w:pPr>
        <w:pStyle w:val="BodyText"/>
      </w:pPr>
      <w:r w:rsidRPr="00295595">
        <w:lastRenderedPageBreak/>
        <w:t xml:space="preserve">By contrast, </w:t>
      </w:r>
      <w:r w:rsidR="00AA6756" w:rsidRPr="00295595">
        <w:t>small but intensive propert</w:t>
      </w:r>
      <w:r w:rsidR="003B48D4" w:rsidRPr="00295595">
        <w:t>ies</w:t>
      </w:r>
      <w:r w:rsidR="00AA6756" w:rsidRPr="00295595">
        <w:t xml:space="preserve"> may have a lower score</w:t>
      </w:r>
      <w:r w:rsidR="003B48D4" w:rsidRPr="00295595">
        <w:t>,</w:t>
      </w:r>
      <w:r w:rsidR="00AA6756" w:rsidRPr="00295595">
        <w:t xml:space="preserve"> leading </w:t>
      </w:r>
      <w:r w:rsidR="003B48D4" w:rsidRPr="00295595">
        <w:t xml:space="preserve">to the false impression </w:t>
      </w:r>
      <w:r w:rsidR="00AA6756" w:rsidRPr="00295595">
        <w:t>they do not need to act</w:t>
      </w:r>
      <w:r w:rsidR="003B48D4" w:rsidRPr="00295595">
        <w:t>,</w:t>
      </w:r>
      <w:r w:rsidR="00AA6756" w:rsidRPr="00295595">
        <w:t xml:space="preserve"> as their risk contribution is smaller. However, on a per hectare basis, they may be able to make the greatest improvement through practice change.</w:t>
      </w:r>
    </w:p>
    <w:p w14:paraId="06995105" w14:textId="20BC90D0" w:rsidR="00AA6756" w:rsidRPr="00411C6E" w:rsidRDefault="00AA6756" w:rsidP="00411C6E">
      <w:pPr>
        <w:pStyle w:val="BodyText"/>
      </w:pPr>
      <w:bookmarkStart w:id="35" w:name="_Toc177837634"/>
      <w:r w:rsidRPr="00411C6E">
        <w:br w:type="page"/>
      </w:r>
    </w:p>
    <w:p w14:paraId="76BE1BCA" w14:textId="6A66C2C7" w:rsidR="00AA6756" w:rsidRDefault="00AA6756" w:rsidP="00AA6756">
      <w:pPr>
        <w:pStyle w:val="Heading1"/>
      </w:pPr>
      <w:bookmarkStart w:id="36" w:name="_Toc206066542"/>
      <w:r>
        <w:lastRenderedPageBreak/>
        <w:t>Deciding if risk is low, medium or</w:t>
      </w:r>
      <w:r w:rsidR="00C865A4">
        <w:t> </w:t>
      </w:r>
      <w:r>
        <w:t>high</w:t>
      </w:r>
      <w:bookmarkEnd w:id="35"/>
      <w:bookmarkEnd w:id="36"/>
    </w:p>
    <w:p w14:paraId="763CF9AF" w14:textId="3DAF754B" w:rsidR="00AA6756" w:rsidRDefault="00410210" w:rsidP="00295595">
      <w:pPr>
        <w:pStyle w:val="BodyText"/>
        <w:rPr>
          <w:rFonts w:eastAsia="Calibri"/>
        </w:rPr>
      </w:pPr>
      <w:r w:rsidRPr="6711C071">
        <w:rPr>
          <w:rFonts w:eastAsia="Calibri"/>
        </w:rPr>
        <w:t xml:space="preserve">With </w:t>
      </w:r>
      <w:r w:rsidR="00AA6756" w:rsidRPr="6711C071">
        <w:rPr>
          <w:rFonts w:eastAsia="Calibri"/>
        </w:rPr>
        <w:t xml:space="preserve">the way scores and heatmaps are presented, </w:t>
      </w:r>
      <w:r w:rsidRPr="6711C071">
        <w:rPr>
          <w:rFonts w:eastAsia="Calibri"/>
        </w:rPr>
        <w:t xml:space="preserve">and without a council portal, </w:t>
      </w:r>
      <w:r w:rsidR="00AA6756" w:rsidRPr="6711C071">
        <w:rPr>
          <w:rFonts w:eastAsia="Calibri"/>
        </w:rPr>
        <w:t xml:space="preserve">it is difficult for councils to set scores in a catchment context as </w:t>
      </w:r>
      <w:r w:rsidR="00A10BD0" w:rsidRPr="6711C071">
        <w:rPr>
          <w:rFonts w:eastAsia="Calibri"/>
        </w:rPr>
        <w:t xml:space="preserve">low, medium or </w:t>
      </w:r>
      <w:r w:rsidR="00AA6756" w:rsidRPr="6711C071">
        <w:rPr>
          <w:rFonts w:eastAsia="Calibri"/>
        </w:rPr>
        <w:t xml:space="preserve">high. </w:t>
      </w:r>
      <w:r w:rsidRPr="6711C071">
        <w:rPr>
          <w:rFonts w:eastAsia="Calibri"/>
        </w:rPr>
        <w:t xml:space="preserve">Such categorisation </w:t>
      </w:r>
      <w:r w:rsidR="00AA6756" w:rsidRPr="6711C071">
        <w:rPr>
          <w:rFonts w:eastAsia="Calibri"/>
        </w:rPr>
        <w:t>is discouraged until the future development phases allow for catchment views.</w:t>
      </w:r>
    </w:p>
    <w:p w14:paraId="33C4D0C0" w14:textId="5C2EE63A" w:rsidR="479A9EAF" w:rsidRDefault="28FF96FB" w:rsidP="00295595">
      <w:pPr>
        <w:pStyle w:val="BodyText"/>
      </w:pPr>
      <w:r>
        <w:t xml:space="preserve">However, as an initial starting point, councils and tool users should consider the catchment context. Councils should give directions as to which contaminants require </w:t>
      </w:r>
      <w:r w:rsidR="4D6B338E">
        <w:t xml:space="preserve">the </w:t>
      </w:r>
      <w:r>
        <w:t>greatest efforts</w:t>
      </w:r>
      <w:r w:rsidR="4BB3227B">
        <w:t xml:space="preserve"> –</w:t>
      </w:r>
      <w:r>
        <w:t xml:space="preserve"> </w:t>
      </w:r>
      <w:r w:rsidR="4BB3227B">
        <w:t>n</w:t>
      </w:r>
      <w:r>
        <w:t xml:space="preserve">itrogen, </w:t>
      </w:r>
      <w:r w:rsidR="4BB3227B">
        <w:t>p</w:t>
      </w:r>
      <w:r>
        <w:t>hosphorous, sediment or E.</w:t>
      </w:r>
      <w:r w:rsidR="35935C24">
        <w:t xml:space="preserve"> </w:t>
      </w:r>
      <w:r>
        <w:t xml:space="preserve">coli. If </w:t>
      </w:r>
      <w:r w:rsidR="35935C24">
        <w:t>nitrogen</w:t>
      </w:r>
      <w:r>
        <w:t xml:space="preserve"> is not the priority contaminant, farmers and growers should still work toward continuous improvement and reduce the risk </w:t>
      </w:r>
      <w:r w:rsidR="35935C24">
        <w:t>of</w:t>
      </w:r>
      <w:r>
        <w:t xml:space="preserve"> N</w:t>
      </w:r>
      <w:r w:rsidR="35935C24">
        <w:t> </w:t>
      </w:r>
      <w:r>
        <w:t>loss whenever possible.</w:t>
      </w:r>
    </w:p>
    <w:p w14:paraId="6C9D4E24" w14:textId="7E1E2536" w:rsidR="00AA6756" w:rsidRDefault="00AA6756" w:rsidP="00295595">
      <w:pPr>
        <w:pStyle w:val="BodyText"/>
        <w:rPr>
          <w:rFonts w:eastAsia="Calibri"/>
        </w:rPr>
      </w:pPr>
      <w:r w:rsidRPr="53909BF2">
        <w:rPr>
          <w:rFonts w:eastAsia="Calibri"/>
        </w:rPr>
        <w:t xml:space="preserve">This </w:t>
      </w:r>
      <w:r w:rsidR="6A0175D0" w:rsidRPr="53909BF2">
        <w:rPr>
          <w:rFonts w:eastAsia="Calibri"/>
        </w:rPr>
        <w:t xml:space="preserve">approach </w:t>
      </w:r>
      <w:r w:rsidRPr="53909BF2">
        <w:rPr>
          <w:rFonts w:eastAsia="Calibri"/>
        </w:rPr>
        <w:t>fits with freshwater farm plan regulations</w:t>
      </w:r>
      <w:r w:rsidR="3163A265" w:rsidRPr="53909BF2">
        <w:rPr>
          <w:rFonts w:eastAsia="Calibri"/>
        </w:rPr>
        <w:t>, which require</w:t>
      </w:r>
      <w:r w:rsidRPr="53909BF2">
        <w:rPr>
          <w:rFonts w:eastAsia="Calibri"/>
        </w:rPr>
        <w:t xml:space="preserve"> risks </w:t>
      </w:r>
      <w:r w:rsidR="3163A265" w:rsidRPr="53909BF2">
        <w:rPr>
          <w:rFonts w:eastAsia="Calibri"/>
        </w:rPr>
        <w:t xml:space="preserve">to </w:t>
      </w:r>
      <w:r w:rsidRPr="53909BF2">
        <w:rPr>
          <w:rFonts w:eastAsia="Calibri"/>
        </w:rPr>
        <w:t>be identified</w:t>
      </w:r>
      <w:r w:rsidR="288152DE" w:rsidRPr="53909BF2">
        <w:rPr>
          <w:rFonts w:eastAsia="Calibri"/>
        </w:rPr>
        <w:t>,</w:t>
      </w:r>
      <w:r w:rsidRPr="53909BF2">
        <w:rPr>
          <w:rFonts w:eastAsia="Calibri"/>
        </w:rPr>
        <w:t xml:space="preserve"> and actions undertaken to reduce </w:t>
      </w:r>
      <w:r w:rsidR="3163A265" w:rsidRPr="53909BF2">
        <w:rPr>
          <w:rFonts w:eastAsia="Calibri"/>
        </w:rPr>
        <w:t>th</w:t>
      </w:r>
      <w:r w:rsidR="28BB3089" w:rsidRPr="53909BF2">
        <w:rPr>
          <w:rFonts w:eastAsia="Calibri"/>
        </w:rPr>
        <w:t>ose risks</w:t>
      </w:r>
      <w:r w:rsidRPr="53909BF2">
        <w:rPr>
          <w:rFonts w:eastAsia="Calibri"/>
        </w:rPr>
        <w:t xml:space="preserve">. Farm plans are not expected to address all risks in their initial </w:t>
      </w:r>
      <w:r w:rsidR="6A0175D0" w:rsidRPr="53909BF2">
        <w:rPr>
          <w:rFonts w:eastAsia="Calibri"/>
        </w:rPr>
        <w:t xml:space="preserve">development and implementation – </w:t>
      </w:r>
      <w:r w:rsidRPr="53909BF2">
        <w:rPr>
          <w:rFonts w:eastAsia="Calibri"/>
        </w:rPr>
        <w:t>rather</w:t>
      </w:r>
      <w:r w:rsidR="6A0175D0" w:rsidRPr="53909BF2">
        <w:rPr>
          <w:rFonts w:eastAsia="Calibri"/>
        </w:rPr>
        <w:t xml:space="preserve">, they </w:t>
      </w:r>
      <w:r w:rsidRPr="53909BF2">
        <w:rPr>
          <w:rFonts w:eastAsia="Calibri"/>
        </w:rPr>
        <w:t xml:space="preserve">seek a change over a generation, focusing on areas with the greatest risk. </w:t>
      </w:r>
    </w:p>
    <w:p w14:paraId="69CB9FEE" w14:textId="684FD76A" w:rsidR="00AA6756" w:rsidRDefault="00AA6756" w:rsidP="00295595">
      <w:pPr>
        <w:pStyle w:val="BodyText"/>
        <w:rPr>
          <w:rFonts w:eastAsia="Calibri"/>
        </w:rPr>
      </w:pPr>
      <w:r w:rsidRPr="53909BF2">
        <w:rPr>
          <w:rFonts w:eastAsia="Calibri"/>
        </w:rPr>
        <w:t xml:space="preserve">Councils are already </w:t>
      </w:r>
      <w:r w:rsidR="00710FC6" w:rsidRPr="53909BF2">
        <w:rPr>
          <w:rFonts w:eastAsia="Calibri"/>
        </w:rPr>
        <w:t>creating</w:t>
      </w:r>
      <w:r w:rsidRPr="53909BF2">
        <w:rPr>
          <w:rFonts w:eastAsia="Calibri"/>
        </w:rPr>
        <w:t xml:space="preserve"> </w:t>
      </w:r>
      <w:r w:rsidR="00E9116F" w:rsidRPr="53909BF2">
        <w:rPr>
          <w:rFonts w:eastAsia="Calibri"/>
        </w:rPr>
        <w:t xml:space="preserve">documents covering </w:t>
      </w:r>
      <w:r w:rsidR="00710FC6" w:rsidRPr="53909BF2">
        <w:rPr>
          <w:rFonts w:eastAsia="Calibri"/>
        </w:rPr>
        <w:t>c</w:t>
      </w:r>
      <w:r w:rsidRPr="53909BF2">
        <w:rPr>
          <w:rFonts w:eastAsia="Calibri"/>
        </w:rPr>
        <w:t xml:space="preserve">atchment </w:t>
      </w:r>
      <w:r w:rsidR="00710FC6" w:rsidRPr="53909BF2">
        <w:rPr>
          <w:rFonts w:eastAsia="Calibri"/>
        </w:rPr>
        <w:t>c</w:t>
      </w:r>
      <w:r w:rsidRPr="53909BF2">
        <w:rPr>
          <w:rFonts w:eastAsia="Calibri"/>
        </w:rPr>
        <w:t>ontext</w:t>
      </w:r>
      <w:r w:rsidR="005C15C9" w:rsidRPr="53909BF2">
        <w:rPr>
          <w:rFonts w:eastAsia="Calibri"/>
        </w:rPr>
        <w:t>s,</w:t>
      </w:r>
      <w:r w:rsidRPr="53909BF2">
        <w:rPr>
          <w:rFonts w:eastAsia="Calibri"/>
        </w:rPr>
        <w:t xml:space="preserve"> </w:t>
      </w:r>
      <w:r w:rsidR="00710FC6" w:rsidRPr="53909BF2">
        <w:rPr>
          <w:rFonts w:eastAsia="Calibri"/>
        </w:rPr>
        <w:t>c</w:t>
      </w:r>
      <w:r w:rsidRPr="53909BF2">
        <w:rPr>
          <w:rFonts w:eastAsia="Calibri"/>
        </w:rPr>
        <w:t xml:space="preserve">hallenges and </w:t>
      </w:r>
      <w:r w:rsidR="00710FC6" w:rsidRPr="53909BF2">
        <w:rPr>
          <w:rFonts w:eastAsia="Calibri"/>
        </w:rPr>
        <w:t>v</w:t>
      </w:r>
      <w:r w:rsidRPr="53909BF2">
        <w:rPr>
          <w:rFonts w:eastAsia="Calibri"/>
        </w:rPr>
        <w:t>alues</w:t>
      </w:r>
      <w:r w:rsidR="004B16FD" w:rsidRPr="53909BF2">
        <w:rPr>
          <w:rFonts w:eastAsia="Calibri"/>
        </w:rPr>
        <w:t xml:space="preserve"> </w:t>
      </w:r>
      <w:r w:rsidRPr="53909BF2">
        <w:rPr>
          <w:rFonts w:eastAsia="Calibri"/>
        </w:rPr>
        <w:t>under the freshwater farm plan regulations</w:t>
      </w:r>
      <w:r w:rsidR="00710FC6" w:rsidRPr="53909BF2">
        <w:rPr>
          <w:rFonts w:eastAsia="Calibri"/>
        </w:rPr>
        <w:t>.</w:t>
      </w:r>
      <w:r w:rsidRPr="53909BF2">
        <w:rPr>
          <w:rFonts w:eastAsia="Calibri"/>
        </w:rPr>
        <w:t xml:space="preserve"> </w:t>
      </w:r>
      <w:r w:rsidR="00710FC6" w:rsidRPr="53909BF2">
        <w:rPr>
          <w:rFonts w:eastAsia="Calibri"/>
        </w:rPr>
        <w:t>T</w:t>
      </w:r>
      <w:r w:rsidRPr="53909BF2">
        <w:rPr>
          <w:rFonts w:eastAsia="Calibri"/>
        </w:rPr>
        <w:t>hese could be used to inform tool users whether N</w:t>
      </w:r>
      <w:r w:rsidR="00710FC6" w:rsidRPr="53909BF2">
        <w:rPr>
          <w:rFonts w:eastAsia="Calibri"/>
        </w:rPr>
        <w:t> </w:t>
      </w:r>
      <w:r w:rsidRPr="53909BF2">
        <w:rPr>
          <w:rFonts w:eastAsia="Calibri"/>
        </w:rPr>
        <w:t xml:space="preserve">loss is </w:t>
      </w:r>
      <w:r w:rsidR="0FB25492" w:rsidRPr="53909BF2">
        <w:rPr>
          <w:rFonts w:eastAsia="Calibri"/>
        </w:rPr>
        <w:t>a concern</w:t>
      </w:r>
      <w:r w:rsidRPr="53909BF2">
        <w:rPr>
          <w:rFonts w:eastAsia="Calibri"/>
        </w:rPr>
        <w:t xml:space="preserve"> within the</w:t>
      </w:r>
      <w:r w:rsidR="00E9116F" w:rsidRPr="53909BF2">
        <w:rPr>
          <w:rFonts w:eastAsia="Calibri"/>
        </w:rPr>
        <w:t>ir</w:t>
      </w:r>
      <w:r w:rsidRPr="53909BF2">
        <w:rPr>
          <w:rFonts w:eastAsia="Calibri"/>
        </w:rPr>
        <w:t xml:space="preserve"> catchment.</w:t>
      </w:r>
    </w:p>
    <w:p w14:paraId="62911F6F" w14:textId="77777777" w:rsidR="00AA6756" w:rsidRPr="0055192E" w:rsidRDefault="00AA6756" w:rsidP="00295595">
      <w:pPr>
        <w:pStyle w:val="BodyText"/>
      </w:pPr>
      <w:bookmarkStart w:id="37" w:name="_Toc1243707453"/>
      <w:r w:rsidRPr="0055192E">
        <w:br w:type="page"/>
      </w:r>
    </w:p>
    <w:p w14:paraId="622BC768" w14:textId="5CF72AAC" w:rsidR="00AA6756" w:rsidRDefault="00AA6756" w:rsidP="00AA6756">
      <w:pPr>
        <w:pStyle w:val="Heading1"/>
      </w:pPr>
      <w:bookmarkStart w:id="38" w:name="_Toc206066543"/>
      <w:r>
        <w:lastRenderedPageBreak/>
        <w:t xml:space="preserve">Use </w:t>
      </w:r>
      <w:r w:rsidR="00D72F39">
        <w:t>c</w:t>
      </w:r>
      <w:r>
        <w:t>ases</w:t>
      </w:r>
      <w:bookmarkEnd w:id="37"/>
      <w:bookmarkEnd w:id="38"/>
    </w:p>
    <w:p w14:paraId="448DCD6D" w14:textId="4FF90761" w:rsidR="00AA6756" w:rsidRDefault="00AA6756" w:rsidP="0084048E">
      <w:pPr>
        <w:pStyle w:val="Heading2"/>
      </w:pPr>
      <w:bookmarkStart w:id="39" w:name="_Toc336639047"/>
      <w:bookmarkStart w:id="40" w:name="_Toc206066544"/>
      <w:r>
        <w:t>Councils</w:t>
      </w:r>
      <w:bookmarkEnd w:id="39"/>
      <w:bookmarkEnd w:id="40"/>
    </w:p>
    <w:p w14:paraId="0F0EB6FA" w14:textId="7CCD8C50" w:rsidR="00AA6756" w:rsidRPr="00E4058A" w:rsidRDefault="00D72F39" w:rsidP="00E4058A">
      <w:pPr>
        <w:pStyle w:val="BodyText"/>
      </w:pPr>
      <w:r>
        <w:t xml:space="preserve">Planning and design of </w:t>
      </w:r>
      <w:r w:rsidR="003D03FA">
        <w:t>a</w:t>
      </w:r>
      <w:r w:rsidR="00AA6756">
        <w:t xml:space="preserve"> council portal began in 2025. Until it is developed, </w:t>
      </w:r>
      <w:r w:rsidR="00A91AAA">
        <w:t>users will ne</w:t>
      </w:r>
      <w:r w:rsidR="00054308">
        <w:t>e</w:t>
      </w:r>
      <w:r w:rsidR="00A91AAA">
        <w:t xml:space="preserve">d to supply </w:t>
      </w:r>
      <w:r w:rsidR="00AA6756">
        <w:t xml:space="preserve">councils </w:t>
      </w:r>
      <w:r w:rsidR="00A91AAA">
        <w:t xml:space="preserve">with </w:t>
      </w:r>
      <w:r w:rsidR="006F1D7B">
        <w:t xml:space="preserve">PDF </w:t>
      </w:r>
      <w:r w:rsidR="00AA6756">
        <w:t xml:space="preserve">reports and </w:t>
      </w:r>
      <w:r w:rsidR="006F1D7B">
        <w:t>E</w:t>
      </w:r>
      <w:r w:rsidR="00AA6756">
        <w:t xml:space="preserve">xcel spreadsheets, produced within the </w:t>
      </w:r>
      <w:r w:rsidR="006F1D7B">
        <w:t>RIT</w:t>
      </w:r>
      <w:r w:rsidR="00AA6756">
        <w:t xml:space="preserve">. The key purposes for the </w:t>
      </w:r>
      <w:r w:rsidR="00A91AAA">
        <w:t xml:space="preserve">RIT </w:t>
      </w:r>
      <w:r w:rsidR="00ED1B8E">
        <w:t xml:space="preserve">are </w:t>
      </w:r>
      <w:r w:rsidR="00AA6756">
        <w:t>to help councils:</w:t>
      </w:r>
    </w:p>
    <w:p w14:paraId="428E4945" w14:textId="4355AE93" w:rsidR="00AA6756" w:rsidRDefault="00AA6756" w:rsidP="00AA6756">
      <w:pPr>
        <w:pStyle w:val="Bullet"/>
      </w:pPr>
      <w:r>
        <w:t>track the direction of travel for water quality in catchments (</w:t>
      </w:r>
      <w:proofErr w:type="spellStart"/>
      <w:r w:rsidR="00A91AAA">
        <w:t>eg</w:t>
      </w:r>
      <w:proofErr w:type="spellEnd"/>
      <w:r w:rsidR="00A91AAA">
        <w:t xml:space="preserve">, </w:t>
      </w:r>
      <w:r>
        <w:t>degrading, hold the line, improving)</w:t>
      </w:r>
    </w:p>
    <w:p w14:paraId="679DBB99" w14:textId="5B70BA85" w:rsidR="00AA6756" w:rsidRDefault="00AA6756" w:rsidP="00AA6756">
      <w:pPr>
        <w:pStyle w:val="Bullet"/>
      </w:pPr>
      <w:r>
        <w:t>understand their catchment risks for planning purposes</w:t>
      </w:r>
    </w:p>
    <w:p w14:paraId="2932CD20" w14:textId="6AA5C579" w:rsidR="00AA6756" w:rsidRDefault="00AA6756" w:rsidP="00AA6756">
      <w:pPr>
        <w:pStyle w:val="Bullet"/>
      </w:pPr>
      <w:r>
        <w:t>identify properties with higher risks</w:t>
      </w:r>
      <w:r w:rsidR="117020B9">
        <w:t xml:space="preserve"> wi</w:t>
      </w:r>
      <w:r w:rsidR="629D60B8">
        <w:t xml:space="preserve">thin catchments </w:t>
      </w:r>
      <w:r w:rsidR="117020B9">
        <w:t xml:space="preserve">which require additional review of risk drivers and </w:t>
      </w:r>
      <w:r w:rsidR="008929E1">
        <w:t xml:space="preserve">more </w:t>
      </w:r>
      <w:r w:rsidR="117020B9">
        <w:t>support</w:t>
      </w:r>
    </w:p>
    <w:p w14:paraId="1CF417B9" w14:textId="77777777" w:rsidR="00AA6756" w:rsidRDefault="00AA6756" w:rsidP="00AA6756">
      <w:pPr>
        <w:pStyle w:val="Bullet"/>
      </w:pPr>
      <w:r>
        <w:t>assist with the resource consent process.</w:t>
      </w:r>
    </w:p>
    <w:p w14:paraId="5B3ED88A" w14:textId="594C3654" w:rsidR="00AA6756" w:rsidRDefault="007C317E" w:rsidP="00AA6756">
      <w:pPr>
        <w:pStyle w:val="BodyText"/>
      </w:pPr>
      <w:r>
        <w:t>The RIT</w:t>
      </w:r>
      <w:r w:rsidR="00AA6756">
        <w:t xml:space="preserve"> reports can be used to support council purposes</w:t>
      </w:r>
      <w:r>
        <w:t>, as outlined below.</w:t>
      </w:r>
    </w:p>
    <w:p w14:paraId="25FF99AD" w14:textId="36BF187C" w:rsidR="00AA6756" w:rsidRPr="00AA6756" w:rsidRDefault="00AA6756" w:rsidP="00AA6756">
      <w:pPr>
        <w:pStyle w:val="Heading2"/>
      </w:pPr>
      <w:bookmarkStart w:id="41" w:name="_Toc1087601137"/>
      <w:bookmarkStart w:id="42" w:name="_Toc206066545"/>
      <w:r w:rsidRPr="0F37576E">
        <w:rPr>
          <w:rStyle w:val="Heading2Char"/>
          <w:b/>
          <w:bCs/>
        </w:rPr>
        <w:t>Risk accounting</w:t>
      </w:r>
      <w:bookmarkEnd w:id="41"/>
      <w:bookmarkEnd w:id="42"/>
    </w:p>
    <w:p w14:paraId="59B757A4" w14:textId="43BA64C8" w:rsidR="00AA6756" w:rsidRDefault="00AA6756" w:rsidP="00AA6756">
      <w:pPr>
        <w:pStyle w:val="BodyText"/>
      </w:pPr>
      <w:r>
        <w:t>While the scores do not represent N</w:t>
      </w:r>
      <w:r w:rsidR="3028D267">
        <w:t> </w:t>
      </w:r>
      <w:r>
        <w:t xml:space="preserve">loss in kg/ha, risk scores </w:t>
      </w:r>
      <w:r w:rsidR="66394D09">
        <w:t xml:space="preserve">are related to </w:t>
      </w:r>
      <w:r>
        <w:t>N</w:t>
      </w:r>
      <w:r w:rsidR="66394D09">
        <w:t> </w:t>
      </w:r>
      <w:r>
        <w:t>loss in kg/ha. Lower risk scores indicate properties that have lower N</w:t>
      </w:r>
      <w:r w:rsidR="66394D09">
        <w:t> </w:t>
      </w:r>
      <w:r>
        <w:t xml:space="preserve">loss in kg/ha than properties with higher risk scores. Therefore, understanding </w:t>
      </w:r>
      <w:r w:rsidR="66394D09">
        <w:t xml:space="preserve">whether </w:t>
      </w:r>
      <w:r>
        <w:t xml:space="preserve">scores are increasing or decreasing will allow councils to understand the direction of travel for water quality. </w:t>
      </w:r>
    </w:p>
    <w:p w14:paraId="598579EE" w14:textId="4C0DB1BD" w:rsidR="001F5600" w:rsidRPr="0084048E" w:rsidRDefault="00AA6756" w:rsidP="00AA6756">
      <w:pPr>
        <w:pStyle w:val="BodyText"/>
        <w:rPr>
          <w:rFonts w:eastAsia="Calibri"/>
        </w:rPr>
      </w:pPr>
      <w:r w:rsidRPr="0084048E">
        <w:t xml:space="preserve">Note: </w:t>
      </w:r>
      <w:r w:rsidRPr="0084048E">
        <w:rPr>
          <w:rFonts w:eastAsia="Calibri"/>
        </w:rPr>
        <w:t xml:space="preserve">Scores are not a direct measure of the risk of the </w:t>
      </w:r>
      <w:r w:rsidR="008A69CF" w:rsidRPr="0084048E">
        <w:rPr>
          <w:rFonts w:eastAsia="Calibri"/>
        </w:rPr>
        <w:t>nitrogen</w:t>
      </w:r>
      <w:r w:rsidRPr="0084048E">
        <w:rPr>
          <w:rFonts w:eastAsia="Calibri"/>
        </w:rPr>
        <w:t xml:space="preserve"> ending up in the receiving environment (</w:t>
      </w:r>
      <w:proofErr w:type="spellStart"/>
      <w:r w:rsidRPr="0084048E">
        <w:rPr>
          <w:rFonts w:eastAsia="Calibri"/>
        </w:rPr>
        <w:t>eg</w:t>
      </w:r>
      <w:proofErr w:type="spellEnd"/>
      <w:r w:rsidR="008A69CF" w:rsidRPr="0084048E">
        <w:rPr>
          <w:rFonts w:eastAsia="Calibri"/>
        </w:rPr>
        <w:t>,</w:t>
      </w:r>
      <w:r w:rsidRPr="0084048E">
        <w:rPr>
          <w:rFonts w:eastAsia="Calibri"/>
        </w:rPr>
        <w:t xml:space="preserve"> streams or groundwater).</w:t>
      </w:r>
    </w:p>
    <w:p w14:paraId="67848704" w14:textId="37821DB8" w:rsidR="00F9337D" w:rsidRDefault="00F9337D" w:rsidP="00F9337D">
      <w:pPr>
        <w:pStyle w:val="Heading3"/>
      </w:pPr>
      <w:r>
        <w:t>Tool score output</w:t>
      </w:r>
    </w:p>
    <w:p w14:paraId="623C9C30" w14:textId="5DF9A7C2" w:rsidR="00F9337D" w:rsidRDefault="00F9337D" w:rsidP="00F9337D">
      <w:pPr>
        <w:pStyle w:val="BodyText"/>
      </w:pPr>
      <w:r>
        <w:t xml:space="preserve">The </w:t>
      </w:r>
      <w:r w:rsidR="22F1DFAF">
        <w:t xml:space="preserve">RIT </w:t>
      </w:r>
      <w:r>
        <w:t xml:space="preserve">produces a simple table in </w:t>
      </w:r>
      <w:r w:rsidR="22F1DFAF">
        <w:t>E</w:t>
      </w:r>
      <w:r>
        <w:t xml:space="preserve">xcel </w:t>
      </w:r>
      <w:r w:rsidR="19A1DAA6">
        <w:t xml:space="preserve">format </w:t>
      </w:r>
      <w:r>
        <w:t>(</w:t>
      </w:r>
      <w:r w:rsidR="52544D9D">
        <w:t>table 1</w:t>
      </w:r>
      <w:r>
        <w:t>)</w:t>
      </w:r>
      <w:r w:rsidR="19A1DAA6">
        <w:t xml:space="preserve">. Councils </w:t>
      </w:r>
      <w:r>
        <w:t xml:space="preserve">could take data from </w:t>
      </w:r>
      <w:r w:rsidR="19A1DAA6">
        <w:t xml:space="preserve">the table </w:t>
      </w:r>
      <w:r>
        <w:t>and manually collate scores into their own databases</w:t>
      </w:r>
      <w:r w:rsidR="77DB5AD0">
        <w:t>,</w:t>
      </w:r>
      <w:r>
        <w:t xml:space="preserve"> to track what is happening within a catchment. </w:t>
      </w:r>
    </w:p>
    <w:p w14:paraId="4A40C151" w14:textId="1253EA01" w:rsidR="00F9337D" w:rsidRPr="00D67B3E" w:rsidRDefault="52544D9D" w:rsidP="00D67B3E">
      <w:pPr>
        <w:pStyle w:val="Tableheading"/>
      </w:pPr>
      <w:bookmarkStart w:id="43" w:name="_Toc198907119"/>
      <w:r w:rsidRPr="00D67B3E">
        <w:t>Table 1</w:t>
      </w:r>
      <w:r w:rsidR="00F9337D" w:rsidRPr="00D67B3E">
        <w:t xml:space="preserve">: </w:t>
      </w:r>
      <w:r w:rsidR="00F9337D" w:rsidRPr="00D67B3E">
        <w:tab/>
      </w:r>
      <w:r w:rsidR="77DB5AD0" w:rsidRPr="00D67B3E">
        <w:t xml:space="preserve">An Excel format </w:t>
      </w:r>
      <w:r w:rsidR="00F9337D" w:rsidRPr="00D67B3E">
        <w:t>table showing the baseline and overall risks for leaching, runoff and the whole farm score (total)</w:t>
      </w:r>
      <w:bookmarkEnd w:id="43"/>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3553"/>
        <w:gridCol w:w="1652"/>
        <w:gridCol w:w="1650"/>
        <w:gridCol w:w="1650"/>
      </w:tblGrid>
      <w:tr w:rsidR="00555B18" w:rsidRPr="006B77BB" w14:paraId="7B9FBC67" w14:textId="07E956C3" w:rsidTr="00D25BE0">
        <w:trPr>
          <w:tblHeader/>
        </w:trPr>
        <w:tc>
          <w:tcPr>
            <w:tcW w:w="2089" w:type="pct"/>
            <w:shd w:val="clear" w:color="auto" w:fill="1B556B" w:themeFill="text2"/>
          </w:tcPr>
          <w:p w14:paraId="34F11061" w14:textId="73979BC9" w:rsidR="00555B18" w:rsidRPr="006B77BB" w:rsidRDefault="00555B18">
            <w:pPr>
              <w:pStyle w:val="TableTextbold"/>
              <w:rPr>
                <w:color w:val="FFFFFF" w:themeColor="background1"/>
              </w:rPr>
            </w:pPr>
            <w:r>
              <w:rPr>
                <w:color w:val="FFFFFF" w:themeColor="background1"/>
              </w:rPr>
              <w:t>Farm nam</w:t>
            </w:r>
            <w:r w:rsidR="00704720">
              <w:rPr>
                <w:color w:val="FFFFFF" w:themeColor="background1"/>
              </w:rPr>
              <w:t>e</w:t>
            </w:r>
            <w:r w:rsidR="00A22CBD">
              <w:rPr>
                <w:color w:val="FFFFFF" w:themeColor="background1"/>
              </w:rPr>
              <w:br/>
            </w:r>
            <w:r>
              <w:rPr>
                <w:color w:val="FFFFFF" w:themeColor="background1"/>
              </w:rPr>
              <w:t>PCEJuly01</w:t>
            </w:r>
          </w:p>
        </w:tc>
        <w:tc>
          <w:tcPr>
            <w:tcW w:w="971" w:type="pct"/>
            <w:shd w:val="clear" w:color="auto" w:fill="1B556B" w:themeFill="text2"/>
          </w:tcPr>
          <w:p w14:paraId="375B789D" w14:textId="74E5F98D" w:rsidR="00555B18" w:rsidRDefault="00555B18">
            <w:pPr>
              <w:pStyle w:val="TableTextbold"/>
              <w:rPr>
                <w:color w:val="FFFFFF" w:themeColor="background1"/>
              </w:rPr>
            </w:pPr>
            <w:r>
              <w:rPr>
                <w:color w:val="FFFFFF" w:themeColor="background1"/>
              </w:rPr>
              <w:t>Report name</w:t>
            </w:r>
            <w:r>
              <w:rPr>
                <w:color w:val="FFFFFF" w:themeColor="background1"/>
              </w:rPr>
              <w:br/>
              <w:t>PCEJuly01</w:t>
            </w:r>
          </w:p>
        </w:tc>
        <w:tc>
          <w:tcPr>
            <w:tcW w:w="970" w:type="pct"/>
            <w:shd w:val="clear" w:color="auto" w:fill="1B556B" w:themeFill="text2"/>
          </w:tcPr>
          <w:p w14:paraId="1F0E1DF3" w14:textId="5875E599" w:rsidR="00555B18" w:rsidRPr="006B77BB" w:rsidRDefault="00555B18">
            <w:pPr>
              <w:pStyle w:val="TableTextbold"/>
              <w:rPr>
                <w:color w:val="FFFFFF" w:themeColor="background1"/>
              </w:rPr>
            </w:pPr>
            <w:r>
              <w:rPr>
                <w:color w:val="FFFFFF" w:themeColor="background1"/>
              </w:rPr>
              <w:t>Date created</w:t>
            </w:r>
            <w:r>
              <w:rPr>
                <w:color w:val="FFFFFF" w:themeColor="background1"/>
              </w:rPr>
              <w:br/>
              <w:t>1/07/2024</w:t>
            </w:r>
          </w:p>
        </w:tc>
        <w:tc>
          <w:tcPr>
            <w:tcW w:w="970" w:type="pct"/>
            <w:shd w:val="clear" w:color="auto" w:fill="1B556B" w:themeFill="text2"/>
          </w:tcPr>
          <w:p w14:paraId="1DB2235A" w14:textId="6114C327" w:rsidR="00555B18" w:rsidDel="00555B18" w:rsidRDefault="00555B18">
            <w:pPr>
              <w:pStyle w:val="TableTextbold"/>
              <w:rPr>
                <w:color w:val="FFFFFF" w:themeColor="background1"/>
              </w:rPr>
            </w:pPr>
            <w:r>
              <w:rPr>
                <w:color w:val="FFFFFF" w:themeColor="background1"/>
              </w:rPr>
              <w:t xml:space="preserve">Created by </w:t>
            </w:r>
            <w:r>
              <w:rPr>
                <w:color w:val="FFFFFF" w:themeColor="background1"/>
              </w:rPr>
              <w:br/>
              <w:t>NMT Team</w:t>
            </w:r>
          </w:p>
        </w:tc>
      </w:tr>
      <w:tr w:rsidR="00555B18" w:rsidRPr="006B77BB" w14:paraId="30CEAFD7" w14:textId="15C13454" w:rsidTr="00D25BE0">
        <w:tc>
          <w:tcPr>
            <w:tcW w:w="2089" w:type="pct"/>
          </w:tcPr>
          <w:p w14:paraId="3A0BC669" w14:textId="77777777" w:rsidR="00555B18" w:rsidRPr="006B77BB" w:rsidRDefault="00555B18">
            <w:pPr>
              <w:pStyle w:val="TableText"/>
            </w:pPr>
          </w:p>
        </w:tc>
        <w:tc>
          <w:tcPr>
            <w:tcW w:w="971" w:type="pct"/>
          </w:tcPr>
          <w:p w14:paraId="5B444BCF" w14:textId="250AE69D" w:rsidR="00555B18" w:rsidRPr="0084048E" w:rsidRDefault="00555B18">
            <w:pPr>
              <w:pStyle w:val="TableText"/>
              <w:rPr>
                <w:b/>
                <w:bCs/>
              </w:rPr>
            </w:pPr>
            <w:r w:rsidRPr="0084048E">
              <w:rPr>
                <w:b/>
                <w:bCs/>
              </w:rPr>
              <w:t>Farm</w:t>
            </w:r>
          </w:p>
        </w:tc>
        <w:tc>
          <w:tcPr>
            <w:tcW w:w="970" w:type="pct"/>
          </w:tcPr>
          <w:p w14:paraId="70C781E2" w14:textId="7A960911" w:rsidR="00555B18" w:rsidRPr="0084048E" w:rsidRDefault="00555B18">
            <w:pPr>
              <w:pStyle w:val="TableText"/>
              <w:rPr>
                <w:b/>
                <w:bCs/>
              </w:rPr>
            </w:pPr>
            <w:r w:rsidRPr="0084048E">
              <w:rPr>
                <w:b/>
                <w:bCs/>
              </w:rPr>
              <w:t>Block A</w:t>
            </w:r>
          </w:p>
        </w:tc>
        <w:tc>
          <w:tcPr>
            <w:tcW w:w="970" w:type="pct"/>
          </w:tcPr>
          <w:p w14:paraId="30013483" w14:textId="347A0AC8" w:rsidR="00555B18" w:rsidRPr="0084048E" w:rsidRDefault="00555B18">
            <w:pPr>
              <w:pStyle w:val="TableText"/>
              <w:rPr>
                <w:b/>
                <w:bCs/>
              </w:rPr>
            </w:pPr>
            <w:r w:rsidRPr="0084048E">
              <w:rPr>
                <w:b/>
                <w:bCs/>
              </w:rPr>
              <w:t>Block B</w:t>
            </w:r>
          </w:p>
        </w:tc>
      </w:tr>
      <w:tr w:rsidR="00555B18" w:rsidRPr="006B77BB" w14:paraId="39C6B8E2" w14:textId="216AD334" w:rsidTr="00D25BE0">
        <w:tc>
          <w:tcPr>
            <w:tcW w:w="2089" w:type="pct"/>
          </w:tcPr>
          <w:p w14:paraId="043CA4F3" w14:textId="2D442759" w:rsidR="00555B18" w:rsidRPr="006B77BB" w:rsidRDefault="00704720">
            <w:pPr>
              <w:pStyle w:val="TableText"/>
            </w:pPr>
            <w:r>
              <w:t>Baseline leaching risk</w:t>
            </w:r>
          </w:p>
        </w:tc>
        <w:tc>
          <w:tcPr>
            <w:tcW w:w="971" w:type="pct"/>
          </w:tcPr>
          <w:p w14:paraId="3BEB3065" w14:textId="517478D6" w:rsidR="00555B18" w:rsidRPr="006B77BB" w:rsidRDefault="1AF8DC01" w:rsidP="00A22CBD">
            <w:pPr>
              <w:pStyle w:val="TableText"/>
              <w:jc w:val="right"/>
            </w:pPr>
            <w:r>
              <w:t>8</w:t>
            </w:r>
            <w:r w:rsidR="0C40ABE5">
              <w:t>,</w:t>
            </w:r>
            <w:r>
              <w:t>400</w:t>
            </w:r>
          </w:p>
        </w:tc>
        <w:tc>
          <w:tcPr>
            <w:tcW w:w="970" w:type="pct"/>
          </w:tcPr>
          <w:p w14:paraId="2590A996" w14:textId="477604C2" w:rsidR="00555B18" w:rsidRPr="006B77BB" w:rsidRDefault="1AF8DC01" w:rsidP="00A22CBD">
            <w:pPr>
              <w:pStyle w:val="TableText"/>
              <w:jc w:val="right"/>
            </w:pPr>
            <w:r>
              <w:t>2</w:t>
            </w:r>
            <w:r w:rsidR="0C40ABE5">
              <w:t>,</w:t>
            </w:r>
            <w:r>
              <w:t>800</w:t>
            </w:r>
          </w:p>
        </w:tc>
        <w:tc>
          <w:tcPr>
            <w:tcW w:w="970" w:type="pct"/>
          </w:tcPr>
          <w:p w14:paraId="1A353E2C" w14:textId="16C6DF07" w:rsidR="00555B18" w:rsidRPr="006B77BB" w:rsidRDefault="1AF8DC01" w:rsidP="00A22CBD">
            <w:pPr>
              <w:pStyle w:val="TableText"/>
              <w:jc w:val="right"/>
            </w:pPr>
            <w:r>
              <w:t>5</w:t>
            </w:r>
            <w:r w:rsidR="0C40ABE5">
              <w:t>,</w:t>
            </w:r>
            <w:r>
              <w:t>400</w:t>
            </w:r>
          </w:p>
        </w:tc>
      </w:tr>
      <w:tr w:rsidR="00555B18" w:rsidRPr="006B77BB" w14:paraId="611E610B" w14:textId="568E198D" w:rsidTr="00D25BE0">
        <w:tc>
          <w:tcPr>
            <w:tcW w:w="2089" w:type="pct"/>
          </w:tcPr>
          <w:p w14:paraId="17AF8454" w14:textId="7C05E4D1" w:rsidR="00555B18" w:rsidRPr="006B77BB" w:rsidRDefault="00704720">
            <w:pPr>
              <w:pStyle w:val="TableText"/>
            </w:pPr>
            <w:r>
              <w:t>Baseline runoff risk</w:t>
            </w:r>
          </w:p>
        </w:tc>
        <w:tc>
          <w:tcPr>
            <w:tcW w:w="971" w:type="pct"/>
          </w:tcPr>
          <w:p w14:paraId="72015CB0" w14:textId="24DED624" w:rsidR="00555B18" w:rsidRPr="006B77BB" w:rsidRDefault="00704720" w:rsidP="00A22CBD">
            <w:pPr>
              <w:pStyle w:val="TableText"/>
              <w:jc w:val="right"/>
            </w:pPr>
            <w:r>
              <w:t>100</w:t>
            </w:r>
          </w:p>
        </w:tc>
        <w:tc>
          <w:tcPr>
            <w:tcW w:w="970" w:type="pct"/>
          </w:tcPr>
          <w:p w14:paraId="43745645" w14:textId="2C5B9918" w:rsidR="00555B18" w:rsidRPr="006B77BB" w:rsidRDefault="00704720" w:rsidP="00A22CBD">
            <w:pPr>
              <w:pStyle w:val="TableText"/>
              <w:jc w:val="right"/>
            </w:pPr>
            <w:r>
              <w:t>3.7</w:t>
            </w:r>
          </w:p>
        </w:tc>
        <w:tc>
          <w:tcPr>
            <w:tcW w:w="970" w:type="pct"/>
          </w:tcPr>
          <w:p w14:paraId="247719A8" w14:textId="1F3C9B92" w:rsidR="00555B18" w:rsidRPr="006B77BB" w:rsidRDefault="00704720" w:rsidP="00A22CBD">
            <w:pPr>
              <w:pStyle w:val="TableText"/>
              <w:jc w:val="right"/>
            </w:pPr>
            <w:r>
              <w:t>0.018</w:t>
            </w:r>
          </w:p>
        </w:tc>
      </w:tr>
      <w:tr w:rsidR="00704720" w:rsidRPr="006B77BB" w14:paraId="0D788D7C" w14:textId="77777777" w:rsidTr="00D25BE0">
        <w:tc>
          <w:tcPr>
            <w:tcW w:w="2089" w:type="pct"/>
          </w:tcPr>
          <w:p w14:paraId="1699ED60" w14:textId="04E84185" w:rsidR="00704720" w:rsidRDefault="00704720">
            <w:pPr>
              <w:pStyle w:val="TableText"/>
            </w:pPr>
            <w:r>
              <w:t>Baseline total risk</w:t>
            </w:r>
          </w:p>
        </w:tc>
        <w:tc>
          <w:tcPr>
            <w:tcW w:w="971" w:type="pct"/>
          </w:tcPr>
          <w:p w14:paraId="2A3442FC" w14:textId="5272180A" w:rsidR="00704720" w:rsidRDefault="7A704FF2" w:rsidP="00A22CBD">
            <w:pPr>
              <w:pStyle w:val="TableText"/>
              <w:jc w:val="right"/>
            </w:pPr>
            <w:r>
              <w:t>8</w:t>
            </w:r>
            <w:r w:rsidR="0C40ABE5">
              <w:t>,</w:t>
            </w:r>
            <w:r>
              <w:t>500</w:t>
            </w:r>
          </w:p>
        </w:tc>
        <w:tc>
          <w:tcPr>
            <w:tcW w:w="970" w:type="pct"/>
          </w:tcPr>
          <w:p w14:paraId="31FA7F7C" w14:textId="41A0B35F" w:rsidR="00704720" w:rsidRDefault="7A704FF2" w:rsidP="00A22CBD">
            <w:pPr>
              <w:pStyle w:val="TableText"/>
              <w:jc w:val="right"/>
            </w:pPr>
            <w:r>
              <w:t>2</w:t>
            </w:r>
            <w:r w:rsidR="0C40ABE5">
              <w:t>,</w:t>
            </w:r>
            <w:r>
              <w:t>900</w:t>
            </w:r>
          </w:p>
        </w:tc>
        <w:tc>
          <w:tcPr>
            <w:tcW w:w="970" w:type="pct"/>
          </w:tcPr>
          <w:p w14:paraId="71F98BE4" w14:textId="56019F39" w:rsidR="00704720" w:rsidRDefault="7A704FF2" w:rsidP="00A22CBD">
            <w:pPr>
              <w:pStyle w:val="TableText"/>
              <w:jc w:val="right"/>
            </w:pPr>
            <w:r>
              <w:t>5</w:t>
            </w:r>
            <w:r w:rsidR="0C40ABE5">
              <w:t>,</w:t>
            </w:r>
            <w:r>
              <w:t>400</w:t>
            </w:r>
          </w:p>
        </w:tc>
      </w:tr>
      <w:tr w:rsidR="00704720" w:rsidRPr="006B77BB" w14:paraId="7149C1B9" w14:textId="77777777" w:rsidTr="00D25BE0">
        <w:tc>
          <w:tcPr>
            <w:tcW w:w="2089" w:type="pct"/>
          </w:tcPr>
          <w:p w14:paraId="356A16DA" w14:textId="61829211" w:rsidR="00704720" w:rsidRDefault="00704720">
            <w:pPr>
              <w:pStyle w:val="TableText"/>
            </w:pPr>
            <w:r>
              <w:t>Overall leaching risk</w:t>
            </w:r>
          </w:p>
        </w:tc>
        <w:tc>
          <w:tcPr>
            <w:tcW w:w="971" w:type="pct"/>
          </w:tcPr>
          <w:p w14:paraId="41FB76D2" w14:textId="48B53599" w:rsidR="00704720" w:rsidRDefault="7A704FF2" w:rsidP="00A22CBD">
            <w:pPr>
              <w:pStyle w:val="TableText"/>
              <w:jc w:val="right"/>
            </w:pPr>
            <w:r>
              <w:t>7</w:t>
            </w:r>
            <w:r w:rsidR="0C40ABE5">
              <w:t>,</w:t>
            </w:r>
            <w:r>
              <w:t>200</w:t>
            </w:r>
          </w:p>
        </w:tc>
        <w:tc>
          <w:tcPr>
            <w:tcW w:w="970" w:type="pct"/>
          </w:tcPr>
          <w:p w14:paraId="670A3705" w14:textId="5ED2EB23" w:rsidR="00704720" w:rsidRDefault="7A704FF2" w:rsidP="00A22CBD">
            <w:pPr>
              <w:pStyle w:val="TableText"/>
              <w:jc w:val="right"/>
            </w:pPr>
            <w:r>
              <w:t>2</w:t>
            </w:r>
            <w:r w:rsidR="0C40ABE5">
              <w:t>,</w:t>
            </w:r>
            <w:r>
              <w:t>400</w:t>
            </w:r>
          </w:p>
        </w:tc>
        <w:tc>
          <w:tcPr>
            <w:tcW w:w="970" w:type="pct"/>
          </w:tcPr>
          <w:p w14:paraId="0DEDA7C4" w14:textId="15E2B020" w:rsidR="00704720" w:rsidRDefault="7A704FF2" w:rsidP="00A22CBD">
            <w:pPr>
              <w:pStyle w:val="TableText"/>
              <w:jc w:val="right"/>
            </w:pPr>
            <w:r>
              <w:t>4</w:t>
            </w:r>
            <w:r w:rsidR="0C40ABE5">
              <w:t>,</w:t>
            </w:r>
            <w:r>
              <w:t>600</w:t>
            </w:r>
          </w:p>
        </w:tc>
      </w:tr>
      <w:tr w:rsidR="00704720" w:rsidRPr="006B77BB" w14:paraId="401F4F25" w14:textId="77777777" w:rsidTr="00D25BE0">
        <w:tc>
          <w:tcPr>
            <w:tcW w:w="2089" w:type="pct"/>
          </w:tcPr>
          <w:p w14:paraId="50DDFEBD" w14:textId="18DB9BDE" w:rsidR="00704720" w:rsidRDefault="00704720">
            <w:pPr>
              <w:pStyle w:val="TableText"/>
            </w:pPr>
            <w:r>
              <w:t>Overall runoff risk</w:t>
            </w:r>
          </w:p>
        </w:tc>
        <w:tc>
          <w:tcPr>
            <w:tcW w:w="971" w:type="pct"/>
          </w:tcPr>
          <w:p w14:paraId="6F82751E" w14:textId="1939E654" w:rsidR="00704720" w:rsidRDefault="00704720" w:rsidP="00A22CBD">
            <w:pPr>
              <w:pStyle w:val="TableText"/>
              <w:jc w:val="right"/>
            </w:pPr>
            <w:r>
              <w:t>100</w:t>
            </w:r>
          </w:p>
        </w:tc>
        <w:tc>
          <w:tcPr>
            <w:tcW w:w="970" w:type="pct"/>
          </w:tcPr>
          <w:p w14:paraId="7AD405A4" w14:textId="0DDCB6DE" w:rsidR="00704720" w:rsidRDefault="00704720" w:rsidP="00A22CBD">
            <w:pPr>
              <w:pStyle w:val="TableText"/>
              <w:jc w:val="right"/>
            </w:pPr>
            <w:r>
              <w:t>2.9</w:t>
            </w:r>
          </w:p>
        </w:tc>
        <w:tc>
          <w:tcPr>
            <w:tcW w:w="970" w:type="pct"/>
          </w:tcPr>
          <w:p w14:paraId="32E96DA0" w14:textId="4BC56FB1" w:rsidR="00704720" w:rsidRDefault="00704720" w:rsidP="00A22CBD">
            <w:pPr>
              <w:pStyle w:val="TableText"/>
              <w:jc w:val="right"/>
            </w:pPr>
            <w:r>
              <w:t>0.009</w:t>
            </w:r>
          </w:p>
        </w:tc>
      </w:tr>
      <w:tr w:rsidR="00704720" w:rsidRPr="006B77BB" w14:paraId="24A4F069" w14:textId="77777777" w:rsidTr="00D25BE0">
        <w:tc>
          <w:tcPr>
            <w:tcW w:w="2089" w:type="pct"/>
          </w:tcPr>
          <w:p w14:paraId="186EEC14" w14:textId="077F4091" w:rsidR="00704720" w:rsidRPr="00A22CBD" w:rsidRDefault="00A22CBD">
            <w:pPr>
              <w:pStyle w:val="TableText"/>
              <w:rPr>
                <w:b/>
                <w:bCs/>
              </w:rPr>
            </w:pPr>
            <w:r w:rsidRPr="00A22CBD">
              <w:rPr>
                <w:b/>
                <w:bCs/>
              </w:rPr>
              <w:t>Overall total risk</w:t>
            </w:r>
          </w:p>
        </w:tc>
        <w:tc>
          <w:tcPr>
            <w:tcW w:w="971" w:type="pct"/>
          </w:tcPr>
          <w:p w14:paraId="726372DC" w14:textId="34224024" w:rsidR="00704720" w:rsidRPr="00A22CBD" w:rsidRDefault="56786C55" w:rsidP="00A22CBD">
            <w:pPr>
              <w:pStyle w:val="TableText"/>
              <w:jc w:val="right"/>
              <w:rPr>
                <w:b/>
                <w:bCs/>
              </w:rPr>
            </w:pPr>
            <w:r w:rsidRPr="53909BF2">
              <w:rPr>
                <w:b/>
                <w:bCs/>
              </w:rPr>
              <w:t>7</w:t>
            </w:r>
            <w:r w:rsidR="0C40ABE5" w:rsidRPr="53909BF2">
              <w:rPr>
                <w:b/>
                <w:bCs/>
              </w:rPr>
              <w:t>,</w:t>
            </w:r>
            <w:r w:rsidRPr="53909BF2">
              <w:rPr>
                <w:b/>
                <w:bCs/>
              </w:rPr>
              <w:t>300</w:t>
            </w:r>
          </w:p>
        </w:tc>
        <w:tc>
          <w:tcPr>
            <w:tcW w:w="970" w:type="pct"/>
          </w:tcPr>
          <w:p w14:paraId="6C3A5994" w14:textId="5148C456" w:rsidR="00704720" w:rsidRPr="00A22CBD" w:rsidRDefault="56786C55" w:rsidP="00A22CBD">
            <w:pPr>
              <w:pStyle w:val="TableText"/>
              <w:jc w:val="right"/>
              <w:rPr>
                <w:b/>
                <w:bCs/>
              </w:rPr>
            </w:pPr>
            <w:r w:rsidRPr="53909BF2">
              <w:rPr>
                <w:b/>
                <w:bCs/>
              </w:rPr>
              <w:t>2</w:t>
            </w:r>
            <w:r w:rsidR="0C40ABE5" w:rsidRPr="53909BF2">
              <w:rPr>
                <w:b/>
                <w:bCs/>
              </w:rPr>
              <w:t>,</w:t>
            </w:r>
            <w:r w:rsidRPr="53909BF2">
              <w:rPr>
                <w:b/>
                <w:bCs/>
              </w:rPr>
              <w:t>400</w:t>
            </w:r>
          </w:p>
        </w:tc>
        <w:tc>
          <w:tcPr>
            <w:tcW w:w="970" w:type="pct"/>
          </w:tcPr>
          <w:p w14:paraId="158B861E" w14:textId="6A855463" w:rsidR="00704720" w:rsidRPr="00A22CBD" w:rsidRDefault="56786C55" w:rsidP="00A22CBD">
            <w:pPr>
              <w:pStyle w:val="TableText"/>
              <w:jc w:val="right"/>
              <w:rPr>
                <w:b/>
                <w:bCs/>
              </w:rPr>
            </w:pPr>
            <w:r w:rsidRPr="53909BF2">
              <w:rPr>
                <w:b/>
                <w:bCs/>
              </w:rPr>
              <w:t>4</w:t>
            </w:r>
            <w:r w:rsidR="0C40ABE5" w:rsidRPr="53909BF2">
              <w:rPr>
                <w:b/>
                <w:bCs/>
              </w:rPr>
              <w:t>,</w:t>
            </w:r>
            <w:r w:rsidRPr="53909BF2">
              <w:rPr>
                <w:b/>
                <w:bCs/>
              </w:rPr>
              <w:t>600</w:t>
            </w:r>
          </w:p>
        </w:tc>
      </w:tr>
    </w:tbl>
    <w:p w14:paraId="548CC3A0" w14:textId="0AFEEE14" w:rsidR="00F9337D" w:rsidRDefault="00F9337D" w:rsidP="0084048E">
      <w:pPr>
        <w:pStyle w:val="BodyText"/>
        <w:spacing w:before="240"/>
      </w:pPr>
      <w:r>
        <w:lastRenderedPageBreak/>
        <w:t xml:space="preserve">Owing to the way measured losses and the risk of loss were aligned, the Technical Working Group </w:t>
      </w:r>
      <w:r w:rsidR="170CC632">
        <w:t>(</w:t>
      </w:r>
      <w:r w:rsidR="170CC632" w:rsidRPr="6711C071">
        <w:rPr>
          <w:rFonts w:eastAsia="Calibri" w:cs="Calibri"/>
          <w:color w:val="000000" w:themeColor="text1"/>
        </w:rPr>
        <w:t xml:space="preserve">which provided scientific oversight and development of the tool) </w:t>
      </w:r>
      <w:r>
        <w:t>has advised that if scores in a catchment are trending down, N</w:t>
      </w:r>
      <w:r w:rsidR="00822919">
        <w:t> </w:t>
      </w:r>
      <w:r>
        <w:t>loss and loads on the catchment are likely going down. However, this cannot be quantified as a kg</w:t>
      </w:r>
      <w:r w:rsidR="00822919">
        <w:t>/N</w:t>
      </w:r>
      <w:r>
        <w:t xml:space="preserve"> load change. </w:t>
      </w:r>
    </w:p>
    <w:p w14:paraId="3739C08B" w14:textId="2E316DD6" w:rsidR="00F9337D" w:rsidRPr="003E4FEA" w:rsidRDefault="00F9337D" w:rsidP="00F9337D">
      <w:pPr>
        <w:pStyle w:val="BodyText"/>
      </w:pPr>
      <w:r>
        <w:t>Note</w:t>
      </w:r>
      <w:r w:rsidR="3616A957">
        <w:t>:</w:t>
      </w:r>
      <w:r>
        <w:t xml:space="preserve"> </w:t>
      </w:r>
      <w:r w:rsidR="00995CEF">
        <w:t>T</w:t>
      </w:r>
      <w:r>
        <w:t>he farm system information and the extent to which mitigations and modifiers are adopted would be valuable inputs to catchment modelling.</w:t>
      </w:r>
    </w:p>
    <w:p w14:paraId="3D9C7228" w14:textId="490185CF" w:rsidR="00F9337D" w:rsidRPr="00F9337D" w:rsidRDefault="00F9337D" w:rsidP="00F9337D">
      <w:pPr>
        <w:pStyle w:val="Heading3"/>
      </w:pPr>
      <w:r>
        <w:t>Tracking farm baseline risk</w:t>
      </w:r>
    </w:p>
    <w:p w14:paraId="35D44452" w14:textId="7041F16A" w:rsidR="00F9337D" w:rsidRDefault="00F9337D" w:rsidP="00F9337D">
      <w:pPr>
        <w:pStyle w:val="BodyText"/>
      </w:pPr>
      <w:r>
        <w:t xml:space="preserve">Baseline risk considers the biophysical characteristics and the </w:t>
      </w:r>
      <w:r w:rsidR="00995CEF">
        <w:t>nitrogen</w:t>
      </w:r>
      <w:r>
        <w:t xml:space="preserve"> source inputs</w:t>
      </w:r>
      <w:r w:rsidR="00995CEF">
        <w:t xml:space="preserve"> – </w:t>
      </w:r>
      <w:r>
        <w:t>fertili</w:t>
      </w:r>
      <w:r w:rsidR="00995CEF">
        <w:t>s</w:t>
      </w:r>
      <w:r>
        <w:t>er, urine, dung and crop residues. If councils track baseline risk, this will help them track intensification within a catchment. Baseline risk could go up or down over time</w:t>
      </w:r>
      <w:r w:rsidR="00417D8D">
        <w:t>,</w:t>
      </w:r>
      <w:r>
        <w:t xml:space="preserve"> depending on farmers</w:t>
      </w:r>
      <w:r w:rsidR="00417D8D">
        <w:t>’</w:t>
      </w:r>
      <w:r>
        <w:t xml:space="preserve"> management choices.</w:t>
      </w:r>
    </w:p>
    <w:p w14:paraId="2B4DC4D3" w14:textId="413A5CD6" w:rsidR="00F9337D" w:rsidRPr="00F9337D" w:rsidRDefault="00F9337D" w:rsidP="00F9337D">
      <w:pPr>
        <w:pStyle w:val="Heading3"/>
      </w:pPr>
      <w:r>
        <w:t>Tracking farm overall risk</w:t>
      </w:r>
    </w:p>
    <w:p w14:paraId="61848D9F" w14:textId="38BF200D" w:rsidR="00F9337D" w:rsidRDefault="00F9337D" w:rsidP="00F9337D">
      <w:pPr>
        <w:pStyle w:val="BodyText"/>
      </w:pPr>
      <w:r>
        <w:t>Tracking overall risk will allow councils to monitor the change in risk in the catchment</w:t>
      </w:r>
      <w:r w:rsidR="00CE6951">
        <w:t>,</w:t>
      </w:r>
      <w:r>
        <w:t xml:space="preserve"> in general. This change may be up or down</w:t>
      </w:r>
      <w:r w:rsidR="00CE6951">
        <w:t>,</w:t>
      </w:r>
      <w:r>
        <w:t xml:space="preserve"> depending on land</w:t>
      </w:r>
      <w:r w:rsidR="00CE6951">
        <w:t>-</w:t>
      </w:r>
      <w:r>
        <w:t>use change</w:t>
      </w:r>
      <w:r w:rsidR="00CE6951">
        <w:t>s</w:t>
      </w:r>
      <w:r>
        <w:t xml:space="preserve">, intensity changes and the adoption or reduction of mitigations and modifiers over time. </w:t>
      </w:r>
    </w:p>
    <w:p w14:paraId="3539E4BB" w14:textId="7DF64CB8" w:rsidR="00F9337D" w:rsidRPr="00F9337D" w:rsidRDefault="00F9337D" w:rsidP="00F9337D">
      <w:pPr>
        <w:pStyle w:val="Heading3"/>
      </w:pPr>
      <w:r>
        <w:t>Tracking farm runoff and leaching risk</w:t>
      </w:r>
    </w:p>
    <w:p w14:paraId="090896DB" w14:textId="204EBF6A" w:rsidR="00F9337D" w:rsidRDefault="00F9337D" w:rsidP="00F9337D">
      <w:pPr>
        <w:pStyle w:val="BodyText"/>
      </w:pPr>
      <w:r>
        <w:t xml:space="preserve">Alongside the tracking of baseline and overall risk, the </w:t>
      </w:r>
      <w:r w:rsidR="00CE6951">
        <w:t xml:space="preserve">RIT </w:t>
      </w:r>
      <w:r>
        <w:t xml:space="preserve">provides risk scores for runoff and leaching risk. Keeping track of these pathways of loss and their risk scores could help councils understand </w:t>
      </w:r>
      <w:r w:rsidR="00CE6951">
        <w:t>whether</w:t>
      </w:r>
      <w:r>
        <w:t xml:space="preserve"> and how the risk profile is changing in a catchment. </w:t>
      </w:r>
    </w:p>
    <w:p w14:paraId="32052DEC" w14:textId="63220FB9" w:rsidR="00F9337D" w:rsidRPr="0055192E" w:rsidRDefault="00F9337D" w:rsidP="2218F6C9">
      <w:pPr>
        <w:pStyle w:val="BodyText"/>
      </w:pPr>
      <w:r>
        <w:t xml:space="preserve">Councils </w:t>
      </w:r>
      <w:r w:rsidR="00413A8D">
        <w:t>could</w:t>
      </w:r>
      <w:r>
        <w:t xml:space="preserve"> use this information to determine </w:t>
      </w:r>
      <w:r w:rsidR="00413A8D">
        <w:t>whether</w:t>
      </w:r>
      <w:r>
        <w:t xml:space="preserve"> they need to focus on a particular pathway of loss risk (</w:t>
      </w:r>
      <w:proofErr w:type="spellStart"/>
      <w:r w:rsidR="00413A8D">
        <w:t>ie</w:t>
      </w:r>
      <w:proofErr w:type="spellEnd"/>
      <w:r w:rsidR="00413A8D">
        <w:t xml:space="preserve">, </w:t>
      </w:r>
      <w:r>
        <w:t xml:space="preserve">runoff or </w:t>
      </w:r>
      <w:r w:rsidRPr="0055192E">
        <w:t>leaching).</w:t>
      </w:r>
      <w:r w:rsidR="0055192E" w:rsidRPr="0055192E">
        <w:t xml:space="preserve"> </w:t>
      </w:r>
      <w:r w:rsidR="58BA6D7F" w:rsidRPr="0055192E">
        <w:t>This may help inform plans and the preparation of catchment contexts, challenges and values for informing freshwater farm plan preparation.</w:t>
      </w:r>
    </w:p>
    <w:p w14:paraId="13793321" w14:textId="00387BB5" w:rsidR="00F9337D" w:rsidRDefault="00F9337D" w:rsidP="00F9337D">
      <w:pPr>
        <w:pStyle w:val="Heading2"/>
        <w:rPr>
          <w:rFonts w:eastAsia="Calibri Light"/>
        </w:rPr>
      </w:pPr>
      <w:bookmarkStart w:id="44" w:name="_Toc206066546"/>
      <w:r w:rsidRPr="0F37576E">
        <w:rPr>
          <w:rFonts w:eastAsia="Calibri Light"/>
        </w:rPr>
        <w:t>Catchment risk hotspots for planning purposes</w:t>
      </w:r>
      <w:bookmarkEnd w:id="44"/>
    </w:p>
    <w:p w14:paraId="2BAB3036" w14:textId="7F750067" w:rsidR="00F9337D" w:rsidRDefault="00F9337D" w:rsidP="00F9337D">
      <w:pPr>
        <w:pStyle w:val="Heading3"/>
      </w:pPr>
      <w:r>
        <w:t>Heatmaps</w:t>
      </w:r>
    </w:p>
    <w:p w14:paraId="61655C6F" w14:textId="120DB46D" w:rsidR="00F9337D" w:rsidRDefault="00F9337D" w:rsidP="00F9337D">
      <w:pPr>
        <w:pStyle w:val="BodyText"/>
      </w:pPr>
      <w:r>
        <w:t xml:space="preserve">The </w:t>
      </w:r>
      <w:r w:rsidR="000928E0">
        <w:t>c</w:t>
      </w:r>
      <w:r>
        <w:t>ouncil portal and the catchment heatmap</w:t>
      </w:r>
      <w:r w:rsidR="000928E0">
        <w:t>s</w:t>
      </w:r>
      <w:r>
        <w:t xml:space="preserve"> have not yet been developed</w:t>
      </w:r>
      <w:r w:rsidR="000928E0">
        <w:t>, so</w:t>
      </w:r>
      <w:r>
        <w:t xml:space="preserve"> councils cannot view and identify areas of greater risk in a catchment in a spatial format. This is noted for future consideration </w:t>
      </w:r>
      <w:r w:rsidR="00BB525C">
        <w:t>in</w:t>
      </w:r>
      <w:r>
        <w:t xml:space="preserve"> the council portal development. </w:t>
      </w:r>
    </w:p>
    <w:p w14:paraId="0897FFD8" w14:textId="3F98C600" w:rsidR="00F9337D" w:rsidRDefault="00F9337D" w:rsidP="00F9337D">
      <w:pPr>
        <w:pStyle w:val="BodyText"/>
      </w:pPr>
      <w:r>
        <w:t>Councils should not attempt to create their own heatmaps based on the individual report heatmaps</w:t>
      </w:r>
      <w:r w:rsidR="00746905">
        <w:t>. T</w:t>
      </w:r>
      <w:r w:rsidR="003D479B">
        <w:t>hese</w:t>
      </w:r>
      <w:r>
        <w:t xml:space="preserve"> are not comparable between farms</w:t>
      </w:r>
      <w:r w:rsidR="00D830A9">
        <w:t>,</w:t>
      </w:r>
      <w:r w:rsidR="003D479B">
        <w:t xml:space="preserve"> </w:t>
      </w:r>
      <w:r w:rsidR="00D830A9">
        <w:t xml:space="preserve">but </w:t>
      </w:r>
      <w:r>
        <w:t xml:space="preserve">only between that </w:t>
      </w:r>
      <w:proofErr w:type="gramStart"/>
      <w:r>
        <w:t>particular farm’s</w:t>
      </w:r>
      <w:proofErr w:type="gramEnd"/>
      <w:r>
        <w:t xml:space="preserve"> polygons.</w:t>
      </w:r>
    </w:p>
    <w:p w14:paraId="4A3EBC10" w14:textId="082CD293" w:rsidR="00F9337D" w:rsidRPr="00F9337D" w:rsidRDefault="00F9337D" w:rsidP="00F9337D">
      <w:pPr>
        <w:pStyle w:val="Heading3"/>
      </w:pPr>
      <w:r>
        <w:t xml:space="preserve">Comparing </w:t>
      </w:r>
      <w:r w:rsidR="00D830A9">
        <w:t>f</w:t>
      </w:r>
      <w:r>
        <w:t xml:space="preserve">arm </w:t>
      </w:r>
      <w:r w:rsidR="00D830A9">
        <w:t>s</w:t>
      </w:r>
      <w:r>
        <w:t>cores</w:t>
      </w:r>
    </w:p>
    <w:p w14:paraId="63C18D4C" w14:textId="77777777" w:rsidR="00F9337D" w:rsidRDefault="00F9337D" w:rsidP="00F9337D">
      <w:pPr>
        <w:pStyle w:val="BodyText"/>
      </w:pPr>
      <w:r>
        <w:t xml:space="preserve">Councils can compare risk between different farms and blocks by using the per hectare score. This could help councils identify farms with proportionally higher risks than others. </w:t>
      </w:r>
    </w:p>
    <w:p w14:paraId="1356947F" w14:textId="3D17692D" w:rsidR="00F9337D" w:rsidRDefault="00F9337D" w:rsidP="00F9337D">
      <w:pPr>
        <w:pStyle w:val="BodyText"/>
      </w:pPr>
      <w:r>
        <w:lastRenderedPageBreak/>
        <w:t>This comparison ensures farms of all sizes and land</w:t>
      </w:r>
      <w:r w:rsidR="008B0907">
        <w:t>-</w:t>
      </w:r>
      <w:r>
        <w:t>use types are being compared on an even footing. Th</w:t>
      </w:r>
      <w:r w:rsidR="008B0907">
        <w:t>e</w:t>
      </w:r>
      <w:r>
        <w:t xml:space="preserve"> data can then be assessed to determine </w:t>
      </w:r>
      <w:r w:rsidR="008B0907">
        <w:t xml:space="preserve">whether </w:t>
      </w:r>
      <w:r>
        <w:t>a certain location or land</w:t>
      </w:r>
      <w:r w:rsidR="008B0907">
        <w:t>-</w:t>
      </w:r>
      <w:r>
        <w:t xml:space="preserve">use type may </w:t>
      </w:r>
      <w:r w:rsidR="008B0907">
        <w:t>have</w:t>
      </w:r>
      <w:r>
        <w:t xml:space="preserve"> a higher impact </w:t>
      </w:r>
      <w:r w:rsidR="008B0907">
        <w:t xml:space="preserve">than </w:t>
      </w:r>
      <w:r>
        <w:t>another. Understanding the source of risk may help councils determine where they may want to concentrate initial efforts to reduce risk in a catchment.</w:t>
      </w:r>
    </w:p>
    <w:p w14:paraId="7B8B9796" w14:textId="77F02F27" w:rsidR="00F9337D" w:rsidRDefault="008B0907" w:rsidP="00F9337D">
      <w:pPr>
        <w:pStyle w:val="BodyText"/>
      </w:pPr>
      <w:r>
        <w:t xml:space="preserve">Until </w:t>
      </w:r>
      <w:r w:rsidR="001A1F09">
        <w:t>the</w:t>
      </w:r>
      <w:r>
        <w:t xml:space="preserve"> </w:t>
      </w:r>
      <w:r w:rsidR="00F9337D">
        <w:t>council portal</w:t>
      </w:r>
      <w:r w:rsidR="001A1F09">
        <w:t xml:space="preserve"> is available</w:t>
      </w:r>
      <w:r w:rsidR="00F9337D">
        <w:t>, this remains a manual process for councils to complete.</w:t>
      </w:r>
    </w:p>
    <w:p w14:paraId="462F9718" w14:textId="5F0EAF12" w:rsidR="00F9337D" w:rsidRPr="00F9337D" w:rsidRDefault="00F9337D" w:rsidP="00F9337D">
      <w:pPr>
        <w:pStyle w:val="Heading2"/>
      </w:pPr>
      <w:bookmarkStart w:id="45" w:name="_Toc1246122367"/>
      <w:bookmarkStart w:id="46" w:name="_Toc206066547"/>
      <w:r>
        <w:t>Consenting</w:t>
      </w:r>
      <w:bookmarkEnd w:id="45"/>
      <w:bookmarkEnd w:id="46"/>
    </w:p>
    <w:p w14:paraId="2AC4459E" w14:textId="7066E314" w:rsidR="00F9337D" w:rsidRPr="00F9337D" w:rsidRDefault="00F9337D" w:rsidP="00F9337D">
      <w:pPr>
        <w:pStyle w:val="Heading3"/>
      </w:pPr>
      <w:r>
        <w:t>Determining activity status</w:t>
      </w:r>
    </w:p>
    <w:p w14:paraId="56C12CBD" w14:textId="4B166211" w:rsidR="00F9337D" w:rsidRDefault="00F9337D" w:rsidP="00F9337D">
      <w:pPr>
        <w:pStyle w:val="BodyText"/>
        <w:rPr>
          <w:rFonts w:eastAsia="Calibri"/>
        </w:rPr>
      </w:pPr>
      <w:r>
        <w:t xml:space="preserve">The </w:t>
      </w:r>
      <w:r w:rsidR="001A1F09">
        <w:t>RIT</w:t>
      </w:r>
      <w:r>
        <w:t xml:space="preserve"> implementation guidance</w:t>
      </w:r>
      <w:r>
        <w:rPr>
          <w:rStyle w:val="FootnoteReference"/>
        </w:rPr>
        <w:footnoteReference w:id="3"/>
      </w:r>
      <w:r>
        <w:t xml:space="preserve"> states</w:t>
      </w:r>
      <w:r w:rsidR="001A1F09">
        <w:t xml:space="preserve"> that</w:t>
      </w:r>
      <w:r>
        <w:t xml:space="preserve"> it is </w:t>
      </w:r>
      <w:r>
        <w:rPr>
          <w:rFonts w:eastAsia="Calibri"/>
        </w:rPr>
        <w:t>inadvisable to determine activity status (</w:t>
      </w:r>
      <w:proofErr w:type="spellStart"/>
      <w:r>
        <w:rPr>
          <w:rFonts w:eastAsia="Calibri"/>
        </w:rPr>
        <w:t>eg</w:t>
      </w:r>
      <w:proofErr w:type="spellEnd"/>
      <w:r>
        <w:rPr>
          <w:rFonts w:eastAsia="Calibri"/>
        </w:rPr>
        <w:t>, permitted, discretionary, non-complying) by using the RIT. However, the RIT could be used to help triage properties</w:t>
      </w:r>
      <w:r w:rsidR="00201AB8">
        <w:rPr>
          <w:rFonts w:eastAsia="Calibri"/>
        </w:rPr>
        <w:t>,</w:t>
      </w:r>
      <w:r>
        <w:rPr>
          <w:rFonts w:eastAsia="Calibri"/>
        </w:rPr>
        <w:t xml:space="preserve"> by identifying those with higher risk as needing additional attention or investigation.</w:t>
      </w:r>
    </w:p>
    <w:p w14:paraId="4BDE41E6" w14:textId="303348E0" w:rsidR="00F9337D" w:rsidRPr="00F9337D" w:rsidRDefault="00F9337D" w:rsidP="00F9337D">
      <w:pPr>
        <w:pStyle w:val="Heading3"/>
      </w:pPr>
      <w:r>
        <w:t>Assessment of environmental effects</w:t>
      </w:r>
    </w:p>
    <w:p w14:paraId="2892FC55" w14:textId="735F4C41" w:rsidR="00F9337D" w:rsidRDefault="00F9337D" w:rsidP="00F9337D">
      <w:pPr>
        <w:pStyle w:val="BodyText"/>
      </w:pPr>
      <w:r>
        <w:t>The RIT report produces both numbered scores and a heatmap of polygon areas of higher and lower risk (relative to other polygons on the farm). It also provides context for how scores were generated</w:t>
      </w:r>
      <w:r w:rsidR="00201AB8">
        <w:t>,</w:t>
      </w:r>
      <w:r>
        <w:t xml:space="preserve"> by reporting the:</w:t>
      </w:r>
    </w:p>
    <w:p w14:paraId="29E7124F" w14:textId="6C43F468" w:rsidR="00F9337D" w:rsidRDefault="00F9337D" w:rsidP="00F9337D">
      <w:pPr>
        <w:pStyle w:val="Bullet"/>
      </w:pPr>
      <w:r>
        <w:t xml:space="preserve">soil type </w:t>
      </w:r>
    </w:p>
    <w:p w14:paraId="20B63AD7" w14:textId="43F1C510" w:rsidR="00F9337D" w:rsidRDefault="00F9337D" w:rsidP="00F9337D">
      <w:pPr>
        <w:pStyle w:val="Bullet"/>
      </w:pPr>
      <w:r>
        <w:t>slope</w:t>
      </w:r>
    </w:p>
    <w:p w14:paraId="09FC114A" w14:textId="23EF3C3F" w:rsidR="00F9337D" w:rsidRDefault="00F9337D" w:rsidP="00F9337D">
      <w:pPr>
        <w:pStyle w:val="Bullet"/>
      </w:pPr>
      <w:r>
        <w:t>precipitation</w:t>
      </w:r>
    </w:p>
    <w:p w14:paraId="26300CCA" w14:textId="5B573A5B" w:rsidR="00F9337D" w:rsidRDefault="00F9337D" w:rsidP="00F9337D">
      <w:pPr>
        <w:pStyle w:val="Bullet"/>
      </w:pPr>
      <w:r>
        <w:t>presence of irrigation</w:t>
      </w:r>
    </w:p>
    <w:p w14:paraId="1C67711C" w14:textId="04194549" w:rsidR="00F9337D" w:rsidRDefault="00F9337D" w:rsidP="00F9337D">
      <w:pPr>
        <w:pStyle w:val="Bullet"/>
      </w:pPr>
      <w:r>
        <w:t xml:space="preserve">source of </w:t>
      </w:r>
      <w:r w:rsidR="00201AB8">
        <w:t>nitrogen</w:t>
      </w:r>
      <w:r>
        <w:t xml:space="preserve"> inputs (and mitigations)</w:t>
      </w:r>
    </w:p>
    <w:p w14:paraId="476AFCD6" w14:textId="34BD1213" w:rsidR="00F9337D" w:rsidRDefault="00F9337D" w:rsidP="00F9337D">
      <w:pPr>
        <w:pStyle w:val="Bullet"/>
      </w:pPr>
      <w:r>
        <w:t>any modifiers that users have adopted to reduce risk.</w:t>
      </w:r>
    </w:p>
    <w:p w14:paraId="6E728A63" w14:textId="3A25DE25" w:rsidR="00F9337D" w:rsidRDefault="00F9337D" w:rsidP="00F9337D">
      <w:pPr>
        <w:pStyle w:val="BodyText"/>
      </w:pPr>
      <w:r>
        <w:t xml:space="preserve">The scores and heatmaps may help determine areas on farms where additional monitoring may be required. For example, the entry and exit of </w:t>
      </w:r>
      <w:r w:rsidR="00201AB8">
        <w:t xml:space="preserve">a </w:t>
      </w:r>
      <w:r>
        <w:t>stream running through an area of higher risk may be a suitable location for water monitoring/sampling conditions</w:t>
      </w:r>
      <w:r w:rsidR="00164ED8">
        <w:t>,</w:t>
      </w:r>
      <w:r>
        <w:t xml:space="preserve"> to track the water quality and measure the impact of that area of risk on the waterway.</w:t>
      </w:r>
    </w:p>
    <w:p w14:paraId="3B33E057" w14:textId="546B2BF5" w:rsidR="00F9337D" w:rsidRDefault="00F9337D" w:rsidP="00F9337D">
      <w:pPr>
        <w:pStyle w:val="BodyText"/>
      </w:pPr>
      <w:r>
        <w:t xml:space="preserve">The results of any scenario </w:t>
      </w:r>
      <w:r w:rsidR="00164ED8">
        <w:t>modelling</w:t>
      </w:r>
      <w:r>
        <w:t xml:space="preserve"> might help councils determine conditions of consent</w:t>
      </w:r>
      <w:r w:rsidR="00164ED8">
        <w:t>,</w:t>
      </w:r>
      <w:r>
        <w:t xml:space="preserve"> to ensure </w:t>
      </w:r>
      <w:r w:rsidR="009B0035">
        <w:t xml:space="preserve">adoption of </w:t>
      </w:r>
      <w:r>
        <w:t>mitigations and modifiers to reduce the risk during the consent term.</w:t>
      </w:r>
    </w:p>
    <w:p w14:paraId="5032447E" w14:textId="6C5FD7A9" w:rsidR="00F9337D" w:rsidRPr="00F9337D" w:rsidRDefault="00F9337D" w:rsidP="00F9337D">
      <w:pPr>
        <w:pStyle w:val="Heading3"/>
      </w:pPr>
      <w:r>
        <w:t>Writing scores into consent conditions</w:t>
      </w:r>
    </w:p>
    <w:p w14:paraId="337A7C47" w14:textId="2E8233AA" w:rsidR="00F9337D" w:rsidRDefault="00F9337D" w:rsidP="00F9337D">
      <w:pPr>
        <w:pStyle w:val="BodyText"/>
      </w:pPr>
      <w:r>
        <w:t>Councils could require in the consent conditions that the consent holder update and provide further RIT reports throughout the consented period. This would allow councils to gather information about practices</w:t>
      </w:r>
      <w:r w:rsidR="00B0225A">
        <w:t xml:space="preserve"> on farm</w:t>
      </w:r>
      <w:r>
        <w:t xml:space="preserve"> and track the direction of travel.</w:t>
      </w:r>
    </w:p>
    <w:p w14:paraId="7CFE75D9" w14:textId="6EF5EC26" w:rsidR="00F9337D" w:rsidRDefault="00F9337D" w:rsidP="00F9337D">
      <w:pPr>
        <w:pStyle w:val="BodyText"/>
      </w:pPr>
      <w:r>
        <w:lastRenderedPageBreak/>
        <w:t>Councils should not use the numeric scores as hard numbers in consent conditions</w:t>
      </w:r>
      <w:r w:rsidR="00A23C6F">
        <w:t>,</w:t>
      </w:r>
      <w:r w:rsidR="007948B6">
        <w:t xml:space="preserve"> </w:t>
      </w:r>
      <w:r>
        <w:t>requir</w:t>
      </w:r>
      <w:r w:rsidR="007948B6">
        <w:t>ing</w:t>
      </w:r>
      <w:r>
        <w:t xml:space="preserve"> </w:t>
      </w:r>
      <w:r w:rsidR="00A23C6F">
        <w:t xml:space="preserve">that the </w:t>
      </w:r>
      <w:r>
        <w:t xml:space="preserve">number not be exceeded or reduced. This would be an inappropriate use of the </w:t>
      </w:r>
      <w:r w:rsidR="00A23C6F">
        <w:t xml:space="preserve">RIT, </w:t>
      </w:r>
      <w:r>
        <w:t xml:space="preserve">which should only be used at the </w:t>
      </w:r>
      <w:r w:rsidR="00A23C6F">
        <w:t>‘</w:t>
      </w:r>
      <w:r>
        <w:t>softer</w:t>
      </w:r>
      <w:r w:rsidR="00A23C6F">
        <w:t>’</w:t>
      </w:r>
      <w:r>
        <w:t xml:space="preserve"> end of regulation</w:t>
      </w:r>
      <w:r w:rsidR="00A23C6F">
        <w:t>.</w:t>
      </w:r>
      <w:r>
        <w:rPr>
          <w:rStyle w:val="FootnoteReference"/>
        </w:rPr>
        <w:footnoteReference w:id="4"/>
      </w:r>
      <w:r>
        <w:t xml:space="preserve"> For more information about </w:t>
      </w:r>
      <w:r w:rsidR="00A23C6F">
        <w:t>c</w:t>
      </w:r>
      <w:r>
        <w:t xml:space="preserve">ompliance and </w:t>
      </w:r>
      <w:r w:rsidR="00A23C6F">
        <w:t>e</w:t>
      </w:r>
      <w:r>
        <w:t>nforcement</w:t>
      </w:r>
      <w:r w:rsidR="00A23C6F">
        <w:t xml:space="preserve">, </w:t>
      </w:r>
      <w:r>
        <w:t>see the implementation guidance</w:t>
      </w:r>
      <w:r w:rsidR="00A23C6F">
        <w:t>.</w:t>
      </w:r>
      <w:r>
        <w:rPr>
          <w:rStyle w:val="FootnoteReference"/>
        </w:rPr>
        <w:footnoteReference w:id="5"/>
      </w:r>
    </w:p>
    <w:p w14:paraId="6D3AA982" w14:textId="77777777" w:rsidR="00F9337D" w:rsidRPr="0055192E" w:rsidRDefault="00F9337D" w:rsidP="0055192E">
      <w:pPr>
        <w:pStyle w:val="BodyText"/>
      </w:pPr>
      <w:bookmarkStart w:id="47" w:name="_Toc879355599"/>
      <w:r w:rsidRPr="0055192E">
        <w:br w:type="page"/>
      </w:r>
    </w:p>
    <w:p w14:paraId="649DFEB2" w14:textId="241CB0BE" w:rsidR="00F9337D" w:rsidRDefault="00F9337D" w:rsidP="00F9337D">
      <w:pPr>
        <w:pStyle w:val="Heading1"/>
      </w:pPr>
      <w:bookmarkStart w:id="48" w:name="_Toc206066548"/>
      <w:r>
        <w:lastRenderedPageBreak/>
        <w:t xml:space="preserve">Tool </w:t>
      </w:r>
      <w:r w:rsidR="00A23C6F">
        <w:t>u</w:t>
      </w:r>
      <w:r>
        <w:t>sers</w:t>
      </w:r>
      <w:bookmarkEnd w:id="47"/>
      <w:bookmarkEnd w:id="48"/>
    </w:p>
    <w:p w14:paraId="1C40E562" w14:textId="02F0236F" w:rsidR="00F9337D" w:rsidRDefault="00F9337D" w:rsidP="00F9337D">
      <w:pPr>
        <w:pStyle w:val="Heading2"/>
      </w:pPr>
      <w:bookmarkStart w:id="49" w:name="_Toc206066549"/>
      <w:r>
        <w:t>Tool users</w:t>
      </w:r>
      <w:bookmarkEnd w:id="49"/>
    </w:p>
    <w:p w14:paraId="00AC979A" w14:textId="598DADE4" w:rsidR="00F9337D" w:rsidRDefault="00F9337D" w:rsidP="00F9337D">
      <w:pPr>
        <w:pStyle w:val="BodyText"/>
        <w:rPr>
          <w:rFonts w:eastAsia="Calibri"/>
        </w:rPr>
      </w:pPr>
      <w:r>
        <w:t xml:space="preserve">Users </w:t>
      </w:r>
      <w:r w:rsidR="25C8F2A9">
        <w:t xml:space="preserve">are </w:t>
      </w:r>
      <w:r>
        <w:t xml:space="preserve">people who </w:t>
      </w:r>
      <w:r w:rsidR="089E46D3" w:rsidRPr="53909BF2">
        <w:rPr>
          <w:rFonts w:eastAsia="Calibri"/>
        </w:rPr>
        <w:t>i</w:t>
      </w:r>
      <w:r w:rsidRPr="53909BF2">
        <w:rPr>
          <w:rFonts w:eastAsia="Calibri"/>
        </w:rPr>
        <w:t xml:space="preserve">nput information into the </w:t>
      </w:r>
      <w:r w:rsidR="089E46D3" w:rsidRPr="53909BF2">
        <w:rPr>
          <w:rFonts w:eastAsia="Calibri"/>
        </w:rPr>
        <w:t xml:space="preserve">RIT </w:t>
      </w:r>
      <w:r w:rsidRPr="53909BF2">
        <w:rPr>
          <w:rFonts w:eastAsia="Calibri"/>
        </w:rPr>
        <w:t>for a risk assessment</w:t>
      </w:r>
      <w:r w:rsidR="25C8F2A9" w:rsidRPr="53909BF2">
        <w:rPr>
          <w:rFonts w:eastAsia="Calibri"/>
        </w:rPr>
        <w:t xml:space="preserve"> – </w:t>
      </w:r>
      <w:r w:rsidRPr="53909BF2">
        <w:rPr>
          <w:rFonts w:eastAsia="Calibri"/>
        </w:rPr>
        <w:t xml:space="preserve">likely farmers/landowners, nutrient </w:t>
      </w:r>
      <w:r w:rsidR="04261636" w:rsidRPr="53909BF2">
        <w:rPr>
          <w:rFonts w:eastAsia="Calibri"/>
        </w:rPr>
        <w:t xml:space="preserve">advisors </w:t>
      </w:r>
      <w:r w:rsidRPr="53909BF2">
        <w:rPr>
          <w:rFonts w:eastAsia="Calibri"/>
        </w:rPr>
        <w:t>and/or farm advisors.</w:t>
      </w:r>
    </w:p>
    <w:p w14:paraId="41F067F5" w14:textId="47C35A94" w:rsidR="00F9337D" w:rsidRDefault="00F9337D" w:rsidP="00F9337D">
      <w:pPr>
        <w:pStyle w:val="Heading2"/>
        <w:rPr>
          <w:rStyle w:val="Heading2Char"/>
          <w:b/>
          <w:bCs/>
        </w:rPr>
      </w:pPr>
      <w:bookmarkStart w:id="50" w:name="_Toc266624318"/>
      <w:bookmarkStart w:id="51" w:name="_Toc206066550"/>
      <w:r>
        <w:t xml:space="preserve">Freshwater </w:t>
      </w:r>
      <w:r w:rsidR="00172820">
        <w:t>f</w:t>
      </w:r>
      <w:r>
        <w:t xml:space="preserve">arm </w:t>
      </w:r>
      <w:r w:rsidR="00172820">
        <w:t>p</w:t>
      </w:r>
      <w:r>
        <w:t>lans</w:t>
      </w:r>
      <w:bookmarkEnd w:id="50"/>
      <w:bookmarkEnd w:id="51"/>
    </w:p>
    <w:p w14:paraId="3EA0DB37" w14:textId="2B54E529" w:rsidR="00AB004D" w:rsidRDefault="00AB004D" w:rsidP="00AB004D">
      <w:pPr>
        <w:pStyle w:val="BodyText"/>
      </w:pPr>
      <w:r>
        <w:t>The freshwater farm plan regulations require farm operators to produce a farm plan if certain conditions are met (</w:t>
      </w:r>
      <w:proofErr w:type="spellStart"/>
      <w:r>
        <w:t>ie</w:t>
      </w:r>
      <w:proofErr w:type="spellEnd"/>
      <w:r>
        <w:t>, size of operation depending on land-use type). Councils must produce a catchment context challenges and values document, which provides farm operators context for freshwater resources and contaminants within the catchment they are farming in.</w:t>
      </w:r>
    </w:p>
    <w:p w14:paraId="3C06A027" w14:textId="72E82DDC" w:rsidR="00AB004D" w:rsidRDefault="00AB004D" w:rsidP="00AB004D">
      <w:pPr>
        <w:pStyle w:val="BodyText"/>
      </w:pPr>
      <w:r>
        <w:t xml:space="preserve">For catchments that have identified nitrogen as a contaminant of concern, farm operators could use the RIT to identify </w:t>
      </w:r>
      <w:r w:rsidR="008F7E66">
        <w:t>r</w:t>
      </w:r>
      <w:r>
        <w:t>isks in each block for N loss and create an action plan to reduce their N loss.</w:t>
      </w:r>
    </w:p>
    <w:p w14:paraId="62EC03D2" w14:textId="6A89F8B2" w:rsidR="00F9337D" w:rsidRDefault="00571D4F" w:rsidP="00F9337D">
      <w:pPr>
        <w:pStyle w:val="BodyText"/>
      </w:pPr>
      <w:r>
        <w:t xml:space="preserve">The RIT </w:t>
      </w:r>
      <w:r w:rsidR="00F9337D">
        <w:t xml:space="preserve">can be used to identify areas of higher risk (heatmap) and </w:t>
      </w:r>
      <w:r>
        <w:t xml:space="preserve">to produce </w:t>
      </w:r>
      <w:r w:rsidR="00F9337D">
        <w:t>scenario modelling to test what actions (</w:t>
      </w:r>
      <w:proofErr w:type="spellStart"/>
      <w:r>
        <w:t>ie</w:t>
      </w:r>
      <w:proofErr w:type="spellEnd"/>
      <w:r>
        <w:t xml:space="preserve">, </w:t>
      </w:r>
      <w:r w:rsidR="00F9337D">
        <w:t>mitigations and modifiers) might be employed to reduce the risk.</w:t>
      </w:r>
    </w:p>
    <w:p w14:paraId="135B7FE9" w14:textId="3E072686" w:rsidR="00F9337D" w:rsidRDefault="00F9337D" w:rsidP="00F9337D">
      <w:pPr>
        <w:pStyle w:val="Heading3"/>
      </w:pPr>
      <w:r>
        <w:t>Initial scores</w:t>
      </w:r>
    </w:p>
    <w:p w14:paraId="3846C159" w14:textId="36850FF8" w:rsidR="00F9337D" w:rsidRDefault="00F9337D" w:rsidP="00F9337D">
      <w:pPr>
        <w:pStyle w:val="BodyText"/>
      </w:pPr>
      <w:r>
        <w:t xml:space="preserve">The whole farm score and block scores do not mean much </w:t>
      </w:r>
      <w:r w:rsidR="00BF5747">
        <w:t xml:space="preserve">in </w:t>
      </w:r>
      <w:r>
        <w:t>an initial report</w:t>
      </w:r>
      <w:r w:rsidR="00BF5747">
        <w:t xml:space="preserve"> –</w:t>
      </w:r>
      <w:r>
        <w:t xml:space="preserve"> the number does not </w:t>
      </w:r>
      <w:r w:rsidR="00BF5747">
        <w:t xml:space="preserve">indicate whether </w:t>
      </w:r>
      <w:r>
        <w:t xml:space="preserve">the risk is </w:t>
      </w:r>
      <w:r w:rsidR="00BF5747">
        <w:t xml:space="preserve">low, medium or </w:t>
      </w:r>
      <w:r>
        <w:t xml:space="preserve">high in a catchment context. </w:t>
      </w:r>
      <w:r w:rsidR="00BF5747">
        <w:t xml:space="preserve">Users </w:t>
      </w:r>
      <w:r>
        <w:t>can</w:t>
      </w:r>
      <w:r w:rsidR="00BF5747">
        <w:t>,</w:t>
      </w:r>
      <w:r>
        <w:t xml:space="preserve"> however</w:t>
      </w:r>
      <w:r w:rsidR="00BF5747">
        <w:t>,</w:t>
      </w:r>
      <w:r>
        <w:t xml:space="preserve"> see which blocks have higher risk scores. Scores become more meaningful as additional reports are run (either </w:t>
      </w:r>
      <w:r w:rsidR="000772FA">
        <w:t xml:space="preserve">through </w:t>
      </w:r>
      <w:r>
        <w:t xml:space="preserve">scenario </w:t>
      </w:r>
      <w:r w:rsidR="000772FA">
        <w:t>modelling</w:t>
      </w:r>
      <w:r>
        <w:t xml:space="preserve"> or running reports in later years)</w:t>
      </w:r>
      <w:r w:rsidR="009715AB">
        <w:t>. These</w:t>
      </w:r>
      <w:r>
        <w:t xml:space="preserve"> can show how the </w:t>
      </w:r>
      <w:r w:rsidR="000772FA">
        <w:t xml:space="preserve">on-farm </w:t>
      </w:r>
      <w:r>
        <w:t>risk is changing over time</w:t>
      </w:r>
      <w:r w:rsidR="000772FA">
        <w:t>,</w:t>
      </w:r>
      <w:r>
        <w:t xml:space="preserve"> or when different mitigations and modifiers are adopted.</w:t>
      </w:r>
    </w:p>
    <w:p w14:paraId="0D74338D" w14:textId="47A0DD67" w:rsidR="00F9337D" w:rsidRPr="00F9337D" w:rsidRDefault="00F9337D" w:rsidP="00F9337D">
      <w:pPr>
        <w:pStyle w:val="Heading3"/>
      </w:pPr>
      <w:r>
        <w:t>Heatmap</w:t>
      </w:r>
    </w:p>
    <w:p w14:paraId="3DEA4EE3" w14:textId="6562241F" w:rsidR="00F9337D" w:rsidRDefault="00F9337D" w:rsidP="00F9337D">
      <w:pPr>
        <w:pStyle w:val="BodyText"/>
      </w:pPr>
      <w:r>
        <w:t xml:space="preserve">By producing heatmaps, an initial RIT report will assist farm operators </w:t>
      </w:r>
      <w:r w:rsidR="3E138D00">
        <w:t xml:space="preserve">to </w:t>
      </w:r>
      <w:r>
        <w:t>determin</w:t>
      </w:r>
      <w:r w:rsidR="3E138D00">
        <w:t>e</w:t>
      </w:r>
      <w:r>
        <w:t xml:space="preserve"> which polygons and blocks have the highest risks in their specific farm context. This will help</w:t>
      </w:r>
      <w:r w:rsidR="3E138D00">
        <w:t xml:space="preserve"> tool users who are </w:t>
      </w:r>
      <w:r>
        <w:t xml:space="preserve">writing </w:t>
      </w:r>
      <w:r w:rsidR="7F1EB0D7">
        <w:t xml:space="preserve">freshwater </w:t>
      </w:r>
      <w:r>
        <w:t>farm plan</w:t>
      </w:r>
      <w:r w:rsidR="3E138D00">
        <w:t>s</w:t>
      </w:r>
      <w:r>
        <w:t xml:space="preserve"> understand areas of risk and where to focus </w:t>
      </w:r>
      <w:r w:rsidR="3E138D00">
        <w:t>‘</w:t>
      </w:r>
      <w:r>
        <w:t>actions</w:t>
      </w:r>
      <w:r w:rsidR="3E138D00">
        <w:t>’</w:t>
      </w:r>
      <w:r>
        <w:t>.</w:t>
      </w:r>
    </w:p>
    <w:p w14:paraId="60E129D0" w14:textId="50343434" w:rsidR="00F9337D" w:rsidRDefault="00F9337D" w:rsidP="00F9337D">
      <w:pPr>
        <w:pStyle w:val="BodyText"/>
        <w:rPr>
          <w:rFonts w:eastAsia="Calibri" w:cs="Calibri"/>
        </w:rPr>
      </w:pPr>
      <w:r w:rsidRPr="6711C071">
        <w:rPr>
          <w:rFonts w:eastAsia="Calibri" w:cs="Calibri"/>
        </w:rPr>
        <w:t>Users should use both heatmaps</w:t>
      </w:r>
      <w:r w:rsidR="00310366" w:rsidRPr="6711C071">
        <w:rPr>
          <w:rFonts w:eastAsia="Calibri" w:cs="Calibri"/>
        </w:rPr>
        <w:t xml:space="preserve"> (</w:t>
      </w:r>
      <w:r w:rsidR="00036361">
        <w:rPr>
          <w:rFonts w:eastAsia="Calibri" w:cs="Calibri"/>
        </w:rPr>
        <w:t xml:space="preserve">see </w:t>
      </w:r>
      <w:r w:rsidR="00310366" w:rsidRPr="6711C071">
        <w:rPr>
          <w:rFonts w:eastAsia="Calibri" w:cs="Calibri"/>
        </w:rPr>
        <w:t xml:space="preserve">examples in </w:t>
      </w:r>
      <w:hyperlink w:anchor="figure5" w:history="1">
        <w:r w:rsidR="00310366" w:rsidRPr="00AC426C">
          <w:rPr>
            <w:rStyle w:val="Hyperlink"/>
            <w:rFonts w:eastAsia="Calibri" w:cs="Calibri"/>
          </w:rPr>
          <w:t>figure 5</w:t>
        </w:r>
      </w:hyperlink>
      <w:r w:rsidR="00310366" w:rsidRPr="6711C071">
        <w:rPr>
          <w:rFonts w:eastAsia="Calibri" w:cs="Calibri"/>
        </w:rPr>
        <w:t xml:space="preserve"> and </w:t>
      </w:r>
      <w:hyperlink w:anchor="figure6" w:history="1">
        <w:r w:rsidR="00907371" w:rsidRPr="00AC426C">
          <w:rPr>
            <w:rStyle w:val="Hyperlink"/>
            <w:rFonts w:eastAsia="Calibri" w:cs="Calibri"/>
          </w:rPr>
          <w:t xml:space="preserve">figure </w:t>
        </w:r>
        <w:r w:rsidR="00310366" w:rsidRPr="00AC426C">
          <w:rPr>
            <w:rStyle w:val="Hyperlink"/>
            <w:rFonts w:eastAsia="Calibri" w:cs="Calibri"/>
          </w:rPr>
          <w:t>6</w:t>
        </w:r>
      </w:hyperlink>
      <w:r w:rsidR="00310366" w:rsidRPr="6711C071">
        <w:rPr>
          <w:rFonts w:eastAsia="Calibri" w:cs="Calibri"/>
        </w:rPr>
        <w:t>)</w:t>
      </w:r>
      <w:r w:rsidRPr="6711C071">
        <w:rPr>
          <w:rFonts w:eastAsia="Calibri" w:cs="Calibri"/>
        </w:rPr>
        <w:t xml:space="preserve"> to understand both overall risk and per hectare risk. It is likely the </w:t>
      </w:r>
      <w:r w:rsidR="00310366" w:rsidRPr="6711C071">
        <w:rPr>
          <w:rFonts w:eastAsia="Calibri" w:cs="Calibri"/>
        </w:rPr>
        <w:t>o</w:t>
      </w:r>
      <w:r w:rsidRPr="6711C071">
        <w:rPr>
          <w:rFonts w:eastAsia="Calibri" w:cs="Calibri"/>
        </w:rPr>
        <w:t>verall risk will be shaded by polygon size, whereas</w:t>
      </w:r>
      <w:r w:rsidRPr="53909BF2">
        <w:rPr>
          <w:rFonts w:eastAsia="Calibri" w:cs="Calibri"/>
        </w:rPr>
        <w:t xml:space="preserve"> the per hectare score will typically show riskier small areas.</w:t>
      </w:r>
    </w:p>
    <w:p w14:paraId="335A1251" w14:textId="017CBC98" w:rsidR="00F9337D" w:rsidRPr="00F9337D" w:rsidRDefault="00F9337D" w:rsidP="6711C071">
      <w:pPr>
        <w:pStyle w:val="Heading3"/>
      </w:pPr>
      <w:r>
        <w:t xml:space="preserve">Scenario </w:t>
      </w:r>
      <w:r w:rsidR="00BF14D4">
        <w:t>modelling</w:t>
      </w:r>
      <w:r>
        <w:t xml:space="preserve"> </w:t>
      </w:r>
    </w:p>
    <w:p w14:paraId="217D6E3E" w14:textId="645CA9B1" w:rsidR="00F9337D" w:rsidRDefault="00F9337D" w:rsidP="00F9337D">
      <w:pPr>
        <w:pStyle w:val="BodyText"/>
      </w:pPr>
      <w:r>
        <w:t xml:space="preserve">The </w:t>
      </w:r>
      <w:r w:rsidR="00445F35">
        <w:t xml:space="preserve">RIT </w:t>
      </w:r>
      <w:r>
        <w:t xml:space="preserve">gives users the opportunity to undertake scenario </w:t>
      </w:r>
      <w:r w:rsidR="00445F35">
        <w:t>modelling</w:t>
      </w:r>
      <w:r>
        <w:t xml:space="preserve">. </w:t>
      </w:r>
      <w:r w:rsidR="00EF6100">
        <w:t>Through this, u</w:t>
      </w:r>
      <w:r>
        <w:t xml:space="preserve">sers </w:t>
      </w:r>
      <w:r w:rsidR="00445F35">
        <w:t xml:space="preserve">can </w:t>
      </w:r>
      <w:r>
        <w:t>determine how the risk score can be increased or decreased by changing inputs and practices.</w:t>
      </w:r>
      <w:r w:rsidR="0074500A">
        <w:t xml:space="preserve"> </w:t>
      </w:r>
      <w:r w:rsidR="00B35E1A">
        <w:lastRenderedPageBreak/>
        <w:t>Us</w:t>
      </w:r>
      <w:r w:rsidR="00793E6F">
        <w:t xml:space="preserve">ing the </w:t>
      </w:r>
      <w:r w:rsidR="00B35E1A">
        <w:t>RIT</w:t>
      </w:r>
      <w:r w:rsidR="00793E6F">
        <w:t>, users can</w:t>
      </w:r>
      <w:r>
        <w:t xml:space="preserve"> model actions they </w:t>
      </w:r>
      <w:r w:rsidR="00B35E1A">
        <w:t xml:space="preserve">are considering </w:t>
      </w:r>
      <w:r>
        <w:t>adopt</w:t>
      </w:r>
      <w:r w:rsidR="00B35E1A">
        <w:t>ing</w:t>
      </w:r>
      <w:r>
        <w:t xml:space="preserve"> in their </w:t>
      </w:r>
      <w:r w:rsidR="00B35E1A">
        <w:t>f</w:t>
      </w:r>
      <w:r>
        <w:t xml:space="preserve">reshwater </w:t>
      </w:r>
      <w:r w:rsidR="00B35E1A">
        <w:t>f</w:t>
      </w:r>
      <w:r>
        <w:t xml:space="preserve">arm </w:t>
      </w:r>
      <w:r w:rsidR="00B35E1A">
        <w:t>p</w:t>
      </w:r>
      <w:r>
        <w:t>lan.</w:t>
      </w:r>
    </w:p>
    <w:p w14:paraId="63FAF891" w14:textId="51E6D3FA" w:rsidR="00F9337D" w:rsidRDefault="00F9337D" w:rsidP="00F9337D">
      <w:pPr>
        <w:pStyle w:val="BodyText"/>
      </w:pPr>
      <w:r>
        <w:t xml:space="preserve">Heatmaps may or may not change during scenario </w:t>
      </w:r>
      <w:r w:rsidR="00793E6F">
        <w:t>modelling</w:t>
      </w:r>
      <w:r>
        <w:t>, so scores become important during the scenario</w:t>
      </w:r>
      <w:r w:rsidR="00793E6F">
        <w:t>-modelling</w:t>
      </w:r>
      <w:r>
        <w:t xml:space="preserve"> processes</w:t>
      </w:r>
      <w:r w:rsidR="00793E6F">
        <w:t>,</w:t>
      </w:r>
      <w:r>
        <w:t xml:space="preserve"> to see the numeric change (up or down) and quantify the degree of change.</w:t>
      </w:r>
    </w:p>
    <w:p w14:paraId="417C4E97" w14:textId="57BE7A36" w:rsidR="00F9337D" w:rsidRPr="00F9337D" w:rsidRDefault="00F9337D" w:rsidP="00F9337D">
      <w:pPr>
        <w:pStyle w:val="Heading2"/>
      </w:pPr>
      <w:bookmarkStart w:id="52" w:name="_Toc206066551"/>
      <w:r>
        <w:t>Consenting</w:t>
      </w:r>
      <w:bookmarkEnd w:id="52"/>
    </w:p>
    <w:p w14:paraId="58DFC59B" w14:textId="45A56B2F" w:rsidR="00F9337D" w:rsidRDefault="00F9337D" w:rsidP="00F9337D">
      <w:pPr>
        <w:pStyle w:val="Heading3"/>
        <w:rPr>
          <w:rFonts w:ascii="Calibri" w:eastAsia="Calibri" w:hAnsi="Calibri" w:cs="Calibri"/>
        </w:rPr>
      </w:pPr>
      <w:r>
        <w:t>Assessment of environmental effects</w:t>
      </w:r>
    </w:p>
    <w:p w14:paraId="1BACB87B" w14:textId="1F5EEE25" w:rsidR="00F9337D" w:rsidRDefault="00F9337D" w:rsidP="00F9337D">
      <w:pPr>
        <w:pStyle w:val="BodyText"/>
      </w:pPr>
      <w:r>
        <w:t>The RIT report</w:t>
      </w:r>
      <w:r w:rsidR="00193739">
        <w:t>s</w:t>
      </w:r>
      <w:r>
        <w:t xml:space="preserve"> could help farmers and growers when preparing consent applications</w:t>
      </w:r>
      <w:r w:rsidR="00193739">
        <w:t>,</w:t>
      </w:r>
      <w:r>
        <w:t xml:space="preserve"> by highlighting areas of risk and</w:t>
      </w:r>
      <w:r w:rsidR="008F4DC7">
        <w:t>, through scenario modelling, by</w:t>
      </w:r>
      <w:r>
        <w:t xml:space="preserve"> identifying practices they could adopt to reduce their </w:t>
      </w:r>
      <w:r w:rsidR="00193739">
        <w:t xml:space="preserve">on-farm </w:t>
      </w:r>
      <w:r>
        <w:t>risks.</w:t>
      </w:r>
    </w:p>
    <w:p w14:paraId="4C2E131C" w14:textId="65BAEC8E" w:rsidR="00F9337D" w:rsidRDefault="008E09CB" w:rsidP="00F9337D">
      <w:pPr>
        <w:pStyle w:val="BodyText"/>
      </w:pPr>
      <w:r>
        <w:t>Us</w:t>
      </w:r>
      <w:r w:rsidR="00F9337D">
        <w:t>ing this information</w:t>
      </w:r>
      <w:r>
        <w:t xml:space="preserve"> as they </w:t>
      </w:r>
      <w:r w:rsidR="00F9337D">
        <w:t xml:space="preserve">start </w:t>
      </w:r>
      <w:r>
        <w:t xml:space="preserve">to </w:t>
      </w:r>
      <w:r w:rsidR="00F9337D">
        <w:t>prepar</w:t>
      </w:r>
      <w:r>
        <w:t>e</w:t>
      </w:r>
      <w:r w:rsidR="00F9337D">
        <w:t xml:space="preserve"> a consent application </w:t>
      </w:r>
      <w:r>
        <w:t xml:space="preserve">can empower farmers and growers </w:t>
      </w:r>
      <w:r w:rsidR="00F9337D">
        <w:t>to make decisions and propose conditions or changes</w:t>
      </w:r>
      <w:r w:rsidR="009441C8">
        <w:t xml:space="preserve">, </w:t>
      </w:r>
      <w:r w:rsidR="00F9337D">
        <w:t>rather than th</w:t>
      </w:r>
      <w:r w:rsidR="009441C8">
        <w:t>ese coming as directives</w:t>
      </w:r>
      <w:r w:rsidR="00F9337D">
        <w:t xml:space="preserve"> from councils.</w:t>
      </w:r>
    </w:p>
    <w:p w14:paraId="5435E5EA" w14:textId="77777777" w:rsidR="00F9337D" w:rsidRPr="0055192E" w:rsidRDefault="00F9337D" w:rsidP="0055192E">
      <w:pPr>
        <w:pStyle w:val="BodyText"/>
      </w:pPr>
      <w:r w:rsidRPr="0055192E">
        <w:br w:type="page"/>
      </w:r>
    </w:p>
    <w:p w14:paraId="7F24DE55" w14:textId="174E8DDA" w:rsidR="00F9337D" w:rsidRDefault="00F9337D" w:rsidP="00F9337D">
      <w:pPr>
        <w:pStyle w:val="Heading1"/>
      </w:pPr>
      <w:bookmarkStart w:id="53" w:name="_Toc206066552"/>
      <w:r>
        <w:lastRenderedPageBreak/>
        <w:t>Non-regulatory purposes</w:t>
      </w:r>
      <w:bookmarkEnd w:id="53"/>
    </w:p>
    <w:p w14:paraId="71EE5E35" w14:textId="13CE25FF" w:rsidR="00F9337D" w:rsidRDefault="00F9337D" w:rsidP="00F9337D">
      <w:pPr>
        <w:pStyle w:val="BodyText"/>
      </w:pPr>
      <w:r>
        <w:t xml:space="preserve">From a non-regulatory perspective, catchment groups, irrigation schemes and other farmer/grower collectives could use the </w:t>
      </w:r>
      <w:r w:rsidR="00D70FAC">
        <w:t xml:space="preserve">RIT </w:t>
      </w:r>
      <w:r>
        <w:t>to identify areas of risk or collective risk</w:t>
      </w:r>
      <w:r w:rsidR="00D70FAC">
        <w:t>,</w:t>
      </w:r>
      <w:r>
        <w:t xml:space="preserve"> as they work toward their common goals of environmental enhancement.</w:t>
      </w:r>
    </w:p>
    <w:p w14:paraId="60A0F8CF" w14:textId="1702CCDB" w:rsidR="00F9337D" w:rsidRDefault="00F9337D" w:rsidP="00F9337D">
      <w:pPr>
        <w:pStyle w:val="BodyText"/>
      </w:pPr>
      <w:r>
        <w:t>The</w:t>
      </w:r>
      <w:r w:rsidR="00957CDD">
        <w:t>se collectives</w:t>
      </w:r>
      <w:r>
        <w:t xml:space="preserve"> could collate risk scores and undertake accounting of risk</w:t>
      </w:r>
      <w:r w:rsidR="00957CDD">
        <w:t xml:space="preserve">, to aid understanding of their </w:t>
      </w:r>
      <w:r>
        <w:t>overall risk as a group and the</w:t>
      </w:r>
      <w:r w:rsidR="00957CDD">
        <w:t>ir</w:t>
      </w:r>
      <w:r>
        <w:t xml:space="preserve"> individual contributions to that risk. </w:t>
      </w:r>
      <w:r w:rsidR="00957CDD">
        <w:t>The RIT</w:t>
      </w:r>
      <w:r>
        <w:t xml:space="preserve"> could also help them identify areas where modifiers could be applied for collective good.</w:t>
      </w:r>
    </w:p>
    <w:p w14:paraId="1A760A39" w14:textId="04BA3CB8" w:rsidR="00F9337D" w:rsidRDefault="00C06DE4" w:rsidP="00F9337D">
      <w:pPr>
        <w:pStyle w:val="BodyText"/>
      </w:pPr>
      <w:r>
        <w:t xml:space="preserve">Such </w:t>
      </w:r>
      <w:r w:rsidR="00F9337D">
        <w:t xml:space="preserve">groups are also well placed to </w:t>
      </w:r>
      <w:r w:rsidR="0004680F">
        <w:t>talk to</w:t>
      </w:r>
      <w:r w:rsidR="00F9337D">
        <w:t xml:space="preserve"> </w:t>
      </w:r>
      <w:r w:rsidR="0004680F">
        <w:t>farmers</w:t>
      </w:r>
      <w:r w:rsidR="00F9337D">
        <w:t xml:space="preserve"> </w:t>
      </w:r>
      <w:r w:rsidR="0004680F">
        <w:t xml:space="preserve">and help them </w:t>
      </w:r>
      <w:r w:rsidR="00F9337D">
        <w:t>understand</w:t>
      </w:r>
      <w:r>
        <w:t xml:space="preserve"> how they compare with nearby properties</w:t>
      </w:r>
      <w:r w:rsidR="00F9337D">
        <w:t>, using the per hectare score. This will empower farmers to understand how they are performing in relation to their peers</w:t>
      </w:r>
      <w:r w:rsidR="00B56D98">
        <w:t xml:space="preserve"> – whether</w:t>
      </w:r>
      <w:r w:rsidR="00F9337D">
        <w:t xml:space="preserve"> they </w:t>
      </w:r>
      <w:r w:rsidR="00B56D98">
        <w:t xml:space="preserve">are </w:t>
      </w:r>
      <w:r w:rsidR="00F9337D">
        <w:t xml:space="preserve">doing as well as they thought, or </w:t>
      </w:r>
      <w:r w:rsidR="00B56D98">
        <w:t xml:space="preserve">whether </w:t>
      </w:r>
      <w:r w:rsidR="00F9337D">
        <w:t xml:space="preserve">there </w:t>
      </w:r>
      <w:r w:rsidR="00B56D98">
        <w:t xml:space="preserve">is </w:t>
      </w:r>
      <w:r w:rsidR="00F9337D">
        <w:t>room to improve</w:t>
      </w:r>
      <w:r w:rsidR="00B56D98">
        <w:t>.</w:t>
      </w:r>
    </w:p>
    <w:p w14:paraId="3D72EB33" w14:textId="3F2E6F39" w:rsidR="00F9337D" w:rsidRDefault="00F9337D" w:rsidP="00F9337D">
      <w:pPr>
        <w:pStyle w:val="BodyText"/>
      </w:pPr>
      <w:r>
        <w:t>As part of the 2025 catchment view consultation, these groups are being considered and consulted</w:t>
      </w:r>
      <w:r w:rsidR="00413649">
        <w:t>,</w:t>
      </w:r>
      <w:r>
        <w:t xml:space="preserve"> alongside regional councils</w:t>
      </w:r>
      <w:r w:rsidR="00413649">
        <w:t>,</w:t>
      </w:r>
      <w:r>
        <w:t xml:space="preserve"> about what they would find helpful.</w:t>
      </w:r>
    </w:p>
    <w:bookmarkEnd w:id="0"/>
    <w:bookmarkEnd w:id="3"/>
    <w:p w14:paraId="4D6EE896" w14:textId="77777777" w:rsidR="001F5600" w:rsidRDefault="001F5600" w:rsidP="001F5600">
      <w:pPr>
        <w:pStyle w:val="BodyText"/>
        <w:rPr>
          <w:rFonts w:eastAsia="Calibri"/>
        </w:rPr>
      </w:pPr>
    </w:p>
    <w:sectPr w:rsidR="001F5600" w:rsidSect="008A7498">
      <w:footerReference w:type="even" r:id="rId28"/>
      <w:footerReference w:type="default" r:id="rId2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ECD47" w14:textId="77777777" w:rsidR="00A27E60" w:rsidRDefault="00A27E60" w:rsidP="0080531E">
      <w:pPr>
        <w:spacing w:before="0" w:after="0" w:line="240" w:lineRule="auto"/>
      </w:pPr>
      <w:r>
        <w:separator/>
      </w:r>
    </w:p>
    <w:p w14:paraId="04D61788" w14:textId="77777777" w:rsidR="00A27E60" w:rsidRDefault="00A27E60"/>
  </w:endnote>
  <w:endnote w:type="continuationSeparator" w:id="0">
    <w:p w14:paraId="608C21CF" w14:textId="77777777" w:rsidR="00A27E60" w:rsidRDefault="00A27E60" w:rsidP="0080531E">
      <w:pPr>
        <w:spacing w:before="0" w:after="0" w:line="240" w:lineRule="auto"/>
      </w:pPr>
      <w:r>
        <w:continuationSeparator/>
      </w:r>
    </w:p>
    <w:p w14:paraId="7AF9F98F" w14:textId="77777777" w:rsidR="00A27E60" w:rsidRDefault="00A27E60"/>
  </w:endnote>
  <w:endnote w:type="continuationNotice" w:id="1">
    <w:p w14:paraId="714AABA5" w14:textId="77777777" w:rsidR="00A27E60" w:rsidRDefault="00A27E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1ACDBE05" w14:paraId="1F363B84" w14:textId="77777777" w:rsidTr="00D67B3E">
      <w:trPr>
        <w:trHeight w:val="300"/>
      </w:trPr>
      <w:tc>
        <w:tcPr>
          <w:tcW w:w="2835" w:type="dxa"/>
        </w:tcPr>
        <w:p w14:paraId="00E0F9FD" w14:textId="4943B3AD" w:rsidR="1ACDBE05" w:rsidRDefault="1ACDBE05" w:rsidP="00D67B3E">
          <w:pPr>
            <w:pStyle w:val="Header"/>
            <w:ind w:left="-115"/>
            <w:jc w:val="left"/>
          </w:pPr>
        </w:p>
      </w:tc>
      <w:tc>
        <w:tcPr>
          <w:tcW w:w="2835" w:type="dxa"/>
        </w:tcPr>
        <w:p w14:paraId="0224374E" w14:textId="53219F7A" w:rsidR="1ACDBE05" w:rsidRDefault="1ACDBE05" w:rsidP="00D67B3E">
          <w:pPr>
            <w:pStyle w:val="Header"/>
          </w:pPr>
        </w:p>
      </w:tc>
      <w:tc>
        <w:tcPr>
          <w:tcW w:w="2835" w:type="dxa"/>
        </w:tcPr>
        <w:p w14:paraId="1F39DFB8" w14:textId="03CAD91A" w:rsidR="1ACDBE05" w:rsidRDefault="1ACDBE05" w:rsidP="00D67B3E">
          <w:pPr>
            <w:pStyle w:val="Header"/>
            <w:ind w:right="-115"/>
            <w:jc w:val="right"/>
          </w:pPr>
        </w:p>
      </w:tc>
    </w:tr>
  </w:tbl>
  <w:p w14:paraId="3F57BBFD" w14:textId="17095DD5" w:rsidR="1ACDBE05" w:rsidRDefault="1ACDBE05" w:rsidP="00D67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FB681" w14:textId="2DE3FF2D"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81C11" w14:textId="77777777" w:rsidR="00E5210B" w:rsidRDefault="00E5210B" w:rsidP="00E65427">
    <w:pPr>
      <w:spacing w:before="24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4D9B5" w14:textId="77777777" w:rsidR="00E5210B" w:rsidRDefault="00E5210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EA0A9" w14:textId="101EA4C2" w:rsidR="00E453AB" w:rsidRDefault="00E5210B" w:rsidP="00CD25E1">
    <w:pPr>
      <w:pStyle w:val="Footereven"/>
    </w:pPr>
    <w:r w:rsidRPr="6711C071">
      <w:rPr>
        <w:noProof/>
      </w:rPr>
      <w:fldChar w:fldCharType="begin"/>
    </w:r>
    <w:r>
      <w:instrText xml:space="preserve"> PAGE </w:instrText>
    </w:r>
    <w:r w:rsidRPr="6711C071">
      <w:rPr>
        <w:b/>
        <w:bCs/>
      </w:rPr>
      <w:fldChar w:fldCharType="separate"/>
    </w:r>
    <w:r w:rsidR="6711C071" w:rsidRPr="6711C071">
      <w:rPr>
        <w:noProof/>
      </w:rPr>
      <w:t>8</w:t>
    </w:r>
    <w:r w:rsidRPr="6711C071">
      <w:rPr>
        <w:noProof/>
      </w:rPr>
      <w:fldChar w:fldCharType="end"/>
    </w:r>
    <w:r>
      <w:tab/>
    </w:r>
    <w:r w:rsidR="00DE30EF">
      <w:t xml:space="preserve">Contaminant </w:t>
    </w:r>
    <w:r w:rsidR="6711C071">
      <w:t>Risk Index Tool: Understanding Scores and Heatmaps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7AF3" w14:textId="096C0594" w:rsidR="00E453AB" w:rsidRDefault="00E5210B" w:rsidP="00CD25E1">
    <w:pPr>
      <w:pStyle w:val="Footerodd"/>
    </w:pPr>
    <w:r>
      <w:tab/>
    </w:r>
    <w:r w:rsidR="00DE30EF">
      <w:t xml:space="preserve">Contaminant </w:t>
    </w:r>
    <w:r w:rsidR="1ACDBE05">
      <w:t>Risk Index Tool: Understanding Scores and Heatmaps</w:t>
    </w:r>
    <w:r>
      <w:tab/>
    </w:r>
    <w:r w:rsidR="008540A6">
      <w:rPr>
        <w:noProof/>
      </w:rPr>
      <w:fldChar w:fldCharType="begin"/>
    </w:r>
    <w:r w:rsidR="008540A6">
      <w:instrText xml:space="preserve"> PAGE   \* MERGEFORMAT </w:instrText>
    </w:r>
    <w:r w:rsidR="008540A6">
      <w:fldChar w:fldCharType="separate"/>
    </w:r>
    <w:r w:rsidR="1ACDBE05">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DBFA4" w14:textId="77777777" w:rsidR="00A27E60" w:rsidRDefault="00A27E60" w:rsidP="00CB5C5F">
      <w:pPr>
        <w:spacing w:before="0" w:after="80" w:line="240" w:lineRule="auto"/>
      </w:pPr>
      <w:r>
        <w:separator/>
      </w:r>
    </w:p>
  </w:footnote>
  <w:footnote w:type="continuationSeparator" w:id="0">
    <w:p w14:paraId="365C3C10" w14:textId="77777777" w:rsidR="00A27E60" w:rsidRDefault="00A27E60" w:rsidP="0080531E">
      <w:pPr>
        <w:spacing w:before="0" w:after="0" w:line="240" w:lineRule="auto"/>
      </w:pPr>
      <w:r>
        <w:continuationSeparator/>
      </w:r>
    </w:p>
    <w:p w14:paraId="0B78F866" w14:textId="77777777" w:rsidR="00A27E60" w:rsidRDefault="00A27E60"/>
  </w:footnote>
  <w:footnote w:type="continuationNotice" w:id="1">
    <w:p w14:paraId="7561B017" w14:textId="77777777" w:rsidR="00A27E60" w:rsidRDefault="00A27E60">
      <w:pPr>
        <w:spacing w:before="0" w:after="0" w:line="240" w:lineRule="auto"/>
      </w:pPr>
    </w:p>
  </w:footnote>
  <w:footnote w:id="2">
    <w:p w14:paraId="100BFD2C" w14:textId="02422810" w:rsidR="001F5600" w:rsidRDefault="001F5600" w:rsidP="001F5600">
      <w:pPr>
        <w:pStyle w:val="FootnoteText"/>
      </w:pPr>
      <w:r w:rsidRPr="62B7496F">
        <w:rPr>
          <w:rStyle w:val="FootnoteReference"/>
        </w:rPr>
        <w:footnoteRef/>
      </w:r>
      <w:r>
        <w:t xml:space="preserve"> </w:t>
      </w:r>
      <w:r>
        <w:tab/>
        <w:t xml:space="preserve">Scores were designed to align (via linear regression) to the mass of </w:t>
      </w:r>
      <w:r w:rsidR="00F24691">
        <w:t>nitrogen</w:t>
      </w:r>
      <w:r>
        <w:t xml:space="preserve"> being lost measured in field studies of different land uses and land management practices around </w:t>
      </w:r>
      <w:r w:rsidR="00F24691">
        <w:t xml:space="preserve">Aotearoa </w:t>
      </w:r>
      <w:r>
        <w:t>New Zealand. However, for statistical reasons</w:t>
      </w:r>
      <w:r w:rsidR="00F24691">
        <w:t>,</w:t>
      </w:r>
      <w:r>
        <w:t xml:space="preserve"> this alignment was between the rank order of measured losses against the rank order of risk scores.</w:t>
      </w:r>
    </w:p>
  </w:footnote>
  <w:footnote w:id="3">
    <w:p w14:paraId="48FBFFAA" w14:textId="5D8A4C0A" w:rsidR="00F9337D" w:rsidRDefault="00F9337D" w:rsidP="00F9337D">
      <w:pPr>
        <w:pStyle w:val="FootnoteText"/>
      </w:pPr>
      <w:r>
        <w:rPr>
          <w:rStyle w:val="FootnoteReference"/>
        </w:rPr>
        <w:footnoteRef/>
      </w:r>
      <w:r>
        <w:t xml:space="preserve"> </w:t>
      </w:r>
      <w:r w:rsidR="0070579C">
        <w:tab/>
        <w:t xml:space="preserve">Ministry for the Environment. 2024. </w:t>
      </w:r>
      <w:hyperlink r:id="rId1" w:history="1">
        <w:r w:rsidR="0070579C" w:rsidRPr="0016292C">
          <w:rPr>
            <w:rStyle w:val="Hyperlink"/>
            <w:i/>
            <w:iCs/>
          </w:rPr>
          <w:t>Risk Index Tool: Phase 1 draft implementation guidance: Estimating the risk of farm-level nitrogen loss</w:t>
        </w:r>
      </w:hyperlink>
      <w:r w:rsidR="0070579C">
        <w:t>. Wellington: Ministry for the Environment.</w:t>
      </w:r>
    </w:p>
  </w:footnote>
  <w:footnote w:id="4">
    <w:p w14:paraId="068C0416" w14:textId="5404DC8B" w:rsidR="00F9337D" w:rsidRPr="00E8694B" w:rsidRDefault="00F9337D" w:rsidP="00F9337D">
      <w:pPr>
        <w:pStyle w:val="FootnoteText"/>
      </w:pPr>
      <w:r>
        <w:rPr>
          <w:rStyle w:val="FootnoteReference"/>
        </w:rPr>
        <w:footnoteRef/>
      </w:r>
      <w:r>
        <w:t xml:space="preserve"> </w:t>
      </w:r>
      <w:r>
        <w:tab/>
      </w:r>
      <w:r w:rsidR="00685EF4">
        <w:t>Ministry for the Environment.</w:t>
      </w:r>
      <w:r w:rsidR="001A7B7F">
        <w:t xml:space="preserve"> 2023.</w:t>
      </w:r>
      <w:r w:rsidR="00685EF4">
        <w:t xml:space="preserve"> </w:t>
      </w:r>
      <w:hyperlink r:id="rId2" w:history="1">
        <w:r w:rsidR="001A7B7F" w:rsidRPr="0055192E">
          <w:rPr>
            <w:rStyle w:val="Hyperlink"/>
            <w:i/>
            <w:iCs/>
          </w:rPr>
          <w:t>Developing, adapting and applying environmental models in a regulatory context in in New Zealand</w:t>
        </w:r>
      </w:hyperlink>
      <w:r w:rsidR="00685EF4">
        <w:t>. Wellington:</w:t>
      </w:r>
      <w:r w:rsidR="00685EF4" w:rsidRPr="0055192E">
        <w:t xml:space="preserve"> Ministry for the Environment</w:t>
      </w:r>
      <w:r w:rsidR="0074500A">
        <w:t>.</w:t>
      </w:r>
    </w:p>
  </w:footnote>
  <w:footnote w:id="5">
    <w:p w14:paraId="448585FA" w14:textId="5B6014BA" w:rsidR="00F9337D" w:rsidRPr="00E8694B" w:rsidRDefault="00F9337D" w:rsidP="00F9337D">
      <w:pPr>
        <w:pStyle w:val="FootnoteText"/>
      </w:pPr>
      <w:r>
        <w:rPr>
          <w:rStyle w:val="FootnoteReference"/>
        </w:rPr>
        <w:footnoteRef/>
      </w:r>
      <w:r>
        <w:t xml:space="preserve"> </w:t>
      </w:r>
      <w:r>
        <w:tab/>
      </w:r>
      <w:r w:rsidR="001D24DB">
        <w:t xml:space="preserve">Ministry for the Environment. 2024. </w:t>
      </w:r>
      <w:hyperlink r:id="rId3" w:history="1">
        <w:r w:rsidR="001D24DB" w:rsidRPr="0016292C">
          <w:rPr>
            <w:rStyle w:val="Hyperlink"/>
            <w:i/>
            <w:iCs/>
          </w:rPr>
          <w:t>Risk Index Tool: Phase 1 draft implementation guidance: Estimating the risk of farm-level nitrogen loss</w:t>
        </w:r>
      </w:hyperlink>
      <w:r w:rsidR="001D24DB">
        <w:t>. Wellington: 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5"/>
      <w:gridCol w:w="2835"/>
      <w:gridCol w:w="2835"/>
    </w:tblGrid>
    <w:tr w:rsidR="1ACDBE05" w14:paraId="6C273765" w14:textId="77777777" w:rsidTr="00D67B3E">
      <w:trPr>
        <w:trHeight w:val="300"/>
      </w:trPr>
      <w:tc>
        <w:tcPr>
          <w:tcW w:w="2835" w:type="dxa"/>
        </w:tcPr>
        <w:p w14:paraId="4B3C0D8A" w14:textId="2D2B2C15" w:rsidR="1ACDBE05" w:rsidRDefault="1ACDBE05" w:rsidP="00D67B3E">
          <w:pPr>
            <w:pStyle w:val="Header"/>
            <w:ind w:left="-115"/>
            <w:jc w:val="left"/>
          </w:pPr>
        </w:p>
      </w:tc>
      <w:tc>
        <w:tcPr>
          <w:tcW w:w="2835" w:type="dxa"/>
        </w:tcPr>
        <w:p w14:paraId="39A7D77F" w14:textId="40A991A6" w:rsidR="1ACDBE05" w:rsidRDefault="1ACDBE05" w:rsidP="00D67B3E">
          <w:pPr>
            <w:pStyle w:val="Header"/>
          </w:pPr>
        </w:p>
      </w:tc>
      <w:tc>
        <w:tcPr>
          <w:tcW w:w="2835" w:type="dxa"/>
        </w:tcPr>
        <w:p w14:paraId="0A1B35E9" w14:textId="3A848A1D" w:rsidR="1ACDBE05" w:rsidRDefault="1ACDBE05" w:rsidP="00D67B3E">
          <w:pPr>
            <w:pStyle w:val="Header"/>
            <w:ind w:right="-115"/>
            <w:jc w:val="right"/>
          </w:pPr>
        </w:p>
      </w:tc>
    </w:tr>
  </w:tbl>
  <w:p w14:paraId="4BA342D2" w14:textId="3CDF0DDF" w:rsidR="1ACDBE05" w:rsidRDefault="1ACDBE05" w:rsidP="00D67B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FD4A" w14:textId="5969CBB9"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491FC" w14:textId="77777777" w:rsidR="00E5210B" w:rsidRDefault="00E5210B" w:rsidP="003615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1A6A9"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1BF1E5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71737CE"/>
    <w:multiLevelType w:val="hybridMultilevel"/>
    <w:tmpl w:val="9882615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42B74E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5"/>
  </w:num>
  <w:num w:numId="2" w16cid:durableId="1287734805">
    <w:abstractNumId w:val="26"/>
  </w:num>
  <w:num w:numId="3" w16cid:durableId="1538541818">
    <w:abstractNumId w:val="38"/>
  </w:num>
  <w:num w:numId="4" w16cid:durableId="550508225">
    <w:abstractNumId w:val="21"/>
  </w:num>
  <w:num w:numId="5" w16cid:durableId="745567648">
    <w:abstractNumId w:val="12"/>
  </w:num>
  <w:num w:numId="6" w16cid:durableId="2076933510">
    <w:abstractNumId w:val="7"/>
  </w:num>
  <w:num w:numId="7" w16cid:durableId="1899433097">
    <w:abstractNumId w:val="24"/>
  </w:num>
  <w:num w:numId="8" w16cid:durableId="1088233813">
    <w:abstractNumId w:val="23"/>
  </w:num>
  <w:num w:numId="9" w16cid:durableId="394550804">
    <w:abstractNumId w:val="37"/>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0"/>
  </w:num>
  <w:num w:numId="13" w16cid:durableId="797454537">
    <w:abstractNumId w:val="11"/>
  </w:num>
  <w:num w:numId="14" w16cid:durableId="284310654">
    <w:abstractNumId w:val="32"/>
  </w:num>
  <w:num w:numId="15" w16cid:durableId="1819420646">
    <w:abstractNumId w:val="22"/>
  </w:num>
  <w:num w:numId="16" w16cid:durableId="1770615197">
    <w:abstractNumId w:val="10"/>
  </w:num>
  <w:num w:numId="17" w16cid:durableId="1658604841">
    <w:abstractNumId w:val="31"/>
  </w:num>
  <w:num w:numId="18" w16cid:durableId="905535034">
    <w:abstractNumId w:val="27"/>
  </w:num>
  <w:num w:numId="19" w16cid:durableId="1465346826">
    <w:abstractNumId w:val="33"/>
  </w:num>
  <w:num w:numId="20" w16cid:durableId="676690097">
    <w:abstractNumId w:val="13"/>
  </w:num>
  <w:num w:numId="21" w16cid:durableId="2031447556">
    <w:abstractNumId w:val="28"/>
  </w:num>
  <w:num w:numId="22" w16cid:durableId="752623358">
    <w:abstractNumId w:val="4"/>
  </w:num>
  <w:num w:numId="23" w16cid:durableId="867841801">
    <w:abstractNumId w:val="25"/>
  </w:num>
  <w:num w:numId="24" w16cid:durableId="720790089">
    <w:abstractNumId w:val="16"/>
  </w:num>
  <w:num w:numId="25" w16cid:durableId="222520331">
    <w:abstractNumId w:val="35"/>
  </w:num>
  <w:num w:numId="26" w16cid:durableId="717584311">
    <w:abstractNumId w:val="29"/>
  </w:num>
  <w:num w:numId="27" w16cid:durableId="779765061">
    <w:abstractNumId w:val="0"/>
  </w:num>
  <w:num w:numId="28" w16cid:durableId="342437984">
    <w:abstractNumId w:val="19"/>
  </w:num>
  <w:num w:numId="29" w16cid:durableId="86079989">
    <w:abstractNumId w:val="8"/>
  </w:num>
  <w:num w:numId="30" w16cid:durableId="190724435">
    <w:abstractNumId w:val="3"/>
  </w:num>
  <w:num w:numId="31" w16cid:durableId="180439593">
    <w:abstractNumId w:val="2"/>
  </w:num>
  <w:num w:numId="32" w16cid:durableId="2007590403">
    <w:abstractNumId w:val="5"/>
  </w:num>
  <w:num w:numId="33" w16cid:durableId="1951621493">
    <w:abstractNumId w:val="9"/>
  </w:num>
  <w:num w:numId="34" w16cid:durableId="1425766684">
    <w:abstractNumId w:val="20"/>
  </w:num>
  <w:num w:numId="35" w16cid:durableId="11616712">
    <w:abstractNumId w:val="18"/>
  </w:num>
  <w:num w:numId="36" w16cid:durableId="1911882459">
    <w:abstractNumId w:val="6"/>
  </w:num>
  <w:num w:numId="37" w16cid:durableId="1044714646">
    <w:abstractNumId w:val="34"/>
  </w:num>
  <w:num w:numId="38" w16cid:durableId="19952593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51976096">
    <w:abstractNumId w:val="36"/>
  </w:num>
  <w:num w:numId="40" w16cid:durableId="1284651127">
    <w:abstractNumId w:val="14"/>
  </w:num>
  <w:num w:numId="41" w16cid:durableId="748621996">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F44"/>
    <w:rsid w:val="00000792"/>
    <w:rsid w:val="000009FB"/>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303C"/>
    <w:rsid w:val="000138F6"/>
    <w:rsid w:val="00014236"/>
    <w:rsid w:val="000148F6"/>
    <w:rsid w:val="00014B27"/>
    <w:rsid w:val="00015217"/>
    <w:rsid w:val="000159D2"/>
    <w:rsid w:val="00016264"/>
    <w:rsid w:val="00016993"/>
    <w:rsid w:val="00016CAB"/>
    <w:rsid w:val="00016E5B"/>
    <w:rsid w:val="0001749B"/>
    <w:rsid w:val="00017D75"/>
    <w:rsid w:val="00017FE5"/>
    <w:rsid w:val="00021910"/>
    <w:rsid w:val="00022E8D"/>
    <w:rsid w:val="0002348A"/>
    <w:rsid w:val="000235B5"/>
    <w:rsid w:val="00023BDA"/>
    <w:rsid w:val="00024708"/>
    <w:rsid w:val="00024944"/>
    <w:rsid w:val="00024EE7"/>
    <w:rsid w:val="00025F96"/>
    <w:rsid w:val="00025FAB"/>
    <w:rsid w:val="00026C6D"/>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361"/>
    <w:rsid w:val="0003640E"/>
    <w:rsid w:val="0003688A"/>
    <w:rsid w:val="000368FC"/>
    <w:rsid w:val="00036A0D"/>
    <w:rsid w:val="00036DA3"/>
    <w:rsid w:val="000379BF"/>
    <w:rsid w:val="00037BEC"/>
    <w:rsid w:val="000400D9"/>
    <w:rsid w:val="0004035C"/>
    <w:rsid w:val="00040653"/>
    <w:rsid w:val="00040860"/>
    <w:rsid w:val="00040CED"/>
    <w:rsid w:val="00040EA1"/>
    <w:rsid w:val="0004205F"/>
    <w:rsid w:val="000423A1"/>
    <w:rsid w:val="000423C6"/>
    <w:rsid w:val="00042EDB"/>
    <w:rsid w:val="00044A50"/>
    <w:rsid w:val="00044C65"/>
    <w:rsid w:val="000458C7"/>
    <w:rsid w:val="00045991"/>
    <w:rsid w:val="00045E5C"/>
    <w:rsid w:val="00046288"/>
    <w:rsid w:val="0004680F"/>
    <w:rsid w:val="00047941"/>
    <w:rsid w:val="00047DA4"/>
    <w:rsid w:val="00050A22"/>
    <w:rsid w:val="00050E27"/>
    <w:rsid w:val="0005144F"/>
    <w:rsid w:val="00051AF1"/>
    <w:rsid w:val="00051D42"/>
    <w:rsid w:val="000538A1"/>
    <w:rsid w:val="00054308"/>
    <w:rsid w:val="00055375"/>
    <w:rsid w:val="0005547C"/>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5FC"/>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2FA"/>
    <w:rsid w:val="00077473"/>
    <w:rsid w:val="00077481"/>
    <w:rsid w:val="000776F9"/>
    <w:rsid w:val="00077EE0"/>
    <w:rsid w:val="000802F9"/>
    <w:rsid w:val="0008145A"/>
    <w:rsid w:val="0008162D"/>
    <w:rsid w:val="000831C8"/>
    <w:rsid w:val="00083F5E"/>
    <w:rsid w:val="00084FDB"/>
    <w:rsid w:val="0008505C"/>
    <w:rsid w:val="00085C46"/>
    <w:rsid w:val="0008686A"/>
    <w:rsid w:val="00086E8F"/>
    <w:rsid w:val="00087175"/>
    <w:rsid w:val="00087CA2"/>
    <w:rsid w:val="00087D35"/>
    <w:rsid w:val="0009132D"/>
    <w:rsid w:val="00091796"/>
    <w:rsid w:val="00091BA2"/>
    <w:rsid w:val="00091CB0"/>
    <w:rsid w:val="000928E0"/>
    <w:rsid w:val="000936D0"/>
    <w:rsid w:val="00094344"/>
    <w:rsid w:val="00094458"/>
    <w:rsid w:val="000953C6"/>
    <w:rsid w:val="000953F4"/>
    <w:rsid w:val="0009590C"/>
    <w:rsid w:val="000959E7"/>
    <w:rsid w:val="00095C45"/>
    <w:rsid w:val="00095E7D"/>
    <w:rsid w:val="000964DE"/>
    <w:rsid w:val="000972AB"/>
    <w:rsid w:val="00097B40"/>
    <w:rsid w:val="00097D0E"/>
    <w:rsid w:val="00097E12"/>
    <w:rsid w:val="000A109B"/>
    <w:rsid w:val="000A17EA"/>
    <w:rsid w:val="000A1C7A"/>
    <w:rsid w:val="000A2345"/>
    <w:rsid w:val="000A2394"/>
    <w:rsid w:val="000A31C1"/>
    <w:rsid w:val="000A32C5"/>
    <w:rsid w:val="000A3411"/>
    <w:rsid w:val="000A34CA"/>
    <w:rsid w:val="000A3AC6"/>
    <w:rsid w:val="000A426F"/>
    <w:rsid w:val="000A4559"/>
    <w:rsid w:val="000A45FD"/>
    <w:rsid w:val="000A477B"/>
    <w:rsid w:val="000A558D"/>
    <w:rsid w:val="000A5611"/>
    <w:rsid w:val="000A563C"/>
    <w:rsid w:val="000A59C5"/>
    <w:rsid w:val="000A5C4E"/>
    <w:rsid w:val="000A5DEA"/>
    <w:rsid w:val="000A5EBD"/>
    <w:rsid w:val="000A7658"/>
    <w:rsid w:val="000A7F0F"/>
    <w:rsid w:val="000A7F4C"/>
    <w:rsid w:val="000B02BC"/>
    <w:rsid w:val="000B0498"/>
    <w:rsid w:val="000B0A70"/>
    <w:rsid w:val="000B0F36"/>
    <w:rsid w:val="000B1942"/>
    <w:rsid w:val="000B1AEE"/>
    <w:rsid w:val="000B1B07"/>
    <w:rsid w:val="000B1BED"/>
    <w:rsid w:val="000B2240"/>
    <w:rsid w:val="000B2477"/>
    <w:rsid w:val="000B2600"/>
    <w:rsid w:val="000B36F9"/>
    <w:rsid w:val="000B4074"/>
    <w:rsid w:val="000B46E0"/>
    <w:rsid w:val="000B4732"/>
    <w:rsid w:val="000B4BCD"/>
    <w:rsid w:val="000B66DC"/>
    <w:rsid w:val="000B6B5D"/>
    <w:rsid w:val="000B6D1F"/>
    <w:rsid w:val="000C062F"/>
    <w:rsid w:val="000C17E7"/>
    <w:rsid w:val="000C3270"/>
    <w:rsid w:val="000C577E"/>
    <w:rsid w:val="000C5D56"/>
    <w:rsid w:val="000D0317"/>
    <w:rsid w:val="000D04BA"/>
    <w:rsid w:val="000D0B6E"/>
    <w:rsid w:val="000D0D65"/>
    <w:rsid w:val="000D12E0"/>
    <w:rsid w:val="000D1944"/>
    <w:rsid w:val="000D1DD9"/>
    <w:rsid w:val="000D2172"/>
    <w:rsid w:val="000D293C"/>
    <w:rsid w:val="000D2B1D"/>
    <w:rsid w:val="000D2BC1"/>
    <w:rsid w:val="000D2E38"/>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2C3"/>
    <w:rsid w:val="000E4697"/>
    <w:rsid w:val="000E58C5"/>
    <w:rsid w:val="000E5997"/>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2"/>
    <w:rsid w:val="000F20AA"/>
    <w:rsid w:val="000F2651"/>
    <w:rsid w:val="000F348D"/>
    <w:rsid w:val="000F369A"/>
    <w:rsid w:val="000F4463"/>
    <w:rsid w:val="000F4875"/>
    <w:rsid w:val="000F5285"/>
    <w:rsid w:val="000F52E0"/>
    <w:rsid w:val="000F53A9"/>
    <w:rsid w:val="000F5A40"/>
    <w:rsid w:val="000F6464"/>
    <w:rsid w:val="000F6628"/>
    <w:rsid w:val="000F6C25"/>
    <w:rsid w:val="000F76EB"/>
    <w:rsid w:val="000F78AE"/>
    <w:rsid w:val="000F7E25"/>
    <w:rsid w:val="001007EE"/>
    <w:rsid w:val="00100F76"/>
    <w:rsid w:val="0010126E"/>
    <w:rsid w:val="0010148E"/>
    <w:rsid w:val="001018BB"/>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0FF0"/>
    <w:rsid w:val="00111A7A"/>
    <w:rsid w:val="00111A88"/>
    <w:rsid w:val="0011221A"/>
    <w:rsid w:val="00113283"/>
    <w:rsid w:val="001137AE"/>
    <w:rsid w:val="00113B20"/>
    <w:rsid w:val="001147B3"/>
    <w:rsid w:val="001148F7"/>
    <w:rsid w:val="001149B2"/>
    <w:rsid w:val="00114C2D"/>
    <w:rsid w:val="001150BC"/>
    <w:rsid w:val="00115125"/>
    <w:rsid w:val="001152F2"/>
    <w:rsid w:val="001157D7"/>
    <w:rsid w:val="00116382"/>
    <w:rsid w:val="00116484"/>
    <w:rsid w:val="00116ACF"/>
    <w:rsid w:val="00116D5C"/>
    <w:rsid w:val="001172B2"/>
    <w:rsid w:val="00117F9B"/>
    <w:rsid w:val="001201AD"/>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A41"/>
    <w:rsid w:val="00130B8A"/>
    <w:rsid w:val="001310BF"/>
    <w:rsid w:val="00133E73"/>
    <w:rsid w:val="00133FDB"/>
    <w:rsid w:val="00134F4A"/>
    <w:rsid w:val="001351CB"/>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6CCF"/>
    <w:rsid w:val="0014720C"/>
    <w:rsid w:val="001472C2"/>
    <w:rsid w:val="00147458"/>
    <w:rsid w:val="00147BC5"/>
    <w:rsid w:val="00147E21"/>
    <w:rsid w:val="00150BA8"/>
    <w:rsid w:val="00150D19"/>
    <w:rsid w:val="00151197"/>
    <w:rsid w:val="0015181B"/>
    <w:rsid w:val="00151A9F"/>
    <w:rsid w:val="00152B87"/>
    <w:rsid w:val="001530F0"/>
    <w:rsid w:val="001538AD"/>
    <w:rsid w:val="00153A96"/>
    <w:rsid w:val="00153D1C"/>
    <w:rsid w:val="001543E2"/>
    <w:rsid w:val="0015592E"/>
    <w:rsid w:val="00155B43"/>
    <w:rsid w:val="001565A2"/>
    <w:rsid w:val="001567C3"/>
    <w:rsid w:val="00156A12"/>
    <w:rsid w:val="00157B3F"/>
    <w:rsid w:val="00157F8A"/>
    <w:rsid w:val="00160C3D"/>
    <w:rsid w:val="00161B24"/>
    <w:rsid w:val="00161C41"/>
    <w:rsid w:val="00161DD5"/>
    <w:rsid w:val="0016292C"/>
    <w:rsid w:val="001633A4"/>
    <w:rsid w:val="001634D6"/>
    <w:rsid w:val="001648DD"/>
    <w:rsid w:val="00164ED8"/>
    <w:rsid w:val="00165705"/>
    <w:rsid w:val="00166389"/>
    <w:rsid w:val="00166E03"/>
    <w:rsid w:val="00167E4C"/>
    <w:rsid w:val="00171449"/>
    <w:rsid w:val="0017199C"/>
    <w:rsid w:val="00171C7E"/>
    <w:rsid w:val="00171F35"/>
    <w:rsid w:val="00172552"/>
    <w:rsid w:val="001726D0"/>
    <w:rsid w:val="00172820"/>
    <w:rsid w:val="00172873"/>
    <w:rsid w:val="00172CF7"/>
    <w:rsid w:val="0017319E"/>
    <w:rsid w:val="00173A1F"/>
    <w:rsid w:val="00173BC3"/>
    <w:rsid w:val="00174128"/>
    <w:rsid w:val="0017465C"/>
    <w:rsid w:val="00175C34"/>
    <w:rsid w:val="00175F9A"/>
    <w:rsid w:val="00176E98"/>
    <w:rsid w:val="00177996"/>
    <w:rsid w:val="00180B3F"/>
    <w:rsid w:val="00180C83"/>
    <w:rsid w:val="00180CE5"/>
    <w:rsid w:val="0018175B"/>
    <w:rsid w:val="001820A3"/>
    <w:rsid w:val="0018332A"/>
    <w:rsid w:val="00183D80"/>
    <w:rsid w:val="00183EE3"/>
    <w:rsid w:val="001842C8"/>
    <w:rsid w:val="00185044"/>
    <w:rsid w:val="001850DB"/>
    <w:rsid w:val="0018599C"/>
    <w:rsid w:val="001869EE"/>
    <w:rsid w:val="00186D00"/>
    <w:rsid w:val="0018743A"/>
    <w:rsid w:val="00187A20"/>
    <w:rsid w:val="00190A57"/>
    <w:rsid w:val="00190B3F"/>
    <w:rsid w:val="0019122C"/>
    <w:rsid w:val="00191908"/>
    <w:rsid w:val="00192DF3"/>
    <w:rsid w:val="0019301F"/>
    <w:rsid w:val="00193286"/>
    <w:rsid w:val="00193739"/>
    <w:rsid w:val="001937B8"/>
    <w:rsid w:val="00193E4B"/>
    <w:rsid w:val="00193F4E"/>
    <w:rsid w:val="001948B8"/>
    <w:rsid w:val="00194BB7"/>
    <w:rsid w:val="00194CC5"/>
    <w:rsid w:val="001951B2"/>
    <w:rsid w:val="0019565D"/>
    <w:rsid w:val="00197564"/>
    <w:rsid w:val="00197EC2"/>
    <w:rsid w:val="00197ECE"/>
    <w:rsid w:val="001A1CED"/>
    <w:rsid w:val="001A1F09"/>
    <w:rsid w:val="001A279B"/>
    <w:rsid w:val="001A2DC3"/>
    <w:rsid w:val="001A2E87"/>
    <w:rsid w:val="001A3869"/>
    <w:rsid w:val="001A38C2"/>
    <w:rsid w:val="001A4FA6"/>
    <w:rsid w:val="001A5E71"/>
    <w:rsid w:val="001A65C8"/>
    <w:rsid w:val="001A67BC"/>
    <w:rsid w:val="001A732E"/>
    <w:rsid w:val="001A7B7F"/>
    <w:rsid w:val="001A7F30"/>
    <w:rsid w:val="001B06E2"/>
    <w:rsid w:val="001B103A"/>
    <w:rsid w:val="001B103D"/>
    <w:rsid w:val="001B1513"/>
    <w:rsid w:val="001B1767"/>
    <w:rsid w:val="001B2453"/>
    <w:rsid w:val="001B396E"/>
    <w:rsid w:val="001B3D48"/>
    <w:rsid w:val="001B40B0"/>
    <w:rsid w:val="001B5AF9"/>
    <w:rsid w:val="001B6600"/>
    <w:rsid w:val="001B6B9B"/>
    <w:rsid w:val="001B6C27"/>
    <w:rsid w:val="001B7144"/>
    <w:rsid w:val="001B7E91"/>
    <w:rsid w:val="001C11CA"/>
    <w:rsid w:val="001C147E"/>
    <w:rsid w:val="001C151B"/>
    <w:rsid w:val="001C19E5"/>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0C"/>
    <w:rsid w:val="001D1E2E"/>
    <w:rsid w:val="001D2203"/>
    <w:rsid w:val="001D24DB"/>
    <w:rsid w:val="001D255C"/>
    <w:rsid w:val="001D2DEF"/>
    <w:rsid w:val="001D30BB"/>
    <w:rsid w:val="001D35EC"/>
    <w:rsid w:val="001D488C"/>
    <w:rsid w:val="001D4CDF"/>
    <w:rsid w:val="001D4F88"/>
    <w:rsid w:val="001D578D"/>
    <w:rsid w:val="001D5818"/>
    <w:rsid w:val="001D653A"/>
    <w:rsid w:val="001D7DEE"/>
    <w:rsid w:val="001E02CB"/>
    <w:rsid w:val="001E0F22"/>
    <w:rsid w:val="001E14FD"/>
    <w:rsid w:val="001E180F"/>
    <w:rsid w:val="001E1C64"/>
    <w:rsid w:val="001E1CEC"/>
    <w:rsid w:val="001E29B0"/>
    <w:rsid w:val="001E2ECB"/>
    <w:rsid w:val="001E3A38"/>
    <w:rsid w:val="001E4B64"/>
    <w:rsid w:val="001E552A"/>
    <w:rsid w:val="001E55A2"/>
    <w:rsid w:val="001E57B9"/>
    <w:rsid w:val="001E6E8D"/>
    <w:rsid w:val="001E7EE4"/>
    <w:rsid w:val="001E7F76"/>
    <w:rsid w:val="001F0FAF"/>
    <w:rsid w:val="001F139F"/>
    <w:rsid w:val="001F1B8E"/>
    <w:rsid w:val="001F2805"/>
    <w:rsid w:val="001F2E79"/>
    <w:rsid w:val="001F2F07"/>
    <w:rsid w:val="001F3123"/>
    <w:rsid w:val="001F376D"/>
    <w:rsid w:val="001F418C"/>
    <w:rsid w:val="001F4B2D"/>
    <w:rsid w:val="001F4F40"/>
    <w:rsid w:val="001F50E0"/>
    <w:rsid w:val="001F5600"/>
    <w:rsid w:val="001F594C"/>
    <w:rsid w:val="001F69FC"/>
    <w:rsid w:val="001F6D62"/>
    <w:rsid w:val="001F71F3"/>
    <w:rsid w:val="001F7675"/>
    <w:rsid w:val="00200FAE"/>
    <w:rsid w:val="0020102D"/>
    <w:rsid w:val="002010E2"/>
    <w:rsid w:val="00201AB8"/>
    <w:rsid w:val="00201B73"/>
    <w:rsid w:val="00202517"/>
    <w:rsid w:val="00202ADB"/>
    <w:rsid w:val="00202BB7"/>
    <w:rsid w:val="0020435B"/>
    <w:rsid w:val="00204533"/>
    <w:rsid w:val="00204F2D"/>
    <w:rsid w:val="00205566"/>
    <w:rsid w:val="002063AA"/>
    <w:rsid w:val="002076E8"/>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830"/>
    <w:rsid w:val="00221F80"/>
    <w:rsid w:val="0022273A"/>
    <w:rsid w:val="00222D28"/>
    <w:rsid w:val="00223CF4"/>
    <w:rsid w:val="00223F18"/>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97C"/>
    <w:rsid w:val="00234BBB"/>
    <w:rsid w:val="00235538"/>
    <w:rsid w:val="002356F4"/>
    <w:rsid w:val="00235F02"/>
    <w:rsid w:val="00236333"/>
    <w:rsid w:val="00236D28"/>
    <w:rsid w:val="00237FE4"/>
    <w:rsid w:val="00240656"/>
    <w:rsid w:val="00241610"/>
    <w:rsid w:val="00241AED"/>
    <w:rsid w:val="00243182"/>
    <w:rsid w:val="002438E5"/>
    <w:rsid w:val="00243928"/>
    <w:rsid w:val="00243946"/>
    <w:rsid w:val="00243BC5"/>
    <w:rsid w:val="00243C7D"/>
    <w:rsid w:val="00243D77"/>
    <w:rsid w:val="00243E9A"/>
    <w:rsid w:val="00244371"/>
    <w:rsid w:val="002448DF"/>
    <w:rsid w:val="00244AF8"/>
    <w:rsid w:val="00244BC5"/>
    <w:rsid w:val="00244E68"/>
    <w:rsid w:val="002456C5"/>
    <w:rsid w:val="00245966"/>
    <w:rsid w:val="00245ABE"/>
    <w:rsid w:val="00245C0B"/>
    <w:rsid w:val="00246EAE"/>
    <w:rsid w:val="00247116"/>
    <w:rsid w:val="002471E5"/>
    <w:rsid w:val="002514DF"/>
    <w:rsid w:val="002517A8"/>
    <w:rsid w:val="00251EEE"/>
    <w:rsid w:val="00253177"/>
    <w:rsid w:val="002537B3"/>
    <w:rsid w:val="002538B8"/>
    <w:rsid w:val="0025396F"/>
    <w:rsid w:val="00254319"/>
    <w:rsid w:val="002546A4"/>
    <w:rsid w:val="0025539F"/>
    <w:rsid w:val="00256388"/>
    <w:rsid w:val="00256E44"/>
    <w:rsid w:val="002605BF"/>
    <w:rsid w:val="00260919"/>
    <w:rsid w:val="00260F48"/>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45F"/>
    <w:rsid w:val="002768CF"/>
    <w:rsid w:val="00276F82"/>
    <w:rsid w:val="002805DF"/>
    <w:rsid w:val="0028092D"/>
    <w:rsid w:val="002815D9"/>
    <w:rsid w:val="00282317"/>
    <w:rsid w:val="00282D25"/>
    <w:rsid w:val="00282DF9"/>
    <w:rsid w:val="00283A44"/>
    <w:rsid w:val="0028529F"/>
    <w:rsid w:val="00285687"/>
    <w:rsid w:val="00287649"/>
    <w:rsid w:val="00287867"/>
    <w:rsid w:val="002879A2"/>
    <w:rsid w:val="00287DAB"/>
    <w:rsid w:val="00287FB6"/>
    <w:rsid w:val="002900C5"/>
    <w:rsid w:val="002901E0"/>
    <w:rsid w:val="0029075B"/>
    <w:rsid w:val="00290BB1"/>
    <w:rsid w:val="00291BC1"/>
    <w:rsid w:val="002933CA"/>
    <w:rsid w:val="00293A8F"/>
    <w:rsid w:val="00295155"/>
    <w:rsid w:val="00295595"/>
    <w:rsid w:val="00295D51"/>
    <w:rsid w:val="00296203"/>
    <w:rsid w:val="00296428"/>
    <w:rsid w:val="0029643D"/>
    <w:rsid w:val="0029670C"/>
    <w:rsid w:val="0029706A"/>
    <w:rsid w:val="002972EE"/>
    <w:rsid w:val="00297F01"/>
    <w:rsid w:val="002A0458"/>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20FB"/>
    <w:rsid w:val="002B31CF"/>
    <w:rsid w:val="002B3ED7"/>
    <w:rsid w:val="002B4778"/>
    <w:rsid w:val="002B75B2"/>
    <w:rsid w:val="002B79B7"/>
    <w:rsid w:val="002C0FB3"/>
    <w:rsid w:val="002C141D"/>
    <w:rsid w:val="002C19C0"/>
    <w:rsid w:val="002C23E6"/>
    <w:rsid w:val="002C2485"/>
    <w:rsid w:val="002C25E0"/>
    <w:rsid w:val="002C2A2D"/>
    <w:rsid w:val="002C36C0"/>
    <w:rsid w:val="002C3928"/>
    <w:rsid w:val="002C3B33"/>
    <w:rsid w:val="002C413E"/>
    <w:rsid w:val="002C435E"/>
    <w:rsid w:val="002C43BB"/>
    <w:rsid w:val="002C44AB"/>
    <w:rsid w:val="002C47DD"/>
    <w:rsid w:val="002C5E39"/>
    <w:rsid w:val="002C5FA2"/>
    <w:rsid w:val="002C7A02"/>
    <w:rsid w:val="002C7BD4"/>
    <w:rsid w:val="002D0107"/>
    <w:rsid w:val="002D062E"/>
    <w:rsid w:val="002D0D43"/>
    <w:rsid w:val="002D15C2"/>
    <w:rsid w:val="002D16CA"/>
    <w:rsid w:val="002D2B10"/>
    <w:rsid w:val="002D3842"/>
    <w:rsid w:val="002D386A"/>
    <w:rsid w:val="002D4100"/>
    <w:rsid w:val="002D477F"/>
    <w:rsid w:val="002D4F48"/>
    <w:rsid w:val="002D519B"/>
    <w:rsid w:val="002D621E"/>
    <w:rsid w:val="002D66DA"/>
    <w:rsid w:val="002D7027"/>
    <w:rsid w:val="002D70DC"/>
    <w:rsid w:val="002D758B"/>
    <w:rsid w:val="002D77F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035"/>
    <w:rsid w:val="002E4D08"/>
    <w:rsid w:val="002E4DA5"/>
    <w:rsid w:val="002E52B8"/>
    <w:rsid w:val="002E5438"/>
    <w:rsid w:val="002E5DBF"/>
    <w:rsid w:val="002E5E01"/>
    <w:rsid w:val="002E60F5"/>
    <w:rsid w:val="002E6536"/>
    <w:rsid w:val="002E6687"/>
    <w:rsid w:val="002E69F5"/>
    <w:rsid w:val="002E6CAA"/>
    <w:rsid w:val="002E732D"/>
    <w:rsid w:val="002E73EC"/>
    <w:rsid w:val="002E78B2"/>
    <w:rsid w:val="002F023D"/>
    <w:rsid w:val="002F0A5F"/>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557"/>
    <w:rsid w:val="0030561F"/>
    <w:rsid w:val="00305CA3"/>
    <w:rsid w:val="00306E5C"/>
    <w:rsid w:val="00307C19"/>
    <w:rsid w:val="00310366"/>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B52"/>
    <w:rsid w:val="00323F27"/>
    <w:rsid w:val="003242EF"/>
    <w:rsid w:val="00325339"/>
    <w:rsid w:val="003255AA"/>
    <w:rsid w:val="003314B6"/>
    <w:rsid w:val="00331A20"/>
    <w:rsid w:val="00331A23"/>
    <w:rsid w:val="00331E65"/>
    <w:rsid w:val="00333107"/>
    <w:rsid w:val="0033343B"/>
    <w:rsid w:val="0033393C"/>
    <w:rsid w:val="003357EE"/>
    <w:rsid w:val="003360D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5BC1"/>
    <w:rsid w:val="00346631"/>
    <w:rsid w:val="00346AAD"/>
    <w:rsid w:val="00346D96"/>
    <w:rsid w:val="0034736A"/>
    <w:rsid w:val="0034747C"/>
    <w:rsid w:val="00347B6C"/>
    <w:rsid w:val="0035151C"/>
    <w:rsid w:val="003517F8"/>
    <w:rsid w:val="00352254"/>
    <w:rsid w:val="003522A3"/>
    <w:rsid w:val="00352454"/>
    <w:rsid w:val="00353929"/>
    <w:rsid w:val="00353F9E"/>
    <w:rsid w:val="003540D1"/>
    <w:rsid w:val="003545BF"/>
    <w:rsid w:val="0035586A"/>
    <w:rsid w:val="0035611A"/>
    <w:rsid w:val="00356C3D"/>
    <w:rsid w:val="003607F1"/>
    <w:rsid w:val="00360B75"/>
    <w:rsid w:val="003612B3"/>
    <w:rsid w:val="0036151C"/>
    <w:rsid w:val="00361A9B"/>
    <w:rsid w:val="00362CCF"/>
    <w:rsid w:val="003631DB"/>
    <w:rsid w:val="00364524"/>
    <w:rsid w:val="00364CDC"/>
    <w:rsid w:val="0036513A"/>
    <w:rsid w:val="00365237"/>
    <w:rsid w:val="0036559C"/>
    <w:rsid w:val="0036587E"/>
    <w:rsid w:val="003660CD"/>
    <w:rsid w:val="00366AC2"/>
    <w:rsid w:val="00366B08"/>
    <w:rsid w:val="00367496"/>
    <w:rsid w:val="003678BE"/>
    <w:rsid w:val="003700F8"/>
    <w:rsid w:val="00370949"/>
    <w:rsid w:val="00371B31"/>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4755"/>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857"/>
    <w:rsid w:val="003A7D1D"/>
    <w:rsid w:val="003B1688"/>
    <w:rsid w:val="003B1FA4"/>
    <w:rsid w:val="003B1FE6"/>
    <w:rsid w:val="003B3106"/>
    <w:rsid w:val="003B3974"/>
    <w:rsid w:val="003B3985"/>
    <w:rsid w:val="003B39E0"/>
    <w:rsid w:val="003B3DAB"/>
    <w:rsid w:val="003B404D"/>
    <w:rsid w:val="003B48D4"/>
    <w:rsid w:val="003B4B34"/>
    <w:rsid w:val="003B4CDA"/>
    <w:rsid w:val="003B4F2D"/>
    <w:rsid w:val="003B5BD9"/>
    <w:rsid w:val="003B64A3"/>
    <w:rsid w:val="003B6DB8"/>
    <w:rsid w:val="003B72B9"/>
    <w:rsid w:val="003C0887"/>
    <w:rsid w:val="003C08AF"/>
    <w:rsid w:val="003C0E91"/>
    <w:rsid w:val="003C16C7"/>
    <w:rsid w:val="003C2EDD"/>
    <w:rsid w:val="003C3220"/>
    <w:rsid w:val="003C3A47"/>
    <w:rsid w:val="003C3A52"/>
    <w:rsid w:val="003C3A79"/>
    <w:rsid w:val="003C48F2"/>
    <w:rsid w:val="003C5177"/>
    <w:rsid w:val="003C52B0"/>
    <w:rsid w:val="003C5911"/>
    <w:rsid w:val="003C5CDB"/>
    <w:rsid w:val="003C6465"/>
    <w:rsid w:val="003C65E4"/>
    <w:rsid w:val="003C7712"/>
    <w:rsid w:val="003C7862"/>
    <w:rsid w:val="003C7ECD"/>
    <w:rsid w:val="003D007D"/>
    <w:rsid w:val="003D01A1"/>
    <w:rsid w:val="003D03FA"/>
    <w:rsid w:val="003D04D6"/>
    <w:rsid w:val="003D04F6"/>
    <w:rsid w:val="003D0E4B"/>
    <w:rsid w:val="003D18CC"/>
    <w:rsid w:val="003D3583"/>
    <w:rsid w:val="003D391E"/>
    <w:rsid w:val="003D3B6F"/>
    <w:rsid w:val="003D40E8"/>
    <w:rsid w:val="003D455E"/>
    <w:rsid w:val="003D479B"/>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841"/>
    <w:rsid w:val="003E5F7D"/>
    <w:rsid w:val="003E6188"/>
    <w:rsid w:val="003E6520"/>
    <w:rsid w:val="003E67E7"/>
    <w:rsid w:val="003E6B25"/>
    <w:rsid w:val="003E6B3C"/>
    <w:rsid w:val="003E6B95"/>
    <w:rsid w:val="003E70FF"/>
    <w:rsid w:val="003E7F1B"/>
    <w:rsid w:val="003F08D1"/>
    <w:rsid w:val="003F0B41"/>
    <w:rsid w:val="003F1150"/>
    <w:rsid w:val="003F1E39"/>
    <w:rsid w:val="003F229D"/>
    <w:rsid w:val="003F25F0"/>
    <w:rsid w:val="003F2D5B"/>
    <w:rsid w:val="003F4097"/>
    <w:rsid w:val="003F5AD2"/>
    <w:rsid w:val="003F5CA4"/>
    <w:rsid w:val="003F6D50"/>
    <w:rsid w:val="003F7006"/>
    <w:rsid w:val="003F7507"/>
    <w:rsid w:val="003F7C72"/>
    <w:rsid w:val="003F7D10"/>
    <w:rsid w:val="00401000"/>
    <w:rsid w:val="00401177"/>
    <w:rsid w:val="004016C6"/>
    <w:rsid w:val="0040179A"/>
    <w:rsid w:val="00401856"/>
    <w:rsid w:val="00401AE2"/>
    <w:rsid w:val="004028A2"/>
    <w:rsid w:val="00402FEB"/>
    <w:rsid w:val="00403344"/>
    <w:rsid w:val="00403C82"/>
    <w:rsid w:val="00404157"/>
    <w:rsid w:val="00404C44"/>
    <w:rsid w:val="00404CF1"/>
    <w:rsid w:val="00404EE8"/>
    <w:rsid w:val="0040510D"/>
    <w:rsid w:val="0040512D"/>
    <w:rsid w:val="0040602F"/>
    <w:rsid w:val="00406AFB"/>
    <w:rsid w:val="00407382"/>
    <w:rsid w:val="0040791B"/>
    <w:rsid w:val="00407EFE"/>
    <w:rsid w:val="00410210"/>
    <w:rsid w:val="0041031B"/>
    <w:rsid w:val="00411958"/>
    <w:rsid w:val="00411B2A"/>
    <w:rsid w:val="00411C6E"/>
    <w:rsid w:val="00412973"/>
    <w:rsid w:val="00412D42"/>
    <w:rsid w:val="00412DA4"/>
    <w:rsid w:val="00412EB6"/>
    <w:rsid w:val="0041351F"/>
    <w:rsid w:val="00413649"/>
    <w:rsid w:val="004137C8"/>
    <w:rsid w:val="00413A8D"/>
    <w:rsid w:val="00413BF9"/>
    <w:rsid w:val="00413C25"/>
    <w:rsid w:val="00415531"/>
    <w:rsid w:val="00416330"/>
    <w:rsid w:val="004176C7"/>
    <w:rsid w:val="00417877"/>
    <w:rsid w:val="00417D8D"/>
    <w:rsid w:val="00417D9F"/>
    <w:rsid w:val="00420229"/>
    <w:rsid w:val="00420A39"/>
    <w:rsid w:val="00420DBA"/>
    <w:rsid w:val="00421311"/>
    <w:rsid w:val="00422E13"/>
    <w:rsid w:val="0042350F"/>
    <w:rsid w:val="00423599"/>
    <w:rsid w:val="0042384C"/>
    <w:rsid w:val="00423893"/>
    <w:rsid w:val="00423A26"/>
    <w:rsid w:val="00423BC9"/>
    <w:rsid w:val="004255B4"/>
    <w:rsid w:val="00426766"/>
    <w:rsid w:val="004267D0"/>
    <w:rsid w:val="004279CA"/>
    <w:rsid w:val="00427A82"/>
    <w:rsid w:val="00427EA2"/>
    <w:rsid w:val="00430115"/>
    <w:rsid w:val="00430A4B"/>
    <w:rsid w:val="00431C46"/>
    <w:rsid w:val="004327E6"/>
    <w:rsid w:val="004329DC"/>
    <w:rsid w:val="00432AC6"/>
    <w:rsid w:val="004341C6"/>
    <w:rsid w:val="00434C5E"/>
    <w:rsid w:val="0043524B"/>
    <w:rsid w:val="00435765"/>
    <w:rsid w:val="00435A20"/>
    <w:rsid w:val="004360B6"/>
    <w:rsid w:val="004362E5"/>
    <w:rsid w:val="00436356"/>
    <w:rsid w:val="00440722"/>
    <w:rsid w:val="00440E23"/>
    <w:rsid w:val="004425D9"/>
    <w:rsid w:val="00443244"/>
    <w:rsid w:val="00444AF6"/>
    <w:rsid w:val="0044519D"/>
    <w:rsid w:val="00445544"/>
    <w:rsid w:val="00445C0B"/>
    <w:rsid w:val="00445F35"/>
    <w:rsid w:val="00446195"/>
    <w:rsid w:val="00447CD0"/>
    <w:rsid w:val="00447FC2"/>
    <w:rsid w:val="004502F4"/>
    <w:rsid w:val="00450625"/>
    <w:rsid w:val="004506F4"/>
    <w:rsid w:val="004509D1"/>
    <w:rsid w:val="00450A42"/>
    <w:rsid w:val="00450E98"/>
    <w:rsid w:val="004513A5"/>
    <w:rsid w:val="00451D50"/>
    <w:rsid w:val="00452EC4"/>
    <w:rsid w:val="00453340"/>
    <w:rsid w:val="00453775"/>
    <w:rsid w:val="00453890"/>
    <w:rsid w:val="00453B16"/>
    <w:rsid w:val="00454380"/>
    <w:rsid w:val="0045470C"/>
    <w:rsid w:val="0045489F"/>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741"/>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2F3"/>
    <w:rsid w:val="00472AD0"/>
    <w:rsid w:val="00472D9C"/>
    <w:rsid w:val="00473B60"/>
    <w:rsid w:val="004747C6"/>
    <w:rsid w:val="00475AFF"/>
    <w:rsid w:val="00475D30"/>
    <w:rsid w:val="004765F4"/>
    <w:rsid w:val="00476B4D"/>
    <w:rsid w:val="00476CBC"/>
    <w:rsid w:val="00476E6C"/>
    <w:rsid w:val="00477282"/>
    <w:rsid w:val="00477947"/>
    <w:rsid w:val="00480FA1"/>
    <w:rsid w:val="00481F44"/>
    <w:rsid w:val="00481FD7"/>
    <w:rsid w:val="00482DE5"/>
    <w:rsid w:val="00483266"/>
    <w:rsid w:val="0048345B"/>
    <w:rsid w:val="0048352E"/>
    <w:rsid w:val="004836A9"/>
    <w:rsid w:val="00483B23"/>
    <w:rsid w:val="004840D7"/>
    <w:rsid w:val="004846F4"/>
    <w:rsid w:val="00485C26"/>
    <w:rsid w:val="00485EC0"/>
    <w:rsid w:val="00486A51"/>
    <w:rsid w:val="004875E1"/>
    <w:rsid w:val="00487B37"/>
    <w:rsid w:val="00490636"/>
    <w:rsid w:val="004906AD"/>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7"/>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667E"/>
    <w:rsid w:val="004B1199"/>
    <w:rsid w:val="004B16C4"/>
    <w:rsid w:val="004B16FD"/>
    <w:rsid w:val="004B1867"/>
    <w:rsid w:val="004B1D9B"/>
    <w:rsid w:val="004B2A64"/>
    <w:rsid w:val="004B30DF"/>
    <w:rsid w:val="004B41DA"/>
    <w:rsid w:val="004B4356"/>
    <w:rsid w:val="004B470D"/>
    <w:rsid w:val="004B4764"/>
    <w:rsid w:val="004B4846"/>
    <w:rsid w:val="004B5394"/>
    <w:rsid w:val="004B5978"/>
    <w:rsid w:val="004B5BDD"/>
    <w:rsid w:val="004B6E9E"/>
    <w:rsid w:val="004B6F83"/>
    <w:rsid w:val="004B7C29"/>
    <w:rsid w:val="004C06E5"/>
    <w:rsid w:val="004C1B7D"/>
    <w:rsid w:val="004C1E3C"/>
    <w:rsid w:val="004C25F0"/>
    <w:rsid w:val="004C26DD"/>
    <w:rsid w:val="004C2B5D"/>
    <w:rsid w:val="004C2D68"/>
    <w:rsid w:val="004C2E7D"/>
    <w:rsid w:val="004C2F56"/>
    <w:rsid w:val="004C339D"/>
    <w:rsid w:val="004C33E8"/>
    <w:rsid w:val="004C4307"/>
    <w:rsid w:val="004C4309"/>
    <w:rsid w:val="004C49E3"/>
    <w:rsid w:val="004C4E8A"/>
    <w:rsid w:val="004C4F1B"/>
    <w:rsid w:val="004C514A"/>
    <w:rsid w:val="004C645A"/>
    <w:rsid w:val="004C6572"/>
    <w:rsid w:val="004C6D4F"/>
    <w:rsid w:val="004C7541"/>
    <w:rsid w:val="004C7CEC"/>
    <w:rsid w:val="004D1E71"/>
    <w:rsid w:val="004D2CDF"/>
    <w:rsid w:val="004D33CE"/>
    <w:rsid w:val="004D4AAE"/>
    <w:rsid w:val="004D7383"/>
    <w:rsid w:val="004D7C86"/>
    <w:rsid w:val="004E0197"/>
    <w:rsid w:val="004E0F60"/>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A93"/>
    <w:rsid w:val="0050326C"/>
    <w:rsid w:val="00506083"/>
    <w:rsid w:val="005068D6"/>
    <w:rsid w:val="00506B86"/>
    <w:rsid w:val="00506EEC"/>
    <w:rsid w:val="00506FD4"/>
    <w:rsid w:val="005107FF"/>
    <w:rsid w:val="00510CBC"/>
    <w:rsid w:val="0051102D"/>
    <w:rsid w:val="005112A5"/>
    <w:rsid w:val="00511F48"/>
    <w:rsid w:val="00512448"/>
    <w:rsid w:val="0051253A"/>
    <w:rsid w:val="0051266C"/>
    <w:rsid w:val="0051396D"/>
    <w:rsid w:val="00513B72"/>
    <w:rsid w:val="00515277"/>
    <w:rsid w:val="005158C2"/>
    <w:rsid w:val="005169DE"/>
    <w:rsid w:val="0051754D"/>
    <w:rsid w:val="0051785D"/>
    <w:rsid w:val="00517913"/>
    <w:rsid w:val="0052005F"/>
    <w:rsid w:val="00520200"/>
    <w:rsid w:val="00520DC7"/>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0F18"/>
    <w:rsid w:val="00532334"/>
    <w:rsid w:val="005324AF"/>
    <w:rsid w:val="0053402C"/>
    <w:rsid w:val="00534090"/>
    <w:rsid w:val="00534ABA"/>
    <w:rsid w:val="00535FFF"/>
    <w:rsid w:val="0053616F"/>
    <w:rsid w:val="005368AD"/>
    <w:rsid w:val="005370BC"/>
    <w:rsid w:val="00537839"/>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92E"/>
    <w:rsid w:val="00551F81"/>
    <w:rsid w:val="0055210F"/>
    <w:rsid w:val="00552CD7"/>
    <w:rsid w:val="005533BE"/>
    <w:rsid w:val="00554B30"/>
    <w:rsid w:val="00554FFB"/>
    <w:rsid w:val="00555B18"/>
    <w:rsid w:val="005568DE"/>
    <w:rsid w:val="00557C50"/>
    <w:rsid w:val="005606B6"/>
    <w:rsid w:val="005608D6"/>
    <w:rsid w:val="00560F19"/>
    <w:rsid w:val="005619EB"/>
    <w:rsid w:val="00561D35"/>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62F"/>
    <w:rsid w:val="005657DD"/>
    <w:rsid w:val="00565B29"/>
    <w:rsid w:val="00565C6A"/>
    <w:rsid w:val="005664CC"/>
    <w:rsid w:val="0056664B"/>
    <w:rsid w:val="00567588"/>
    <w:rsid w:val="00567992"/>
    <w:rsid w:val="00567C3C"/>
    <w:rsid w:val="005702F8"/>
    <w:rsid w:val="00571231"/>
    <w:rsid w:val="00571767"/>
    <w:rsid w:val="00571D4F"/>
    <w:rsid w:val="00571E44"/>
    <w:rsid w:val="005723A6"/>
    <w:rsid w:val="00572BBE"/>
    <w:rsid w:val="00573E61"/>
    <w:rsid w:val="0057411B"/>
    <w:rsid w:val="00574525"/>
    <w:rsid w:val="00574778"/>
    <w:rsid w:val="0057498F"/>
    <w:rsid w:val="00574DE9"/>
    <w:rsid w:val="00575BD8"/>
    <w:rsid w:val="00575DF4"/>
    <w:rsid w:val="0057765D"/>
    <w:rsid w:val="005777FC"/>
    <w:rsid w:val="00577D31"/>
    <w:rsid w:val="005808EB"/>
    <w:rsid w:val="00580D37"/>
    <w:rsid w:val="00581FA0"/>
    <w:rsid w:val="00582B90"/>
    <w:rsid w:val="00582EB0"/>
    <w:rsid w:val="00583134"/>
    <w:rsid w:val="005831A7"/>
    <w:rsid w:val="00583321"/>
    <w:rsid w:val="0058341E"/>
    <w:rsid w:val="00584F3A"/>
    <w:rsid w:val="005853AB"/>
    <w:rsid w:val="00585748"/>
    <w:rsid w:val="005859C5"/>
    <w:rsid w:val="00585C79"/>
    <w:rsid w:val="00585FD0"/>
    <w:rsid w:val="00586144"/>
    <w:rsid w:val="00587785"/>
    <w:rsid w:val="0058788D"/>
    <w:rsid w:val="00587CEC"/>
    <w:rsid w:val="00587E29"/>
    <w:rsid w:val="00587FE6"/>
    <w:rsid w:val="0059040D"/>
    <w:rsid w:val="00591698"/>
    <w:rsid w:val="00593B87"/>
    <w:rsid w:val="00593C1C"/>
    <w:rsid w:val="00593E94"/>
    <w:rsid w:val="00594143"/>
    <w:rsid w:val="00594543"/>
    <w:rsid w:val="00594612"/>
    <w:rsid w:val="00595873"/>
    <w:rsid w:val="00595CDD"/>
    <w:rsid w:val="005964BB"/>
    <w:rsid w:val="0059687A"/>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AD6"/>
    <w:rsid w:val="005A4BAE"/>
    <w:rsid w:val="005A4C88"/>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082"/>
    <w:rsid w:val="005B2E38"/>
    <w:rsid w:val="005B3737"/>
    <w:rsid w:val="005B3A42"/>
    <w:rsid w:val="005B5D40"/>
    <w:rsid w:val="005B5EFC"/>
    <w:rsid w:val="005B6412"/>
    <w:rsid w:val="005B645D"/>
    <w:rsid w:val="005B6698"/>
    <w:rsid w:val="005B68A7"/>
    <w:rsid w:val="005B6AC3"/>
    <w:rsid w:val="005C055E"/>
    <w:rsid w:val="005C0FA1"/>
    <w:rsid w:val="005C15C9"/>
    <w:rsid w:val="005C1615"/>
    <w:rsid w:val="005C1705"/>
    <w:rsid w:val="005C1D98"/>
    <w:rsid w:val="005C1DA5"/>
    <w:rsid w:val="005C2559"/>
    <w:rsid w:val="005C2873"/>
    <w:rsid w:val="005C34FC"/>
    <w:rsid w:val="005C3B5C"/>
    <w:rsid w:val="005C3C7F"/>
    <w:rsid w:val="005C5143"/>
    <w:rsid w:val="005C5639"/>
    <w:rsid w:val="005C5742"/>
    <w:rsid w:val="005C6CA5"/>
    <w:rsid w:val="005C760E"/>
    <w:rsid w:val="005C7E9E"/>
    <w:rsid w:val="005D18C9"/>
    <w:rsid w:val="005D1B72"/>
    <w:rsid w:val="005D2471"/>
    <w:rsid w:val="005D25A3"/>
    <w:rsid w:val="005D2779"/>
    <w:rsid w:val="005D3242"/>
    <w:rsid w:val="005D4BD9"/>
    <w:rsid w:val="005D610C"/>
    <w:rsid w:val="005D74E7"/>
    <w:rsid w:val="005D7C64"/>
    <w:rsid w:val="005D7F7B"/>
    <w:rsid w:val="005E3BCD"/>
    <w:rsid w:val="005E4A87"/>
    <w:rsid w:val="005E4DA5"/>
    <w:rsid w:val="005E503E"/>
    <w:rsid w:val="005E59C7"/>
    <w:rsid w:val="005E5E7B"/>
    <w:rsid w:val="005E6095"/>
    <w:rsid w:val="005E6853"/>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5F7BCE"/>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0FD7"/>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37994"/>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7FF3"/>
    <w:rsid w:val="00680482"/>
    <w:rsid w:val="006808DC"/>
    <w:rsid w:val="006816B6"/>
    <w:rsid w:val="006820EB"/>
    <w:rsid w:val="00682128"/>
    <w:rsid w:val="0068220C"/>
    <w:rsid w:val="00682AB1"/>
    <w:rsid w:val="00682E9F"/>
    <w:rsid w:val="00683252"/>
    <w:rsid w:val="0068343A"/>
    <w:rsid w:val="006834D4"/>
    <w:rsid w:val="00683F06"/>
    <w:rsid w:val="0068413D"/>
    <w:rsid w:val="006844BA"/>
    <w:rsid w:val="006845A2"/>
    <w:rsid w:val="00684BF8"/>
    <w:rsid w:val="00684D9B"/>
    <w:rsid w:val="006858AA"/>
    <w:rsid w:val="00685BCF"/>
    <w:rsid w:val="00685EF4"/>
    <w:rsid w:val="006871D0"/>
    <w:rsid w:val="0068751F"/>
    <w:rsid w:val="006900D1"/>
    <w:rsid w:val="00690297"/>
    <w:rsid w:val="00690C9C"/>
    <w:rsid w:val="0069115A"/>
    <w:rsid w:val="006912F1"/>
    <w:rsid w:val="00691387"/>
    <w:rsid w:val="006927F2"/>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600"/>
    <w:rsid w:val="006A2A12"/>
    <w:rsid w:val="006A2E9C"/>
    <w:rsid w:val="006A35E0"/>
    <w:rsid w:val="006A377F"/>
    <w:rsid w:val="006A384A"/>
    <w:rsid w:val="006A3875"/>
    <w:rsid w:val="006A3D40"/>
    <w:rsid w:val="006A561D"/>
    <w:rsid w:val="006A5A0C"/>
    <w:rsid w:val="006A5BA0"/>
    <w:rsid w:val="006A5BB1"/>
    <w:rsid w:val="006A5F88"/>
    <w:rsid w:val="006A6B87"/>
    <w:rsid w:val="006A7D95"/>
    <w:rsid w:val="006B120D"/>
    <w:rsid w:val="006B13C1"/>
    <w:rsid w:val="006B2CC7"/>
    <w:rsid w:val="006B2CCB"/>
    <w:rsid w:val="006B3AF9"/>
    <w:rsid w:val="006B44C5"/>
    <w:rsid w:val="006B555F"/>
    <w:rsid w:val="006B5A60"/>
    <w:rsid w:val="006B6242"/>
    <w:rsid w:val="006B62B8"/>
    <w:rsid w:val="006B6B54"/>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64"/>
    <w:rsid w:val="006C3ED2"/>
    <w:rsid w:val="006C4233"/>
    <w:rsid w:val="006C42E7"/>
    <w:rsid w:val="006C4422"/>
    <w:rsid w:val="006C472F"/>
    <w:rsid w:val="006C5CCA"/>
    <w:rsid w:val="006C625F"/>
    <w:rsid w:val="006C78A6"/>
    <w:rsid w:val="006C7AB4"/>
    <w:rsid w:val="006D006B"/>
    <w:rsid w:val="006D105C"/>
    <w:rsid w:val="006D1C24"/>
    <w:rsid w:val="006D2284"/>
    <w:rsid w:val="006D30E7"/>
    <w:rsid w:val="006D42E5"/>
    <w:rsid w:val="006D48E7"/>
    <w:rsid w:val="006D4947"/>
    <w:rsid w:val="006D5F16"/>
    <w:rsid w:val="006D63AD"/>
    <w:rsid w:val="006D6764"/>
    <w:rsid w:val="006D67D9"/>
    <w:rsid w:val="006D6C93"/>
    <w:rsid w:val="006D7573"/>
    <w:rsid w:val="006E0340"/>
    <w:rsid w:val="006E06F9"/>
    <w:rsid w:val="006E07A9"/>
    <w:rsid w:val="006E0D91"/>
    <w:rsid w:val="006E135F"/>
    <w:rsid w:val="006E1706"/>
    <w:rsid w:val="006E3CB2"/>
    <w:rsid w:val="006E3DA8"/>
    <w:rsid w:val="006E4A95"/>
    <w:rsid w:val="006E5DAA"/>
    <w:rsid w:val="006E7006"/>
    <w:rsid w:val="006F00E7"/>
    <w:rsid w:val="006F0F6E"/>
    <w:rsid w:val="006F1B22"/>
    <w:rsid w:val="006F1BA4"/>
    <w:rsid w:val="006F1D7B"/>
    <w:rsid w:val="006F2259"/>
    <w:rsid w:val="006F23E1"/>
    <w:rsid w:val="006F2C5C"/>
    <w:rsid w:val="006F2F8F"/>
    <w:rsid w:val="006F2FDA"/>
    <w:rsid w:val="006F2FE5"/>
    <w:rsid w:val="006F3460"/>
    <w:rsid w:val="006F34FE"/>
    <w:rsid w:val="006F3615"/>
    <w:rsid w:val="006F3FA3"/>
    <w:rsid w:val="006F48BA"/>
    <w:rsid w:val="006F4AF9"/>
    <w:rsid w:val="006F4E01"/>
    <w:rsid w:val="006F54EB"/>
    <w:rsid w:val="006F5CC1"/>
    <w:rsid w:val="006F67A5"/>
    <w:rsid w:val="006F762D"/>
    <w:rsid w:val="00700492"/>
    <w:rsid w:val="007009AC"/>
    <w:rsid w:val="0070167E"/>
    <w:rsid w:val="00701E1B"/>
    <w:rsid w:val="00702BBB"/>
    <w:rsid w:val="00702ED0"/>
    <w:rsid w:val="00703C09"/>
    <w:rsid w:val="0070434A"/>
    <w:rsid w:val="00704720"/>
    <w:rsid w:val="007048C4"/>
    <w:rsid w:val="00704CC4"/>
    <w:rsid w:val="00705345"/>
    <w:rsid w:val="0070579C"/>
    <w:rsid w:val="0070638D"/>
    <w:rsid w:val="00706DBF"/>
    <w:rsid w:val="00707A59"/>
    <w:rsid w:val="00707B4A"/>
    <w:rsid w:val="0071046B"/>
    <w:rsid w:val="00710688"/>
    <w:rsid w:val="00710AC6"/>
    <w:rsid w:val="00710C1D"/>
    <w:rsid w:val="00710FC6"/>
    <w:rsid w:val="007110A3"/>
    <w:rsid w:val="00711108"/>
    <w:rsid w:val="00711213"/>
    <w:rsid w:val="007112A1"/>
    <w:rsid w:val="00711996"/>
    <w:rsid w:val="00711B3B"/>
    <w:rsid w:val="00711BA3"/>
    <w:rsid w:val="00711C9D"/>
    <w:rsid w:val="0071230B"/>
    <w:rsid w:val="00712B71"/>
    <w:rsid w:val="00712E55"/>
    <w:rsid w:val="00713023"/>
    <w:rsid w:val="0071322C"/>
    <w:rsid w:val="00713779"/>
    <w:rsid w:val="00713989"/>
    <w:rsid w:val="00713DCF"/>
    <w:rsid w:val="00714004"/>
    <w:rsid w:val="0071458E"/>
    <w:rsid w:val="007145C9"/>
    <w:rsid w:val="00714631"/>
    <w:rsid w:val="00714B6E"/>
    <w:rsid w:val="007150C6"/>
    <w:rsid w:val="0071512F"/>
    <w:rsid w:val="007169AC"/>
    <w:rsid w:val="007169DD"/>
    <w:rsid w:val="00716E75"/>
    <w:rsid w:val="00717679"/>
    <w:rsid w:val="00717B67"/>
    <w:rsid w:val="00720084"/>
    <w:rsid w:val="007206A2"/>
    <w:rsid w:val="00720B38"/>
    <w:rsid w:val="00720CA7"/>
    <w:rsid w:val="0072147B"/>
    <w:rsid w:val="0072181E"/>
    <w:rsid w:val="007219A2"/>
    <w:rsid w:val="00722267"/>
    <w:rsid w:val="0072285E"/>
    <w:rsid w:val="00722C03"/>
    <w:rsid w:val="00722C62"/>
    <w:rsid w:val="00723110"/>
    <w:rsid w:val="0072321F"/>
    <w:rsid w:val="00723295"/>
    <w:rsid w:val="007238E2"/>
    <w:rsid w:val="007239B4"/>
    <w:rsid w:val="00724446"/>
    <w:rsid w:val="00724584"/>
    <w:rsid w:val="00724AA1"/>
    <w:rsid w:val="00724D39"/>
    <w:rsid w:val="00725A19"/>
    <w:rsid w:val="00726356"/>
    <w:rsid w:val="007268C7"/>
    <w:rsid w:val="00726AAB"/>
    <w:rsid w:val="00727077"/>
    <w:rsid w:val="00730CFD"/>
    <w:rsid w:val="00730EA6"/>
    <w:rsid w:val="0073123B"/>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00A"/>
    <w:rsid w:val="00745E01"/>
    <w:rsid w:val="007461BF"/>
    <w:rsid w:val="0074666B"/>
    <w:rsid w:val="0074683D"/>
    <w:rsid w:val="007468D6"/>
    <w:rsid w:val="00746905"/>
    <w:rsid w:val="00746BFF"/>
    <w:rsid w:val="007473E1"/>
    <w:rsid w:val="00747897"/>
    <w:rsid w:val="00747E47"/>
    <w:rsid w:val="00750192"/>
    <w:rsid w:val="007504DF"/>
    <w:rsid w:val="007504E1"/>
    <w:rsid w:val="00750544"/>
    <w:rsid w:val="00750804"/>
    <w:rsid w:val="00750890"/>
    <w:rsid w:val="007509AB"/>
    <w:rsid w:val="00751689"/>
    <w:rsid w:val="007524AA"/>
    <w:rsid w:val="00753744"/>
    <w:rsid w:val="00753A93"/>
    <w:rsid w:val="00755663"/>
    <w:rsid w:val="00755DEA"/>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5065"/>
    <w:rsid w:val="007654B8"/>
    <w:rsid w:val="00766277"/>
    <w:rsid w:val="0076656A"/>
    <w:rsid w:val="00766701"/>
    <w:rsid w:val="00766911"/>
    <w:rsid w:val="00767793"/>
    <w:rsid w:val="007679D8"/>
    <w:rsid w:val="00770803"/>
    <w:rsid w:val="00770DF9"/>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37CE"/>
    <w:rsid w:val="007840E2"/>
    <w:rsid w:val="0078569F"/>
    <w:rsid w:val="00785803"/>
    <w:rsid w:val="00785C1C"/>
    <w:rsid w:val="00785EB4"/>
    <w:rsid w:val="0078609A"/>
    <w:rsid w:val="00786F85"/>
    <w:rsid w:val="0078731A"/>
    <w:rsid w:val="00787487"/>
    <w:rsid w:val="00787B6E"/>
    <w:rsid w:val="007906F1"/>
    <w:rsid w:val="00790EDA"/>
    <w:rsid w:val="00791349"/>
    <w:rsid w:val="00791D85"/>
    <w:rsid w:val="00791DAF"/>
    <w:rsid w:val="0079203D"/>
    <w:rsid w:val="007924CA"/>
    <w:rsid w:val="00793E6F"/>
    <w:rsid w:val="007948B6"/>
    <w:rsid w:val="00794CBF"/>
    <w:rsid w:val="00795365"/>
    <w:rsid w:val="0079567E"/>
    <w:rsid w:val="007961D5"/>
    <w:rsid w:val="00796A6F"/>
    <w:rsid w:val="00796C5D"/>
    <w:rsid w:val="00797B06"/>
    <w:rsid w:val="00797B9C"/>
    <w:rsid w:val="007A0483"/>
    <w:rsid w:val="007A1065"/>
    <w:rsid w:val="007A1D86"/>
    <w:rsid w:val="007A20C9"/>
    <w:rsid w:val="007A2A97"/>
    <w:rsid w:val="007A2CDC"/>
    <w:rsid w:val="007A371B"/>
    <w:rsid w:val="007A3832"/>
    <w:rsid w:val="007A3A0F"/>
    <w:rsid w:val="007A3E60"/>
    <w:rsid w:val="007A407D"/>
    <w:rsid w:val="007A42C3"/>
    <w:rsid w:val="007A464F"/>
    <w:rsid w:val="007A53EA"/>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1BF"/>
    <w:rsid w:val="007B7949"/>
    <w:rsid w:val="007B7D30"/>
    <w:rsid w:val="007B7F0D"/>
    <w:rsid w:val="007C0FA9"/>
    <w:rsid w:val="007C1F6E"/>
    <w:rsid w:val="007C2413"/>
    <w:rsid w:val="007C25AE"/>
    <w:rsid w:val="007C3152"/>
    <w:rsid w:val="007C317E"/>
    <w:rsid w:val="007C333B"/>
    <w:rsid w:val="007C3686"/>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4F20"/>
    <w:rsid w:val="007D674C"/>
    <w:rsid w:val="007D6B7B"/>
    <w:rsid w:val="007D6CF1"/>
    <w:rsid w:val="007D7131"/>
    <w:rsid w:val="007D7BEC"/>
    <w:rsid w:val="007D7CE3"/>
    <w:rsid w:val="007E051A"/>
    <w:rsid w:val="007E0798"/>
    <w:rsid w:val="007E0981"/>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42F"/>
    <w:rsid w:val="007F7627"/>
    <w:rsid w:val="007F795F"/>
    <w:rsid w:val="0080069C"/>
    <w:rsid w:val="008006FD"/>
    <w:rsid w:val="0080148D"/>
    <w:rsid w:val="0080156B"/>
    <w:rsid w:val="00801A3A"/>
    <w:rsid w:val="00804114"/>
    <w:rsid w:val="008042B3"/>
    <w:rsid w:val="00804634"/>
    <w:rsid w:val="008047E8"/>
    <w:rsid w:val="0080531E"/>
    <w:rsid w:val="00805C3D"/>
    <w:rsid w:val="00806F1D"/>
    <w:rsid w:val="008073D3"/>
    <w:rsid w:val="00807673"/>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A37"/>
    <w:rsid w:val="00820C9C"/>
    <w:rsid w:val="00820F55"/>
    <w:rsid w:val="00821572"/>
    <w:rsid w:val="00822310"/>
    <w:rsid w:val="00822919"/>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2D01"/>
    <w:rsid w:val="0083304F"/>
    <w:rsid w:val="008334C9"/>
    <w:rsid w:val="00834122"/>
    <w:rsid w:val="008352C5"/>
    <w:rsid w:val="008358A6"/>
    <w:rsid w:val="008359FB"/>
    <w:rsid w:val="00835C56"/>
    <w:rsid w:val="008360FC"/>
    <w:rsid w:val="00836E81"/>
    <w:rsid w:val="008377C1"/>
    <w:rsid w:val="00837C90"/>
    <w:rsid w:val="00837EB1"/>
    <w:rsid w:val="00837F74"/>
    <w:rsid w:val="0084042B"/>
    <w:rsid w:val="0084048E"/>
    <w:rsid w:val="008409BB"/>
    <w:rsid w:val="00841034"/>
    <w:rsid w:val="0084184A"/>
    <w:rsid w:val="008423F2"/>
    <w:rsid w:val="00842A30"/>
    <w:rsid w:val="00842F71"/>
    <w:rsid w:val="00843179"/>
    <w:rsid w:val="0084386A"/>
    <w:rsid w:val="00843E0E"/>
    <w:rsid w:val="008442EA"/>
    <w:rsid w:val="00844589"/>
    <w:rsid w:val="00844794"/>
    <w:rsid w:val="00844FE7"/>
    <w:rsid w:val="00845103"/>
    <w:rsid w:val="008452EF"/>
    <w:rsid w:val="00845969"/>
    <w:rsid w:val="00845F37"/>
    <w:rsid w:val="00845FF5"/>
    <w:rsid w:val="00846001"/>
    <w:rsid w:val="0084615D"/>
    <w:rsid w:val="0084642A"/>
    <w:rsid w:val="008465C4"/>
    <w:rsid w:val="00846710"/>
    <w:rsid w:val="008478ED"/>
    <w:rsid w:val="0085087F"/>
    <w:rsid w:val="008513F0"/>
    <w:rsid w:val="00851728"/>
    <w:rsid w:val="00851DFF"/>
    <w:rsid w:val="00853084"/>
    <w:rsid w:val="00853142"/>
    <w:rsid w:val="008540A6"/>
    <w:rsid w:val="008543B7"/>
    <w:rsid w:val="00854420"/>
    <w:rsid w:val="00854481"/>
    <w:rsid w:val="00855117"/>
    <w:rsid w:val="008555EF"/>
    <w:rsid w:val="008574C1"/>
    <w:rsid w:val="00857591"/>
    <w:rsid w:val="00857E88"/>
    <w:rsid w:val="008612DB"/>
    <w:rsid w:val="00861B57"/>
    <w:rsid w:val="00862AC4"/>
    <w:rsid w:val="00862E4D"/>
    <w:rsid w:val="008633AC"/>
    <w:rsid w:val="008634E3"/>
    <w:rsid w:val="00863C9F"/>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2448"/>
    <w:rsid w:val="00882F1D"/>
    <w:rsid w:val="00883A4D"/>
    <w:rsid w:val="00883B21"/>
    <w:rsid w:val="00883C02"/>
    <w:rsid w:val="00883F8F"/>
    <w:rsid w:val="00884235"/>
    <w:rsid w:val="00885285"/>
    <w:rsid w:val="00885985"/>
    <w:rsid w:val="00886699"/>
    <w:rsid w:val="0088709A"/>
    <w:rsid w:val="0089199F"/>
    <w:rsid w:val="00891C32"/>
    <w:rsid w:val="00891D7F"/>
    <w:rsid w:val="00892087"/>
    <w:rsid w:val="00892265"/>
    <w:rsid w:val="0089233E"/>
    <w:rsid w:val="008929E1"/>
    <w:rsid w:val="0089330E"/>
    <w:rsid w:val="00893A8E"/>
    <w:rsid w:val="00893E27"/>
    <w:rsid w:val="0089459B"/>
    <w:rsid w:val="008945F7"/>
    <w:rsid w:val="0089463D"/>
    <w:rsid w:val="0089554F"/>
    <w:rsid w:val="008955E6"/>
    <w:rsid w:val="00895B5F"/>
    <w:rsid w:val="00895EFE"/>
    <w:rsid w:val="0089637C"/>
    <w:rsid w:val="00896712"/>
    <w:rsid w:val="00896870"/>
    <w:rsid w:val="008969BD"/>
    <w:rsid w:val="008A0003"/>
    <w:rsid w:val="008A07B7"/>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9CF"/>
    <w:rsid w:val="008A720F"/>
    <w:rsid w:val="008A7498"/>
    <w:rsid w:val="008A7C72"/>
    <w:rsid w:val="008B04F2"/>
    <w:rsid w:val="008B0907"/>
    <w:rsid w:val="008B0D0E"/>
    <w:rsid w:val="008B12BB"/>
    <w:rsid w:val="008B1411"/>
    <w:rsid w:val="008B17A2"/>
    <w:rsid w:val="008B25F2"/>
    <w:rsid w:val="008B2643"/>
    <w:rsid w:val="008B2FAE"/>
    <w:rsid w:val="008B3317"/>
    <w:rsid w:val="008B414B"/>
    <w:rsid w:val="008B4B8F"/>
    <w:rsid w:val="008B4E0E"/>
    <w:rsid w:val="008B4FB9"/>
    <w:rsid w:val="008B5715"/>
    <w:rsid w:val="008B5A2D"/>
    <w:rsid w:val="008B5BC2"/>
    <w:rsid w:val="008B5E54"/>
    <w:rsid w:val="008B60BB"/>
    <w:rsid w:val="008B6732"/>
    <w:rsid w:val="008B68EC"/>
    <w:rsid w:val="008B711E"/>
    <w:rsid w:val="008C042F"/>
    <w:rsid w:val="008C057B"/>
    <w:rsid w:val="008C06DB"/>
    <w:rsid w:val="008C0CAC"/>
    <w:rsid w:val="008C13B4"/>
    <w:rsid w:val="008C1557"/>
    <w:rsid w:val="008C1B8C"/>
    <w:rsid w:val="008C2306"/>
    <w:rsid w:val="008C26D1"/>
    <w:rsid w:val="008C2AF8"/>
    <w:rsid w:val="008C2B7F"/>
    <w:rsid w:val="008C36AC"/>
    <w:rsid w:val="008C4953"/>
    <w:rsid w:val="008C4E44"/>
    <w:rsid w:val="008C5482"/>
    <w:rsid w:val="008C6255"/>
    <w:rsid w:val="008C684B"/>
    <w:rsid w:val="008C6ABD"/>
    <w:rsid w:val="008C6F18"/>
    <w:rsid w:val="008C7685"/>
    <w:rsid w:val="008D007A"/>
    <w:rsid w:val="008D07DE"/>
    <w:rsid w:val="008D0831"/>
    <w:rsid w:val="008D0E40"/>
    <w:rsid w:val="008D1E7F"/>
    <w:rsid w:val="008D2367"/>
    <w:rsid w:val="008D427A"/>
    <w:rsid w:val="008D46F8"/>
    <w:rsid w:val="008D4DD5"/>
    <w:rsid w:val="008D4E28"/>
    <w:rsid w:val="008D5657"/>
    <w:rsid w:val="008D6752"/>
    <w:rsid w:val="008D69E7"/>
    <w:rsid w:val="008D6FC1"/>
    <w:rsid w:val="008D7E32"/>
    <w:rsid w:val="008E0140"/>
    <w:rsid w:val="008E0688"/>
    <w:rsid w:val="008E09CB"/>
    <w:rsid w:val="008E0BEF"/>
    <w:rsid w:val="008E103C"/>
    <w:rsid w:val="008E266D"/>
    <w:rsid w:val="008E2F0C"/>
    <w:rsid w:val="008E3E23"/>
    <w:rsid w:val="008E547B"/>
    <w:rsid w:val="008E5DF8"/>
    <w:rsid w:val="008F0250"/>
    <w:rsid w:val="008F0C8A"/>
    <w:rsid w:val="008F0D35"/>
    <w:rsid w:val="008F11F4"/>
    <w:rsid w:val="008F1952"/>
    <w:rsid w:val="008F2507"/>
    <w:rsid w:val="008F254D"/>
    <w:rsid w:val="008F310B"/>
    <w:rsid w:val="008F322B"/>
    <w:rsid w:val="008F3437"/>
    <w:rsid w:val="008F34CB"/>
    <w:rsid w:val="008F3519"/>
    <w:rsid w:val="008F3AD3"/>
    <w:rsid w:val="008F3CA7"/>
    <w:rsid w:val="008F43FF"/>
    <w:rsid w:val="008F443F"/>
    <w:rsid w:val="008F4DC7"/>
    <w:rsid w:val="008F5DE5"/>
    <w:rsid w:val="008F5E42"/>
    <w:rsid w:val="008F6244"/>
    <w:rsid w:val="008F63B1"/>
    <w:rsid w:val="008F6973"/>
    <w:rsid w:val="008F6E6A"/>
    <w:rsid w:val="008F7AA7"/>
    <w:rsid w:val="008F7E66"/>
    <w:rsid w:val="008F7F94"/>
    <w:rsid w:val="0090037E"/>
    <w:rsid w:val="00900947"/>
    <w:rsid w:val="00900E4F"/>
    <w:rsid w:val="00900EB8"/>
    <w:rsid w:val="00900FBA"/>
    <w:rsid w:val="0090240E"/>
    <w:rsid w:val="00902E5B"/>
    <w:rsid w:val="00903FD9"/>
    <w:rsid w:val="00904CF5"/>
    <w:rsid w:val="00905259"/>
    <w:rsid w:val="0090556C"/>
    <w:rsid w:val="00905633"/>
    <w:rsid w:val="00905EAE"/>
    <w:rsid w:val="009060C4"/>
    <w:rsid w:val="00906C91"/>
    <w:rsid w:val="00906C95"/>
    <w:rsid w:val="00907371"/>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366"/>
    <w:rsid w:val="00917569"/>
    <w:rsid w:val="00920174"/>
    <w:rsid w:val="009208C6"/>
    <w:rsid w:val="009219D2"/>
    <w:rsid w:val="00921A4E"/>
    <w:rsid w:val="00921E37"/>
    <w:rsid w:val="00922511"/>
    <w:rsid w:val="00922F07"/>
    <w:rsid w:val="00923463"/>
    <w:rsid w:val="00925238"/>
    <w:rsid w:val="00925ACF"/>
    <w:rsid w:val="0092615D"/>
    <w:rsid w:val="00926546"/>
    <w:rsid w:val="009265A1"/>
    <w:rsid w:val="009270C2"/>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1C8"/>
    <w:rsid w:val="00944728"/>
    <w:rsid w:val="00944BA9"/>
    <w:rsid w:val="009453E8"/>
    <w:rsid w:val="00945664"/>
    <w:rsid w:val="00945AD1"/>
    <w:rsid w:val="00945E66"/>
    <w:rsid w:val="00946ECB"/>
    <w:rsid w:val="00947268"/>
    <w:rsid w:val="0094750E"/>
    <w:rsid w:val="00947C94"/>
    <w:rsid w:val="009507C8"/>
    <w:rsid w:val="00950CB1"/>
    <w:rsid w:val="0095115E"/>
    <w:rsid w:val="0095118A"/>
    <w:rsid w:val="00952468"/>
    <w:rsid w:val="00954767"/>
    <w:rsid w:val="0095487A"/>
    <w:rsid w:val="009548FB"/>
    <w:rsid w:val="0095538B"/>
    <w:rsid w:val="00955B14"/>
    <w:rsid w:val="009575B9"/>
    <w:rsid w:val="009579E3"/>
    <w:rsid w:val="00957AF7"/>
    <w:rsid w:val="00957CDD"/>
    <w:rsid w:val="00960ACA"/>
    <w:rsid w:val="00960C4F"/>
    <w:rsid w:val="0096217C"/>
    <w:rsid w:val="00962441"/>
    <w:rsid w:val="00963277"/>
    <w:rsid w:val="00964981"/>
    <w:rsid w:val="00964B53"/>
    <w:rsid w:val="00964C3F"/>
    <w:rsid w:val="00964C6C"/>
    <w:rsid w:val="00965176"/>
    <w:rsid w:val="00965240"/>
    <w:rsid w:val="00965847"/>
    <w:rsid w:val="00965A3E"/>
    <w:rsid w:val="00965C48"/>
    <w:rsid w:val="00966D9D"/>
    <w:rsid w:val="00966E4A"/>
    <w:rsid w:val="00967041"/>
    <w:rsid w:val="00970918"/>
    <w:rsid w:val="0097099E"/>
    <w:rsid w:val="009715AB"/>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4E7"/>
    <w:rsid w:val="00982893"/>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715"/>
    <w:rsid w:val="0099586F"/>
    <w:rsid w:val="00995CE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035"/>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723"/>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4B0"/>
    <w:rsid w:val="009D6620"/>
    <w:rsid w:val="009D6ACE"/>
    <w:rsid w:val="009D6C54"/>
    <w:rsid w:val="009D72B0"/>
    <w:rsid w:val="009D77CE"/>
    <w:rsid w:val="009D7CA5"/>
    <w:rsid w:val="009D7DE3"/>
    <w:rsid w:val="009E004A"/>
    <w:rsid w:val="009E01D6"/>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CEE"/>
    <w:rsid w:val="009F0EE5"/>
    <w:rsid w:val="009F1264"/>
    <w:rsid w:val="009F1D7F"/>
    <w:rsid w:val="009F245B"/>
    <w:rsid w:val="009F25E6"/>
    <w:rsid w:val="009F2BE8"/>
    <w:rsid w:val="009F2F09"/>
    <w:rsid w:val="009F39A7"/>
    <w:rsid w:val="009F40B7"/>
    <w:rsid w:val="009F4188"/>
    <w:rsid w:val="009F4302"/>
    <w:rsid w:val="009F4393"/>
    <w:rsid w:val="009F4BE9"/>
    <w:rsid w:val="009F5CF0"/>
    <w:rsid w:val="009F62D3"/>
    <w:rsid w:val="00A00112"/>
    <w:rsid w:val="00A008B5"/>
    <w:rsid w:val="00A017B4"/>
    <w:rsid w:val="00A01C53"/>
    <w:rsid w:val="00A01D38"/>
    <w:rsid w:val="00A02414"/>
    <w:rsid w:val="00A025B9"/>
    <w:rsid w:val="00A0355C"/>
    <w:rsid w:val="00A03A13"/>
    <w:rsid w:val="00A03E19"/>
    <w:rsid w:val="00A040CD"/>
    <w:rsid w:val="00A04429"/>
    <w:rsid w:val="00A06446"/>
    <w:rsid w:val="00A06697"/>
    <w:rsid w:val="00A06C40"/>
    <w:rsid w:val="00A10586"/>
    <w:rsid w:val="00A10A48"/>
    <w:rsid w:val="00A10BD0"/>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85E"/>
    <w:rsid w:val="00A15D5E"/>
    <w:rsid w:val="00A161F8"/>
    <w:rsid w:val="00A16395"/>
    <w:rsid w:val="00A169FA"/>
    <w:rsid w:val="00A1766A"/>
    <w:rsid w:val="00A200F4"/>
    <w:rsid w:val="00A206C9"/>
    <w:rsid w:val="00A20C27"/>
    <w:rsid w:val="00A20E7D"/>
    <w:rsid w:val="00A216BC"/>
    <w:rsid w:val="00A22CBD"/>
    <w:rsid w:val="00A23320"/>
    <w:rsid w:val="00A23931"/>
    <w:rsid w:val="00A23C6F"/>
    <w:rsid w:val="00A23FD6"/>
    <w:rsid w:val="00A24BA6"/>
    <w:rsid w:val="00A25317"/>
    <w:rsid w:val="00A25706"/>
    <w:rsid w:val="00A25D84"/>
    <w:rsid w:val="00A26029"/>
    <w:rsid w:val="00A262E4"/>
    <w:rsid w:val="00A268EA"/>
    <w:rsid w:val="00A27E60"/>
    <w:rsid w:val="00A31CE0"/>
    <w:rsid w:val="00A31FA9"/>
    <w:rsid w:val="00A324E2"/>
    <w:rsid w:val="00A333BF"/>
    <w:rsid w:val="00A33825"/>
    <w:rsid w:val="00A3398F"/>
    <w:rsid w:val="00A3511F"/>
    <w:rsid w:val="00A35583"/>
    <w:rsid w:val="00A35BCE"/>
    <w:rsid w:val="00A363EF"/>
    <w:rsid w:val="00A36596"/>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EC4"/>
    <w:rsid w:val="00A47212"/>
    <w:rsid w:val="00A474EA"/>
    <w:rsid w:val="00A47BB9"/>
    <w:rsid w:val="00A501B2"/>
    <w:rsid w:val="00A5034A"/>
    <w:rsid w:val="00A50FFA"/>
    <w:rsid w:val="00A53869"/>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633"/>
    <w:rsid w:val="00A7592E"/>
    <w:rsid w:val="00A76C1F"/>
    <w:rsid w:val="00A76F07"/>
    <w:rsid w:val="00A803FC"/>
    <w:rsid w:val="00A8071A"/>
    <w:rsid w:val="00A80DD9"/>
    <w:rsid w:val="00A80FCA"/>
    <w:rsid w:val="00A81CBC"/>
    <w:rsid w:val="00A82506"/>
    <w:rsid w:val="00A82F8D"/>
    <w:rsid w:val="00A837CE"/>
    <w:rsid w:val="00A83DB5"/>
    <w:rsid w:val="00A83FBA"/>
    <w:rsid w:val="00A84636"/>
    <w:rsid w:val="00A84FE1"/>
    <w:rsid w:val="00A85080"/>
    <w:rsid w:val="00A85337"/>
    <w:rsid w:val="00A8626D"/>
    <w:rsid w:val="00A86406"/>
    <w:rsid w:val="00A86853"/>
    <w:rsid w:val="00A869B7"/>
    <w:rsid w:val="00A86B75"/>
    <w:rsid w:val="00A86DD0"/>
    <w:rsid w:val="00A86E75"/>
    <w:rsid w:val="00A86F33"/>
    <w:rsid w:val="00A87AF0"/>
    <w:rsid w:val="00A9065F"/>
    <w:rsid w:val="00A90B0E"/>
    <w:rsid w:val="00A91AA1"/>
    <w:rsid w:val="00A91AAA"/>
    <w:rsid w:val="00A91C8C"/>
    <w:rsid w:val="00A91F0D"/>
    <w:rsid w:val="00A9235A"/>
    <w:rsid w:val="00A92FF7"/>
    <w:rsid w:val="00A93069"/>
    <w:rsid w:val="00A9468F"/>
    <w:rsid w:val="00A9498D"/>
    <w:rsid w:val="00A95335"/>
    <w:rsid w:val="00A9566B"/>
    <w:rsid w:val="00A9657F"/>
    <w:rsid w:val="00A96F6F"/>
    <w:rsid w:val="00A9797D"/>
    <w:rsid w:val="00AA015F"/>
    <w:rsid w:val="00AA030B"/>
    <w:rsid w:val="00AA0C3A"/>
    <w:rsid w:val="00AA1723"/>
    <w:rsid w:val="00AA190D"/>
    <w:rsid w:val="00AA1FDD"/>
    <w:rsid w:val="00AA22C3"/>
    <w:rsid w:val="00AA230D"/>
    <w:rsid w:val="00AA3615"/>
    <w:rsid w:val="00AA4941"/>
    <w:rsid w:val="00AA49E9"/>
    <w:rsid w:val="00AA5475"/>
    <w:rsid w:val="00AA5876"/>
    <w:rsid w:val="00AA5A19"/>
    <w:rsid w:val="00AA6756"/>
    <w:rsid w:val="00AA6A8A"/>
    <w:rsid w:val="00AA6DD8"/>
    <w:rsid w:val="00AA6FA3"/>
    <w:rsid w:val="00AA70BB"/>
    <w:rsid w:val="00AA757C"/>
    <w:rsid w:val="00AA7F10"/>
    <w:rsid w:val="00AB004D"/>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26C"/>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5DF2"/>
    <w:rsid w:val="00AD600C"/>
    <w:rsid w:val="00AD63D6"/>
    <w:rsid w:val="00AD6CD5"/>
    <w:rsid w:val="00AD733B"/>
    <w:rsid w:val="00AD7CA7"/>
    <w:rsid w:val="00AE0040"/>
    <w:rsid w:val="00AE097A"/>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BA3"/>
    <w:rsid w:val="00AF3E3B"/>
    <w:rsid w:val="00AF3E5A"/>
    <w:rsid w:val="00AF46FE"/>
    <w:rsid w:val="00AF486F"/>
    <w:rsid w:val="00AF548B"/>
    <w:rsid w:val="00AF55E0"/>
    <w:rsid w:val="00AF5666"/>
    <w:rsid w:val="00AF5870"/>
    <w:rsid w:val="00AF6264"/>
    <w:rsid w:val="00AF6619"/>
    <w:rsid w:val="00AF6CFD"/>
    <w:rsid w:val="00AF7DC1"/>
    <w:rsid w:val="00B000AE"/>
    <w:rsid w:val="00B0040B"/>
    <w:rsid w:val="00B00830"/>
    <w:rsid w:val="00B00AB5"/>
    <w:rsid w:val="00B00CC0"/>
    <w:rsid w:val="00B00F5C"/>
    <w:rsid w:val="00B0120E"/>
    <w:rsid w:val="00B019C1"/>
    <w:rsid w:val="00B0225A"/>
    <w:rsid w:val="00B0236E"/>
    <w:rsid w:val="00B02506"/>
    <w:rsid w:val="00B02ACE"/>
    <w:rsid w:val="00B03913"/>
    <w:rsid w:val="00B04CEA"/>
    <w:rsid w:val="00B05607"/>
    <w:rsid w:val="00B05A08"/>
    <w:rsid w:val="00B05F14"/>
    <w:rsid w:val="00B06737"/>
    <w:rsid w:val="00B0784C"/>
    <w:rsid w:val="00B07CE9"/>
    <w:rsid w:val="00B101D5"/>
    <w:rsid w:val="00B10363"/>
    <w:rsid w:val="00B10633"/>
    <w:rsid w:val="00B10B08"/>
    <w:rsid w:val="00B11A78"/>
    <w:rsid w:val="00B11CFB"/>
    <w:rsid w:val="00B12111"/>
    <w:rsid w:val="00B13E18"/>
    <w:rsid w:val="00B14109"/>
    <w:rsid w:val="00B14410"/>
    <w:rsid w:val="00B1462C"/>
    <w:rsid w:val="00B1486D"/>
    <w:rsid w:val="00B150D6"/>
    <w:rsid w:val="00B15373"/>
    <w:rsid w:val="00B15639"/>
    <w:rsid w:val="00B15D15"/>
    <w:rsid w:val="00B15E42"/>
    <w:rsid w:val="00B15EEE"/>
    <w:rsid w:val="00B16198"/>
    <w:rsid w:val="00B16A2C"/>
    <w:rsid w:val="00B16FB6"/>
    <w:rsid w:val="00B17022"/>
    <w:rsid w:val="00B212D2"/>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2730D"/>
    <w:rsid w:val="00B30243"/>
    <w:rsid w:val="00B30421"/>
    <w:rsid w:val="00B30DC8"/>
    <w:rsid w:val="00B315BB"/>
    <w:rsid w:val="00B31977"/>
    <w:rsid w:val="00B3235A"/>
    <w:rsid w:val="00B333FE"/>
    <w:rsid w:val="00B3382B"/>
    <w:rsid w:val="00B35094"/>
    <w:rsid w:val="00B350F0"/>
    <w:rsid w:val="00B357AC"/>
    <w:rsid w:val="00B35992"/>
    <w:rsid w:val="00B35E1A"/>
    <w:rsid w:val="00B35E4B"/>
    <w:rsid w:val="00B35FCC"/>
    <w:rsid w:val="00B3619E"/>
    <w:rsid w:val="00B36518"/>
    <w:rsid w:val="00B378CC"/>
    <w:rsid w:val="00B41615"/>
    <w:rsid w:val="00B41D70"/>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82A"/>
    <w:rsid w:val="00B55CED"/>
    <w:rsid w:val="00B55D57"/>
    <w:rsid w:val="00B55E9D"/>
    <w:rsid w:val="00B55F80"/>
    <w:rsid w:val="00B56480"/>
    <w:rsid w:val="00B565D6"/>
    <w:rsid w:val="00B56D98"/>
    <w:rsid w:val="00B576A4"/>
    <w:rsid w:val="00B57998"/>
    <w:rsid w:val="00B57CD0"/>
    <w:rsid w:val="00B57DA9"/>
    <w:rsid w:val="00B60177"/>
    <w:rsid w:val="00B60639"/>
    <w:rsid w:val="00B607AF"/>
    <w:rsid w:val="00B6308E"/>
    <w:rsid w:val="00B63D58"/>
    <w:rsid w:val="00B64E8A"/>
    <w:rsid w:val="00B65130"/>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2EAD"/>
    <w:rsid w:val="00B834B0"/>
    <w:rsid w:val="00B837F6"/>
    <w:rsid w:val="00B83DAE"/>
    <w:rsid w:val="00B84FB4"/>
    <w:rsid w:val="00B86F2A"/>
    <w:rsid w:val="00B8756E"/>
    <w:rsid w:val="00B87DF9"/>
    <w:rsid w:val="00B91951"/>
    <w:rsid w:val="00B91A58"/>
    <w:rsid w:val="00B91EAD"/>
    <w:rsid w:val="00B920B9"/>
    <w:rsid w:val="00B930D2"/>
    <w:rsid w:val="00B937CD"/>
    <w:rsid w:val="00B938BC"/>
    <w:rsid w:val="00B93997"/>
    <w:rsid w:val="00B93C98"/>
    <w:rsid w:val="00B94854"/>
    <w:rsid w:val="00B95B03"/>
    <w:rsid w:val="00B976BB"/>
    <w:rsid w:val="00BA01A7"/>
    <w:rsid w:val="00BA0224"/>
    <w:rsid w:val="00BA0478"/>
    <w:rsid w:val="00BA05C8"/>
    <w:rsid w:val="00BA09AA"/>
    <w:rsid w:val="00BA0AD5"/>
    <w:rsid w:val="00BA0CA0"/>
    <w:rsid w:val="00BA0E3C"/>
    <w:rsid w:val="00BA1891"/>
    <w:rsid w:val="00BA1F74"/>
    <w:rsid w:val="00BA1FE7"/>
    <w:rsid w:val="00BA23C6"/>
    <w:rsid w:val="00BA2684"/>
    <w:rsid w:val="00BA2B1D"/>
    <w:rsid w:val="00BA3D14"/>
    <w:rsid w:val="00BA435A"/>
    <w:rsid w:val="00BA54BA"/>
    <w:rsid w:val="00BA5603"/>
    <w:rsid w:val="00BA56D9"/>
    <w:rsid w:val="00BA6159"/>
    <w:rsid w:val="00BA6194"/>
    <w:rsid w:val="00BA62C6"/>
    <w:rsid w:val="00BA7EEE"/>
    <w:rsid w:val="00BB2008"/>
    <w:rsid w:val="00BB29DF"/>
    <w:rsid w:val="00BB2CFC"/>
    <w:rsid w:val="00BB34DC"/>
    <w:rsid w:val="00BB35D0"/>
    <w:rsid w:val="00BB3AC4"/>
    <w:rsid w:val="00BB4999"/>
    <w:rsid w:val="00BB4BCD"/>
    <w:rsid w:val="00BB525C"/>
    <w:rsid w:val="00BB52EB"/>
    <w:rsid w:val="00BB56C7"/>
    <w:rsid w:val="00BB5B62"/>
    <w:rsid w:val="00BB6502"/>
    <w:rsid w:val="00BB6BCD"/>
    <w:rsid w:val="00BB70F9"/>
    <w:rsid w:val="00BB7741"/>
    <w:rsid w:val="00BB7C9B"/>
    <w:rsid w:val="00BC1527"/>
    <w:rsid w:val="00BC2306"/>
    <w:rsid w:val="00BC2F31"/>
    <w:rsid w:val="00BC4036"/>
    <w:rsid w:val="00BC4F0A"/>
    <w:rsid w:val="00BC509F"/>
    <w:rsid w:val="00BC51D2"/>
    <w:rsid w:val="00BC64BE"/>
    <w:rsid w:val="00BC6F29"/>
    <w:rsid w:val="00BC7155"/>
    <w:rsid w:val="00BC7550"/>
    <w:rsid w:val="00BC75F7"/>
    <w:rsid w:val="00BD0B72"/>
    <w:rsid w:val="00BD110D"/>
    <w:rsid w:val="00BD2668"/>
    <w:rsid w:val="00BD3924"/>
    <w:rsid w:val="00BD450F"/>
    <w:rsid w:val="00BD4512"/>
    <w:rsid w:val="00BD52AA"/>
    <w:rsid w:val="00BE1061"/>
    <w:rsid w:val="00BE1321"/>
    <w:rsid w:val="00BE2893"/>
    <w:rsid w:val="00BE2EB4"/>
    <w:rsid w:val="00BE2F5A"/>
    <w:rsid w:val="00BE32B4"/>
    <w:rsid w:val="00BE37D3"/>
    <w:rsid w:val="00BE5172"/>
    <w:rsid w:val="00BE522A"/>
    <w:rsid w:val="00BE57B5"/>
    <w:rsid w:val="00BE5A4A"/>
    <w:rsid w:val="00BE7A7C"/>
    <w:rsid w:val="00BF0A44"/>
    <w:rsid w:val="00BF0CEC"/>
    <w:rsid w:val="00BF14D4"/>
    <w:rsid w:val="00BF1A44"/>
    <w:rsid w:val="00BF1EDF"/>
    <w:rsid w:val="00BF487A"/>
    <w:rsid w:val="00BF4D3D"/>
    <w:rsid w:val="00BF5747"/>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6DE4"/>
    <w:rsid w:val="00C07187"/>
    <w:rsid w:val="00C075C9"/>
    <w:rsid w:val="00C07FAD"/>
    <w:rsid w:val="00C106C4"/>
    <w:rsid w:val="00C111EA"/>
    <w:rsid w:val="00C119AD"/>
    <w:rsid w:val="00C1228D"/>
    <w:rsid w:val="00C12331"/>
    <w:rsid w:val="00C13FED"/>
    <w:rsid w:val="00C14E7D"/>
    <w:rsid w:val="00C15722"/>
    <w:rsid w:val="00C16897"/>
    <w:rsid w:val="00C200C9"/>
    <w:rsid w:val="00C218FD"/>
    <w:rsid w:val="00C21D8E"/>
    <w:rsid w:val="00C22525"/>
    <w:rsid w:val="00C23DBB"/>
    <w:rsid w:val="00C23EE4"/>
    <w:rsid w:val="00C23FE1"/>
    <w:rsid w:val="00C2410D"/>
    <w:rsid w:val="00C24BAF"/>
    <w:rsid w:val="00C25F8B"/>
    <w:rsid w:val="00C25FB5"/>
    <w:rsid w:val="00C265C0"/>
    <w:rsid w:val="00C26B9E"/>
    <w:rsid w:val="00C272EF"/>
    <w:rsid w:val="00C2732B"/>
    <w:rsid w:val="00C2753F"/>
    <w:rsid w:val="00C276A8"/>
    <w:rsid w:val="00C2774E"/>
    <w:rsid w:val="00C27975"/>
    <w:rsid w:val="00C300BC"/>
    <w:rsid w:val="00C318F7"/>
    <w:rsid w:val="00C319D2"/>
    <w:rsid w:val="00C31AD6"/>
    <w:rsid w:val="00C31F85"/>
    <w:rsid w:val="00C32534"/>
    <w:rsid w:val="00C326EE"/>
    <w:rsid w:val="00C32951"/>
    <w:rsid w:val="00C32C02"/>
    <w:rsid w:val="00C33235"/>
    <w:rsid w:val="00C33677"/>
    <w:rsid w:val="00C3389D"/>
    <w:rsid w:val="00C34137"/>
    <w:rsid w:val="00C3476B"/>
    <w:rsid w:val="00C35240"/>
    <w:rsid w:val="00C368B3"/>
    <w:rsid w:val="00C36F07"/>
    <w:rsid w:val="00C37214"/>
    <w:rsid w:val="00C372E8"/>
    <w:rsid w:val="00C409DC"/>
    <w:rsid w:val="00C40B1B"/>
    <w:rsid w:val="00C40E88"/>
    <w:rsid w:val="00C40F64"/>
    <w:rsid w:val="00C416A3"/>
    <w:rsid w:val="00C41785"/>
    <w:rsid w:val="00C41FC1"/>
    <w:rsid w:val="00C4288C"/>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0C2"/>
    <w:rsid w:val="00C56324"/>
    <w:rsid w:val="00C5653B"/>
    <w:rsid w:val="00C565A3"/>
    <w:rsid w:val="00C56A39"/>
    <w:rsid w:val="00C577F7"/>
    <w:rsid w:val="00C60667"/>
    <w:rsid w:val="00C61AB9"/>
    <w:rsid w:val="00C61F84"/>
    <w:rsid w:val="00C62FF7"/>
    <w:rsid w:val="00C63135"/>
    <w:rsid w:val="00C637DC"/>
    <w:rsid w:val="00C63EE8"/>
    <w:rsid w:val="00C6432E"/>
    <w:rsid w:val="00C65718"/>
    <w:rsid w:val="00C65C81"/>
    <w:rsid w:val="00C666DE"/>
    <w:rsid w:val="00C66772"/>
    <w:rsid w:val="00C66D16"/>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1DD"/>
    <w:rsid w:val="00C80920"/>
    <w:rsid w:val="00C80B03"/>
    <w:rsid w:val="00C8243F"/>
    <w:rsid w:val="00C8289B"/>
    <w:rsid w:val="00C82D54"/>
    <w:rsid w:val="00C82F3B"/>
    <w:rsid w:val="00C837C4"/>
    <w:rsid w:val="00C83829"/>
    <w:rsid w:val="00C83EDD"/>
    <w:rsid w:val="00C84BF1"/>
    <w:rsid w:val="00C84CA2"/>
    <w:rsid w:val="00C85375"/>
    <w:rsid w:val="00C85A36"/>
    <w:rsid w:val="00C85CD1"/>
    <w:rsid w:val="00C865A4"/>
    <w:rsid w:val="00C86C56"/>
    <w:rsid w:val="00C870D8"/>
    <w:rsid w:val="00C871AB"/>
    <w:rsid w:val="00C8773E"/>
    <w:rsid w:val="00C87EDA"/>
    <w:rsid w:val="00C90601"/>
    <w:rsid w:val="00C90D16"/>
    <w:rsid w:val="00C9116A"/>
    <w:rsid w:val="00C91987"/>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11CA"/>
    <w:rsid w:val="00CA1EF6"/>
    <w:rsid w:val="00CA283D"/>
    <w:rsid w:val="00CA29D1"/>
    <w:rsid w:val="00CA2DD6"/>
    <w:rsid w:val="00CA3247"/>
    <w:rsid w:val="00CA3752"/>
    <w:rsid w:val="00CA3999"/>
    <w:rsid w:val="00CA39C0"/>
    <w:rsid w:val="00CA5AD3"/>
    <w:rsid w:val="00CA62DD"/>
    <w:rsid w:val="00CA69BA"/>
    <w:rsid w:val="00CA7976"/>
    <w:rsid w:val="00CA7DE6"/>
    <w:rsid w:val="00CB0339"/>
    <w:rsid w:val="00CB110E"/>
    <w:rsid w:val="00CB11F8"/>
    <w:rsid w:val="00CB225B"/>
    <w:rsid w:val="00CB2EF5"/>
    <w:rsid w:val="00CB33E4"/>
    <w:rsid w:val="00CB3996"/>
    <w:rsid w:val="00CB4230"/>
    <w:rsid w:val="00CB431B"/>
    <w:rsid w:val="00CB4A14"/>
    <w:rsid w:val="00CB4A77"/>
    <w:rsid w:val="00CB4EA5"/>
    <w:rsid w:val="00CB4FE4"/>
    <w:rsid w:val="00CB557F"/>
    <w:rsid w:val="00CB592B"/>
    <w:rsid w:val="00CB5C5F"/>
    <w:rsid w:val="00CB600E"/>
    <w:rsid w:val="00CB65B8"/>
    <w:rsid w:val="00CB6CDF"/>
    <w:rsid w:val="00CB7264"/>
    <w:rsid w:val="00CB730F"/>
    <w:rsid w:val="00CB761C"/>
    <w:rsid w:val="00CB76B5"/>
    <w:rsid w:val="00CB7AD6"/>
    <w:rsid w:val="00CC0263"/>
    <w:rsid w:val="00CC0495"/>
    <w:rsid w:val="00CC110F"/>
    <w:rsid w:val="00CC11B8"/>
    <w:rsid w:val="00CC1AF9"/>
    <w:rsid w:val="00CC20E0"/>
    <w:rsid w:val="00CC230B"/>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3D48"/>
    <w:rsid w:val="00CD454A"/>
    <w:rsid w:val="00CD4F54"/>
    <w:rsid w:val="00CD4FFE"/>
    <w:rsid w:val="00CD57FA"/>
    <w:rsid w:val="00CD5A6E"/>
    <w:rsid w:val="00CD711F"/>
    <w:rsid w:val="00CD74A7"/>
    <w:rsid w:val="00CD79B2"/>
    <w:rsid w:val="00CE157C"/>
    <w:rsid w:val="00CE1AF6"/>
    <w:rsid w:val="00CE2298"/>
    <w:rsid w:val="00CE2678"/>
    <w:rsid w:val="00CE3064"/>
    <w:rsid w:val="00CE39E4"/>
    <w:rsid w:val="00CE4282"/>
    <w:rsid w:val="00CE54E1"/>
    <w:rsid w:val="00CE55B6"/>
    <w:rsid w:val="00CE5856"/>
    <w:rsid w:val="00CE5BDE"/>
    <w:rsid w:val="00CE6319"/>
    <w:rsid w:val="00CE6951"/>
    <w:rsid w:val="00CE6A6D"/>
    <w:rsid w:val="00CE774C"/>
    <w:rsid w:val="00CF012E"/>
    <w:rsid w:val="00CF04D4"/>
    <w:rsid w:val="00CF0B4C"/>
    <w:rsid w:val="00CF1680"/>
    <w:rsid w:val="00CF1BD7"/>
    <w:rsid w:val="00CF21A5"/>
    <w:rsid w:val="00CF24AB"/>
    <w:rsid w:val="00CF2518"/>
    <w:rsid w:val="00CF25DF"/>
    <w:rsid w:val="00CF2DDE"/>
    <w:rsid w:val="00CF344A"/>
    <w:rsid w:val="00CF3777"/>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4F67"/>
    <w:rsid w:val="00D15CB3"/>
    <w:rsid w:val="00D15F51"/>
    <w:rsid w:val="00D169F8"/>
    <w:rsid w:val="00D16ED5"/>
    <w:rsid w:val="00D202B1"/>
    <w:rsid w:val="00D20662"/>
    <w:rsid w:val="00D21291"/>
    <w:rsid w:val="00D21C8A"/>
    <w:rsid w:val="00D2297E"/>
    <w:rsid w:val="00D22DE5"/>
    <w:rsid w:val="00D233BD"/>
    <w:rsid w:val="00D233D7"/>
    <w:rsid w:val="00D23CBB"/>
    <w:rsid w:val="00D25806"/>
    <w:rsid w:val="00D25BE0"/>
    <w:rsid w:val="00D25E9D"/>
    <w:rsid w:val="00D25F1C"/>
    <w:rsid w:val="00D26DE6"/>
    <w:rsid w:val="00D26EE7"/>
    <w:rsid w:val="00D27B1E"/>
    <w:rsid w:val="00D30718"/>
    <w:rsid w:val="00D31960"/>
    <w:rsid w:val="00D31F98"/>
    <w:rsid w:val="00D322FB"/>
    <w:rsid w:val="00D32475"/>
    <w:rsid w:val="00D3295C"/>
    <w:rsid w:val="00D32EF4"/>
    <w:rsid w:val="00D330E5"/>
    <w:rsid w:val="00D332D5"/>
    <w:rsid w:val="00D33F81"/>
    <w:rsid w:val="00D34850"/>
    <w:rsid w:val="00D35060"/>
    <w:rsid w:val="00D369D4"/>
    <w:rsid w:val="00D36AD7"/>
    <w:rsid w:val="00D373E9"/>
    <w:rsid w:val="00D37C61"/>
    <w:rsid w:val="00D403FF"/>
    <w:rsid w:val="00D404C4"/>
    <w:rsid w:val="00D40C02"/>
    <w:rsid w:val="00D40CE9"/>
    <w:rsid w:val="00D42115"/>
    <w:rsid w:val="00D42EFD"/>
    <w:rsid w:val="00D457D1"/>
    <w:rsid w:val="00D458AA"/>
    <w:rsid w:val="00D45CC7"/>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3B6"/>
    <w:rsid w:val="00D6692A"/>
    <w:rsid w:val="00D66A55"/>
    <w:rsid w:val="00D66E55"/>
    <w:rsid w:val="00D674E9"/>
    <w:rsid w:val="00D6799A"/>
    <w:rsid w:val="00D67B3E"/>
    <w:rsid w:val="00D7009C"/>
    <w:rsid w:val="00D70F17"/>
    <w:rsid w:val="00D70FAC"/>
    <w:rsid w:val="00D712DA"/>
    <w:rsid w:val="00D713F4"/>
    <w:rsid w:val="00D719EF"/>
    <w:rsid w:val="00D72327"/>
    <w:rsid w:val="00D727E0"/>
    <w:rsid w:val="00D72B87"/>
    <w:rsid w:val="00D72C72"/>
    <w:rsid w:val="00D72D63"/>
    <w:rsid w:val="00D72F39"/>
    <w:rsid w:val="00D74160"/>
    <w:rsid w:val="00D755F8"/>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0A9"/>
    <w:rsid w:val="00D8323B"/>
    <w:rsid w:val="00D83489"/>
    <w:rsid w:val="00D83D13"/>
    <w:rsid w:val="00D841AC"/>
    <w:rsid w:val="00D84A0B"/>
    <w:rsid w:val="00D8589D"/>
    <w:rsid w:val="00D85A81"/>
    <w:rsid w:val="00D86466"/>
    <w:rsid w:val="00D86997"/>
    <w:rsid w:val="00D870E8"/>
    <w:rsid w:val="00D87423"/>
    <w:rsid w:val="00D87452"/>
    <w:rsid w:val="00D87485"/>
    <w:rsid w:val="00D90648"/>
    <w:rsid w:val="00D907CB"/>
    <w:rsid w:val="00D909B1"/>
    <w:rsid w:val="00D91BF2"/>
    <w:rsid w:val="00D93322"/>
    <w:rsid w:val="00D93C1C"/>
    <w:rsid w:val="00D94026"/>
    <w:rsid w:val="00D94120"/>
    <w:rsid w:val="00D951DD"/>
    <w:rsid w:val="00D952ED"/>
    <w:rsid w:val="00D957FA"/>
    <w:rsid w:val="00D96045"/>
    <w:rsid w:val="00D9664C"/>
    <w:rsid w:val="00D97404"/>
    <w:rsid w:val="00D975A3"/>
    <w:rsid w:val="00D979D0"/>
    <w:rsid w:val="00DA08CA"/>
    <w:rsid w:val="00DA0F37"/>
    <w:rsid w:val="00DA101A"/>
    <w:rsid w:val="00DA122C"/>
    <w:rsid w:val="00DA1A06"/>
    <w:rsid w:val="00DA2FD5"/>
    <w:rsid w:val="00DA44BF"/>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AEA"/>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6D5"/>
    <w:rsid w:val="00DC4D1D"/>
    <w:rsid w:val="00DC4D87"/>
    <w:rsid w:val="00DC54EB"/>
    <w:rsid w:val="00DC56F2"/>
    <w:rsid w:val="00DC580A"/>
    <w:rsid w:val="00DC5B50"/>
    <w:rsid w:val="00DC66BC"/>
    <w:rsid w:val="00DC727F"/>
    <w:rsid w:val="00DC7E78"/>
    <w:rsid w:val="00DD0493"/>
    <w:rsid w:val="00DD0924"/>
    <w:rsid w:val="00DD0CBF"/>
    <w:rsid w:val="00DD1071"/>
    <w:rsid w:val="00DD12FD"/>
    <w:rsid w:val="00DD1576"/>
    <w:rsid w:val="00DD1D3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2E5A"/>
    <w:rsid w:val="00DE30EF"/>
    <w:rsid w:val="00DE34EB"/>
    <w:rsid w:val="00DE3592"/>
    <w:rsid w:val="00DE3D00"/>
    <w:rsid w:val="00DE3E78"/>
    <w:rsid w:val="00DE41F8"/>
    <w:rsid w:val="00DE4B9D"/>
    <w:rsid w:val="00DE50EA"/>
    <w:rsid w:val="00DE545C"/>
    <w:rsid w:val="00DE5C9F"/>
    <w:rsid w:val="00DE6BC4"/>
    <w:rsid w:val="00DE734E"/>
    <w:rsid w:val="00DE7887"/>
    <w:rsid w:val="00DE7BF8"/>
    <w:rsid w:val="00DF0295"/>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7520"/>
    <w:rsid w:val="00E07F06"/>
    <w:rsid w:val="00E1024A"/>
    <w:rsid w:val="00E10B17"/>
    <w:rsid w:val="00E10B67"/>
    <w:rsid w:val="00E10EC8"/>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6C3"/>
    <w:rsid w:val="00E21ACA"/>
    <w:rsid w:val="00E22B80"/>
    <w:rsid w:val="00E22C0E"/>
    <w:rsid w:val="00E22CFF"/>
    <w:rsid w:val="00E231CD"/>
    <w:rsid w:val="00E231E1"/>
    <w:rsid w:val="00E23888"/>
    <w:rsid w:val="00E23979"/>
    <w:rsid w:val="00E23B9C"/>
    <w:rsid w:val="00E23CE3"/>
    <w:rsid w:val="00E23CF7"/>
    <w:rsid w:val="00E23E76"/>
    <w:rsid w:val="00E249DB"/>
    <w:rsid w:val="00E253A3"/>
    <w:rsid w:val="00E25402"/>
    <w:rsid w:val="00E25508"/>
    <w:rsid w:val="00E259B0"/>
    <w:rsid w:val="00E25AF8"/>
    <w:rsid w:val="00E26323"/>
    <w:rsid w:val="00E26AEC"/>
    <w:rsid w:val="00E2757B"/>
    <w:rsid w:val="00E276EE"/>
    <w:rsid w:val="00E2792D"/>
    <w:rsid w:val="00E30828"/>
    <w:rsid w:val="00E30B37"/>
    <w:rsid w:val="00E30D8E"/>
    <w:rsid w:val="00E3109C"/>
    <w:rsid w:val="00E311D1"/>
    <w:rsid w:val="00E31C2D"/>
    <w:rsid w:val="00E32432"/>
    <w:rsid w:val="00E3275A"/>
    <w:rsid w:val="00E33B1E"/>
    <w:rsid w:val="00E34277"/>
    <w:rsid w:val="00E3621B"/>
    <w:rsid w:val="00E36F43"/>
    <w:rsid w:val="00E37F0C"/>
    <w:rsid w:val="00E4058A"/>
    <w:rsid w:val="00E40ADF"/>
    <w:rsid w:val="00E418E3"/>
    <w:rsid w:val="00E423DE"/>
    <w:rsid w:val="00E42F07"/>
    <w:rsid w:val="00E4370F"/>
    <w:rsid w:val="00E43A14"/>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4F2B"/>
    <w:rsid w:val="00E65427"/>
    <w:rsid w:val="00E6543F"/>
    <w:rsid w:val="00E65CF2"/>
    <w:rsid w:val="00E661C0"/>
    <w:rsid w:val="00E663F5"/>
    <w:rsid w:val="00E66E97"/>
    <w:rsid w:val="00E679A7"/>
    <w:rsid w:val="00E7091F"/>
    <w:rsid w:val="00E70BD6"/>
    <w:rsid w:val="00E70DFA"/>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0BC2"/>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116F"/>
    <w:rsid w:val="00E922C4"/>
    <w:rsid w:val="00E92355"/>
    <w:rsid w:val="00E926D2"/>
    <w:rsid w:val="00E93156"/>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4D1"/>
    <w:rsid w:val="00EC1C3A"/>
    <w:rsid w:val="00EC1C87"/>
    <w:rsid w:val="00EC1F51"/>
    <w:rsid w:val="00EC1F58"/>
    <w:rsid w:val="00EC2470"/>
    <w:rsid w:val="00EC258E"/>
    <w:rsid w:val="00EC2B1D"/>
    <w:rsid w:val="00EC4233"/>
    <w:rsid w:val="00EC4544"/>
    <w:rsid w:val="00EC4A85"/>
    <w:rsid w:val="00EC55C0"/>
    <w:rsid w:val="00EC57B2"/>
    <w:rsid w:val="00EC58F4"/>
    <w:rsid w:val="00EC5F7D"/>
    <w:rsid w:val="00EC650B"/>
    <w:rsid w:val="00EC7808"/>
    <w:rsid w:val="00EC7BFA"/>
    <w:rsid w:val="00ED042E"/>
    <w:rsid w:val="00ED11B4"/>
    <w:rsid w:val="00ED1295"/>
    <w:rsid w:val="00ED1B8E"/>
    <w:rsid w:val="00ED2725"/>
    <w:rsid w:val="00ED34D1"/>
    <w:rsid w:val="00ED367F"/>
    <w:rsid w:val="00ED4206"/>
    <w:rsid w:val="00ED58A2"/>
    <w:rsid w:val="00ED58C3"/>
    <w:rsid w:val="00ED5C71"/>
    <w:rsid w:val="00ED5EEE"/>
    <w:rsid w:val="00ED5FDD"/>
    <w:rsid w:val="00ED667C"/>
    <w:rsid w:val="00ED6EE0"/>
    <w:rsid w:val="00ED74DB"/>
    <w:rsid w:val="00ED7966"/>
    <w:rsid w:val="00EE01CC"/>
    <w:rsid w:val="00EE04EE"/>
    <w:rsid w:val="00EE1160"/>
    <w:rsid w:val="00EE1760"/>
    <w:rsid w:val="00EE287D"/>
    <w:rsid w:val="00EE2DCE"/>
    <w:rsid w:val="00EE3B32"/>
    <w:rsid w:val="00EE3C56"/>
    <w:rsid w:val="00EE3CFF"/>
    <w:rsid w:val="00EE3F39"/>
    <w:rsid w:val="00EE414C"/>
    <w:rsid w:val="00EE44FE"/>
    <w:rsid w:val="00EE5406"/>
    <w:rsid w:val="00EE5EF8"/>
    <w:rsid w:val="00EE6964"/>
    <w:rsid w:val="00EE6A1D"/>
    <w:rsid w:val="00EE6D18"/>
    <w:rsid w:val="00EE7E7A"/>
    <w:rsid w:val="00EF1230"/>
    <w:rsid w:val="00EF1444"/>
    <w:rsid w:val="00EF1681"/>
    <w:rsid w:val="00EF1C9F"/>
    <w:rsid w:val="00EF223B"/>
    <w:rsid w:val="00EF29DE"/>
    <w:rsid w:val="00EF3978"/>
    <w:rsid w:val="00EF3AAC"/>
    <w:rsid w:val="00EF4D42"/>
    <w:rsid w:val="00EF4FD1"/>
    <w:rsid w:val="00EF5318"/>
    <w:rsid w:val="00EF6100"/>
    <w:rsid w:val="00EF685F"/>
    <w:rsid w:val="00EF6CB3"/>
    <w:rsid w:val="00EF708A"/>
    <w:rsid w:val="00EF72C3"/>
    <w:rsid w:val="00EF79CE"/>
    <w:rsid w:val="00F00152"/>
    <w:rsid w:val="00F00352"/>
    <w:rsid w:val="00F00A07"/>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691"/>
    <w:rsid w:val="00F2480A"/>
    <w:rsid w:val="00F24891"/>
    <w:rsid w:val="00F24B9F"/>
    <w:rsid w:val="00F24CA6"/>
    <w:rsid w:val="00F256AE"/>
    <w:rsid w:val="00F25773"/>
    <w:rsid w:val="00F257FA"/>
    <w:rsid w:val="00F26004"/>
    <w:rsid w:val="00F2616C"/>
    <w:rsid w:val="00F267D5"/>
    <w:rsid w:val="00F270E8"/>
    <w:rsid w:val="00F27E5C"/>
    <w:rsid w:val="00F27EF5"/>
    <w:rsid w:val="00F27FDB"/>
    <w:rsid w:val="00F30251"/>
    <w:rsid w:val="00F305CC"/>
    <w:rsid w:val="00F3179A"/>
    <w:rsid w:val="00F317C7"/>
    <w:rsid w:val="00F31D54"/>
    <w:rsid w:val="00F32357"/>
    <w:rsid w:val="00F32C70"/>
    <w:rsid w:val="00F34386"/>
    <w:rsid w:val="00F34E02"/>
    <w:rsid w:val="00F3549E"/>
    <w:rsid w:val="00F35F30"/>
    <w:rsid w:val="00F365A7"/>
    <w:rsid w:val="00F3681C"/>
    <w:rsid w:val="00F36C86"/>
    <w:rsid w:val="00F3769D"/>
    <w:rsid w:val="00F404F4"/>
    <w:rsid w:val="00F4143E"/>
    <w:rsid w:val="00F41CC5"/>
    <w:rsid w:val="00F41D25"/>
    <w:rsid w:val="00F42307"/>
    <w:rsid w:val="00F423C2"/>
    <w:rsid w:val="00F433F8"/>
    <w:rsid w:val="00F433FE"/>
    <w:rsid w:val="00F435CE"/>
    <w:rsid w:val="00F43627"/>
    <w:rsid w:val="00F43781"/>
    <w:rsid w:val="00F4463C"/>
    <w:rsid w:val="00F471BB"/>
    <w:rsid w:val="00F473A5"/>
    <w:rsid w:val="00F473F3"/>
    <w:rsid w:val="00F474B8"/>
    <w:rsid w:val="00F478CA"/>
    <w:rsid w:val="00F47CE2"/>
    <w:rsid w:val="00F501F3"/>
    <w:rsid w:val="00F50A98"/>
    <w:rsid w:val="00F50E5F"/>
    <w:rsid w:val="00F51460"/>
    <w:rsid w:val="00F51667"/>
    <w:rsid w:val="00F521DC"/>
    <w:rsid w:val="00F52D35"/>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252"/>
    <w:rsid w:val="00F70B72"/>
    <w:rsid w:val="00F70DEF"/>
    <w:rsid w:val="00F70EA3"/>
    <w:rsid w:val="00F71398"/>
    <w:rsid w:val="00F7294C"/>
    <w:rsid w:val="00F72C5F"/>
    <w:rsid w:val="00F7354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53C"/>
    <w:rsid w:val="00F85FF5"/>
    <w:rsid w:val="00F8605C"/>
    <w:rsid w:val="00F86BB4"/>
    <w:rsid w:val="00F870F5"/>
    <w:rsid w:val="00F902D2"/>
    <w:rsid w:val="00F908D2"/>
    <w:rsid w:val="00F90B12"/>
    <w:rsid w:val="00F90CBD"/>
    <w:rsid w:val="00F9109E"/>
    <w:rsid w:val="00F9177E"/>
    <w:rsid w:val="00F91E4F"/>
    <w:rsid w:val="00F91FDF"/>
    <w:rsid w:val="00F92AA1"/>
    <w:rsid w:val="00F92DF9"/>
    <w:rsid w:val="00F92FDC"/>
    <w:rsid w:val="00F931D2"/>
    <w:rsid w:val="00F9337D"/>
    <w:rsid w:val="00F93431"/>
    <w:rsid w:val="00F93A4A"/>
    <w:rsid w:val="00F93D27"/>
    <w:rsid w:val="00F95674"/>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315"/>
    <w:rsid w:val="00FA6980"/>
    <w:rsid w:val="00FA6CDF"/>
    <w:rsid w:val="00FA7192"/>
    <w:rsid w:val="00FA7699"/>
    <w:rsid w:val="00FA7BB5"/>
    <w:rsid w:val="00FA7C85"/>
    <w:rsid w:val="00FB12D8"/>
    <w:rsid w:val="00FB156C"/>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1B04"/>
    <w:rsid w:val="00FC2198"/>
    <w:rsid w:val="00FC25AB"/>
    <w:rsid w:val="00FC26A4"/>
    <w:rsid w:val="00FC2C93"/>
    <w:rsid w:val="00FC3064"/>
    <w:rsid w:val="00FC325A"/>
    <w:rsid w:val="00FC33ED"/>
    <w:rsid w:val="00FC3B9A"/>
    <w:rsid w:val="00FC43AD"/>
    <w:rsid w:val="00FC5876"/>
    <w:rsid w:val="00FC5A97"/>
    <w:rsid w:val="00FC62F5"/>
    <w:rsid w:val="00FC731E"/>
    <w:rsid w:val="00FD035A"/>
    <w:rsid w:val="00FD19F1"/>
    <w:rsid w:val="00FD1A7E"/>
    <w:rsid w:val="00FD2CC3"/>
    <w:rsid w:val="00FD31BF"/>
    <w:rsid w:val="00FD3CC7"/>
    <w:rsid w:val="00FD4148"/>
    <w:rsid w:val="00FD4D5B"/>
    <w:rsid w:val="00FD6453"/>
    <w:rsid w:val="00FD67FD"/>
    <w:rsid w:val="00FD79E8"/>
    <w:rsid w:val="00FD7CB2"/>
    <w:rsid w:val="00FD7D46"/>
    <w:rsid w:val="00FD7D8B"/>
    <w:rsid w:val="00FE0491"/>
    <w:rsid w:val="00FE0AF2"/>
    <w:rsid w:val="00FE1C47"/>
    <w:rsid w:val="00FE22DD"/>
    <w:rsid w:val="00FE2CFB"/>
    <w:rsid w:val="00FE4920"/>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AA5"/>
    <w:rsid w:val="00FF4B07"/>
    <w:rsid w:val="00FF4BFC"/>
    <w:rsid w:val="00FF4C11"/>
    <w:rsid w:val="00FF4D6A"/>
    <w:rsid w:val="00FF56B9"/>
    <w:rsid w:val="00FF57E8"/>
    <w:rsid w:val="00FF58C0"/>
    <w:rsid w:val="00FF5948"/>
    <w:rsid w:val="00FF6B71"/>
    <w:rsid w:val="00FF6EDF"/>
    <w:rsid w:val="00FF6EEA"/>
    <w:rsid w:val="00FF77DF"/>
    <w:rsid w:val="00FF7ABB"/>
    <w:rsid w:val="00FF7B99"/>
    <w:rsid w:val="0209CD67"/>
    <w:rsid w:val="0211D7FD"/>
    <w:rsid w:val="027FE53B"/>
    <w:rsid w:val="02919F23"/>
    <w:rsid w:val="029FE035"/>
    <w:rsid w:val="02BFB6FB"/>
    <w:rsid w:val="03AF911E"/>
    <w:rsid w:val="03B22279"/>
    <w:rsid w:val="04261636"/>
    <w:rsid w:val="047A0525"/>
    <w:rsid w:val="049DAA34"/>
    <w:rsid w:val="04B1BBFA"/>
    <w:rsid w:val="053BB12C"/>
    <w:rsid w:val="072B5E57"/>
    <w:rsid w:val="077016DC"/>
    <w:rsid w:val="079A43AD"/>
    <w:rsid w:val="082AD5E4"/>
    <w:rsid w:val="083BAD45"/>
    <w:rsid w:val="089E46D3"/>
    <w:rsid w:val="096AE34E"/>
    <w:rsid w:val="097E62E8"/>
    <w:rsid w:val="0A25C822"/>
    <w:rsid w:val="0B1DC359"/>
    <w:rsid w:val="0B6C73AC"/>
    <w:rsid w:val="0B991A19"/>
    <w:rsid w:val="0BAA69C2"/>
    <w:rsid w:val="0C1825BD"/>
    <w:rsid w:val="0C40ABE5"/>
    <w:rsid w:val="0D30E418"/>
    <w:rsid w:val="0E25A004"/>
    <w:rsid w:val="0E70A0B2"/>
    <w:rsid w:val="0ECFA953"/>
    <w:rsid w:val="0EDD3CDD"/>
    <w:rsid w:val="0F37576E"/>
    <w:rsid w:val="0FB25492"/>
    <w:rsid w:val="0FD5BA10"/>
    <w:rsid w:val="10B43EC2"/>
    <w:rsid w:val="10CFBCD9"/>
    <w:rsid w:val="10F416C1"/>
    <w:rsid w:val="1146C152"/>
    <w:rsid w:val="117020B9"/>
    <w:rsid w:val="1191B091"/>
    <w:rsid w:val="122FA23B"/>
    <w:rsid w:val="1249F401"/>
    <w:rsid w:val="12865E2A"/>
    <w:rsid w:val="12D6C708"/>
    <w:rsid w:val="13CC22E2"/>
    <w:rsid w:val="150074BA"/>
    <w:rsid w:val="16812761"/>
    <w:rsid w:val="16C797B0"/>
    <w:rsid w:val="16C9C87F"/>
    <w:rsid w:val="170CC632"/>
    <w:rsid w:val="187BABD9"/>
    <w:rsid w:val="194D7946"/>
    <w:rsid w:val="19A1DAA6"/>
    <w:rsid w:val="1A2A7BC6"/>
    <w:rsid w:val="1A7C807F"/>
    <w:rsid w:val="1AAE7533"/>
    <w:rsid w:val="1AB25455"/>
    <w:rsid w:val="1ACDBE05"/>
    <w:rsid w:val="1AF8DC01"/>
    <w:rsid w:val="1B15F638"/>
    <w:rsid w:val="1B1B3D1B"/>
    <w:rsid w:val="1BCFA4DD"/>
    <w:rsid w:val="1BF1FC61"/>
    <w:rsid w:val="1CCC6FEF"/>
    <w:rsid w:val="1DDA4A65"/>
    <w:rsid w:val="1E2B9D28"/>
    <w:rsid w:val="1E5DBC23"/>
    <w:rsid w:val="1F767D5C"/>
    <w:rsid w:val="1F9F6275"/>
    <w:rsid w:val="1FC0B8B7"/>
    <w:rsid w:val="21397609"/>
    <w:rsid w:val="21B0D13B"/>
    <w:rsid w:val="2202D696"/>
    <w:rsid w:val="2218F6C9"/>
    <w:rsid w:val="2228A89B"/>
    <w:rsid w:val="22A7A749"/>
    <w:rsid w:val="22C78B09"/>
    <w:rsid w:val="22F1DFAF"/>
    <w:rsid w:val="23907FF0"/>
    <w:rsid w:val="25B1288F"/>
    <w:rsid w:val="25C8F2A9"/>
    <w:rsid w:val="25F3A2B8"/>
    <w:rsid w:val="270224E0"/>
    <w:rsid w:val="27572F69"/>
    <w:rsid w:val="2770C14F"/>
    <w:rsid w:val="279F9BFF"/>
    <w:rsid w:val="27FD9BF3"/>
    <w:rsid w:val="288152DE"/>
    <w:rsid w:val="28BB3089"/>
    <w:rsid w:val="28D08CBF"/>
    <w:rsid w:val="28FF96FB"/>
    <w:rsid w:val="292BBDAA"/>
    <w:rsid w:val="292C0096"/>
    <w:rsid w:val="2A313DB5"/>
    <w:rsid w:val="2B65F7D8"/>
    <w:rsid w:val="2BAF4377"/>
    <w:rsid w:val="2BC63B99"/>
    <w:rsid w:val="2BD760E4"/>
    <w:rsid w:val="2C369689"/>
    <w:rsid w:val="2DDFCB52"/>
    <w:rsid w:val="2E86A9BE"/>
    <w:rsid w:val="2EE0E4B7"/>
    <w:rsid w:val="3028D267"/>
    <w:rsid w:val="3163A265"/>
    <w:rsid w:val="346CBC0B"/>
    <w:rsid w:val="35035516"/>
    <w:rsid w:val="35935C24"/>
    <w:rsid w:val="3616A957"/>
    <w:rsid w:val="36553D44"/>
    <w:rsid w:val="36CC1D4F"/>
    <w:rsid w:val="37B36B20"/>
    <w:rsid w:val="382676A5"/>
    <w:rsid w:val="385D457C"/>
    <w:rsid w:val="3892491F"/>
    <w:rsid w:val="3A0FB9BA"/>
    <w:rsid w:val="3A11F8AC"/>
    <w:rsid w:val="3A8512AE"/>
    <w:rsid w:val="3B2CCE97"/>
    <w:rsid w:val="3B99C801"/>
    <w:rsid w:val="3BD5FE44"/>
    <w:rsid w:val="3BF7EA69"/>
    <w:rsid w:val="3C165B0A"/>
    <w:rsid w:val="3D22C851"/>
    <w:rsid w:val="3D34A3E0"/>
    <w:rsid w:val="3D859682"/>
    <w:rsid w:val="3DD4D050"/>
    <w:rsid w:val="3E138D00"/>
    <w:rsid w:val="3E6B6395"/>
    <w:rsid w:val="3ED69ABD"/>
    <w:rsid w:val="408F8DC0"/>
    <w:rsid w:val="40922D11"/>
    <w:rsid w:val="4123C62F"/>
    <w:rsid w:val="41582848"/>
    <w:rsid w:val="41AECA01"/>
    <w:rsid w:val="424768EB"/>
    <w:rsid w:val="43AE0FDB"/>
    <w:rsid w:val="44045EC6"/>
    <w:rsid w:val="4450FB3C"/>
    <w:rsid w:val="451C8589"/>
    <w:rsid w:val="452FC168"/>
    <w:rsid w:val="46BF4CBB"/>
    <w:rsid w:val="47144E26"/>
    <w:rsid w:val="471453DD"/>
    <w:rsid w:val="47172E7E"/>
    <w:rsid w:val="47365F9D"/>
    <w:rsid w:val="479A9EAF"/>
    <w:rsid w:val="47B42950"/>
    <w:rsid w:val="485633A3"/>
    <w:rsid w:val="48B092B6"/>
    <w:rsid w:val="49B67721"/>
    <w:rsid w:val="4A222306"/>
    <w:rsid w:val="4B01B994"/>
    <w:rsid w:val="4B447100"/>
    <w:rsid w:val="4BB3227B"/>
    <w:rsid w:val="4CEB33B0"/>
    <w:rsid w:val="4D6B338E"/>
    <w:rsid w:val="4DEB4F2C"/>
    <w:rsid w:val="4E15899E"/>
    <w:rsid w:val="4EC92166"/>
    <w:rsid w:val="4F1B6FDB"/>
    <w:rsid w:val="4F4E8EC4"/>
    <w:rsid w:val="4FE60A34"/>
    <w:rsid w:val="4FE90245"/>
    <w:rsid w:val="504CD527"/>
    <w:rsid w:val="5116FCAD"/>
    <w:rsid w:val="51AAFF4D"/>
    <w:rsid w:val="51AC8FCB"/>
    <w:rsid w:val="51C62162"/>
    <w:rsid w:val="52544D9D"/>
    <w:rsid w:val="5338C8E0"/>
    <w:rsid w:val="53909BF2"/>
    <w:rsid w:val="53B4F31D"/>
    <w:rsid w:val="540582B8"/>
    <w:rsid w:val="547C976C"/>
    <w:rsid w:val="548EE341"/>
    <w:rsid w:val="5501B5F2"/>
    <w:rsid w:val="561B7E74"/>
    <w:rsid w:val="563D751B"/>
    <w:rsid w:val="564DC73F"/>
    <w:rsid w:val="5662BD73"/>
    <w:rsid w:val="56786C55"/>
    <w:rsid w:val="583E6D51"/>
    <w:rsid w:val="58BA6D7F"/>
    <w:rsid w:val="5B9DCB31"/>
    <w:rsid w:val="5BB88E7D"/>
    <w:rsid w:val="5CB12F49"/>
    <w:rsid w:val="5D7D6035"/>
    <w:rsid w:val="5E5BB169"/>
    <w:rsid w:val="5E8E6D04"/>
    <w:rsid w:val="5F2FD175"/>
    <w:rsid w:val="5FE11BD9"/>
    <w:rsid w:val="5FF201DA"/>
    <w:rsid w:val="603A8080"/>
    <w:rsid w:val="606FAE65"/>
    <w:rsid w:val="60A60F01"/>
    <w:rsid w:val="60B8C0AC"/>
    <w:rsid w:val="6127FBFC"/>
    <w:rsid w:val="61A56A60"/>
    <w:rsid w:val="629D60B8"/>
    <w:rsid w:val="62B6F6C3"/>
    <w:rsid w:val="63AD3CF6"/>
    <w:rsid w:val="63E72881"/>
    <w:rsid w:val="64B12FD6"/>
    <w:rsid w:val="64F6F43E"/>
    <w:rsid w:val="65685D0D"/>
    <w:rsid w:val="65C45BB2"/>
    <w:rsid w:val="65DEEF77"/>
    <w:rsid w:val="65F9FA01"/>
    <w:rsid w:val="66394D09"/>
    <w:rsid w:val="6711C071"/>
    <w:rsid w:val="67CEDC6A"/>
    <w:rsid w:val="68CD1BE4"/>
    <w:rsid w:val="694A37F7"/>
    <w:rsid w:val="699673D4"/>
    <w:rsid w:val="69E50EDE"/>
    <w:rsid w:val="6A0175D0"/>
    <w:rsid w:val="6A0E6173"/>
    <w:rsid w:val="6AC3F8E6"/>
    <w:rsid w:val="6AF8E52A"/>
    <w:rsid w:val="6C826D6F"/>
    <w:rsid w:val="6CE15B92"/>
    <w:rsid w:val="6CFC04F7"/>
    <w:rsid w:val="6E0CB32E"/>
    <w:rsid w:val="6EAEA306"/>
    <w:rsid w:val="6F4FDAAA"/>
    <w:rsid w:val="7120EC78"/>
    <w:rsid w:val="725C0384"/>
    <w:rsid w:val="725EAC83"/>
    <w:rsid w:val="729E6589"/>
    <w:rsid w:val="73C55465"/>
    <w:rsid w:val="73D6154E"/>
    <w:rsid w:val="73E3D459"/>
    <w:rsid w:val="762960C5"/>
    <w:rsid w:val="763B803C"/>
    <w:rsid w:val="76D493C1"/>
    <w:rsid w:val="7704E076"/>
    <w:rsid w:val="77DB5AD0"/>
    <w:rsid w:val="780CF850"/>
    <w:rsid w:val="78748116"/>
    <w:rsid w:val="788E1171"/>
    <w:rsid w:val="7A704FF2"/>
    <w:rsid w:val="7AE4F39D"/>
    <w:rsid w:val="7BB9D8AF"/>
    <w:rsid w:val="7BE800F0"/>
    <w:rsid w:val="7E41A8DE"/>
    <w:rsid w:val="7EACE9FB"/>
    <w:rsid w:val="7F1EB0D7"/>
    <w:rsid w:val="7F3265EC"/>
    <w:rsid w:val="7F847E3A"/>
    <w:rsid w:val="7FDDF54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F071AF"/>
  <w14:defaultImageDpi w14:val="330"/>
  <w15:docId w15:val="{F101FD23-A51C-4D69-919C-42F7BF5DD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uiPriority w:val="1"/>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table" w:styleId="GridTable2-Accent4">
    <w:name w:val="Grid Table 2 Accent 4"/>
    <w:basedOn w:val="TableNormal"/>
    <w:uiPriority w:val="99"/>
    <w:rsid w:val="00AA6756"/>
    <w:pPr>
      <w:spacing w:after="0" w:line="240" w:lineRule="auto"/>
    </w:pPr>
    <w:rPr>
      <w:lang w:val="en-US"/>
    </w:rPr>
    <w:tblPr>
      <w:tblStyleRowBandSize w:val="1"/>
      <w:tblStyleColBandSize w:val="1"/>
      <w:tblBorders>
        <w:bottom w:val="single" w:sz="4" w:space="0" w:color="6BD4C2" w:themeColor="accent4" w:themeTint="9A"/>
        <w:insideH w:val="single" w:sz="4" w:space="0" w:color="6BD4C2" w:themeColor="accent4" w:themeTint="9A"/>
        <w:insideV w:val="single" w:sz="4" w:space="0" w:color="6BD4C2" w:themeColor="accent4" w:themeTint="9A"/>
      </w:tblBorders>
    </w:tblPr>
    <w:tblStylePr w:type="firstRow">
      <w:rPr>
        <w:b/>
        <w:color w:val="404040"/>
      </w:rPr>
      <w:tblPr/>
      <w:tcPr>
        <w:tcBorders>
          <w:top w:val="none" w:sz="4" w:space="0" w:color="000000"/>
          <w:left w:val="none" w:sz="4" w:space="0" w:color="000000"/>
          <w:bottom w:val="single" w:sz="12" w:space="0" w:color="6BD4C2" w:themeColor="accent4" w:themeTint="9A"/>
          <w:right w:val="none" w:sz="4" w:space="0" w:color="000000"/>
        </w:tcBorders>
        <w:shd w:val="clear" w:color="FFFFFF" w:fill="auto"/>
      </w:tcPr>
    </w:tblStylePr>
    <w:tblStylePr w:type="lastRow">
      <w:rPr>
        <w:b/>
        <w:color w:val="404040"/>
      </w:rPr>
      <w:tblPr/>
      <w:tcPr>
        <w:tcBorders>
          <w:top w:val="single" w:sz="4" w:space="0" w:color="6BD4C2"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F0EA" w:themeColor="accent4" w:themeTint="34" w:fill="CDF0EA" w:themeFill="accent4" w:themeFillTint="34"/>
      </w:tcPr>
    </w:tblStylePr>
    <w:tblStylePr w:type="band1Horz">
      <w:rPr>
        <w:rFonts w:ascii="Arial" w:hAnsi="Arial"/>
        <w:color w:val="404040"/>
        <w:sz w:val="22"/>
      </w:rPr>
      <w:tblPr/>
      <w:tcPr>
        <w:shd w:val="clear" w:color="CDF0EA" w:themeColor="accent4" w:themeTint="34" w:fill="CDF0EA" w:themeFill="accent4" w:themeFillTint="34"/>
      </w:tcPr>
    </w:tblStylePr>
  </w:style>
  <w:style w:type="character" w:customStyle="1" w:styleId="normaltextrun">
    <w:name w:val="normaltextrun"/>
    <w:basedOn w:val="DefaultParagraphFont"/>
    <w:rsid w:val="3ED69ABD"/>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97897403">
      <w:bodyDiv w:val="1"/>
      <w:marLeft w:val="0"/>
      <w:marRight w:val="0"/>
      <w:marTop w:val="0"/>
      <w:marBottom w:val="0"/>
      <w:divBdr>
        <w:top w:val="none" w:sz="0" w:space="0" w:color="auto"/>
        <w:left w:val="none" w:sz="0" w:space="0" w:color="auto"/>
        <w:bottom w:val="none" w:sz="0" w:space="0" w:color="auto"/>
        <w:right w:val="none" w:sz="0" w:space="0" w:color="auto"/>
      </w:divBdr>
    </w:div>
    <w:div w:id="851721783">
      <w:bodyDiv w:val="1"/>
      <w:marLeft w:val="0"/>
      <w:marRight w:val="0"/>
      <w:marTop w:val="0"/>
      <w:marBottom w:val="0"/>
      <w:divBdr>
        <w:top w:val="none" w:sz="0" w:space="0" w:color="auto"/>
        <w:left w:val="none" w:sz="0" w:space="0" w:color="auto"/>
        <w:bottom w:val="none" w:sz="0" w:space="0" w:color="auto"/>
        <w:right w:val="none" w:sz="0" w:space="0" w:color="auto"/>
      </w:divBdr>
    </w:div>
    <w:div w:id="133372512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5679056">
      <w:bodyDiv w:val="1"/>
      <w:marLeft w:val="0"/>
      <w:marRight w:val="0"/>
      <w:marTop w:val="0"/>
      <w:marBottom w:val="0"/>
      <w:divBdr>
        <w:top w:val="none" w:sz="0" w:space="0" w:color="auto"/>
        <w:left w:val="none" w:sz="0" w:space="0" w:color="auto"/>
        <w:bottom w:val="none" w:sz="0" w:space="0" w:color="auto"/>
        <w:right w:val="none" w:sz="0" w:space="0" w:color="auto"/>
      </w:divBdr>
    </w:div>
    <w:div w:id="187650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nvironment.govt.nz"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jpg"/><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Freshwater/RIT-draft-implementation-guide.pdf" TargetMode="External"/><Relationship Id="rId2" Type="http://schemas.openxmlformats.org/officeDocument/2006/relationships/hyperlink" Target="https://environment.govt.nz/assets/publications/Freshwater/Developing-adapting-and-applying-environmental-models-in-a-regulatory-context-in-New-Zealand.pdf" TargetMode="External"/><Relationship Id="rId1" Type="http://schemas.openxmlformats.org/officeDocument/2006/relationships/hyperlink" Target="https://environment.govt.nz/assets/publications/Freshwater/RIT-draft-implementation-guid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ECM-1122293896-126356</_dlc_DocId>
    <_dlc_DocIdUrl xmlns="58a6f171-52cb-4404-b47d-af1c8daf8fd1">
      <Url>https://ministryforenvironment.sharepoint.com/sites/ECM-ER-Comms/_layouts/15/DocIdRedir.aspx?ID=ECM-1122293896-126356</Url>
      <Description>ECM-1122293896-126356</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3.xml><?xml version="1.0" encoding="utf-8"?>
<ds:datastoreItem xmlns:ds="http://schemas.openxmlformats.org/officeDocument/2006/customXml" ds:itemID="{D1DAAC70-F2DB-49C3-8E47-EB4644219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4D0CDAC4-0417-4665-BFBD-38D6177B7A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54</TotalTime>
  <Pages>21</Pages>
  <Words>4488</Words>
  <Characters>25582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Stirling</dc:creator>
  <cp:keywords/>
  <cp:lastModifiedBy>Dee Warring</cp:lastModifiedBy>
  <cp:revision>4</cp:revision>
  <cp:lastPrinted>2025-08-26T04:04:00Z</cp:lastPrinted>
  <dcterms:created xsi:type="dcterms:W3CDTF">2025-08-25T00:46:00Z</dcterms:created>
  <dcterms:modified xsi:type="dcterms:W3CDTF">2025-08-26T05:11:00Z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dd100260-9620-4af1-954e-29e88c0470f0</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