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4963D" w14:textId="0EAE4919" w:rsidR="0003640E" w:rsidRPr="006B77BB" w:rsidRDefault="001E0D30" w:rsidP="0003640E">
      <w:pPr>
        <w:pStyle w:val="BodyText"/>
      </w:pPr>
      <w:r>
        <w:rPr>
          <w:noProof/>
        </w:rPr>
        <mc:AlternateContent>
          <mc:Choice Requires="wps">
            <w:drawing>
              <wp:anchor distT="45720" distB="45720" distL="114300" distR="114300" simplePos="0" relativeHeight="251661312" behindDoc="0" locked="0" layoutInCell="1" allowOverlap="1" wp14:anchorId="4F36F310" wp14:editId="05275235">
                <wp:simplePos x="0" y="0"/>
                <wp:positionH relativeFrom="column">
                  <wp:posOffset>-632460</wp:posOffset>
                </wp:positionH>
                <wp:positionV relativeFrom="page">
                  <wp:posOffset>7753350</wp:posOffset>
                </wp:positionV>
                <wp:extent cx="6038850" cy="1061085"/>
                <wp:effectExtent l="0" t="0" r="0" b="0"/>
                <wp:wrapNone/>
                <wp:docPr id="15972847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061085"/>
                        </a:xfrm>
                        <a:prstGeom prst="rect">
                          <a:avLst/>
                        </a:prstGeom>
                        <a:noFill/>
                        <a:ln w="9525">
                          <a:noFill/>
                          <a:miter lim="800000"/>
                          <a:headEnd/>
                          <a:tailEnd/>
                        </a:ln>
                      </wps:spPr>
                      <wps:txbx>
                        <w:txbxContent>
                          <w:p w14:paraId="4B0F1558" w14:textId="300BDF54" w:rsidR="001E0D30" w:rsidRPr="00B550B7" w:rsidRDefault="00FD7EE4" w:rsidP="001E0D30">
                            <w:pPr>
                              <w:jc w:val="left"/>
                              <w:rPr>
                                <w:rFonts w:ascii="Georgia" w:hAnsi="Georgia"/>
                                <w:color w:val="FFFFFF" w:themeColor="background1"/>
                                <w:sz w:val="36"/>
                                <w:szCs w:val="36"/>
                              </w:rPr>
                            </w:pPr>
                            <w:r w:rsidRPr="00B550B7">
                              <w:rPr>
                                <w:rFonts w:ascii="Georgia" w:hAnsi="Georgia"/>
                                <w:color w:val="FFFFFF" w:themeColor="background1"/>
                                <w:sz w:val="36"/>
                                <w:szCs w:val="36"/>
                              </w:rPr>
                              <w:t xml:space="preserve">Waitangi Tribunal </w:t>
                            </w:r>
                            <w:r w:rsidRPr="00B550B7">
                              <w:rPr>
                                <w:rFonts w:ascii="Georgia" w:hAnsi="Georgia"/>
                                <w:i/>
                                <w:iCs/>
                                <w:color w:val="FFFFFF" w:themeColor="background1"/>
                                <w:sz w:val="36"/>
                                <w:szCs w:val="36"/>
                              </w:rPr>
                              <w:t>National Fresh Water</w:t>
                            </w:r>
                            <w:r w:rsidRPr="00B550B7">
                              <w:rPr>
                                <w:rFonts w:ascii="Georgia" w:hAnsi="Georgia"/>
                                <w:color w:val="FFFFFF" w:themeColor="background1"/>
                                <w:sz w:val="36"/>
                                <w:szCs w:val="36"/>
                              </w:rPr>
                              <w:t xml:space="preserve"> and </w:t>
                            </w:r>
                            <w:r w:rsidRPr="0045043E">
                              <w:rPr>
                                <w:rFonts w:ascii="Georgia" w:hAnsi="Georgia"/>
                                <w:i/>
                                <w:iCs/>
                                <w:color w:val="FFFFFF" w:themeColor="background1"/>
                                <w:sz w:val="36"/>
                                <w:szCs w:val="36"/>
                              </w:rPr>
                              <w:t>Geothermal Resources Inquiry</w:t>
                            </w:r>
                            <w:r w:rsidRPr="00B550B7">
                              <w:rPr>
                                <w:rFonts w:ascii="Georgia" w:hAnsi="Georgia"/>
                                <w:color w:val="FFFFFF" w:themeColor="background1"/>
                                <w:sz w:val="36"/>
                                <w:szCs w:val="36"/>
                              </w:rPr>
                              <w:t xml:space="preserve"> (Wai 2358) Stages 1 and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36F310" id="_x0000_t202" coordsize="21600,21600" o:spt="202" path="m,l,21600r21600,l21600,xe">
                <v:stroke joinstyle="miter"/>
                <v:path gradientshapeok="t" o:connecttype="rect"/>
              </v:shapetype>
              <v:shape id="Text Box 2" o:spid="_x0000_s1026" type="#_x0000_t202" style="position:absolute;margin-left:-49.8pt;margin-top:610.5pt;width:475.5pt;height:83.5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" filled="f" stroked="f">
                <v:textbox style="mso-fit-shape-to-text:t">
                  <w:txbxContent>
                    <w:p w14:paraId="4B0F1558" w14:textId="300BDF54" w:rsidR="001E0D30" w:rsidRPr="00B550B7" w:rsidRDefault="00FD7EE4" w:rsidP="001E0D30">
                      <w:pPr>
                        <w:jc w:val="left"/>
                        <w:rPr>
                          <w:rFonts w:ascii="Georgia" w:hAnsi="Georgia"/>
                          <w:color w:val="FFFFFF" w:themeColor="background1"/>
                          <w:sz w:val="36"/>
                          <w:szCs w:val="36"/>
                        </w:rPr>
                      </w:pPr>
                      <w:r w:rsidRPr="00B550B7">
                        <w:rPr>
                          <w:rFonts w:ascii="Georgia" w:hAnsi="Georgia"/>
                          <w:color w:val="FFFFFF" w:themeColor="background1"/>
                          <w:sz w:val="36"/>
                          <w:szCs w:val="36"/>
                        </w:rPr>
                        <w:t xml:space="preserve">Waitangi Tribunal </w:t>
                      </w:r>
                      <w:r w:rsidRPr="00B550B7">
                        <w:rPr>
                          <w:rFonts w:ascii="Georgia" w:hAnsi="Georgia"/>
                          <w:i/>
                          <w:iCs/>
                          <w:color w:val="FFFFFF" w:themeColor="background1"/>
                          <w:sz w:val="36"/>
                          <w:szCs w:val="36"/>
                        </w:rPr>
                        <w:t>National Fresh Water</w:t>
                      </w:r>
                      <w:r w:rsidRPr="00B550B7">
                        <w:rPr>
                          <w:rFonts w:ascii="Georgia" w:hAnsi="Georgia"/>
                          <w:color w:val="FFFFFF" w:themeColor="background1"/>
                          <w:sz w:val="36"/>
                          <w:szCs w:val="36"/>
                        </w:rPr>
                        <w:t xml:space="preserve"> and </w:t>
                      </w:r>
                      <w:r w:rsidRPr="0045043E">
                        <w:rPr>
                          <w:rFonts w:ascii="Georgia" w:hAnsi="Georgia"/>
                          <w:i/>
                          <w:iCs/>
                          <w:color w:val="FFFFFF" w:themeColor="background1"/>
                          <w:sz w:val="36"/>
                          <w:szCs w:val="36"/>
                        </w:rPr>
                        <w:t>Geothermal Resources Inquiry</w:t>
                      </w:r>
                      <w:r w:rsidRPr="00B550B7">
                        <w:rPr>
                          <w:rFonts w:ascii="Georgia" w:hAnsi="Georgia"/>
                          <w:color w:val="FFFFFF" w:themeColor="background1"/>
                          <w:sz w:val="36"/>
                          <w:szCs w:val="36"/>
                        </w:rPr>
                        <w:t xml:space="preserve"> (Wai 2358) Stages 1 and 2</w:t>
                      </w:r>
                    </w:p>
                  </w:txbxContent>
                </v:textbox>
                <w10:wrap anchory="page"/>
              </v:shape>
            </w:pict>
          </mc:Fallback>
        </mc:AlternateContent>
      </w:r>
      <w:r w:rsidR="008F7CBE">
        <w:rPr>
          <w:noProof/>
        </w:rPr>
        <mc:AlternateContent>
          <mc:Choice Requires="wps">
            <w:drawing>
              <wp:anchor distT="45720" distB="45720" distL="114300" distR="114300" simplePos="0" relativeHeight="251659264" behindDoc="0" locked="0" layoutInCell="1" allowOverlap="1" wp14:anchorId="4115A622" wp14:editId="37E6B429">
                <wp:simplePos x="0" y="0"/>
                <wp:positionH relativeFrom="column">
                  <wp:posOffset>-651510</wp:posOffset>
                </wp:positionH>
                <wp:positionV relativeFrom="page">
                  <wp:posOffset>6772275</wp:posOffset>
                </wp:positionV>
                <wp:extent cx="4752975" cy="1061085"/>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1061085"/>
                        </a:xfrm>
                        <a:prstGeom prst="rect">
                          <a:avLst/>
                        </a:prstGeom>
                        <a:noFill/>
                        <a:ln w="9525">
                          <a:noFill/>
                          <a:miter lim="800000"/>
                          <a:headEnd/>
                          <a:tailEnd/>
                        </a:ln>
                      </wps:spPr>
                      <wps:txbx>
                        <w:txbxContent>
                          <w:p w14:paraId="53F7A351" w14:textId="5D155A10" w:rsidR="008F7CBE" w:rsidRPr="008F7CBE" w:rsidRDefault="00C03F81" w:rsidP="001E0D30">
                            <w:pPr>
                              <w:jc w:val="left"/>
                              <w:rPr>
                                <w:rFonts w:ascii="Georgia" w:hAnsi="Georgia"/>
                                <w:b/>
                                <w:bCs/>
                                <w:color w:val="FFFFFF" w:themeColor="background1"/>
                                <w:sz w:val="56"/>
                                <w:szCs w:val="56"/>
                              </w:rPr>
                            </w:pPr>
                            <w:r>
                              <w:rPr>
                                <w:rFonts w:ascii="Georgia" w:hAnsi="Georgia"/>
                                <w:b/>
                                <w:bCs/>
                                <w:color w:val="FFFFFF" w:themeColor="background1"/>
                                <w:sz w:val="56"/>
                                <w:szCs w:val="56"/>
                              </w:rPr>
                              <w:t xml:space="preserve">Retrospective </w:t>
                            </w:r>
                            <w:r w:rsidR="006F6218">
                              <w:rPr>
                                <w:rFonts w:ascii="Georgia" w:hAnsi="Georgia"/>
                                <w:b/>
                                <w:bCs/>
                                <w:color w:val="FFFFFF" w:themeColor="background1"/>
                                <w:sz w:val="56"/>
                                <w:szCs w:val="56"/>
                              </w:rPr>
                              <w:t>c</w:t>
                            </w:r>
                            <w:r w:rsidR="008F7CBE" w:rsidRPr="008F7CBE">
                              <w:rPr>
                                <w:rFonts w:ascii="Georgia" w:hAnsi="Georgia"/>
                                <w:b/>
                                <w:bCs/>
                                <w:color w:val="FFFFFF" w:themeColor="background1"/>
                                <w:sz w:val="56"/>
                                <w:szCs w:val="56"/>
                              </w:rPr>
                              <w:t>laimant funding policy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15A622" id="_x0000_s1027" type="#_x0000_t202" style="position:absolute;margin-left:-51.3pt;margin-top:533.25pt;width:374.25pt;height:83.5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" filled="f" stroked="f">
                <v:textbox style="mso-fit-shape-to-text:t">
                  <w:txbxContent>
                    <w:p w14:paraId="53F7A351" w14:textId="5D155A10" w:rsidR="008F7CBE" w:rsidRPr="008F7CBE" w:rsidRDefault="00C03F81" w:rsidP="001E0D30">
                      <w:pPr>
                        <w:jc w:val="left"/>
                        <w:rPr>
                          <w:rFonts w:ascii="Georgia" w:hAnsi="Georgia"/>
                          <w:b/>
                          <w:bCs/>
                          <w:color w:val="FFFFFF" w:themeColor="background1"/>
                          <w:sz w:val="56"/>
                          <w:szCs w:val="56"/>
                        </w:rPr>
                      </w:pPr>
                      <w:r>
                        <w:rPr>
                          <w:rFonts w:ascii="Georgia" w:hAnsi="Georgia"/>
                          <w:b/>
                          <w:bCs/>
                          <w:color w:val="FFFFFF" w:themeColor="background1"/>
                          <w:sz w:val="56"/>
                          <w:szCs w:val="56"/>
                        </w:rPr>
                        <w:t xml:space="preserve">Retrospective </w:t>
                      </w:r>
                      <w:r w:rsidR="006F6218">
                        <w:rPr>
                          <w:rFonts w:ascii="Georgia" w:hAnsi="Georgia"/>
                          <w:b/>
                          <w:bCs/>
                          <w:color w:val="FFFFFF" w:themeColor="background1"/>
                          <w:sz w:val="56"/>
                          <w:szCs w:val="56"/>
                        </w:rPr>
                        <w:t>c</w:t>
                      </w:r>
                      <w:r w:rsidR="008F7CBE" w:rsidRPr="008F7CBE">
                        <w:rPr>
                          <w:rFonts w:ascii="Georgia" w:hAnsi="Georgia"/>
                          <w:b/>
                          <w:bCs/>
                          <w:color w:val="FFFFFF" w:themeColor="background1"/>
                          <w:sz w:val="56"/>
                          <w:szCs w:val="56"/>
                        </w:rPr>
                        <w:t>laimant funding policy</w:t>
                      </w:r>
                    </w:p>
                  </w:txbxContent>
                </v:textbox>
                <w10:wrap anchory="page"/>
              </v:shape>
            </w:pict>
          </mc:Fallback>
        </mc:AlternateContent>
      </w:r>
    </w:p>
    <w:p w14:paraId="1ED47F39" w14:textId="77777777" w:rsidR="0003640E" w:rsidRPr="006B77BB" w:rsidRDefault="0003640E" w:rsidP="0080531E">
      <w:pPr>
        <w:jc w:val="left"/>
        <w:rPr>
          <w:color w:val="FF0000"/>
        </w:rPr>
        <w:sectPr w:rsidR="0003640E" w:rsidRPr="006B77BB" w:rsidSect="00B86F2A">
          <w:headerReference w:type="default" r:id="rId12"/>
          <w:footerReference w:type="default" r:id="rId13"/>
          <w:pgSz w:w="11907" w:h="16840" w:code="9"/>
          <w:pgMar w:top="5670" w:right="1701" w:bottom="1701" w:left="1701" w:header="567" w:footer="1134" w:gutter="0"/>
          <w:cols w:space="720"/>
        </w:sectPr>
      </w:pPr>
    </w:p>
    <w:p w14:paraId="5921781C" w14:textId="77777777" w:rsidR="00452EC4" w:rsidRPr="006B77BB" w:rsidRDefault="00452EC4" w:rsidP="00775F57">
      <w:pPr>
        <w:pStyle w:val="Imprint"/>
        <w:spacing w:before="0" w:after="0"/>
        <w:rPr>
          <w:b/>
        </w:rPr>
      </w:pPr>
      <w:r w:rsidRPr="006B77BB">
        <w:rPr>
          <w:b/>
        </w:rPr>
        <w:lastRenderedPageBreak/>
        <w:t>Disclaimer</w:t>
      </w:r>
    </w:p>
    <w:p w14:paraId="33052052" w14:textId="6C3CA533" w:rsidR="0059040D" w:rsidRDefault="00575195" w:rsidP="0059040D">
      <w:pPr>
        <w:pStyle w:val="Imprint"/>
      </w:pPr>
      <w:r w:rsidRPr="00575195">
        <w:t>The information in this publication is, according to the Ministry for the Environment’s best efforts, accurate at the time of publication. The Ministry will make every reasonable effort to keep it current and accurate. However, users of this publication are advised that:</w:t>
      </w:r>
    </w:p>
    <w:p w14:paraId="4D09CBF1" w14:textId="77777777" w:rsidR="004577A0" w:rsidRDefault="004577A0" w:rsidP="004577A0">
      <w:pPr>
        <w:pStyle w:val="Bullet"/>
      </w:pPr>
      <w:r>
        <w:t>the information does not alter the laws of New Zealand, other official guidelines, or requirements</w:t>
      </w:r>
    </w:p>
    <w:p w14:paraId="0BE1AEC0" w14:textId="77777777" w:rsidR="004577A0" w:rsidRDefault="004577A0" w:rsidP="004577A0">
      <w:pPr>
        <w:pStyle w:val="Bullet"/>
      </w:pPr>
      <w:r>
        <w:t>it does not constitute legal advice, and users should take specific advice from qualified professionals before taking any action based on information in this publication</w:t>
      </w:r>
    </w:p>
    <w:p w14:paraId="6BF9B930" w14:textId="77777777" w:rsidR="004577A0" w:rsidRDefault="004577A0" w:rsidP="004577A0">
      <w:pPr>
        <w:pStyle w:val="Bullet"/>
      </w:pPr>
      <w:r>
        <w:t xml:space="preserve">the Ministry does not accept any responsibility or liability whatsoever whether in contract, tort, equity, or otherwise for any action taken </w:t>
      </w:r>
      <w:proofErr w:type="gramStart"/>
      <w:r>
        <w:t>as a result of</w:t>
      </w:r>
      <w:proofErr w:type="gramEnd"/>
      <w:r>
        <w:t xml:space="preserve"> reading, or reliance placed on this publication because of having read any part, or all, of the information in this publication or for any error, or inadequacy, deficiency, flaw in, or omission from the information in this publication</w:t>
      </w:r>
    </w:p>
    <w:p w14:paraId="1290B54E" w14:textId="6642648A" w:rsidR="00452EC4" w:rsidRPr="006B77BB" w:rsidRDefault="004577A0" w:rsidP="004577A0">
      <w:pPr>
        <w:pStyle w:val="Bullet"/>
      </w:pPr>
      <w:r>
        <w:t>all references to websites, organisations or people not within the Ministry are for convenience only and should not be taken as endorsement of those websites or information contained in those websites nor of organisations or people referred to.</w:t>
      </w:r>
    </w:p>
    <w:p w14:paraId="6432DA41" w14:textId="1D15BDFF" w:rsidR="00452EC4" w:rsidRPr="006B77BB" w:rsidRDefault="00452EC4" w:rsidP="00452EC4">
      <w:pPr>
        <w:pStyle w:val="Imprint"/>
      </w:pPr>
    </w:p>
    <w:p w14:paraId="0DEBD4EB" w14:textId="5E15A5C8" w:rsidR="00452EC4" w:rsidRPr="006B77BB" w:rsidRDefault="00452EC4" w:rsidP="00452EC4">
      <w:pPr>
        <w:pStyle w:val="Imprint"/>
      </w:pPr>
      <w:r w:rsidRPr="006B77BB">
        <w:t xml:space="preserve">This </w:t>
      </w:r>
      <w:r w:rsidR="00775F57" w:rsidRPr="006B77BB">
        <w:t>document</w:t>
      </w:r>
      <w:r w:rsidRPr="006B77BB">
        <w:t xml:space="preserve"> may be cited as:</w:t>
      </w:r>
      <w:r w:rsidR="00775F57" w:rsidRPr="006B77BB">
        <w:t xml:space="preserve"> Ministry for the Environment.</w:t>
      </w:r>
      <w:r w:rsidR="004577A0">
        <w:t xml:space="preserve"> 2024</w:t>
      </w:r>
      <w:r w:rsidR="00775F57" w:rsidRPr="006B77BB">
        <w:t xml:space="preserve">. </w:t>
      </w:r>
      <w:r w:rsidR="007909CE" w:rsidRPr="007909CE">
        <w:rPr>
          <w:i/>
        </w:rPr>
        <w:t>Retrospective claimant funding policy: Waitangi Tribunal National Fresh Water and Geothermal Resources Inquiry (Wai 2358) Stages 1 and 2</w:t>
      </w:r>
      <w:r w:rsidR="00775F57" w:rsidRPr="006B77BB">
        <w:t>. Wellington: Ministry for the Environment.</w:t>
      </w:r>
    </w:p>
    <w:p w14:paraId="2B540507" w14:textId="76B050F8" w:rsidR="00760C00" w:rsidRDefault="00760C00" w:rsidP="0080531E">
      <w:pPr>
        <w:pStyle w:val="Imprint"/>
      </w:pPr>
    </w:p>
    <w:p w14:paraId="5151A639" w14:textId="68544629" w:rsidR="00457135" w:rsidRDefault="00457135" w:rsidP="0080531E">
      <w:pPr>
        <w:pStyle w:val="Imprint"/>
      </w:pPr>
    </w:p>
    <w:p w14:paraId="4462B9E4" w14:textId="77777777" w:rsidR="00563317" w:rsidRDefault="00563317" w:rsidP="0080531E">
      <w:pPr>
        <w:pStyle w:val="Imprint"/>
      </w:pPr>
    </w:p>
    <w:p w14:paraId="684A2C86" w14:textId="77777777" w:rsidR="00BB2E17" w:rsidRDefault="00BB2E17" w:rsidP="0080531E">
      <w:pPr>
        <w:pStyle w:val="Imprint"/>
      </w:pPr>
    </w:p>
    <w:p w14:paraId="2BEAA208" w14:textId="77777777" w:rsidR="00BB2E17" w:rsidRDefault="00BB2E17" w:rsidP="0080531E">
      <w:pPr>
        <w:pStyle w:val="Imprint"/>
      </w:pPr>
    </w:p>
    <w:p w14:paraId="0E8CA216" w14:textId="77777777" w:rsidR="00130A41" w:rsidRDefault="00130A41" w:rsidP="0080531E">
      <w:pPr>
        <w:pStyle w:val="Imprint"/>
      </w:pPr>
    </w:p>
    <w:p w14:paraId="4432CC35" w14:textId="77777777" w:rsidR="00457135" w:rsidRPr="006B77BB" w:rsidRDefault="00457135" w:rsidP="0080531E">
      <w:pPr>
        <w:pStyle w:val="Imprint"/>
      </w:pPr>
    </w:p>
    <w:p w14:paraId="6BD0D927" w14:textId="24FC6DCB" w:rsidR="0080531E" w:rsidRPr="006B77BB" w:rsidRDefault="0080531E" w:rsidP="0080531E">
      <w:pPr>
        <w:pStyle w:val="Imprint"/>
      </w:pPr>
      <w:r w:rsidRPr="006B77BB">
        <w:t xml:space="preserve">Published in </w:t>
      </w:r>
      <w:r w:rsidR="007909CE">
        <w:t>November</w:t>
      </w:r>
      <w:r w:rsidR="00775F57" w:rsidRPr="00663783">
        <w:t xml:space="preserve"> </w:t>
      </w:r>
      <w:r w:rsidR="007909CE">
        <w:t>2024</w:t>
      </w:r>
      <w:r w:rsidRPr="006B77BB">
        <w:t xml:space="preserve"> by the</w:t>
      </w:r>
      <w:r w:rsidRPr="006B77BB">
        <w:br/>
        <w:t xml:space="preserve">Ministry for the Environment </w:t>
      </w:r>
      <w:r w:rsidRPr="006B77BB">
        <w:br/>
        <w:t xml:space="preserve">Manatū </w:t>
      </w:r>
      <w:r w:rsidR="001201AD">
        <w:t>m</w:t>
      </w:r>
      <w:r w:rsidRPr="006B77BB">
        <w:t xml:space="preserve">ō </w:t>
      </w:r>
      <w:proofErr w:type="spellStart"/>
      <w:r w:rsidR="001201AD">
        <w:t>t</w:t>
      </w:r>
      <w:r w:rsidRPr="006B77BB">
        <w:t>e</w:t>
      </w:r>
      <w:proofErr w:type="spellEnd"/>
      <w:r w:rsidRPr="006B77BB">
        <w:t xml:space="preserve"> Taiao</w:t>
      </w:r>
      <w:r w:rsidRPr="006B77BB">
        <w:br/>
        <w:t>PO Box 10362, Wellington 6143, New Zealand</w:t>
      </w:r>
      <w:r w:rsidR="00F27E5C">
        <w:br/>
      </w:r>
      <w:hyperlink r:id="rId14" w:history="1">
        <w:r w:rsidR="00F27E5C" w:rsidRPr="005A5193">
          <w:rPr>
            <w:rStyle w:val="Hyperlink"/>
          </w:rPr>
          <w:t>environment.govt.nz</w:t>
        </w:r>
      </w:hyperlink>
    </w:p>
    <w:p w14:paraId="4627AD72" w14:textId="15876859" w:rsidR="0080531E" w:rsidRPr="00583D2E" w:rsidRDefault="0080531E" w:rsidP="0080531E">
      <w:pPr>
        <w:pStyle w:val="Imprint"/>
        <w:tabs>
          <w:tab w:val="left" w:pos="720"/>
        </w:tabs>
        <w:ind w:left="720" w:hanging="720"/>
      </w:pPr>
      <w:r w:rsidRPr="00583D2E">
        <w:t xml:space="preserve">ISBN </w:t>
      </w:r>
      <w:r w:rsidR="001E75B3" w:rsidRPr="00583D2E">
        <w:t>978-1-991140-53-1</w:t>
      </w:r>
      <w:r w:rsidRPr="00583D2E">
        <w:t xml:space="preserve"> (</w:t>
      </w:r>
      <w:r w:rsidR="00775F57" w:rsidRPr="00583D2E">
        <w:t>online</w:t>
      </w:r>
      <w:r w:rsidRPr="00583D2E">
        <w:t>)</w:t>
      </w:r>
    </w:p>
    <w:p w14:paraId="7B35C70D" w14:textId="77537014" w:rsidR="0080531E" w:rsidRPr="00583D2E" w:rsidRDefault="0080531E" w:rsidP="0080531E">
      <w:pPr>
        <w:pStyle w:val="Imprint"/>
        <w:ind w:left="720" w:hanging="720"/>
      </w:pPr>
      <w:r w:rsidRPr="00583D2E">
        <w:t xml:space="preserve">Publication number: ME </w:t>
      </w:r>
      <w:r w:rsidR="00583D2E" w:rsidRPr="00583D2E">
        <w:t>1864</w:t>
      </w:r>
    </w:p>
    <w:p w14:paraId="5922395A" w14:textId="7EE6AA49" w:rsidR="0080531E" w:rsidRPr="006B77BB" w:rsidRDefault="0080531E" w:rsidP="00593E94">
      <w:pPr>
        <w:pStyle w:val="Imprint"/>
        <w:spacing w:after="80"/>
      </w:pPr>
      <w:r w:rsidRPr="00583D2E">
        <w:t xml:space="preserve">© Crown copyright New Zealand </w:t>
      </w:r>
      <w:r w:rsidR="00583D2E">
        <w:t>2024</w:t>
      </w:r>
    </w:p>
    <w:p w14:paraId="10FF26D0" w14:textId="77777777" w:rsidR="0080531E" w:rsidRPr="00A84FE1" w:rsidRDefault="0080531E" w:rsidP="00A84FE1">
      <w:pPr>
        <w:sectPr w:rsidR="0080531E" w:rsidRPr="00A84FE1" w:rsidSect="008A7498">
          <w:headerReference w:type="even" r:id="rId15"/>
          <w:headerReference w:type="default" r:id="rId16"/>
          <w:footerReference w:type="even" r:id="rId17"/>
          <w:footerReference w:type="default" r:id="rId18"/>
          <w:pgSz w:w="11907" w:h="16840" w:code="9"/>
          <w:pgMar w:top="1134" w:right="1701" w:bottom="1134" w:left="1701" w:header="567" w:footer="567" w:gutter="0"/>
          <w:pgNumType w:fmt="lowerRoman"/>
          <w:cols w:space="720"/>
        </w:sectPr>
      </w:pPr>
    </w:p>
    <w:p w14:paraId="2780A95E" w14:textId="77777777" w:rsidR="0080531E" w:rsidRPr="00F06E0B" w:rsidRDefault="0080531E" w:rsidP="00585FD0">
      <w:pPr>
        <w:pStyle w:val="Heading"/>
      </w:pPr>
      <w:r w:rsidRPr="00F06E0B">
        <w:lastRenderedPageBreak/>
        <w:t>Contents</w:t>
      </w:r>
    </w:p>
    <w:p w14:paraId="03C77DF4" w14:textId="32FF16D8" w:rsidR="001100EB" w:rsidRDefault="00775F57">
      <w:pPr>
        <w:pStyle w:val="TOC1"/>
        <w:rPr>
          <w:rFonts w:asciiTheme="minorHAnsi" w:hAnsiTheme="minorHAnsi"/>
          <w:noProof/>
          <w:kern w:val="2"/>
          <w:sz w:val="24"/>
          <w:szCs w:val="24"/>
          <w14:ligatures w14:val="standardContextual"/>
        </w:rPr>
      </w:pPr>
      <w:r w:rsidRPr="006B77BB">
        <w:rPr>
          <w:color w:val="0092CF"/>
        </w:rPr>
        <w:fldChar w:fldCharType="begin"/>
      </w:r>
      <w:r w:rsidRPr="006B77BB">
        <w:rPr>
          <w:color w:val="0092CF"/>
        </w:rPr>
        <w:instrText xml:space="preserve"> TOC \h \z \t "Heading 1,1,Heading 2,2" </w:instrText>
      </w:r>
      <w:r w:rsidRPr="006B77BB">
        <w:rPr>
          <w:color w:val="0092CF"/>
        </w:rPr>
        <w:fldChar w:fldCharType="separate"/>
      </w:r>
      <w:hyperlink w:anchor="_Toc183603480" w:history="1">
        <w:r w:rsidR="001100EB" w:rsidRPr="00B46AB0">
          <w:rPr>
            <w:rStyle w:val="Hyperlink"/>
            <w:noProof/>
          </w:rPr>
          <w:t>Purpose</w:t>
        </w:r>
        <w:r w:rsidR="001100EB">
          <w:rPr>
            <w:noProof/>
            <w:webHidden/>
          </w:rPr>
          <w:tab/>
        </w:r>
        <w:r w:rsidR="001100EB">
          <w:rPr>
            <w:noProof/>
            <w:webHidden/>
          </w:rPr>
          <w:fldChar w:fldCharType="begin"/>
        </w:r>
        <w:r w:rsidR="001100EB">
          <w:rPr>
            <w:noProof/>
            <w:webHidden/>
          </w:rPr>
          <w:instrText xml:space="preserve"> PAGEREF _Toc183603480 \h </w:instrText>
        </w:r>
        <w:r w:rsidR="001100EB">
          <w:rPr>
            <w:noProof/>
            <w:webHidden/>
          </w:rPr>
        </w:r>
        <w:r w:rsidR="001100EB">
          <w:rPr>
            <w:noProof/>
            <w:webHidden/>
          </w:rPr>
          <w:fldChar w:fldCharType="separate"/>
        </w:r>
        <w:r w:rsidR="001100EB">
          <w:rPr>
            <w:noProof/>
            <w:webHidden/>
          </w:rPr>
          <w:t>4</w:t>
        </w:r>
        <w:r w:rsidR="001100EB">
          <w:rPr>
            <w:noProof/>
            <w:webHidden/>
          </w:rPr>
          <w:fldChar w:fldCharType="end"/>
        </w:r>
      </w:hyperlink>
    </w:p>
    <w:p w14:paraId="1737B177" w14:textId="4D8F8C95" w:rsidR="001100EB" w:rsidRDefault="001100EB">
      <w:pPr>
        <w:pStyle w:val="TOC1"/>
        <w:rPr>
          <w:rFonts w:asciiTheme="minorHAnsi" w:hAnsiTheme="minorHAnsi"/>
          <w:noProof/>
          <w:kern w:val="2"/>
          <w:sz w:val="24"/>
          <w:szCs w:val="24"/>
          <w14:ligatures w14:val="standardContextual"/>
        </w:rPr>
      </w:pPr>
      <w:hyperlink w:anchor="_Toc183603481" w:history="1">
        <w:r w:rsidRPr="00B46AB0">
          <w:rPr>
            <w:rStyle w:val="Hyperlink"/>
            <w:noProof/>
          </w:rPr>
          <w:t>How will the retrospective claimant funding policy for Stages 1 and 2 differ from the Stage 3 claimant funding policy?</w:t>
        </w:r>
        <w:r>
          <w:rPr>
            <w:noProof/>
            <w:webHidden/>
          </w:rPr>
          <w:tab/>
        </w:r>
        <w:r>
          <w:rPr>
            <w:noProof/>
            <w:webHidden/>
          </w:rPr>
          <w:fldChar w:fldCharType="begin"/>
        </w:r>
        <w:r>
          <w:rPr>
            <w:noProof/>
            <w:webHidden/>
          </w:rPr>
          <w:instrText xml:space="preserve"> PAGEREF _Toc183603481 \h </w:instrText>
        </w:r>
        <w:r>
          <w:rPr>
            <w:noProof/>
            <w:webHidden/>
          </w:rPr>
        </w:r>
        <w:r>
          <w:rPr>
            <w:noProof/>
            <w:webHidden/>
          </w:rPr>
          <w:fldChar w:fldCharType="separate"/>
        </w:r>
        <w:r>
          <w:rPr>
            <w:noProof/>
            <w:webHidden/>
          </w:rPr>
          <w:t>5</w:t>
        </w:r>
        <w:r>
          <w:rPr>
            <w:noProof/>
            <w:webHidden/>
          </w:rPr>
          <w:fldChar w:fldCharType="end"/>
        </w:r>
      </w:hyperlink>
    </w:p>
    <w:p w14:paraId="4E9FE212" w14:textId="212763A1" w:rsidR="001100EB" w:rsidRDefault="001100EB">
      <w:pPr>
        <w:pStyle w:val="TOC1"/>
        <w:rPr>
          <w:rFonts w:asciiTheme="minorHAnsi" w:hAnsiTheme="minorHAnsi"/>
          <w:noProof/>
          <w:kern w:val="2"/>
          <w:sz w:val="24"/>
          <w:szCs w:val="24"/>
          <w14:ligatures w14:val="standardContextual"/>
        </w:rPr>
      </w:pPr>
      <w:hyperlink w:anchor="_Toc183603482" w:history="1">
        <w:r w:rsidRPr="00B46AB0">
          <w:rPr>
            <w:rStyle w:val="Hyperlink"/>
            <w:noProof/>
          </w:rPr>
          <w:t>Who is eligible for retrospective claimant funding?</w:t>
        </w:r>
        <w:r>
          <w:rPr>
            <w:noProof/>
            <w:webHidden/>
          </w:rPr>
          <w:tab/>
        </w:r>
        <w:r>
          <w:rPr>
            <w:noProof/>
            <w:webHidden/>
          </w:rPr>
          <w:fldChar w:fldCharType="begin"/>
        </w:r>
        <w:r>
          <w:rPr>
            <w:noProof/>
            <w:webHidden/>
          </w:rPr>
          <w:instrText xml:space="preserve"> PAGEREF _Toc183603482 \h </w:instrText>
        </w:r>
        <w:r>
          <w:rPr>
            <w:noProof/>
            <w:webHidden/>
          </w:rPr>
        </w:r>
        <w:r>
          <w:rPr>
            <w:noProof/>
            <w:webHidden/>
          </w:rPr>
          <w:fldChar w:fldCharType="separate"/>
        </w:r>
        <w:r>
          <w:rPr>
            <w:noProof/>
            <w:webHidden/>
          </w:rPr>
          <w:t>6</w:t>
        </w:r>
        <w:r>
          <w:rPr>
            <w:noProof/>
            <w:webHidden/>
          </w:rPr>
          <w:fldChar w:fldCharType="end"/>
        </w:r>
      </w:hyperlink>
    </w:p>
    <w:p w14:paraId="66B09D16" w14:textId="2AC5BE01" w:rsidR="001100EB" w:rsidRDefault="001100EB">
      <w:pPr>
        <w:pStyle w:val="TOC1"/>
        <w:rPr>
          <w:rFonts w:asciiTheme="minorHAnsi" w:hAnsiTheme="minorHAnsi"/>
          <w:noProof/>
          <w:kern w:val="2"/>
          <w:sz w:val="24"/>
          <w:szCs w:val="24"/>
          <w14:ligatures w14:val="standardContextual"/>
        </w:rPr>
      </w:pPr>
      <w:hyperlink w:anchor="_Toc183603483" w:history="1">
        <w:r w:rsidRPr="00B46AB0">
          <w:rPr>
            <w:rStyle w:val="Hyperlink"/>
            <w:noProof/>
          </w:rPr>
          <w:t>What funding may be provided?</w:t>
        </w:r>
        <w:r>
          <w:rPr>
            <w:noProof/>
            <w:webHidden/>
          </w:rPr>
          <w:tab/>
        </w:r>
        <w:r>
          <w:rPr>
            <w:noProof/>
            <w:webHidden/>
          </w:rPr>
          <w:fldChar w:fldCharType="begin"/>
        </w:r>
        <w:r>
          <w:rPr>
            <w:noProof/>
            <w:webHidden/>
          </w:rPr>
          <w:instrText xml:space="preserve"> PAGEREF _Toc183603483 \h </w:instrText>
        </w:r>
        <w:r>
          <w:rPr>
            <w:noProof/>
            <w:webHidden/>
          </w:rPr>
        </w:r>
        <w:r>
          <w:rPr>
            <w:noProof/>
            <w:webHidden/>
          </w:rPr>
          <w:fldChar w:fldCharType="separate"/>
        </w:r>
        <w:r>
          <w:rPr>
            <w:noProof/>
            <w:webHidden/>
          </w:rPr>
          <w:t>7</w:t>
        </w:r>
        <w:r>
          <w:rPr>
            <w:noProof/>
            <w:webHidden/>
          </w:rPr>
          <w:fldChar w:fldCharType="end"/>
        </w:r>
      </w:hyperlink>
    </w:p>
    <w:p w14:paraId="208738F3" w14:textId="0EB79EE9" w:rsidR="001100EB" w:rsidRDefault="001100EB">
      <w:pPr>
        <w:pStyle w:val="TOC1"/>
        <w:rPr>
          <w:rFonts w:asciiTheme="minorHAnsi" w:hAnsiTheme="minorHAnsi"/>
          <w:noProof/>
          <w:kern w:val="2"/>
          <w:sz w:val="24"/>
          <w:szCs w:val="24"/>
          <w14:ligatures w14:val="standardContextual"/>
        </w:rPr>
      </w:pPr>
      <w:hyperlink w:anchor="_Toc183603484" w:history="1">
        <w:r w:rsidRPr="00B46AB0">
          <w:rPr>
            <w:rStyle w:val="Hyperlink"/>
            <w:noProof/>
          </w:rPr>
          <w:t>What will not be funded?</w:t>
        </w:r>
        <w:r>
          <w:rPr>
            <w:noProof/>
            <w:webHidden/>
          </w:rPr>
          <w:tab/>
        </w:r>
        <w:r>
          <w:rPr>
            <w:noProof/>
            <w:webHidden/>
          </w:rPr>
          <w:fldChar w:fldCharType="begin"/>
        </w:r>
        <w:r>
          <w:rPr>
            <w:noProof/>
            <w:webHidden/>
          </w:rPr>
          <w:instrText xml:space="preserve"> PAGEREF _Toc183603484 \h </w:instrText>
        </w:r>
        <w:r>
          <w:rPr>
            <w:noProof/>
            <w:webHidden/>
          </w:rPr>
        </w:r>
        <w:r>
          <w:rPr>
            <w:noProof/>
            <w:webHidden/>
          </w:rPr>
          <w:fldChar w:fldCharType="separate"/>
        </w:r>
        <w:r>
          <w:rPr>
            <w:noProof/>
            <w:webHidden/>
          </w:rPr>
          <w:t>8</w:t>
        </w:r>
        <w:r>
          <w:rPr>
            <w:noProof/>
            <w:webHidden/>
          </w:rPr>
          <w:fldChar w:fldCharType="end"/>
        </w:r>
      </w:hyperlink>
    </w:p>
    <w:p w14:paraId="7EA08197" w14:textId="48F2BB45" w:rsidR="001100EB" w:rsidRDefault="001100EB">
      <w:pPr>
        <w:pStyle w:val="TOC1"/>
        <w:rPr>
          <w:rFonts w:asciiTheme="minorHAnsi" w:hAnsiTheme="minorHAnsi"/>
          <w:noProof/>
          <w:kern w:val="2"/>
          <w:sz w:val="24"/>
          <w:szCs w:val="24"/>
          <w14:ligatures w14:val="standardContextual"/>
        </w:rPr>
      </w:pPr>
      <w:hyperlink w:anchor="_Toc183603485" w:history="1">
        <w:r w:rsidRPr="00B46AB0">
          <w:rPr>
            <w:rStyle w:val="Hyperlink"/>
            <w:noProof/>
          </w:rPr>
          <w:t>How long will funding be available for?</w:t>
        </w:r>
        <w:r>
          <w:rPr>
            <w:noProof/>
            <w:webHidden/>
          </w:rPr>
          <w:tab/>
        </w:r>
        <w:r>
          <w:rPr>
            <w:noProof/>
            <w:webHidden/>
          </w:rPr>
          <w:fldChar w:fldCharType="begin"/>
        </w:r>
        <w:r>
          <w:rPr>
            <w:noProof/>
            <w:webHidden/>
          </w:rPr>
          <w:instrText xml:space="preserve"> PAGEREF _Toc183603485 \h </w:instrText>
        </w:r>
        <w:r>
          <w:rPr>
            <w:noProof/>
            <w:webHidden/>
          </w:rPr>
        </w:r>
        <w:r>
          <w:rPr>
            <w:noProof/>
            <w:webHidden/>
          </w:rPr>
          <w:fldChar w:fldCharType="separate"/>
        </w:r>
        <w:r>
          <w:rPr>
            <w:noProof/>
            <w:webHidden/>
          </w:rPr>
          <w:t>8</w:t>
        </w:r>
        <w:r>
          <w:rPr>
            <w:noProof/>
            <w:webHidden/>
          </w:rPr>
          <w:fldChar w:fldCharType="end"/>
        </w:r>
      </w:hyperlink>
    </w:p>
    <w:p w14:paraId="6E986A59" w14:textId="17FC803B" w:rsidR="001100EB" w:rsidRDefault="001100EB">
      <w:pPr>
        <w:pStyle w:val="TOC1"/>
        <w:rPr>
          <w:rFonts w:asciiTheme="minorHAnsi" w:hAnsiTheme="minorHAnsi"/>
          <w:noProof/>
          <w:kern w:val="2"/>
          <w:sz w:val="24"/>
          <w:szCs w:val="24"/>
          <w14:ligatures w14:val="standardContextual"/>
        </w:rPr>
      </w:pPr>
      <w:hyperlink w:anchor="_Toc183603486" w:history="1">
        <w:r w:rsidRPr="00B46AB0">
          <w:rPr>
            <w:rStyle w:val="Hyperlink"/>
            <w:noProof/>
          </w:rPr>
          <w:t>How do claimants seek retrospective claimant funding?</w:t>
        </w:r>
        <w:r>
          <w:rPr>
            <w:noProof/>
            <w:webHidden/>
          </w:rPr>
          <w:tab/>
        </w:r>
        <w:r>
          <w:rPr>
            <w:noProof/>
            <w:webHidden/>
          </w:rPr>
          <w:fldChar w:fldCharType="begin"/>
        </w:r>
        <w:r>
          <w:rPr>
            <w:noProof/>
            <w:webHidden/>
          </w:rPr>
          <w:instrText xml:space="preserve"> PAGEREF _Toc183603486 \h </w:instrText>
        </w:r>
        <w:r>
          <w:rPr>
            <w:noProof/>
            <w:webHidden/>
          </w:rPr>
        </w:r>
        <w:r>
          <w:rPr>
            <w:noProof/>
            <w:webHidden/>
          </w:rPr>
          <w:fldChar w:fldCharType="separate"/>
        </w:r>
        <w:r>
          <w:rPr>
            <w:noProof/>
            <w:webHidden/>
          </w:rPr>
          <w:t>8</w:t>
        </w:r>
        <w:r>
          <w:rPr>
            <w:noProof/>
            <w:webHidden/>
          </w:rPr>
          <w:fldChar w:fldCharType="end"/>
        </w:r>
      </w:hyperlink>
    </w:p>
    <w:p w14:paraId="39C8B0D9" w14:textId="6834D922" w:rsidR="0080531E" w:rsidRPr="006B77BB" w:rsidRDefault="00775F57" w:rsidP="002B4778">
      <w:pPr>
        <w:pStyle w:val="Glossary"/>
      </w:pPr>
      <w:r w:rsidRPr="006B77BB">
        <w:rPr>
          <w:color w:val="0092CF"/>
        </w:rPr>
        <w:fldChar w:fldCharType="end"/>
      </w:r>
    </w:p>
    <w:p w14:paraId="633546BA" w14:textId="77777777" w:rsidR="00796A6F" w:rsidRPr="00554B30" w:rsidRDefault="00796A6F" w:rsidP="00554B30">
      <w:r w:rsidRPr="00554B30">
        <w:br w:type="page"/>
      </w:r>
    </w:p>
    <w:p w14:paraId="4ED54DFF" w14:textId="77777777" w:rsidR="003E5EF2" w:rsidRDefault="003E5EF2" w:rsidP="0026597C">
      <w:pPr>
        <w:pStyle w:val="Heading1"/>
      </w:pPr>
      <w:bookmarkStart w:id="0" w:name="_Toc183603480"/>
      <w:r>
        <w:lastRenderedPageBreak/>
        <w:t>Purpose</w:t>
      </w:r>
      <w:bookmarkEnd w:id="0"/>
    </w:p>
    <w:p w14:paraId="681DFEAF" w14:textId="77777777" w:rsidR="003E5EF2" w:rsidRDefault="003E5EF2" w:rsidP="003E5EF2">
      <w:pPr>
        <w:pStyle w:val="BodyText"/>
      </w:pPr>
      <w:r>
        <w:t xml:space="preserve">The Crown has a responsibility to make the processes of the Waitangi Tribunal accessible for claimants in a realistic and practical way. In </w:t>
      </w:r>
      <w:proofErr w:type="spellStart"/>
      <w:r w:rsidRPr="003F3EB6">
        <w:rPr>
          <w:i/>
          <w:iCs/>
        </w:rPr>
        <w:t>Whakatika</w:t>
      </w:r>
      <w:proofErr w:type="spellEnd"/>
      <w:r w:rsidRPr="003F3EB6">
        <w:rPr>
          <w:i/>
          <w:iCs/>
        </w:rPr>
        <w:t xml:space="preserve"> ki </w:t>
      </w:r>
      <w:proofErr w:type="spellStart"/>
      <w:r w:rsidRPr="003F3EB6">
        <w:rPr>
          <w:i/>
          <w:iCs/>
        </w:rPr>
        <w:t>Runga</w:t>
      </w:r>
      <w:proofErr w:type="spellEnd"/>
      <w:r>
        <w:t xml:space="preserve"> (Wai 3060), a </w:t>
      </w:r>
      <w:proofErr w:type="gramStart"/>
      <w:r>
        <w:t>mini-inquiry</w:t>
      </w:r>
      <w:proofErr w:type="gramEnd"/>
      <w:r>
        <w:t xml:space="preserve"> into funding for claimants’ participation, the Tribunal set out that this responsibility is an outcome of the creation of the Tribunal under the Treaty of Waitangi Act 1975, and further arises under the principles of partnership, equity, active protection and rangatiratanga. </w:t>
      </w:r>
    </w:p>
    <w:p w14:paraId="61C0719D" w14:textId="5B709650" w:rsidR="003E5EF2" w:rsidRDefault="003E5EF2" w:rsidP="003E5EF2">
      <w:pPr>
        <w:pStyle w:val="BodyText"/>
      </w:pPr>
      <w:r>
        <w:t>To give effect to this responsibility, Cabinet agreed in July 2023 to an interim common claimant funding policy which applies across government.</w:t>
      </w:r>
      <w:r w:rsidR="00C47501">
        <w:rPr>
          <w:rStyle w:val="FootnoteReference"/>
        </w:rPr>
        <w:footnoteReference w:id="2"/>
      </w:r>
    </w:p>
    <w:p w14:paraId="2ED37F69" w14:textId="77777777" w:rsidR="003E5EF2" w:rsidRDefault="003E5EF2" w:rsidP="003E5EF2">
      <w:pPr>
        <w:pStyle w:val="BodyText"/>
      </w:pPr>
      <w:r>
        <w:t xml:space="preserve">In its 2022 brief of evidence for </w:t>
      </w:r>
      <w:proofErr w:type="spellStart"/>
      <w:r w:rsidRPr="003F3EB6">
        <w:rPr>
          <w:i/>
          <w:iCs/>
        </w:rPr>
        <w:t>Whakatika</w:t>
      </w:r>
      <w:proofErr w:type="spellEnd"/>
      <w:r w:rsidRPr="003F3EB6">
        <w:rPr>
          <w:i/>
          <w:iCs/>
        </w:rPr>
        <w:t xml:space="preserve"> ki </w:t>
      </w:r>
      <w:proofErr w:type="spellStart"/>
      <w:r w:rsidRPr="003F3EB6">
        <w:rPr>
          <w:i/>
          <w:iCs/>
        </w:rPr>
        <w:t>Runga</w:t>
      </w:r>
      <w:proofErr w:type="spellEnd"/>
      <w:r>
        <w:t xml:space="preserve">, </w:t>
      </w:r>
      <w:proofErr w:type="spellStart"/>
      <w:r>
        <w:t>te</w:t>
      </w:r>
      <w:proofErr w:type="spellEnd"/>
      <w:r>
        <w:t xml:space="preserve"> Manatū mō </w:t>
      </w:r>
      <w:proofErr w:type="spellStart"/>
      <w:r>
        <w:t>te</w:t>
      </w:r>
      <w:proofErr w:type="spellEnd"/>
      <w:r>
        <w:t xml:space="preserve"> Taiao | the Ministry for the Environment (the Ministry) committed to:</w:t>
      </w:r>
    </w:p>
    <w:p w14:paraId="02CB9DCA" w14:textId="7F703271" w:rsidR="003E5EF2" w:rsidRDefault="003E5EF2" w:rsidP="00E75B05">
      <w:pPr>
        <w:pStyle w:val="Bullet"/>
      </w:pPr>
      <w:r>
        <w:t>fund the claimants in the remaining stages of Wai 2358 (National Freshwater and Geothermal Inquiry); and</w:t>
      </w:r>
    </w:p>
    <w:p w14:paraId="5870FC2A" w14:textId="18FE7DF3" w:rsidR="003E5EF2" w:rsidRDefault="003E5EF2" w:rsidP="00E75B05">
      <w:pPr>
        <w:pStyle w:val="Bullet"/>
      </w:pPr>
      <w:r>
        <w:t>retrospectively fund claimants who participated in Stage 1 (hearings held in 2012) and Stage 2 (hearings held in 2016-2018).</w:t>
      </w:r>
    </w:p>
    <w:p w14:paraId="0186B06E" w14:textId="453124D6" w:rsidR="003E5EF2" w:rsidRDefault="003E5EF2" w:rsidP="003E5EF2">
      <w:pPr>
        <w:pStyle w:val="BodyText"/>
      </w:pPr>
      <w:r>
        <w:t>In March 2024,</w:t>
      </w:r>
      <w:r w:rsidR="00BF3EA1">
        <w:t xml:space="preserve"> t</w:t>
      </w:r>
      <w:r>
        <w:t>he Ministry launched its claiming funding policy for the remaining stages of the Wai 2358 inquiry (i.e. Stage 3),</w:t>
      </w:r>
      <w:r w:rsidR="0050243D">
        <w:rPr>
          <w:rStyle w:val="FootnoteReference"/>
        </w:rPr>
        <w:footnoteReference w:id="3"/>
      </w:r>
      <w:r>
        <w:t xml:space="preserve"> drawing on the interim common claimant funding policy for lead agencies agreed by Cabinet.</w:t>
      </w:r>
    </w:p>
    <w:p w14:paraId="272B15EC" w14:textId="77777777" w:rsidR="003E5EF2" w:rsidRDefault="003E5EF2" w:rsidP="001439E5">
      <w:pPr>
        <w:pStyle w:val="BodyText"/>
        <w:spacing w:after="240"/>
      </w:pPr>
      <w:r>
        <w:t>The purpose of this document is to outline the retrospective claimant funding policy for those who participated in the Stage 1 and/or Stage 2 hearings, as set out below:</w:t>
      </w:r>
    </w:p>
    <w:tbl>
      <w:tblPr>
        <w:tblStyle w:val="TableGrid"/>
        <w:tblW w:w="5000" w:type="pct"/>
        <w:tblBorders>
          <w:top w:val="single" w:sz="4" w:space="0" w:color="1B556B"/>
          <w:left w:val="none" w:sz="0" w:space="0" w:color="auto"/>
          <w:bottom w:val="single" w:sz="4" w:space="0" w:color="1B556B"/>
          <w:right w:val="none" w:sz="0" w:space="0" w:color="auto"/>
          <w:insideH w:val="single" w:sz="4" w:space="0" w:color="1B556B"/>
          <w:insideV w:val="single" w:sz="4" w:space="0" w:color="1B556B"/>
        </w:tblBorders>
        <w:tblLook w:val="04A0" w:firstRow="1" w:lastRow="0" w:firstColumn="1" w:lastColumn="0" w:noHBand="0" w:noVBand="1"/>
      </w:tblPr>
      <w:tblGrid>
        <w:gridCol w:w="4252"/>
        <w:gridCol w:w="4253"/>
      </w:tblGrid>
      <w:tr w:rsidR="001439E5" w:rsidRPr="006B77BB" w14:paraId="23F47A67" w14:textId="77777777" w:rsidTr="00CB33FB">
        <w:trPr>
          <w:tblHeader/>
        </w:trPr>
        <w:tc>
          <w:tcPr>
            <w:tcW w:w="2500" w:type="pct"/>
            <w:shd w:val="clear" w:color="auto" w:fill="1B556B"/>
          </w:tcPr>
          <w:p w14:paraId="4C7F48F7" w14:textId="4DCE3F32" w:rsidR="001439E5" w:rsidRPr="006B77BB" w:rsidRDefault="001439E5" w:rsidP="0049325E">
            <w:pPr>
              <w:pStyle w:val="TableTextbold"/>
              <w:rPr>
                <w:color w:val="FFFFFF" w:themeColor="background1"/>
              </w:rPr>
            </w:pPr>
            <w:r>
              <w:rPr>
                <w:color w:val="FFFFFF" w:themeColor="background1"/>
              </w:rPr>
              <w:t>Stage 1 hearings</w:t>
            </w:r>
          </w:p>
        </w:tc>
        <w:tc>
          <w:tcPr>
            <w:tcW w:w="2500" w:type="pct"/>
            <w:shd w:val="clear" w:color="auto" w:fill="1B556B"/>
          </w:tcPr>
          <w:p w14:paraId="4A1F0AF7" w14:textId="7E52DDFB" w:rsidR="001439E5" w:rsidRPr="006B77BB" w:rsidRDefault="001439E5" w:rsidP="0049325E">
            <w:pPr>
              <w:pStyle w:val="TableTextbold"/>
              <w:rPr>
                <w:color w:val="FFFFFF" w:themeColor="background1"/>
              </w:rPr>
            </w:pPr>
          </w:p>
        </w:tc>
      </w:tr>
      <w:tr w:rsidR="00CB33FB" w:rsidRPr="00CB33FB" w14:paraId="27622B76" w14:textId="77777777" w:rsidTr="00CB33FB">
        <w:tc>
          <w:tcPr>
            <w:tcW w:w="2500" w:type="pct"/>
            <w:shd w:val="clear" w:color="auto" w:fill="auto"/>
          </w:tcPr>
          <w:p w14:paraId="75087EA2" w14:textId="1AB90B7E" w:rsidR="00CB33FB" w:rsidRPr="00CB33FB" w:rsidRDefault="00CB33FB" w:rsidP="00CB33FB">
            <w:pPr>
              <w:pStyle w:val="TableText"/>
              <w:rPr>
                <w:b/>
                <w:bCs/>
              </w:rPr>
            </w:pPr>
            <w:r w:rsidRPr="00CB33FB">
              <w:rPr>
                <w:b/>
                <w:bCs/>
              </w:rPr>
              <w:t>Date</w:t>
            </w:r>
          </w:p>
        </w:tc>
        <w:tc>
          <w:tcPr>
            <w:tcW w:w="2500" w:type="pct"/>
            <w:shd w:val="clear" w:color="auto" w:fill="auto"/>
          </w:tcPr>
          <w:p w14:paraId="61EEF60D" w14:textId="6CBE791A" w:rsidR="00CB33FB" w:rsidRPr="00CB33FB" w:rsidRDefault="00CB33FB" w:rsidP="00CB33FB">
            <w:pPr>
              <w:pStyle w:val="TableText"/>
              <w:rPr>
                <w:b/>
                <w:bCs/>
              </w:rPr>
            </w:pPr>
            <w:r>
              <w:rPr>
                <w:b/>
                <w:bCs/>
              </w:rPr>
              <w:t>Location</w:t>
            </w:r>
          </w:p>
        </w:tc>
      </w:tr>
      <w:tr w:rsidR="00CB33FB" w:rsidRPr="006B77BB" w14:paraId="489C52EC" w14:textId="77777777" w:rsidTr="00CB33FB">
        <w:tc>
          <w:tcPr>
            <w:tcW w:w="2500" w:type="pct"/>
            <w:shd w:val="clear" w:color="auto" w:fill="auto"/>
          </w:tcPr>
          <w:p w14:paraId="7C2A266E" w14:textId="47FA9599" w:rsidR="00CB33FB" w:rsidRPr="006B77BB" w:rsidRDefault="00CB33FB" w:rsidP="00CB33FB">
            <w:pPr>
              <w:pStyle w:val="TableText"/>
            </w:pPr>
            <w:r w:rsidRPr="003754E8">
              <w:t>9-16, 19-20 July 2012</w:t>
            </w:r>
          </w:p>
        </w:tc>
        <w:tc>
          <w:tcPr>
            <w:tcW w:w="2500" w:type="pct"/>
            <w:shd w:val="clear" w:color="auto" w:fill="auto"/>
          </w:tcPr>
          <w:p w14:paraId="78113E9F" w14:textId="7349EA97" w:rsidR="00CB33FB" w:rsidRPr="006B77BB" w:rsidRDefault="00CB33FB" w:rsidP="00CB33FB">
            <w:pPr>
              <w:pStyle w:val="TableText"/>
            </w:pPr>
            <w:proofErr w:type="spellStart"/>
            <w:r w:rsidRPr="003754E8">
              <w:t>Waiwhetu</w:t>
            </w:r>
            <w:proofErr w:type="spellEnd"/>
            <w:r w:rsidRPr="003754E8">
              <w:t xml:space="preserve"> Marae, Lower Hutt</w:t>
            </w:r>
          </w:p>
        </w:tc>
      </w:tr>
    </w:tbl>
    <w:p w14:paraId="46C95DDE" w14:textId="77777777" w:rsidR="001439E5" w:rsidRDefault="001439E5" w:rsidP="003D4034">
      <w:pPr>
        <w:pStyle w:val="BodyText"/>
        <w:spacing w:before="0" w:after="0"/>
      </w:pPr>
    </w:p>
    <w:tbl>
      <w:tblPr>
        <w:tblStyle w:val="TableGrid"/>
        <w:tblW w:w="5000" w:type="pct"/>
        <w:tblBorders>
          <w:top w:val="single" w:sz="4" w:space="0" w:color="1B556B"/>
          <w:left w:val="none" w:sz="0" w:space="0" w:color="auto"/>
          <w:bottom w:val="single" w:sz="4" w:space="0" w:color="1B556B"/>
          <w:right w:val="none" w:sz="0" w:space="0" w:color="auto"/>
          <w:insideH w:val="single" w:sz="4" w:space="0" w:color="1B556B"/>
          <w:insideV w:val="single" w:sz="4" w:space="0" w:color="1B556B"/>
        </w:tblBorders>
        <w:tblLook w:val="04A0" w:firstRow="1" w:lastRow="0" w:firstColumn="1" w:lastColumn="0" w:noHBand="0" w:noVBand="1"/>
      </w:tblPr>
      <w:tblGrid>
        <w:gridCol w:w="4252"/>
        <w:gridCol w:w="4253"/>
      </w:tblGrid>
      <w:tr w:rsidR="00CB33FB" w:rsidRPr="006B77BB" w14:paraId="17C5A9A0" w14:textId="77777777" w:rsidTr="0049325E">
        <w:trPr>
          <w:tblHeader/>
        </w:trPr>
        <w:tc>
          <w:tcPr>
            <w:tcW w:w="2500" w:type="pct"/>
            <w:shd w:val="clear" w:color="auto" w:fill="1B556B"/>
          </w:tcPr>
          <w:p w14:paraId="169424AA" w14:textId="208BA304" w:rsidR="00CB33FB" w:rsidRPr="006B77BB" w:rsidRDefault="00CB33FB" w:rsidP="0049325E">
            <w:pPr>
              <w:pStyle w:val="TableTextbold"/>
              <w:rPr>
                <w:color w:val="FFFFFF" w:themeColor="background1"/>
              </w:rPr>
            </w:pPr>
            <w:r>
              <w:rPr>
                <w:color w:val="FFFFFF" w:themeColor="background1"/>
              </w:rPr>
              <w:t>Stage 2 hearings</w:t>
            </w:r>
          </w:p>
        </w:tc>
        <w:tc>
          <w:tcPr>
            <w:tcW w:w="2500" w:type="pct"/>
            <w:shd w:val="clear" w:color="auto" w:fill="1B556B"/>
          </w:tcPr>
          <w:p w14:paraId="4C4F42E2" w14:textId="77777777" w:rsidR="00CB33FB" w:rsidRPr="006B77BB" w:rsidRDefault="00CB33FB" w:rsidP="0049325E">
            <w:pPr>
              <w:pStyle w:val="TableTextbold"/>
              <w:rPr>
                <w:color w:val="FFFFFF" w:themeColor="background1"/>
              </w:rPr>
            </w:pPr>
          </w:p>
        </w:tc>
      </w:tr>
      <w:tr w:rsidR="00CB33FB" w:rsidRPr="00CB33FB" w14:paraId="479A36CD" w14:textId="77777777" w:rsidTr="0049325E">
        <w:tc>
          <w:tcPr>
            <w:tcW w:w="2500" w:type="pct"/>
            <w:shd w:val="clear" w:color="auto" w:fill="auto"/>
          </w:tcPr>
          <w:p w14:paraId="15092A95" w14:textId="77777777" w:rsidR="00CB33FB" w:rsidRPr="00CB33FB" w:rsidRDefault="00CB33FB" w:rsidP="0049325E">
            <w:pPr>
              <w:pStyle w:val="TableText"/>
              <w:rPr>
                <w:b/>
                <w:bCs/>
              </w:rPr>
            </w:pPr>
            <w:r w:rsidRPr="00CB33FB">
              <w:rPr>
                <w:b/>
                <w:bCs/>
              </w:rPr>
              <w:t>Date</w:t>
            </w:r>
          </w:p>
        </w:tc>
        <w:tc>
          <w:tcPr>
            <w:tcW w:w="2500" w:type="pct"/>
            <w:shd w:val="clear" w:color="auto" w:fill="auto"/>
          </w:tcPr>
          <w:p w14:paraId="1BB3463C" w14:textId="77777777" w:rsidR="00CB33FB" w:rsidRPr="00CB33FB" w:rsidRDefault="00CB33FB" w:rsidP="0049325E">
            <w:pPr>
              <w:pStyle w:val="TableText"/>
              <w:rPr>
                <w:b/>
                <w:bCs/>
              </w:rPr>
            </w:pPr>
            <w:r>
              <w:rPr>
                <w:b/>
                <w:bCs/>
              </w:rPr>
              <w:t>Location</w:t>
            </w:r>
          </w:p>
        </w:tc>
      </w:tr>
      <w:tr w:rsidR="00CB33FB" w:rsidRPr="006B77BB" w14:paraId="3EEAE7A4" w14:textId="77777777" w:rsidTr="0049325E">
        <w:tc>
          <w:tcPr>
            <w:tcW w:w="2500" w:type="pct"/>
            <w:shd w:val="clear" w:color="auto" w:fill="auto"/>
          </w:tcPr>
          <w:p w14:paraId="0235297F" w14:textId="761D38EC" w:rsidR="00CB33FB" w:rsidRPr="006B77BB" w:rsidRDefault="00CB33FB" w:rsidP="00CB33FB">
            <w:pPr>
              <w:pStyle w:val="TableText"/>
            </w:pPr>
            <w:r w:rsidRPr="004F546A">
              <w:t>7-11 November 2016</w:t>
            </w:r>
          </w:p>
        </w:tc>
        <w:tc>
          <w:tcPr>
            <w:tcW w:w="2500" w:type="pct"/>
            <w:shd w:val="clear" w:color="auto" w:fill="auto"/>
          </w:tcPr>
          <w:p w14:paraId="4C85AA81" w14:textId="5A1DBDE1" w:rsidR="00CB33FB" w:rsidRPr="006B77BB" w:rsidRDefault="00CB33FB" w:rsidP="00CB33FB">
            <w:pPr>
              <w:pStyle w:val="TableText"/>
            </w:pPr>
            <w:proofErr w:type="spellStart"/>
            <w:r w:rsidRPr="004F546A">
              <w:t>Waiwhetu</w:t>
            </w:r>
            <w:proofErr w:type="spellEnd"/>
            <w:r w:rsidRPr="004F546A">
              <w:t xml:space="preserve"> Marae, Lower Hutt</w:t>
            </w:r>
          </w:p>
        </w:tc>
      </w:tr>
      <w:tr w:rsidR="00CB33FB" w:rsidRPr="006B77BB" w14:paraId="3DAC04DF" w14:textId="77777777" w:rsidTr="0049325E">
        <w:tc>
          <w:tcPr>
            <w:tcW w:w="2500" w:type="pct"/>
            <w:shd w:val="clear" w:color="auto" w:fill="auto"/>
          </w:tcPr>
          <w:p w14:paraId="355BC77C" w14:textId="420A3C3A" w:rsidR="00CB33FB" w:rsidRPr="006B77BB" w:rsidRDefault="00CB33FB" w:rsidP="00CB33FB">
            <w:pPr>
              <w:pStyle w:val="TableText"/>
            </w:pPr>
            <w:r w:rsidRPr="004F546A">
              <w:t>26-30 June 2017</w:t>
            </w:r>
          </w:p>
        </w:tc>
        <w:tc>
          <w:tcPr>
            <w:tcW w:w="2500" w:type="pct"/>
            <w:shd w:val="clear" w:color="auto" w:fill="auto"/>
          </w:tcPr>
          <w:p w14:paraId="1D00AAFA" w14:textId="1DB54E98" w:rsidR="00CB33FB" w:rsidRPr="006B77BB" w:rsidRDefault="00CB33FB" w:rsidP="00CB33FB">
            <w:pPr>
              <w:pStyle w:val="TableText"/>
            </w:pPr>
            <w:proofErr w:type="spellStart"/>
            <w:r w:rsidRPr="004F546A">
              <w:t>Ohope</w:t>
            </w:r>
            <w:proofErr w:type="spellEnd"/>
            <w:r w:rsidRPr="004F546A">
              <w:t xml:space="preserve"> Marae, </w:t>
            </w:r>
            <w:proofErr w:type="spellStart"/>
            <w:r w:rsidRPr="004F546A">
              <w:t>Ohope</w:t>
            </w:r>
            <w:proofErr w:type="spellEnd"/>
          </w:p>
        </w:tc>
      </w:tr>
      <w:tr w:rsidR="00CB33FB" w:rsidRPr="006B77BB" w14:paraId="61BB40AD" w14:textId="77777777" w:rsidTr="0049325E">
        <w:tc>
          <w:tcPr>
            <w:tcW w:w="2500" w:type="pct"/>
            <w:shd w:val="clear" w:color="auto" w:fill="auto"/>
          </w:tcPr>
          <w:p w14:paraId="678EFB97" w14:textId="4F94E8AC" w:rsidR="00CB33FB" w:rsidRPr="006B77BB" w:rsidRDefault="00CB33FB" w:rsidP="00CB33FB">
            <w:pPr>
              <w:pStyle w:val="TableText"/>
            </w:pPr>
            <w:r w:rsidRPr="004F546A">
              <w:t>13-17 August 2018</w:t>
            </w:r>
          </w:p>
        </w:tc>
        <w:tc>
          <w:tcPr>
            <w:tcW w:w="2500" w:type="pct"/>
            <w:shd w:val="clear" w:color="auto" w:fill="auto"/>
          </w:tcPr>
          <w:p w14:paraId="7356BDC6" w14:textId="1EAEE4F4" w:rsidR="00CB33FB" w:rsidRPr="006B77BB" w:rsidRDefault="00CB33FB" w:rsidP="00CB33FB">
            <w:pPr>
              <w:pStyle w:val="TableText"/>
            </w:pPr>
            <w:r w:rsidRPr="004F546A">
              <w:t>Waitangi Tribunal offices, Wellington</w:t>
            </w:r>
          </w:p>
        </w:tc>
      </w:tr>
      <w:tr w:rsidR="00CB33FB" w:rsidRPr="006B77BB" w14:paraId="41A1F2A2" w14:textId="77777777" w:rsidTr="0049325E">
        <w:tc>
          <w:tcPr>
            <w:tcW w:w="2500" w:type="pct"/>
            <w:shd w:val="clear" w:color="auto" w:fill="auto"/>
          </w:tcPr>
          <w:p w14:paraId="3489C1B1" w14:textId="36922FA5" w:rsidR="00CB33FB" w:rsidRPr="006B77BB" w:rsidRDefault="00CB33FB" w:rsidP="00CB33FB">
            <w:pPr>
              <w:pStyle w:val="TableText"/>
            </w:pPr>
            <w:r w:rsidRPr="004F546A">
              <w:t>26-30 November 2018</w:t>
            </w:r>
          </w:p>
        </w:tc>
        <w:tc>
          <w:tcPr>
            <w:tcW w:w="2500" w:type="pct"/>
            <w:shd w:val="clear" w:color="auto" w:fill="auto"/>
          </w:tcPr>
          <w:p w14:paraId="23D87234" w14:textId="213A9FF7" w:rsidR="00CB33FB" w:rsidRPr="006B77BB" w:rsidRDefault="00CB33FB" w:rsidP="00CB33FB">
            <w:pPr>
              <w:pStyle w:val="TableText"/>
            </w:pPr>
            <w:r w:rsidRPr="004F546A">
              <w:t>Waitangi Tribunal offices, Wellington</w:t>
            </w:r>
          </w:p>
        </w:tc>
      </w:tr>
    </w:tbl>
    <w:p w14:paraId="54C541B7" w14:textId="77777777" w:rsidR="00CB33FB" w:rsidRDefault="00CB33FB" w:rsidP="00CB33FB">
      <w:pPr>
        <w:pStyle w:val="BodyText"/>
      </w:pPr>
    </w:p>
    <w:p w14:paraId="5B1A2F44" w14:textId="132FFA87" w:rsidR="00CB33FB" w:rsidRDefault="00CB33FB">
      <w:pPr>
        <w:spacing w:before="0" w:after="200" w:line="276" w:lineRule="auto"/>
        <w:jc w:val="left"/>
      </w:pPr>
      <w:r>
        <w:br w:type="page"/>
      </w:r>
    </w:p>
    <w:p w14:paraId="7481946C" w14:textId="77777777" w:rsidR="003E5EF2" w:rsidRDefault="003E5EF2" w:rsidP="00CB33FB">
      <w:pPr>
        <w:pStyle w:val="Heading1"/>
      </w:pPr>
      <w:bookmarkStart w:id="1" w:name="_Toc183603481"/>
      <w:r>
        <w:lastRenderedPageBreak/>
        <w:t>How will the retrospective claimant funding policy for Stages 1 and 2 differ from the Stage 3 claimant funding policy?</w:t>
      </w:r>
      <w:bookmarkEnd w:id="1"/>
    </w:p>
    <w:p w14:paraId="2A27E2BB" w14:textId="77777777" w:rsidR="003E5EF2" w:rsidRDefault="003E5EF2" w:rsidP="003E5EF2">
      <w:pPr>
        <w:pStyle w:val="BodyText"/>
      </w:pPr>
      <w:r>
        <w:t xml:space="preserve">Stage 3 participants </w:t>
      </w:r>
      <w:proofErr w:type="gramStart"/>
      <w:r>
        <w:t>are able to</w:t>
      </w:r>
      <w:proofErr w:type="gramEnd"/>
      <w:r>
        <w:t xml:space="preserve"> seek claimant funding prior to, or shortly after, the hearings. Further, Stage 3 claimants and interested parties </w:t>
      </w:r>
      <w:proofErr w:type="gramStart"/>
      <w:r>
        <w:t>are able to</w:t>
      </w:r>
      <w:proofErr w:type="gramEnd"/>
      <w:r>
        <w:t xml:space="preserve"> seek funding based on the actual and reasonable amounts of their costs, either through reimbursement or requesting that the Ministry make travel and accommodation bookings on their behalf.</w:t>
      </w:r>
    </w:p>
    <w:p w14:paraId="5731DE33" w14:textId="77777777" w:rsidR="003E5EF2" w:rsidRDefault="003E5EF2" w:rsidP="003E5EF2">
      <w:pPr>
        <w:pStyle w:val="BodyText"/>
      </w:pPr>
      <w:r>
        <w:t>Given the passage of time since the Stage 1 and 2 hearings, there are two challenges in providing retrospective claimant funding, compared to Stage 3:</w:t>
      </w:r>
    </w:p>
    <w:p w14:paraId="2F262232" w14:textId="7D0D8E62" w:rsidR="003E5EF2" w:rsidRDefault="003E5EF2" w:rsidP="00CB33FB">
      <w:pPr>
        <w:pStyle w:val="Bullet"/>
      </w:pPr>
      <w:r>
        <w:t>confirming the participants; and</w:t>
      </w:r>
    </w:p>
    <w:p w14:paraId="64FA9F92" w14:textId="32F10A1F" w:rsidR="003E5EF2" w:rsidRDefault="003E5EF2" w:rsidP="00CB33FB">
      <w:pPr>
        <w:pStyle w:val="Bullet"/>
      </w:pPr>
      <w:r>
        <w:t>identifying the costs for those participants.</w:t>
      </w:r>
    </w:p>
    <w:p w14:paraId="7DC881D9" w14:textId="77777777" w:rsidR="003E5EF2" w:rsidRDefault="003E5EF2" w:rsidP="003E5EF2">
      <w:pPr>
        <w:pStyle w:val="BodyText"/>
      </w:pPr>
      <w:r>
        <w:t>While we know who spoke at the Stage 1 and 2 hearings by searching the Tribunal transcripts, there are likely to be many more who attended but did not speak at the hearings. There are no available records of the total number of participants in these hearings, so we are pro-actively reaching out to claimants and interested parties, via their counsel and individually, to invite them to seek retrospective funding if they participated.</w:t>
      </w:r>
    </w:p>
    <w:p w14:paraId="102A4B8F" w14:textId="77777777" w:rsidR="003E5EF2" w:rsidRDefault="003E5EF2" w:rsidP="003E5EF2">
      <w:pPr>
        <w:pStyle w:val="BodyText"/>
      </w:pPr>
      <w:r>
        <w:t>The other challenge is meeting the current policy standard of providing evidence of the actual and reasonable costs, for expenses such as travel and accommodation, incurred by those who participated in the Stage 1 and 2 hearings. We do not think it would be reasonable for the Ministry to expect claimants and interested parties to be able to provide detailed records of such expenses, dating back to as long as twelve years ago, to be eligible for funding.</w:t>
      </w:r>
    </w:p>
    <w:p w14:paraId="41A16BD0" w14:textId="41994631" w:rsidR="003E5EF2" w:rsidRDefault="003E5EF2" w:rsidP="003E5EF2">
      <w:pPr>
        <w:pStyle w:val="BodyText"/>
      </w:pPr>
      <w:r>
        <w:t>Instead, our approach will be to ask claimants and interested parties to complete the attached application form (also available here</w:t>
      </w:r>
      <w:r w:rsidR="00847FF7">
        <w:t xml:space="preserve"> </w:t>
      </w:r>
      <w:hyperlink r:id="rId19" w:history="1">
        <w:r w:rsidR="00847FF7" w:rsidRPr="00DA4115">
          <w:rPr>
            <w:rStyle w:val="Hyperlink"/>
          </w:rPr>
          <w:t>https://environment.govt.nz/publications/waitangi-tribunal-national-fresh-water-and-geothermal-resources-inquiry-wai-2358-stages-1-and-2-retrospective-claimant-funding-application-form</w:t>
        </w:r>
      </w:hyperlink>
      <w:r>
        <w:t>, by answering a series of high-level questions about their participation in the hearings. Claimants will be asked to sign the form to attest that their responses to these questions are made to the best of their recollection.</w:t>
      </w:r>
    </w:p>
    <w:p w14:paraId="68B1F39C" w14:textId="77777777" w:rsidR="003E5EF2" w:rsidRDefault="003E5EF2" w:rsidP="003E5EF2">
      <w:pPr>
        <w:pStyle w:val="BodyText"/>
      </w:pPr>
      <w:r>
        <w:t>The Ministry will use the responses to these questions to determine the total amount of funding each claimant and interested party is eligible for, by applying standardised rates for each type of cost.</w:t>
      </w:r>
    </w:p>
    <w:p w14:paraId="1026AC3E" w14:textId="77777777" w:rsidR="003C0ABD" w:rsidRDefault="003C0ABD">
      <w:pPr>
        <w:spacing w:before="0" w:after="200" w:line="276" w:lineRule="auto"/>
        <w:jc w:val="left"/>
        <w:rPr>
          <w:rFonts w:ascii="Georgia" w:eastAsiaTheme="majorEastAsia" w:hAnsi="Georgia" w:cstheme="majorBidi"/>
          <w:b/>
          <w:bCs/>
          <w:color w:val="1B556B"/>
          <w:sz w:val="48"/>
          <w:szCs w:val="28"/>
        </w:rPr>
      </w:pPr>
      <w:r>
        <w:br w:type="page"/>
      </w:r>
    </w:p>
    <w:p w14:paraId="3CCFE48D" w14:textId="18E7D016" w:rsidR="003E5EF2" w:rsidRDefault="003E5EF2" w:rsidP="003C0ABD">
      <w:pPr>
        <w:pStyle w:val="Heading1"/>
      </w:pPr>
      <w:bookmarkStart w:id="2" w:name="_Toc183603482"/>
      <w:r>
        <w:lastRenderedPageBreak/>
        <w:t>Who is eligible for retrospective claimant funding?</w:t>
      </w:r>
      <w:bookmarkEnd w:id="2"/>
    </w:p>
    <w:p w14:paraId="0E7FC2C7" w14:textId="77777777" w:rsidR="003E5EF2" w:rsidRDefault="003E5EF2" w:rsidP="003E5EF2">
      <w:pPr>
        <w:pStyle w:val="BodyText"/>
      </w:pPr>
      <w:r>
        <w:t>Consistent with the funding policy for Stage 3 participants, retrospective claimant funding may be available to the following participants in Stages 1 and/or 2 of the inquiry:</w:t>
      </w:r>
    </w:p>
    <w:p w14:paraId="565FFFB1" w14:textId="07AA0842" w:rsidR="003E5EF2" w:rsidRDefault="003E5EF2" w:rsidP="003C0ABD">
      <w:pPr>
        <w:pStyle w:val="Bullet"/>
      </w:pPr>
      <w:r>
        <w:t xml:space="preserve">claimants </w:t>
      </w:r>
    </w:p>
    <w:p w14:paraId="3BE11A5E" w14:textId="50703EF6" w:rsidR="003E5EF2" w:rsidRDefault="003E5EF2" w:rsidP="003C0ABD">
      <w:pPr>
        <w:pStyle w:val="Bullet"/>
      </w:pPr>
      <w:r>
        <w:t>claimant witnesses; and</w:t>
      </w:r>
    </w:p>
    <w:p w14:paraId="45BD65A9" w14:textId="23CD9C18" w:rsidR="003E5EF2" w:rsidRDefault="003E5EF2" w:rsidP="003C0ABD">
      <w:pPr>
        <w:pStyle w:val="Bullet"/>
      </w:pPr>
      <w:r>
        <w:t>up to three support people per claimant, or per claimant witness who gave evidence or presented to the Tribunal hearing.</w:t>
      </w:r>
    </w:p>
    <w:p w14:paraId="0DF1D240" w14:textId="77777777" w:rsidR="003E5EF2" w:rsidRDefault="003E5EF2" w:rsidP="003E5EF2">
      <w:pPr>
        <w:pStyle w:val="BodyText"/>
      </w:pPr>
      <w:r>
        <w:t>Interested parties (including their witnesses and support people) can also access funding if they:</w:t>
      </w:r>
    </w:p>
    <w:p w14:paraId="111B8A2A" w14:textId="48DAA76E" w:rsidR="003E5EF2" w:rsidRDefault="003E5EF2" w:rsidP="003C0ABD">
      <w:pPr>
        <w:pStyle w:val="Bullet"/>
      </w:pPr>
      <w:r>
        <w:t xml:space="preserve">were identified by the Tribunal as an interested party in Wai </w:t>
      </w:r>
      <w:proofErr w:type="gramStart"/>
      <w:r>
        <w:t>2358;</w:t>
      </w:r>
      <w:proofErr w:type="gramEnd"/>
      <w:r>
        <w:t xml:space="preserve"> </w:t>
      </w:r>
    </w:p>
    <w:p w14:paraId="6890277A" w14:textId="085B564E" w:rsidR="003E5EF2" w:rsidRDefault="003E5EF2" w:rsidP="003C0ABD">
      <w:pPr>
        <w:pStyle w:val="Bullet"/>
      </w:pPr>
      <w:r>
        <w:t xml:space="preserve">were eligible to make a Tribunal claim; and </w:t>
      </w:r>
    </w:p>
    <w:p w14:paraId="7D475253" w14:textId="3A6CF48B" w:rsidR="003E5EF2" w:rsidRDefault="003E5EF2" w:rsidP="003C0ABD">
      <w:pPr>
        <w:pStyle w:val="Bullet"/>
      </w:pPr>
      <w:r>
        <w:t xml:space="preserve">participated in Stages 1 and/or 2 of Wai 2358. </w:t>
      </w:r>
    </w:p>
    <w:p w14:paraId="342E46A5" w14:textId="77777777" w:rsidR="003E5EF2" w:rsidRDefault="003E5EF2" w:rsidP="003E5EF2">
      <w:pPr>
        <w:pStyle w:val="BodyText"/>
      </w:pPr>
      <w:r>
        <w:t xml:space="preserve">Where claimants or interested parties are in the name of entities such as trusts, the Ministry will provide funding to a representative or representatives of that entity who participated in Stages 1 and/or 2. </w:t>
      </w:r>
    </w:p>
    <w:p w14:paraId="6E58F198" w14:textId="77777777" w:rsidR="003E5EF2" w:rsidRDefault="003E5EF2" w:rsidP="003E5EF2">
      <w:pPr>
        <w:pStyle w:val="BodyText"/>
      </w:pPr>
      <w:r>
        <w:t xml:space="preserve">We are aware of </w:t>
      </w:r>
      <w:proofErr w:type="gramStart"/>
      <w:r>
        <w:t>a number of</w:t>
      </w:r>
      <w:proofErr w:type="gramEnd"/>
      <w:r>
        <w:t xml:space="preserve"> instances where, sadly, some claimants or interested parties have passed away since the Stage 1 and 2 hearings. The next-of-kin or beneficiaries of those claimants or interested parties will be able to seek the funding which would have otherwise been available to them. </w:t>
      </w:r>
    </w:p>
    <w:p w14:paraId="65394343" w14:textId="77777777" w:rsidR="003E5EF2" w:rsidRDefault="003E5EF2" w:rsidP="003E5EF2">
      <w:pPr>
        <w:pStyle w:val="BodyText"/>
      </w:pPr>
      <w:r>
        <w:t>Claimants or interested parties who are named in more than one claim can only be funded once for participating in a particular hearing.</w:t>
      </w:r>
    </w:p>
    <w:p w14:paraId="60D642AC" w14:textId="77777777" w:rsidR="003E5EF2" w:rsidRDefault="003E5EF2" w:rsidP="003E5EF2">
      <w:pPr>
        <w:pStyle w:val="BodyText"/>
      </w:pPr>
      <w:r>
        <w:t>Witnesses whose participation was funded through other sources, such as legal aid or Crown Forestry Rental Trust funding, are not eligible for retrospective claimant funding for the same costs.</w:t>
      </w:r>
    </w:p>
    <w:p w14:paraId="45AEA891" w14:textId="77777777" w:rsidR="003C0ABD" w:rsidRDefault="003C0ABD">
      <w:pPr>
        <w:spacing w:before="0" w:after="200" w:line="276" w:lineRule="auto"/>
        <w:jc w:val="left"/>
      </w:pPr>
      <w:r>
        <w:br w:type="page"/>
      </w:r>
    </w:p>
    <w:p w14:paraId="288D570F" w14:textId="29FC0DEB" w:rsidR="003E5EF2" w:rsidRDefault="003E5EF2" w:rsidP="003C0ABD">
      <w:pPr>
        <w:pStyle w:val="Heading1"/>
      </w:pPr>
      <w:bookmarkStart w:id="3" w:name="_Toc183603483"/>
      <w:r>
        <w:lastRenderedPageBreak/>
        <w:t>What funding may be provided?</w:t>
      </w:r>
      <w:bookmarkEnd w:id="3"/>
    </w:p>
    <w:p w14:paraId="5151A7C6" w14:textId="77777777" w:rsidR="003E5EF2" w:rsidRDefault="003E5EF2" w:rsidP="003C0ABD">
      <w:pPr>
        <w:pStyle w:val="BodyText"/>
        <w:spacing w:after="240"/>
      </w:pPr>
      <w:r>
        <w:t>As noted above, the Ministry will ask claimants, interested parties and support people to complete an application form which asks a series of questions about their participation in Stage 1 and/or 2 hearings. The Ministry will use the information gathered to determine the amount of retrospective claimant funding to be paid. This will be calculated using standard rates for each cost category, as set out in the following table:</w:t>
      </w:r>
    </w:p>
    <w:tbl>
      <w:tblPr>
        <w:tblStyle w:val="TableGrid"/>
        <w:tblW w:w="5001" w:type="pct"/>
        <w:tblBorders>
          <w:top w:val="single" w:sz="4" w:space="0" w:color="1B556B"/>
          <w:left w:val="none" w:sz="0" w:space="0" w:color="auto"/>
          <w:bottom w:val="single" w:sz="4" w:space="0" w:color="1B556B"/>
          <w:right w:val="none" w:sz="0" w:space="0" w:color="auto"/>
          <w:insideH w:val="single" w:sz="4" w:space="0" w:color="1B556B"/>
          <w:insideV w:val="single" w:sz="4" w:space="0" w:color="1B556B"/>
        </w:tblBorders>
        <w:tblLook w:val="04A0" w:firstRow="1" w:lastRow="0" w:firstColumn="1" w:lastColumn="0" w:noHBand="0" w:noVBand="1"/>
      </w:tblPr>
      <w:tblGrid>
        <w:gridCol w:w="1667"/>
        <w:gridCol w:w="3420"/>
        <w:gridCol w:w="3420"/>
      </w:tblGrid>
      <w:tr w:rsidR="003913D9" w:rsidRPr="006B77BB" w14:paraId="53E11F5A" w14:textId="77777777" w:rsidTr="00C10E01">
        <w:trPr>
          <w:tblHeader/>
        </w:trPr>
        <w:tc>
          <w:tcPr>
            <w:tcW w:w="4999" w:type="pct"/>
            <w:gridSpan w:val="3"/>
            <w:shd w:val="clear" w:color="auto" w:fill="1B556B"/>
          </w:tcPr>
          <w:p w14:paraId="4A705E5E" w14:textId="22E8B635" w:rsidR="003913D9" w:rsidRPr="006B77BB" w:rsidRDefault="003913D9" w:rsidP="0049325E">
            <w:pPr>
              <w:pStyle w:val="TableTextbold"/>
              <w:rPr>
                <w:color w:val="FFFFFF" w:themeColor="background1"/>
              </w:rPr>
            </w:pPr>
            <w:r w:rsidRPr="003913D9">
              <w:rPr>
                <w:color w:val="FFFFFF" w:themeColor="background1"/>
              </w:rPr>
              <w:t>Standard rates for retrospective claimant funding</w:t>
            </w:r>
          </w:p>
        </w:tc>
      </w:tr>
      <w:tr w:rsidR="003913D9" w:rsidRPr="003913D9" w14:paraId="6A8A7B09" w14:textId="77777777" w:rsidTr="00C10E01">
        <w:tc>
          <w:tcPr>
            <w:tcW w:w="979" w:type="pct"/>
            <w:shd w:val="clear" w:color="auto" w:fill="auto"/>
          </w:tcPr>
          <w:p w14:paraId="7E7CAC6A" w14:textId="0A9788F6" w:rsidR="003913D9" w:rsidRPr="003913D9" w:rsidRDefault="003913D9" w:rsidP="003913D9">
            <w:pPr>
              <w:pStyle w:val="TableText"/>
              <w:rPr>
                <w:b/>
                <w:bCs/>
              </w:rPr>
            </w:pPr>
            <w:r w:rsidRPr="003913D9">
              <w:rPr>
                <w:b/>
                <w:bCs/>
              </w:rPr>
              <w:t>Cost category</w:t>
            </w:r>
          </w:p>
        </w:tc>
        <w:tc>
          <w:tcPr>
            <w:tcW w:w="2010" w:type="pct"/>
          </w:tcPr>
          <w:p w14:paraId="399FDD93" w14:textId="726E067A" w:rsidR="003913D9" w:rsidRPr="003913D9" w:rsidRDefault="003913D9" w:rsidP="003913D9">
            <w:pPr>
              <w:pStyle w:val="TableText"/>
              <w:rPr>
                <w:b/>
                <w:bCs/>
              </w:rPr>
            </w:pPr>
            <w:r w:rsidRPr="003913D9">
              <w:rPr>
                <w:b/>
                <w:bCs/>
              </w:rPr>
              <w:t>Amount</w:t>
            </w:r>
          </w:p>
        </w:tc>
        <w:tc>
          <w:tcPr>
            <w:tcW w:w="2010" w:type="pct"/>
            <w:shd w:val="clear" w:color="auto" w:fill="auto"/>
          </w:tcPr>
          <w:p w14:paraId="0FEF4DDB" w14:textId="01FB709B" w:rsidR="003913D9" w:rsidRPr="003913D9" w:rsidRDefault="003913D9" w:rsidP="003913D9">
            <w:pPr>
              <w:pStyle w:val="TableText"/>
              <w:rPr>
                <w:b/>
                <w:bCs/>
              </w:rPr>
            </w:pPr>
            <w:r w:rsidRPr="003913D9">
              <w:rPr>
                <w:b/>
                <w:bCs/>
              </w:rPr>
              <w:t>Rationale</w:t>
            </w:r>
          </w:p>
        </w:tc>
      </w:tr>
      <w:tr w:rsidR="003913D9" w:rsidRPr="006B77BB" w14:paraId="66D731AA" w14:textId="77777777" w:rsidTr="00C10E01">
        <w:tc>
          <w:tcPr>
            <w:tcW w:w="979" w:type="pct"/>
            <w:shd w:val="clear" w:color="auto" w:fill="auto"/>
          </w:tcPr>
          <w:p w14:paraId="5D9EF61D" w14:textId="09672444" w:rsidR="003913D9" w:rsidRPr="001100EB" w:rsidRDefault="003913D9" w:rsidP="001100EB">
            <w:pPr>
              <w:pStyle w:val="TableText"/>
            </w:pPr>
            <w:r w:rsidRPr="001100EB">
              <w:t>Travel – flights</w:t>
            </w:r>
          </w:p>
        </w:tc>
        <w:tc>
          <w:tcPr>
            <w:tcW w:w="2010" w:type="pct"/>
          </w:tcPr>
          <w:p w14:paraId="1F028EF6" w14:textId="4780FB19" w:rsidR="003913D9" w:rsidRPr="001100EB" w:rsidRDefault="003913D9" w:rsidP="001100EB">
            <w:pPr>
              <w:pStyle w:val="TableText"/>
            </w:pPr>
            <w:r w:rsidRPr="001100EB">
              <w:t>$500 for return trip, including transfers.</w:t>
            </w:r>
          </w:p>
        </w:tc>
        <w:tc>
          <w:tcPr>
            <w:tcW w:w="2010" w:type="pct"/>
            <w:shd w:val="clear" w:color="auto" w:fill="auto"/>
          </w:tcPr>
          <w:p w14:paraId="36549B51" w14:textId="0C4DC8C6" w:rsidR="003913D9" w:rsidRPr="001100EB" w:rsidRDefault="001100EB" w:rsidP="001100EB">
            <w:pPr>
              <w:pStyle w:val="TableText"/>
            </w:pPr>
            <w:r w:rsidRPr="001100EB">
              <w:t xml:space="preserve">Comparable to the amounts provided to participants in the Wai 2700 (Mana Wahine – 2021) and the Wai 2575 (Health – 2022) </w:t>
            </w:r>
            <w:proofErr w:type="spellStart"/>
            <w:r w:rsidRPr="001100EB">
              <w:t>kaupapa</w:t>
            </w:r>
            <w:proofErr w:type="spellEnd"/>
            <w:r w:rsidRPr="001100EB">
              <w:t xml:space="preserve"> inquiries.</w:t>
            </w:r>
          </w:p>
        </w:tc>
      </w:tr>
      <w:tr w:rsidR="003913D9" w:rsidRPr="006B77BB" w14:paraId="052FA0F3" w14:textId="77777777" w:rsidTr="00C10E01">
        <w:tc>
          <w:tcPr>
            <w:tcW w:w="979" w:type="pct"/>
            <w:shd w:val="clear" w:color="auto" w:fill="auto"/>
          </w:tcPr>
          <w:p w14:paraId="68992C49" w14:textId="3A2DC0A7" w:rsidR="003913D9" w:rsidRPr="001100EB" w:rsidRDefault="003913D9" w:rsidP="001100EB">
            <w:pPr>
              <w:pStyle w:val="TableText"/>
            </w:pPr>
            <w:r w:rsidRPr="001100EB">
              <w:t>Travel – mileage</w:t>
            </w:r>
          </w:p>
        </w:tc>
        <w:tc>
          <w:tcPr>
            <w:tcW w:w="2010" w:type="pct"/>
          </w:tcPr>
          <w:p w14:paraId="26DD5CA4" w14:textId="0844A6F4" w:rsidR="003913D9" w:rsidRPr="001100EB" w:rsidRDefault="003913D9" w:rsidP="001100EB">
            <w:pPr>
              <w:pStyle w:val="TableText"/>
            </w:pPr>
            <w:r w:rsidRPr="001100EB">
              <w:t>At the standard IRD per km rate at the time of the hearing (the Ministry will calculate this based on the claimants’ home location at the time and the location of the hearing).</w:t>
            </w:r>
          </w:p>
        </w:tc>
        <w:tc>
          <w:tcPr>
            <w:tcW w:w="2010" w:type="pct"/>
            <w:shd w:val="clear" w:color="auto" w:fill="auto"/>
          </w:tcPr>
          <w:p w14:paraId="5744CB14" w14:textId="4CC5A1C7" w:rsidR="003913D9" w:rsidRPr="001100EB" w:rsidRDefault="003913D9" w:rsidP="001100EB">
            <w:pPr>
              <w:pStyle w:val="TableText"/>
            </w:pPr>
            <w:r w:rsidRPr="001100EB">
              <w:t>Consistent with the interim common claimant funding policy and previous inquiries.</w:t>
            </w:r>
          </w:p>
        </w:tc>
      </w:tr>
      <w:tr w:rsidR="003913D9" w:rsidRPr="006B77BB" w14:paraId="465E440E" w14:textId="77777777" w:rsidTr="00C10E01">
        <w:tc>
          <w:tcPr>
            <w:tcW w:w="979" w:type="pct"/>
            <w:shd w:val="clear" w:color="auto" w:fill="auto"/>
          </w:tcPr>
          <w:p w14:paraId="0F3E4639" w14:textId="54E70B5C" w:rsidR="003913D9" w:rsidRPr="001100EB" w:rsidRDefault="003913D9" w:rsidP="001100EB">
            <w:pPr>
              <w:pStyle w:val="TableText"/>
            </w:pPr>
            <w:r w:rsidRPr="001100EB">
              <w:t xml:space="preserve">Accommodation </w:t>
            </w:r>
            <w:r w:rsidR="00C10E01" w:rsidRPr="001100EB">
              <w:br/>
            </w:r>
            <w:r w:rsidRPr="001100EB">
              <w:t>– commercial</w:t>
            </w:r>
          </w:p>
        </w:tc>
        <w:tc>
          <w:tcPr>
            <w:tcW w:w="2010" w:type="pct"/>
          </w:tcPr>
          <w:p w14:paraId="7C6DB16F" w14:textId="1BB2DF94" w:rsidR="003913D9" w:rsidRPr="001100EB" w:rsidRDefault="003913D9" w:rsidP="001100EB">
            <w:pPr>
              <w:pStyle w:val="TableText"/>
            </w:pPr>
            <w:r w:rsidRPr="001100EB">
              <w:t>$200 per day attending the hearing.</w:t>
            </w:r>
          </w:p>
        </w:tc>
        <w:tc>
          <w:tcPr>
            <w:tcW w:w="2010" w:type="pct"/>
            <w:shd w:val="clear" w:color="auto" w:fill="auto"/>
          </w:tcPr>
          <w:p w14:paraId="6318B82B" w14:textId="38380091" w:rsidR="003913D9" w:rsidRPr="001100EB" w:rsidRDefault="003913D9" w:rsidP="001100EB">
            <w:pPr>
              <w:pStyle w:val="TableText"/>
            </w:pPr>
            <w:r w:rsidRPr="001100EB">
              <w:t>Comparable to the rates for the Wai 2915 (</w:t>
            </w:r>
            <w:proofErr w:type="spellStart"/>
            <w:r w:rsidRPr="001100EB">
              <w:t>Oranga</w:t>
            </w:r>
            <w:proofErr w:type="spellEnd"/>
            <w:r w:rsidRPr="001100EB">
              <w:t xml:space="preserve"> Tamariki – 2020), Wai 2700, Wai 2750 (Housing – 2021), Wai 2575, Wai 3060 (Justice – 2022), and Wai 2660 (Marine and Coastal Area – 2022) inquiries.</w:t>
            </w:r>
          </w:p>
        </w:tc>
      </w:tr>
      <w:tr w:rsidR="003913D9" w:rsidRPr="006B77BB" w14:paraId="1EA6651C" w14:textId="77777777" w:rsidTr="00C10E01">
        <w:tc>
          <w:tcPr>
            <w:tcW w:w="979" w:type="pct"/>
            <w:shd w:val="clear" w:color="auto" w:fill="auto"/>
          </w:tcPr>
          <w:p w14:paraId="29659F49" w14:textId="3EABAD47" w:rsidR="003913D9" w:rsidRPr="001100EB" w:rsidRDefault="003913D9" w:rsidP="001100EB">
            <w:pPr>
              <w:pStyle w:val="TableText"/>
            </w:pPr>
            <w:r w:rsidRPr="001100EB">
              <w:t xml:space="preserve">Accommodation </w:t>
            </w:r>
            <w:r w:rsidR="00C10E01" w:rsidRPr="001100EB">
              <w:br/>
            </w:r>
            <w:r w:rsidRPr="001100EB">
              <w:t>– private residence or marae</w:t>
            </w:r>
          </w:p>
        </w:tc>
        <w:tc>
          <w:tcPr>
            <w:tcW w:w="2010" w:type="pct"/>
          </w:tcPr>
          <w:p w14:paraId="0458AAB0" w14:textId="1172E23A" w:rsidR="003913D9" w:rsidRPr="001100EB" w:rsidRDefault="003913D9" w:rsidP="001100EB">
            <w:pPr>
              <w:pStyle w:val="TableText"/>
            </w:pPr>
            <w:r w:rsidRPr="001100EB">
              <w:t>$50 per day attending the hearing.</w:t>
            </w:r>
          </w:p>
        </w:tc>
        <w:tc>
          <w:tcPr>
            <w:tcW w:w="2010" w:type="pct"/>
            <w:shd w:val="clear" w:color="auto" w:fill="auto"/>
          </w:tcPr>
          <w:p w14:paraId="3A9C70F6" w14:textId="7F5D8D74" w:rsidR="003913D9" w:rsidRPr="001100EB" w:rsidRDefault="003913D9" w:rsidP="001100EB">
            <w:pPr>
              <w:pStyle w:val="TableText"/>
            </w:pPr>
            <w:r w:rsidRPr="001100EB">
              <w:t>Consistent with the amount provided for Wai 2660 claimants.</w:t>
            </w:r>
          </w:p>
        </w:tc>
      </w:tr>
      <w:tr w:rsidR="003913D9" w:rsidRPr="006B77BB" w14:paraId="2D049A2D" w14:textId="77777777" w:rsidTr="00C10E01">
        <w:tc>
          <w:tcPr>
            <w:tcW w:w="979" w:type="pct"/>
            <w:shd w:val="clear" w:color="auto" w:fill="auto"/>
          </w:tcPr>
          <w:p w14:paraId="121F74A8" w14:textId="430898CC" w:rsidR="003913D9" w:rsidRPr="001100EB" w:rsidRDefault="003913D9" w:rsidP="001100EB">
            <w:pPr>
              <w:pStyle w:val="TableText"/>
            </w:pPr>
            <w:r w:rsidRPr="001100EB">
              <w:t>Food</w:t>
            </w:r>
          </w:p>
        </w:tc>
        <w:tc>
          <w:tcPr>
            <w:tcW w:w="2010" w:type="pct"/>
          </w:tcPr>
          <w:p w14:paraId="5BCB1C55" w14:textId="3BDA951D" w:rsidR="003913D9" w:rsidRPr="001100EB" w:rsidRDefault="003913D9" w:rsidP="001100EB">
            <w:pPr>
              <w:pStyle w:val="TableText"/>
            </w:pPr>
            <w:r w:rsidRPr="001100EB">
              <w:t>$50 per day.</w:t>
            </w:r>
          </w:p>
        </w:tc>
        <w:tc>
          <w:tcPr>
            <w:tcW w:w="2010" w:type="pct"/>
            <w:shd w:val="clear" w:color="auto" w:fill="auto"/>
          </w:tcPr>
          <w:p w14:paraId="1A0AD7C7" w14:textId="4B974C8E" w:rsidR="003913D9" w:rsidRPr="001100EB" w:rsidRDefault="003913D9" w:rsidP="001100EB">
            <w:pPr>
              <w:pStyle w:val="TableText"/>
            </w:pPr>
            <w:r w:rsidRPr="001100EB">
              <w:t>Comparable to the rates for the Wai 2915, Wai 2700, Wai 2750, and Wai 2575 inquiries.</w:t>
            </w:r>
          </w:p>
        </w:tc>
      </w:tr>
    </w:tbl>
    <w:p w14:paraId="7C52BA31" w14:textId="77777777" w:rsidR="001100EB" w:rsidRDefault="001100EB" w:rsidP="001100EB">
      <w:pPr>
        <w:pStyle w:val="BodyText"/>
      </w:pPr>
    </w:p>
    <w:p w14:paraId="6BF8036B" w14:textId="77777777" w:rsidR="001100EB" w:rsidRDefault="001100EB">
      <w:pPr>
        <w:spacing w:before="0" w:after="200" w:line="276" w:lineRule="auto"/>
        <w:jc w:val="left"/>
        <w:rPr>
          <w:rFonts w:ascii="Georgia" w:eastAsiaTheme="majorEastAsia" w:hAnsi="Georgia" w:cstheme="majorBidi"/>
          <w:b/>
          <w:bCs/>
          <w:color w:val="1B556B"/>
          <w:sz w:val="48"/>
          <w:szCs w:val="28"/>
        </w:rPr>
      </w:pPr>
      <w:r>
        <w:br w:type="page"/>
      </w:r>
    </w:p>
    <w:p w14:paraId="24B96B2A" w14:textId="0CBDE49D" w:rsidR="003E5EF2" w:rsidRDefault="003E5EF2" w:rsidP="00BB2E17">
      <w:pPr>
        <w:pStyle w:val="Heading1"/>
        <w:spacing w:before="720"/>
      </w:pPr>
      <w:bookmarkStart w:id="4" w:name="_Toc183603484"/>
      <w:r>
        <w:lastRenderedPageBreak/>
        <w:t>What will not be funded?</w:t>
      </w:r>
      <w:bookmarkEnd w:id="4"/>
    </w:p>
    <w:p w14:paraId="7850F435" w14:textId="77777777" w:rsidR="003E5EF2" w:rsidRDefault="003E5EF2" w:rsidP="003E5EF2">
      <w:pPr>
        <w:pStyle w:val="BodyText"/>
      </w:pPr>
      <w:r>
        <w:t xml:space="preserve">While the interim common claimant funding policy allows funding to be provided for preparatory hui, it is much more difficult to verify such hui on a historical basis (unless counsel hold records, for example). Accordingly, claimants or interested parties who wish to seek retrospective claimant funding for preparatory hui will need to provide further information, such as minutes of the hui, before the Ministry will consider making a payment. </w:t>
      </w:r>
    </w:p>
    <w:p w14:paraId="54B5A02C" w14:textId="77777777" w:rsidR="003E5EF2" w:rsidRDefault="003E5EF2" w:rsidP="003E5EF2">
      <w:pPr>
        <w:pStyle w:val="BodyText"/>
      </w:pPr>
      <w:r>
        <w:t xml:space="preserve">Although the interim common claimant funding policy also enables claimants to seek funding to undertake research to support their claims, this must be agreed with the lead agency in advance. Given the retrospective nature of claimant funding for Stages 1 and 2 of the Wai 2358 inquiry, and the fact that agreement to fund research in advance would not have been possible in this instance, research costs will not be eligible for funding. </w:t>
      </w:r>
    </w:p>
    <w:p w14:paraId="4C642CD8" w14:textId="4227911F" w:rsidR="003E5EF2" w:rsidRDefault="003E5EF2" w:rsidP="003E5EF2">
      <w:pPr>
        <w:pStyle w:val="BodyText"/>
      </w:pPr>
      <w:r>
        <w:t>The Ministry cannot fund time, lost wages or legal costs for claimants, claimant witnesses, or their support people.</w:t>
      </w:r>
    </w:p>
    <w:p w14:paraId="3A192FAA" w14:textId="02F7279C" w:rsidR="003E5EF2" w:rsidRDefault="003E5EF2" w:rsidP="00A23FA7">
      <w:pPr>
        <w:pStyle w:val="Heading1"/>
        <w:spacing w:before="600"/>
      </w:pPr>
      <w:bookmarkStart w:id="5" w:name="_Toc183603485"/>
      <w:r>
        <w:t>How long will funding be available for?</w:t>
      </w:r>
      <w:bookmarkEnd w:id="5"/>
    </w:p>
    <w:p w14:paraId="73465463" w14:textId="77777777" w:rsidR="003E5EF2" w:rsidRDefault="003E5EF2" w:rsidP="003E5EF2">
      <w:pPr>
        <w:pStyle w:val="BodyText"/>
      </w:pPr>
      <w:r>
        <w:t>The Ministry will be accepting funding applications until 31 May 2025, as retrospective claimant funding will not be available beyond the 2024/25 financial year. The Ministry recommends that funding applications are made as soon as possible to ensure there is enough time for the Ministry to work through any outstanding matters with applicants before the end of the 2024/25 financial year.</w:t>
      </w:r>
    </w:p>
    <w:p w14:paraId="788FFF98" w14:textId="0E96A3F4" w:rsidR="008B6A88" w:rsidRDefault="003E5EF2" w:rsidP="003E5EF2">
      <w:pPr>
        <w:pStyle w:val="BodyText"/>
      </w:pPr>
      <w:r>
        <w:t>The Ministry will be reaching out to claimants and interested parties via their counsel, in the first instance, to ensure they are aware that they may be eligible for funding. We will also be following up directly with claimants and interested parties before applications close.</w:t>
      </w:r>
    </w:p>
    <w:p w14:paraId="2E2A8CA6" w14:textId="01C04BC7" w:rsidR="003E5EF2" w:rsidRDefault="003E5EF2" w:rsidP="00A23FA7">
      <w:pPr>
        <w:pStyle w:val="Heading1"/>
        <w:spacing w:before="600"/>
      </w:pPr>
      <w:bookmarkStart w:id="6" w:name="_Toc183603486"/>
      <w:r>
        <w:t>How do claimants seek retrospective claimant funding?</w:t>
      </w:r>
      <w:bookmarkEnd w:id="6"/>
    </w:p>
    <w:p w14:paraId="31628343" w14:textId="208E79B2" w:rsidR="003E5EF2" w:rsidRDefault="003E5EF2" w:rsidP="003E5EF2">
      <w:pPr>
        <w:pStyle w:val="BodyText"/>
      </w:pPr>
      <w:r>
        <w:t>Simply complete the attached application form (also available here</w:t>
      </w:r>
      <w:r w:rsidR="005F704D">
        <w:t xml:space="preserve"> </w:t>
      </w:r>
      <w:hyperlink r:id="rId20" w:history="1">
        <w:r w:rsidR="005F704D" w:rsidRPr="005F704D">
          <w:rPr>
            <w:rStyle w:val="Hyperlink"/>
          </w:rPr>
          <w:t>https://environment.govt.nz/publications/waitangi-tribunal-national-fresh-water-and-geothermal-resources-inquiry-wai-2358-stages-1-and-2-retrospective-claimant-funding-application-form</w:t>
        </w:r>
      </w:hyperlink>
      <w:r>
        <w:t xml:space="preserve"> and send it to </w:t>
      </w:r>
      <w:hyperlink r:id="rId21" w:history="1">
        <w:r w:rsidRPr="00A23FA7">
          <w:rPr>
            <w:rStyle w:val="Hyperlink"/>
          </w:rPr>
          <w:t>claimantfunding@mfe.govt.nz</w:t>
        </w:r>
      </w:hyperlink>
      <w:r>
        <w:t xml:space="preserve"> </w:t>
      </w:r>
    </w:p>
    <w:p w14:paraId="7F2B39BF" w14:textId="42E34822" w:rsidR="00583D2E" w:rsidRPr="00BF487A" w:rsidRDefault="003E5EF2" w:rsidP="00BF487A">
      <w:pPr>
        <w:pStyle w:val="BodyText"/>
      </w:pPr>
      <w:r>
        <w:t>If claimants and interested parties require further information or wish to speak with someone regarding funding queries or needs, they can request information or contact a Ministry official via this email.</w:t>
      </w:r>
    </w:p>
    <w:sectPr w:rsidR="00583D2E" w:rsidRPr="00BF487A" w:rsidSect="008A7498">
      <w:footerReference w:type="even" r:id="rId22"/>
      <w:footerReference w:type="default" r:id="rId23"/>
      <w:pgSz w:w="11907" w:h="16840" w:code="9"/>
      <w:pgMar w:top="1134" w:right="1701" w:bottom="1134"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E855C" w14:textId="77777777" w:rsidR="000C485C" w:rsidRDefault="000C485C" w:rsidP="0080531E">
      <w:pPr>
        <w:spacing w:before="0" w:after="0" w:line="240" w:lineRule="auto"/>
      </w:pPr>
      <w:r>
        <w:separator/>
      </w:r>
    </w:p>
    <w:p w14:paraId="764EEB1E" w14:textId="77777777" w:rsidR="000C485C" w:rsidRDefault="000C485C"/>
  </w:endnote>
  <w:endnote w:type="continuationSeparator" w:id="0">
    <w:p w14:paraId="039655D3" w14:textId="77777777" w:rsidR="000C485C" w:rsidRDefault="000C485C" w:rsidP="0080531E">
      <w:pPr>
        <w:spacing w:before="0" w:after="0" w:line="240" w:lineRule="auto"/>
      </w:pPr>
      <w:r>
        <w:continuationSeparator/>
      </w:r>
    </w:p>
    <w:p w14:paraId="3967202C" w14:textId="77777777" w:rsidR="000C485C" w:rsidRDefault="000C485C"/>
  </w:endnote>
  <w:endnote w:type="continuationNotice" w:id="1">
    <w:p w14:paraId="67A36872" w14:textId="77777777" w:rsidR="000C485C" w:rsidRDefault="000C485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2F3AF" w14:textId="1B2490E7" w:rsidR="00E5210B" w:rsidRDefault="00E5210B" w:rsidP="009F1D7F">
    <w:pPr>
      <w:spacing w:before="0" w:after="0" w:line="240" w:lineRule="auto"/>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6380B" w14:textId="77777777" w:rsidR="00E5210B" w:rsidRDefault="00E5210B" w:rsidP="00E65427">
    <w:pPr>
      <w:spacing w:before="240"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8EBD9" w14:textId="77777777" w:rsidR="00E5210B" w:rsidRDefault="00E5210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12211" w14:textId="0020681A" w:rsidR="00E453AB" w:rsidRDefault="00E5210B" w:rsidP="000E3E9B">
    <w:pPr>
      <w:pStyle w:val="Footereven"/>
      <w:spacing w:line="240" w:lineRule="auto"/>
      <w:jc w:val="left"/>
    </w:pPr>
    <w:r w:rsidRPr="004F458A">
      <w:rPr>
        <w:b/>
      </w:rPr>
      <w:fldChar w:fldCharType="begin"/>
    </w:r>
    <w:r w:rsidRPr="004F458A">
      <w:instrText xml:space="preserve"> PAGE </w:instrText>
    </w:r>
    <w:r w:rsidRPr="004F458A">
      <w:rPr>
        <w:b/>
      </w:rPr>
      <w:fldChar w:fldCharType="separate"/>
    </w:r>
    <w:r w:rsidR="005D3242">
      <w:rPr>
        <w:noProof/>
      </w:rPr>
      <w:t>8</w:t>
    </w:r>
    <w:r w:rsidRPr="004F458A">
      <w:rPr>
        <w:b/>
      </w:rPr>
      <w:fldChar w:fldCharType="end"/>
    </w:r>
    <w:r>
      <w:tab/>
    </w:r>
    <w:r w:rsidR="0029420B">
      <w:t xml:space="preserve">Retrospective claimant funding policy: </w:t>
    </w:r>
    <w:r w:rsidR="0029420B">
      <w:br/>
      <w:t xml:space="preserve"> </w:t>
    </w:r>
    <w:r w:rsidR="0029420B">
      <w:tab/>
      <w:t>Waitangi Tribunal National Fresh Water and Geothermal Resources Inquiry (Wai 2358) Stages 1 and 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92CEB" w14:textId="14D1689F" w:rsidR="00E453AB" w:rsidRDefault="00E5210B" w:rsidP="0029420B">
    <w:pPr>
      <w:pStyle w:val="Footerodd"/>
      <w:spacing w:line="240" w:lineRule="auto"/>
    </w:pPr>
    <w:r>
      <w:tab/>
    </w:r>
    <w:r w:rsidR="00C10E01" w:rsidRPr="00C10E01">
      <w:t>Retrospective claimant funding policy</w:t>
    </w:r>
    <w:r w:rsidR="00C10E01">
      <w:t xml:space="preserve">: </w:t>
    </w:r>
    <w:r w:rsidR="00C10E01">
      <w:br/>
    </w:r>
    <w:r w:rsidR="0029420B">
      <w:t xml:space="preserve"> </w:t>
    </w:r>
    <w:r w:rsidR="0029420B">
      <w:tab/>
    </w:r>
    <w:r w:rsidR="00C10E01" w:rsidRPr="00C10E01">
      <w:t xml:space="preserve">Waitangi Tribunal </w:t>
    </w:r>
    <w:r w:rsidR="00C10E01" w:rsidRPr="00C10E01">
      <w:rPr>
        <w:i/>
        <w:iCs/>
      </w:rPr>
      <w:t>National Fresh Water</w:t>
    </w:r>
    <w:r w:rsidR="00C10E01" w:rsidRPr="00C10E01">
      <w:t xml:space="preserve"> and </w:t>
    </w:r>
    <w:r w:rsidR="00C10E01" w:rsidRPr="00C10E01">
      <w:rPr>
        <w:i/>
        <w:iCs/>
      </w:rPr>
      <w:t>Geothermal Resources Inquiry</w:t>
    </w:r>
    <w:r w:rsidR="00C10E01" w:rsidRPr="00C10E01">
      <w:t xml:space="preserve"> (Wai 2358) Stages 1 and 2</w:t>
    </w:r>
    <w:r>
      <w:tab/>
    </w:r>
    <w:r w:rsidR="008540A6">
      <w:fldChar w:fldCharType="begin"/>
    </w:r>
    <w:r w:rsidR="008540A6">
      <w:instrText xml:space="preserve"> PAGE   \* MERGEFORMAT </w:instrText>
    </w:r>
    <w:r w:rsidR="008540A6">
      <w:fldChar w:fldCharType="separate"/>
    </w:r>
    <w:r w:rsidR="005D3242">
      <w:rPr>
        <w:noProof/>
      </w:rPr>
      <w:t>7</w:t>
    </w:r>
    <w:r w:rsidR="008540A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10194" w14:textId="77777777" w:rsidR="000C485C" w:rsidRDefault="000C485C" w:rsidP="00CB5C5F">
      <w:pPr>
        <w:spacing w:before="0" w:after="80" w:line="240" w:lineRule="auto"/>
      </w:pPr>
      <w:r>
        <w:separator/>
      </w:r>
    </w:p>
  </w:footnote>
  <w:footnote w:type="continuationSeparator" w:id="0">
    <w:p w14:paraId="050E4507" w14:textId="77777777" w:rsidR="000C485C" w:rsidRDefault="000C485C" w:rsidP="0080531E">
      <w:pPr>
        <w:spacing w:before="0" w:after="0" w:line="240" w:lineRule="auto"/>
      </w:pPr>
      <w:r>
        <w:continuationSeparator/>
      </w:r>
    </w:p>
    <w:p w14:paraId="0F7AD7D7" w14:textId="77777777" w:rsidR="000C485C" w:rsidRDefault="000C485C"/>
  </w:footnote>
  <w:footnote w:type="continuationNotice" w:id="1">
    <w:p w14:paraId="6855FED9" w14:textId="77777777" w:rsidR="000C485C" w:rsidRDefault="000C485C">
      <w:pPr>
        <w:spacing w:before="0" w:after="0" w:line="240" w:lineRule="auto"/>
      </w:pPr>
    </w:p>
  </w:footnote>
  <w:footnote w:id="2">
    <w:p w14:paraId="09436C0F" w14:textId="1ABF6E44" w:rsidR="00C47501" w:rsidRDefault="00C47501">
      <w:pPr>
        <w:pStyle w:val="FootnoteText"/>
      </w:pPr>
      <w:r>
        <w:rPr>
          <w:rStyle w:val="FootnoteReference"/>
        </w:rPr>
        <w:footnoteRef/>
      </w:r>
      <w:r>
        <w:t xml:space="preserve"> </w:t>
      </w:r>
      <w:r>
        <w:tab/>
      </w:r>
      <w:hyperlink r:id="rId1" w:history="1">
        <w:r w:rsidRPr="0036177B">
          <w:rPr>
            <w:rStyle w:val="Hyperlink"/>
          </w:rPr>
          <w:t>Interim-Common-Claimant-Funding-Policy.pdf (justice.govt.nz)</w:t>
        </w:r>
      </w:hyperlink>
    </w:p>
  </w:footnote>
  <w:footnote w:id="3">
    <w:p w14:paraId="5C9B4FAD" w14:textId="7CE514F2" w:rsidR="0050243D" w:rsidRDefault="0050243D">
      <w:pPr>
        <w:pStyle w:val="FootnoteText"/>
      </w:pPr>
      <w:r>
        <w:rPr>
          <w:rStyle w:val="FootnoteReference"/>
        </w:rPr>
        <w:footnoteRef/>
      </w:r>
      <w:r>
        <w:t xml:space="preserve"> </w:t>
      </w:r>
      <w:r>
        <w:tab/>
      </w:r>
      <w:hyperlink r:id="rId2" w:history="1">
        <w:r w:rsidRPr="001439E5">
          <w:rPr>
            <w:rStyle w:val="Hyperlink"/>
          </w:rPr>
          <w:t>Claimant-funding-policy-stage-3-Wai-2358.pdf (environment.govt.nz)</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F89A1" w14:textId="02879A17" w:rsidR="00DE7BF8" w:rsidRPr="00DE7BF8" w:rsidRDefault="00884535" w:rsidP="009F1D7F">
    <w:pPr>
      <w:pStyle w:val="Header"/>
      <w:jc w:val="left"/>
      <w:rPr>
        <w:rFonts w:ascii="Calibri" w:hAnsi="Calibri"/>
      </w:rPr>
    </w:pPr>
    <w:r>
      <w:rPr>
        <w:rFonts w:ascii="Calibri" w:hAnsi="Calibri"/>
        <w:noProof/>
      </w:rPr>
      <w:drawing>
        <wp:anchor distT="0" distB="0" distL="114300" distR="114300" simplePos="0" relativeHeight="251658240" behindDoc="1" locked="1" layoutInCell="1" allowOverlap="1" wp14:anchorId="272F0B3F" wp14:editId="6E7E1B6A">
          <wp:simplePos x="0" y="0"/>
          <wp:positionH relativeFrom="column">
            <wp:posOffset>-1080135</wp:posOffset>
          </wp:positionH>
          <wp:positionV relativeFrom="page">
            <wp:posOffset>0</wp:posOffset>
          </wp:positionV>
          <wp:extent cx="7559640" cy="10683720"/>
          <wp:effectExtent l="0" t="0" r="3810" b="3810"/>
          <wp:wrapNone/>
          <wp:docPr id="963241027" name="Picture 2" descr="A blue square pattern with whit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241027" name="Picture 2" descr="A blue square pattern with white squares&#10;&#10;Description automatically generated"/>
                  <pic:cNvPicPr/>
                </pic:nvPicPr>
                <pic:blipFill>
                  <a:blip r:embed="rId1"/>
                  <a:stretch>
                    <a:fillRect/>
                  </a:stretch>
                </pic:blipFill>
                <pic:spPr>
                  <a:xfrm>
                    <a:off x="0" y="0"/>
                    <a:ext cx="7559640" cy="106837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E3D30" w14:textId="77777777" w:rsidR="00E5210B" w:rsidRDefault="00E5210B" w:rsidP="0036151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7417F" w14:textId="77777777" w:rsidR="00E5210B" w:rsidRDefault="00E52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6D4C952A"/>
    <w:lvl w:ilvl="0">
      <w:start w:val="1"/>
      <w:numFmt w:val="bullet"/>
      <w:pStyle w:val="Greenbullet-casestudytables"/>
      <w:lvlText w:val=""/>
      <w:lvlJc w:val="left"/>
      <w:pPr>
        <w:ind w:left="680" w:hanging="396"/>
      </w:pPr>
      <w:rPr>
        <w:rFonts w:ascii="Symbol" w:hAnsi="Symbol" w:hint="default"/>
        <w:color w:val="0F7B7D"/>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5"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6"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8"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1A6BE2"/>
    <w:multiLevelType w:val="multilevel"/>
    <w:tmpl w:val="20FCAAE4"/>
    <w:lvl w:ilvl="0">
      <w:start w:val="1"/>
      <w:numFmt w:val="decimal"/>
      <w:pStyle w:val="Numberedparagraph"/>
      <w:lvlText w:val="%1."/>
      <w:lvlJc w:val="left"/>
      <w:pPr>
        <w:ind w:left="397" w:hanging="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3" w15:restartNumberingAfterBreak="0">
    <w:nsid w:val="2E6F201E"/>
    <w:multiLevelType w:val="multilevel"/>
    <w:tmpl w:val="C7440BB4"/>
    <w:numStyleLink w:val="Style2"/>
  </w:abstractNum>
  <w:abstractNum w:abstractNumId="14"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5"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465A16"/>
    <w:multiLevelType w:val="multilevel"/>
    <w:tmpl w:val="7CBA8A44"/>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3"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5"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29"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042717"/>
    <w:multiLevelType w:val="multilevel"/>
    <w:tmpl w:val="DCDEB9D0"/>
    <w:numStyleLink w:val="Style1"/>
  </w:abstractNum>
  <w:abstractNum w:abstractNumId="31"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CB13B0"/>
    <w:multiLevelType w:val="hybridMultilevel"/>
    <w:tmpl w:val="46B4C580"/>
    <w:lvl w:ilvl="0" w:tplc="535C6468">
      <w:start w:val="1"/>
      <w:numFmt w:val="bullet"/>
      <w:pStyle w:val="Greensub-bullet-casestudytables"/>
      <w:lvlText w:val="‒"/>
      <w:lvlJc w:val="left"/>
      <w:pPr>
        <w:ind w:left="1004" w:hanging="360"/>
      </w:pPr>
      <w:rPr>
        <w:rFonts w:ascii="Calibri" w:hAnsi="Calibri" w:cs="Times New Roman" w:hint="default"/>
        <w:color w:val="0F7B7D"/>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3"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848715540">
    <w:abstractNumId w:val="14"/>
  </w:num>
  <w:num w:numId="2" w16cid:durableId="1287734805">
    <w:abstractNumId w:val="24"/>
  </w:num>
  <w:num w:numId="3" w16cid:durableId="1538541818">
    <w:abstractNumId w:val="35"/>
  </w:num>
  <w:num w:numId="4" w16cid:durableId="550508225">
    <w:abstractNumId w:val="19"/>
  </w:num>
  <w:num w:numId="5" w16cid:durableId="745567648">
    <w:abstractNumId w:val="12"/>
  </w:num>
  <w:num w:numId="6" w16cid:durableId="2076933510">
    <w:abstractNumId w:val="7"/>
  </w:num>
  <w:num w:numId="7" w16cid:durableId="1899433097">
    <w:abstractNumId w:val="22"/>
  </w:num>
  <w:num w:numId="8" w16cid:durableId="1088233813">
    <w:abstractNumId w:val="21"/>
  </w:num>
  <w:num w:numId="9" w16cid:durableId="394550804">
    <w:abstractNumId w:val="34"/>
  </w:num>
  <w:num w:numId="10" w16cid:durableId="17093806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4602378">
    <w:abstractNumId w:val="1"/>
  </w:num>
  <w:num w:numId="12" w16cid:durableId="1912157551">
    <w:abstractNumId w:val="28"/>
  </w:num>
  <w:num w:numId="13" w16cid:durableId="797454537">
    <w:abstractNumId w:val="11"/>
  </w:num>
  <w:num w:numId="14" w16cid:durableId="284310654">
    <w:abstractNumId w:val="30"/>
  </w:num>
  <w:num w:numId="15" w16cid:durableId="1819420646">
    <w:abstractNumId w:val="20"/>
  </w:num>
  <w:num w:numId="16" w16cid:durableId="1770615197">
    <w:abstractNumId w:val="10"/>
  </w:num>
  <w:num w:numId="17" w16cid:durableId="1658604841">
    <w:abstractNumId w:val="29"/>
  </w:num>
  <w:num w:numId="18" w16cid:durableId="905535034">
    <w:abstractNumId w:val="25"/>
  </w:num>
  <w:num w:numId="19" w16cid:durableId="1465346826">
    <w:abstractNumId w:val="31"/>
  </w:num>
  <w:num w:numId="20" w16cid:durableId="676690097">
    <w:abstractNumId w:val="13"/>
  </w:num>
  <w:num w:numId="21" w16cid:durableId="2031447556">
    <w:abstractNumId w:val="26"/>
  </w:num>
  <w:num w:numId="22" w16cid:durableId="752623358">
    <w:abstractNumId w:val="4"/>
  </w:num>
  <w:num w:numId="23" w16cid:durableId="867841801">
    <w:abstractNumId w:val="23"/>
  </w:num>
  <w:num w:numId="24" w16cid:durableId="720790089">
    <w:abstractNumId w:val="15"/>
  </w:num>
  <w:num w:numId="25" w16cid:durableId="222520331">
    <w:abstractNumId w:val="33"/>
  </w:num>
  <w:num w:numId="26" w16cid:durableId="717584311">
    <w:abstractNumId w:val="27"/>
  </w:num>
  <w:num w:numId="27" w16cid:durableId="779765061">
    <w:abstractNumId w:val="0"/>
  </w:num>
  <w:num w:numId="28" w16cid:durableId="342437984">
    <w:abstractNumId w:val="17"/>
  </w:num>
  <w:num w:numId="29" w16cid:durableId="86079989">
    <w:abstractNumId w:val="8"/>
  </w:num>
  <w:num w:numId="30" w16cid:durableId="190724435">
    <w:abstractNumId w:val="3"/>
  </w:num>
  <w:num w:numId="31" w16cid:durableId="180439593">
    <w:abstractNumId w:val="2"/>
  </w:num>
  <w:num w:numId="32" w16cid:durableId="2007590403">
    <w:abstractNumId w:val="5"/>
  </w:num>
  <w:num w:numId="33" w16cid:durableId="1951621493">
    <w:abstractNumId w:val="9"/>
  </w:num>
  <w:num w:numId="34" w16cid:durableId="1425766684">
    <w:abstractNumId w:val="18"/>
  </w:num>
  <w:num w:numId="35" w16cid:durableId="11616712">
    <w:abstractNumId w:val="16"/>
  </w:num>
  <w:num w:numId="36" w16cid:durableId="1911882459">
    <w:abstractNumId w:val="6"/>
  </w:num>
  <w:num w:numId="37" w16cid:durableId="1044714646">
    <w:abstractNumId w:val="32"/>
  </w:num>
  <w:num w:numId="38" w16cid:durableId="19952593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BC"/>
    <w:rsid w:val="00000792"/>
    <w:rsid w:val="00000F04"/>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555"/>
    <w:rsid w:val="0001303C"/>
    <w:rsid w:val="00014236"/>
    <w:rsid w:val="000148F6"/>
    <w:rsid w:val="00015217"/>
    <w:rsid w:val="000159D2"/>
    <w:rsid w:val="00016264"/>
    <w:rsid w:val="00016993"/>
    <w:rsid w:val="00016CAB"/>
    <w:rsid w:val="00016E5B"/>
    <w:rsid w:val="0001749B"/>
    <w:rsid w:val="00017D75"/>
    <w:rsid w:val="00017FE5"/>
    <w:rsid w:val="00021910"/>
    <w:rsid w:val="00022E8D"/>
    <w:rsid w:val="0002348A"/>
    <w:rsid w:val="000235B5"/>
    <w:rsid w:val="00023BDA"/>
    <w:rsid w:val="00024708"/>
    <w:rsid w:val="00024EE7"/>
    <w:rsid w:val="00025F96"/>
    <w:rsid w:val="00025FAB"/>
    <w:rsid w:val="00026E89"/>
    <w:rsid w:val="000275A3"/>
    <w:rsid w:val="00030558"/>
    <w:rsid w:val="00030699"/>
    <w:rsid w:val="00030725"/>
    <w:rsid w:val="00030DB8"/>
    <w:rsid w:val="00031A83"/>
    <w:rsid w:val="0003213A"/>
    <w:rsid w:val="00032A81"/>
    <w:rsid w:val="000340D8"/>
    <w:rsid w:val="0003427D"/>
    <w:rsid w:val="00034DFA"/>
    <w:rsid w:val="000357ED"/>
    <w:rsid w:val="00035E15"/>
    <w:rsid w:val="0003640E"/>
    <w:rsid w:val="0003688A"/>
    <w:rsid w:val="000368FC"/>
    <w:rsid w:val="00036A0D"/>
    <w:rsid w:val="00036DA3"/>
    <w:rsid w:val="000379BF"/>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941"/>
    <w:rsid w:val="000507FC"/>
    <w:rsid w:val="00050A22"/>
    <w:rsid w:val="00050E27"/>
    <w:rsid w:val="0005144F"/>
    <w:rsid w:val="00051AF1"/>
    <w:rsid w:val="00051D42"/>
    <w:rsid w:val="000538A1"/>
    <w:rsid w:val="00055375"/>
    <w:rsid w:val="00056319"/>
    <w:rsid w:val="000564E7"/>
    <w:rsid w:val="00056770"/>
    <w:rsid w:val="00057386"/>
    <w:rsid w:val="00057EEF"/>
    <w:rsid w:val="000619CB"/>
    <w:rsid w:val="00062387"/>
    <w:rsid w:val="000640F0"/>
    <w:rsid w:val="0006434D"/>
    <w:rsid w:val="000643A1"/>
    <w:rsid w:val="00064679"/>
    <w:rsid w:val="00064A13"/>
    <w:rsid w:val="00064AF4"/>
    <w:rsid w:val="00064DB1"/>
    <w:rsid w:val="00065BA3"/>
    <w:rsid w:val="00065D3B"/>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35A2"/>
    <w:rsid w:val="0007517E"/>
    <w:rsid w:val="00075FE1"/>
    <w:rsid w:val="00076667"/>
    <w:rsid w:val="00077473"/>
    <w:rsid w:val="00077481"/>
    <w:rsid w:val="000776F9"/>
    <w:rsid w:val="00077EE0"/>
    <w:rsid w:val="000802F9"/>
    <w:rsid w:val="0008145A"/>
    <w:rsid w:val="0008162D"/>
    <w:rsid w:val="000831C8"/>
    <w:rsid w:val="00083F5E"/>
    <w:rsid w:val="00084FDB"/>
    <w:rsid w:val="0008505C"/>
    <w:rsid w:val="00085C46"/>
    <w:rsid w:val="0008686A"/>
    <w:rsid w:val="00087175"/>
    <w:rsid w:val="00087D35"/>
    <w:rsid w:val="0009132D"/>
    <w:rsid w:val="00091796"/>
    <w:rsid w:val="00091BA2"/>
    <w:rsid w:val="00091CB0"/>
    <w:rsid w:val="00094344"/>
    <w:rsid w:val="000953C6"/>
    <w:rsid w:val="000953F4"/>
    <w:rsid w:val="0009590C"/>
    <w:rsid w:val="000959E7"/>
    <w:rsid w:val="00095C45"/>
    <w:rsid w:val="00095E7D"/>
    <w:rsid w:val="000964DE"/>
    <w:rsid w:val="000972AB"/>
    <w:rsid w:val="00097B40"/>
    <w:rsid w:val="00097D0E"/>
    <w:rsid w:val="000A109B"/>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0F36"/>
    <w:rsid w:val="000B1942"/>
    <w:rsid w:val="000B1BED"/>
    <w:rsid w:val="000B2240"/>
    <w:rsid w:val="000B2477"/>
    <w:rsid w:val="000B2600"/>
    <w:rsid w:val="000B36F9"/>
    <w:rsid w:val="000B4074"/>
    <w:rsid w:val="000B4732"/>
    <w:rsid w:val="000B4BCD"/>
    <w:rsid w:val="000B66DC"/>
    <w:rsid w:val="000B6D1F"/>
    <w:rsid w:val="000C062F"/>
    <w:rsid w:val="000C17E7"/>
    <w:rsid w:val="000C3270"/>
    <w:rsid w:val="000C485C"/>
    <w:rsid w:val="000C577E"/>
    <w:rsid w:val="000D0317"/>
    <w:rsid w:val="000D04BA"/>
    <w:rsid w:val="000D0B6E"/>
    <w:rsid w:val="000D0D65"/>
    <w:rsid w:val="000D12E0"/>
    <w:rsid w:val="000D1944"/>
    <w:rsid w:val="000D1DD9"/>
    <w:rsid w:val="000D2172"/>
    <w:rsid w:val="000D293C"/>
    <w:rsid w:val="000D2BC1"/>
    <w:rsid w:val="000D337B"/>
    <w:rsid w:val="000D385A"/>
    <w:rsid w:val="000D38C2"/>
    <w:rsid w:val="000D3CA7"/>
    <w:rsid w:val="000D548C"/>
    <w:rsid w:val="000D5B16"/>
    <w:rsid w:val="000D5FD6"/>
    <w:rsid w:val="000D6201"/>
    <w:rsid w:val="000D6488"/>
    <w:rsid w:val="000D7088"/>
    <w:rsid w:val="000D770B"/>
    <w:rsid w:val="000D788E"/>
    <w:rsid w:val="000E12B0"/>
    <w:rsid w:val="000E1BC8"/>
    <w:rsid w:val="000E1D32"/>
    <w:rsid w:val="000E26D8"/>
    <w:rsid w:val="000E2B94"/>
    <w:rsid w:val="000E3156"/>
    <w:rsid w:val="000E35B6"/>
    <w:rsid w:val="000E3BB8"/>
    <w:rsid w:val="000E3D9B"/>
    <w:rsid w:val="000E3DFD"/>
    <w:rsid w:val="000E3E9B"/>
    <w:rsid w:val="000E4261"/>
    <w:rsid w:val="000E4697"/>
    <w:rsid w:val="000E58C5"/>
    <w:rsid w:val="000E6203"/>
    <w:rsid w:val="000E64CB"/>
    <w:rsid w:val="000E722C"/>
    <w:rsid w:val="000E755B"/>
    <w:rsid w:val="000E786F"/>
    <w:rsid w:val="000E7DA7"/>
    <w:rsid w:val="000E7FA0"/>
    <w:rsid w:val="000F00BA"/>
    <w:rsid w:val="000F02F8"/>
    <w:rsid w:val="000F0409"/>
    <w:rsid w:val="000F049F"/>
    <w:rsid w:val="000F0642"/>
    <w:rsid w:val="000F07FA"/>
    <w:rsid w:val="000F0B5E"/>
    <w:rsid w:val="000F1A8D"/>
    <w:rsid w:val="000F1D43"/>
    <w:rsid w:val="000F1FFF"/>
    <w:rsid w:val="000F20AA"/>
    <w:rsid w:val="000F2651"/>
    <w:rsid w:val="000F348D"/>
    <w:rsid w:val="000F3574"/>
    <w:rsid w:val="000F369A"/>
    <w:rsid w:val="000F4463"/>
    <w:rsid w:val="000F5285"/>
    <w:rsid w:val="000F52E0"/>
    <w:rsid w:val="000F53A9"/>
    <w:rsid w:val="000F6464"/>
    <w:rsid w:val="000F6628"/>
    <w:rsid w:val="000F6C25"/>
    <w:rsid w:val="000F76EB"/>
    <w:rsid w:val="000F78AE"/>
    <w:rsid w:val="000F7E25"/>
    <w:rsid w:val="001007EE"/>
    <w:rsid w:val="00100F76"/>
    <w:rsid w:val="0010148E"/>
    <w:rsid w:val="001018BB"/>
    <w:rsid w:val="0010253C"/>
    <w:rsid w:val="00102BD1"/>
    <w:rsid w:val="0010486A"/>
    <w:rsid w:val="0010561C"/>
    <w:rsid w:val="00105C0F"/>
    <w:rsid w:val="00105E39"/>
    <w:rsid w:val="00106561"/>
    <w:rsid w:val="00106D63"/>
    <w:rsid w:val="001075F3"/>
    <w:rsid w:val="00107A01"/>
    <w:rsid w:val="00107C23"/>
    <w:rsid w:val="001100EB"/>
    <w:rsid w:val="00110307"/>
    <w:rsid w:val="00110C7F"/>
    <w:rsid w:val="00110EE2"/>
    <w:rsid w:val="00111A7A"/>
    <w:rsid w:val="00111A88"/>
    <w:rsid w:val="0011221A"/>
    <w:rsid w:val="00113283"/>
    <w:rsid w:val="001137AE"/>
    <w:rsid w:val="00113B20"/>
    <w:rsid w:val="001147B3"/>
    <w:rsid w:val="001148F7"/>
    <w:rsid w:val="001149B2"/>
    <w:rsid w:val="00114C2D"/>
    <w:rsid w:val="00115125"/>
    <w:rsid w:val="001152F2"/>
    <w:rsid w:val="001157D7"/>
    <w:rsid w:val="00116382"/>
    <w:rsid w:val="00116484"/>
    <w:rsid w:val="00116ACF"/>
    <w:rsid w:val="00116D5C"/>
    <w:rsid w:val="001172B2"/>
    <w:rsid w:val="00117F9B"/>
    <w:rsid w:val="001201AD"/>
    <w:rsid w:val="00121211"/>
    <w:rsid w:val="00121628"/>
    <w:rsid w:val="0012167D"/>
    <w:rsid w:val="00122189"/>
    <w:rsid w:val="00122280"/>
    <w:rsid w:val="00122D42"/>
    <w:rsid w:val="00123345"/>
    <w:rsid w:val="00123C46"/>
    <w:rsid w:val="0012470B"/>
    <w:rsid w:val="00125C75"/>
    <w:rsid w:val="00125C7E"/>
    <w:rsid w:val="00127945"/>
    <w:rsid w:val="00127D94"/>
    <w:rsid w:val="00127E90"/>
    <w:rsid w:val="001302C1"/>
    <w:rsid w:val="001306D3"/>
    <w:rsid w:val="00130A41"/>
    <w:rsid w:val="001310BF"/>
    <w:rsid w:val="00133E73"/>
    <w:rsid w:val="00133FDB"/>
    <w:rsid w:val="00134F4A"/>
    <w:rsid w:val="001351CB"/>
    <w:rsid w:val="00135E4E"/>
    <w:rsid w:val="00136246"/>
    <w:rsid w:val="001364D4"/>
    <w:rsid w:val="001371C8"/>
    <w:rsid w:val="001372ED"/>
    <w:rsid w:val="00140FEF"/>
    <w:rsid w:val="00142B50"/>
    <w:rsid w:val="00143873"/>
    <w:rsid w:val="001439E5"/>
    <w:rsid w:val="001439E9"/>
    <w:rsid w:val="00143C55"/>
    <w:rsid w:val="00144C6F"/>
    <w:rsid w:val="00145089"/>
    <w:rsid w:val="001451E7"/>
    <w:rsid w:val="001462E3"/>
    <w:rsid w:val="0014720C"/>
    <w:rsid w:val="001472C2"/>
    <w:rsid w:val="00147458"/>
    <w:rsid w:val="00147E21"/>
    <w:rsid w:val="00150BA8"/>
    <w:rsid w:val="00150D19"/>
    <w:rsid w:val="0015181B"/>
    <w:rsid w:val="00151A9F"/>
    <w:rsid w:val="00152B87"/>
    <w:rsid w:val="00153A96"/>
    <w:rsid w:val="00153D1C"/>
    <w:rsid w:val="001543E2"/>
    <w:rsid w:val="00155B43"/>
    <w:rsid w:val="001565A2"/>
    <w:rsid w:val="001567C3"/>
    <w:rsid w:val="00156A12"/>
    <w:rsid w:val="00157B3F"/>
    <w:rsid w:val="00157F8A"/>
    <w:rsid w:val="00160C3D"/>
    <w:rsid w:val="00161B24"/>
    <w:rsid w:val="00161C41"/>
    <w:rsid w:val="00161DD5"/>
    <w:rsid w:val="001633A4"/>
    <w:rsid w:val="001634D6"/>
    <w:rsid w:val="001648DD"/>
    <w:rsid w:val="00165705"/>
    <w:rsid w:val="00166389"/>
    <w:rsid w:val="00166E03"/>
    <w:rsid w:val="00167E4C"/>
    <w:rsid w:val="00171449"/>
    <w:rsid w:val="0017199C"/>
    <w:rsid w:val="00171C7E"/>
    <w:rsid w:val="00171F35"/>
    <w:rsid w:val="00172552"/>
    <w:rsid w:val="00172873"/>
    <w:rsid w:val="00172CF7"/>
    <w:rsid w:val="0017319E"/>
    <w:rsid w:val="00173A1F"/>
    <w:rsid w:val="00173BC3"/>
    <w:rsid w:val="00174128"/>
    <w:rsid w:val="00175C34"/>
    <w:rsid w:val="00175F9A"/>
    <w:rsid w:val="00176E98"/>
    <w:rsid w:val="00177996"/>
    <w:rsid w:val="00180B3F"/>
    <w:rsid w:val="00180C83"/>
    <w:rsid w:val="00180CE5"/>
    <w:rsid w:val="0018175B"/>
    <w:rsid w:val="001820A3"/>
    <w:rsid w:val="0018332A"/>
    <w:rsid w:val="00183D80"/>
    <w:rsid w:val="001842C8"/>
    <w:rsid w:val="00185044"/>
    <w:rsid w:val="001850DB"/>
    <w:rsid w:val="0018599C"/>
    <w:rsid w:val="001869EE"/>
    <w:rsid w:val="00186D00"/>
    <w:rsid w:val="0018743A"/>
    <w:rsid w:val="00190A57"/>
    <w:rsid w:val="00190B3F"/>
    <w:rsid w:val="0019122C"/>
    <w:rsid w:val="00191908"/>
    <w:rsid w:val="00192DF3"/>
    <w:rsid w:val="0019301F"/>
    <w:rsid w:val="00193286"/>
    <w:rsid w:val="001937B8"/>
    <w:rsid w:val="00193E4B"/>
    <w:rsid w:val="00194BB7"/>
    <w:rsid w:val="00194CC5"/>
    <w:rsid w:val="001951B2"/>
    <w:rsid w:val="0019565D"/>
    <w:rsid w:val="00197564"/>
    <w:rsid w:val="00197EC2"/>
    <w:rsid w:val="00197ECE"/>
    <w:rsid w:val="001A1CED"/>
    <w:rsid w:val="001A279B"/>
    <w:rsid w:val="001A2DC3"/>
    <w:rsid w:val="001A2E87"/>
    <w:rsid w:val="001A3869"/>
    <w:rsid w:val="001A38C2"/>
    <w:rsid w:val="001A65C8"/>
    <w:rsid w:val="001A732E"/>
    <w:rsid w:val="001A7F30"/>
    <w:rsid w:val="001B06E2"/>
    <w:rsid w:val="001B103A"/>
    <w:rsid w:val="001B103D"/>
    <w:rsid w:val="001B1513"/>
    <w:rsid w:val="001B1767"/>
    <w:rsid w:val="001B2453"/>
    <w:rsid w:val="001B3D48"/>
    <w:rsid w:val="001B5AF9"/>
    <w:rsid w:val="001B6600"/>
    <w:rsid w:val="001B6B9B"/>
    <w:rsid w:val="001B6C27"/>
    <w:rsid w:val="001B7144"/>
    <w:rsid w:val="001B7E91"/>
    <w:rsid w:val="001C147E"/>
    <w:rsid w:val="001C151B"/>
    <w:rsid w:val="001C19E5"/>
    <w:rsid w:val="001C3666"/>
    <w:rsid w:val="001C3800"/>
    <w:rsid w:val="001C3C7B"/>
    <w:rsid w:val="001C6122"/>
    <w:rsid w:val="001C6587"/>
    <w:rsid w:val="001C69BE"/>
    <w:rsid w:val="001C6DB5"/>
    <w:rsid w:val="001C71AC"/>
    <w:rsid w:val="001C7316"/>
    <w:rsid w:val="001C7E5C"/>
    <w:rsid w:val="001D00CC"/>
    <w:rsid w:val="001D02B8"/>
    <w:rsid w:val="001D0494"/>
    <w:rsid w:val="001D07B7"/>
    <w:rsid w:val="001D1719"/>
    <w:rsid w:val="001D171B"/>
    <w:rsid w:val="001D1732"/>
    <w:rsid w:val="001D1E2E"/>
    <w:rsid w:val="001D2203"/>
    <w:rsid w:val="001D255C"/>
    <w:rsid w:val="001D25BC"/>
    <w:rsid w:val="001D2DEF"/>
    <w:rsid w:val="001D30BB"/>
    <w:rsid w:val="001D488C"/>
    <w:rsid w:val="001D4CDF"/>
    <w:rsid w:val="001D4F88"/>
    <w:rsid w:val="001D578D"/>
    <w:rsid w:val="001D5818"/>
    <w:rsid w:val="001D653A"/>
    <w:rsid w:val="001D7DEE"/>
    <w:rsid w:val="001E02CB"/>
    <w:rsid w:val="001E0D30"/>
    <w:rsid w:val="001E0F22"/>
    <w:rsid w:val="001E14FD"/>
    <w:rsid w:val="001E180F"/>
    <w:rsid w:val="001E1C64"/>
    <w:rsid w:val="001E1CEC"/>
    <w:rsid w:val="001E2ECB"/>
    <w:rsid w:val="001E4B64"/>
    <w:rsid w:val="001E552A"/>
    <w:rsid w:val="001E57B9"/>
    <w:rsid w:val="001E6E8D"/>
    <w:rsid w:val="001E75B3"/>
    <w:rsid w:val="001E7EE4"/>
    <w:rsid w:val="001E7F76"/>
    <w:rsid w:val="001F0FAF"/>
    <w:rsid w:val="001F139F"/>
    <w:rsid w:val="001F2805"/>
    <w:rsid w:val="001F2E79"/>
    <w:rsid w:val="001F2F07"/>
    <w:rsid w:val="001F3123"/>
    <w:rsid w:val="001F376D"/>
    <w:rsid w:val="001F418C"/>
    <w:rsid w:val="001F4B2D"/>
    <w:rsid w:val="001F4F40"/>
    <w:rsid w:val="001F50E0"/>
    <w:rsid w:val="001F594C"/>
    <w:rsid w:val="001F69FC"/>
    <w:rsid w:val="001F6D62"/>
    <w:rsid w:val="001F7675"/>
    <w:rsid w:val="00200FAE"/>
    <w:rsid w:val="0020102D"/>
    <w:rsid w:val="002010E2"/>
    <w:rsid w:val="00201B73"/>
    <w:rsid w:val="00202517"/>
    <w:rsid w:val="00202ADB"/>
    <w:rsid w:val="00202BB7"/>
    <w:rsid w:val="0020435B"/>
    <w:rsid w:val="00204533"/>
    <w:rsid w:val="00204F2D"/>
    <w:rsid w:val="00205566"/>
    <w:rsid w:val="002063AA"/>
    <w:rsid w:val="00210549"/>
    <w:rsid w:val="0021069E"/>
    <w:rsid w:val="00210804"/>
    <w:rsid w:val="0021088F"/>
    <w:rsid w:val="002113FE"/>
    <w:rsid w:val="00211737"/>
    <w:rsid w:val="0021181B"/>
    <w:rsid w:val="0021230F"/>
    <w:rsid w:val="002125B0"/>
    <w:rsid w:val="002125F6"/>
    <w:rsid w:val="00212A82"/>
    <w:rsid w:val="00214EA2"/>
    <w:rsid w:val="002160FA"/>
    <w:rsid w:val="002166DD"/>
    <w:rsid w:val="002168A2"/>
    <w:rsid w:val="00216AC3"/>
    <w:rsid w:val="00217867"/>
    <w:rsid w:val="002205E4"/>
    <w:rsid w:val="00220D67"/>
    <w:rsid w:val="002215F8"/>
    <w:rsid w:val="00221F80"/>
    <w:rsid w:val="0022273A"/>
    <w:rsid w:val="00222D28"/>
    <w:rsid w:val="00223CF4"/>
    <w:rsid w:val="00224220"/>
    <w:rsid w:val="00224398"/>
    <w:rsid w:val="00224A81"/>
    <w:rsid w:val="00224E91"/>
    <w:rsid w:val="00225B4C"/>
    <w:rsid w:val="00225E1E"/>
    <w:rsid w:val="00226129"/>
    <w:rsid w:val="0022614D"/>
    <w:rsid w:val="00226AA2"/>
    <w:rsid w:val="00227218"/>
    <w:rsid w:val="0022770A"/>
    <w:rsid w:val="00227BEE"/>
    <w:rsid w:val="00227FB4"/>
    <w:rsid w:val="0023057E"/>
    <w:rsid w:val="002312BC"/>
    <w:rsid w:val="002337E5"/>
    <w:rsid w:val="00233C06"/>
    <w:rsid w:val="00233F24"/>
    <w:rsid w:val="00234BBB"/>
    <w:rsid w:val="002356F4"/>
    <w:rsid w:val="00235F02"/>
    <w:rsid w:val="00236D28"/>
    <w:rsid w:val="00237FE4"/>
    <w:rsid w:val="00240656"/>
    <w:rsid w:val="00241610"/>
    <w:rsid w:val="00241AED"/>
    <w:rsid w:val="00243182"/>
    <w:rsid w:val="002438E5"/>
    <w:rsid w:val="00243928"/>
    <w:rsid w:val="00243946"/>
    <w:rsid w:val="00243BC5"/>
    <w:rsid w:val="00243C7D"/>
    <w:rsid w:val="00243E9A"/>
    <w:rsid w:val="00244371"/>
    <w:rsid w:val="00244AF8"/>
    <w:rsid w:val="00244BC5"/>
    <w:rsid w:val="00244E68"/>
    <w:rsid w:val="002456C5"/>
    <w:rsid w:val="00245ABE"/>
    <w:rsid w:val="00245C0B"/>
    <w:rsid w:val="00246EAE"/>
    <w:rsid w:val="00247116"/>
    <w:rsid w:val="002471E5"/>
    <w:rsid w:val="002517A8"/>
    <w:rsid w:val="00251EEE"/>
    <w:rsid w:val="00253177"/>
    <w:rsid w:val="002538B8"/>
    <w:rsid w:val="0025396F"/>
    <w:rsid w:val="00254319"/>
    <w:rsid w:val="002546A4"/>
    <w:rsid w:val="0025539F"/>
    <w:rsid w:val="00256388"/>
    <w:rsid w:val="00256E44"/>
    <w:rsid w:val="002605BF"/>
    <w:rsid w:val="00260919"/>
    <w:rsid w:val="002612FD"/>
    <w:rsid w:val="002613DC"/>
    <w:rsid w:val="00261755"/>
    <w:rsid w:val="00261AAA"/>
    <w:rsid w:val="00262097"/>
    <w:rsid w:val="00262D20"/>
    <w:rsid w:val="002634AB"/>
    <w:rsid w:val="002638E0"/>
    <w:rsid w:val="00263C19"/>
    <w:rsid w:val="00263E9F"/>
    <w:rsid w:val="00264F03"/>
    <w:rsid w:val="00264F8F"/>
    <w:rsid w:val="002655AE"/>
    <w:rsid w:val="0026591F"/>
    <w:rsid w:val="0026597C"/>
    <w:rsid w:val="00265A65"/>
    <w:rsid w:val="002660F0"/>
    <w:rsid w:val="002675B6"/>
    <w:rsid w:val="00267A99"/>
    <w:rsid w:val="00270271"/>
    <w:rsid w:val="00272174"/>
    <w:rsid w:val="002721A6"/>
    <w:rsid w:val="002722E0"/>
    <w:rsid w:val="002730EC"/>
    <w:rsid w:val="00273100"/>
    <w:rsid w:val="002735CC"/>
    <w:rsid w:val="00274588"/>
    <w:rsid w:val="00274A67"/>
    <w:rsid w:val="00274AA2"/>
    <w:rsid w:val="002756EF"/>
    <w:rsid w:val="00275708"/>
    <w:rsid w:val="002768CF"/>
    <w:rsid w:val="00276F82"/>
    <w:rsid w:val="002805DF"/>
    <w:rsid w:val="0028092D"/>
    <w:rsid w:val="00280F36"/>
    <w:rsid w:val="002815D9"/>
    <w:rsid w:val="00282317"/>
    <w:rsid w:val="00282D25"/>
    <w:rsid w:val="00282DF9"/>
    <w:rsid w:val="00283A44"/>
    <w:rsid w:val="0028529F"/>
    <w:rsid w:val="00285687"/>
    <w:rsid w:val="00287649"/>
    <w:rsid w:val="00287867"/>
    <w:rsid w:val="00287DAB"/>
    <w:rsid w:val="00287FB6"/>
    <w:rsid w:val="002900C5"/>
    <w:rsid w:val="002901E0"/>
    <w:rsid w:val="0029075B"/>
    <w:rsid w:val="00290BB1"/>
    <w:rsid w:val="00291BC1"/>
    <w:rsid w:val="002933CA"/>
    <w:rsid w:val="00293A8F"/>
    <w:rsid w:val="0029420B"/>
    <w:rsid w:val="00295155"/>
    <w:rsid w:val="00295D51"/>
    <w:rsid w:val="00296203"/>
    <w:rsid w:val="00296428"/>
    <w:rsid w:val="0029643D"/>
    <w:rsid w:val="0029706A"/>
    <w:rsid w:val="002972EE"/>
    <w:rsid w:val="00297F01"/>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889"/>
    <w:rsid w:val="002A799A"/>
    <w:rsid w:val="002B097D"/>
    <w:rsid w:val="002B11B2"/>
    <w:rsid w:val="002B18F7"/>
    <w:rsid w:val="002B31CF"/>
    <w:rsid w:val="002B3ED7"/>
    <w:rsid w:val="002B4778"/>
    <w:rsid w:val="002B75B2"/>
    <w:rsid w:val="002B79B7"/>
    <w:rsid w:val="002C141D"/>
    <w:rsid w:val="002C19C0"/>
    <w:rsid w:val="002C2485"/>
    <w:rsid w:val="002C25E0"/>
    <w:rsid w:val="002C2A2D"/>
    <w:rsid w:val="002C36C0"/>
    <w:rsid w:val="002C3928"/>
    <w:rsid w:val="002C3B33"/>
    <w:rsid w:val="002C435E"/>
    <w:rsid w:val="002C43BB"/>
    <w:rsid w:val="002C44AB"/>
    <w:rsid w:val="002C5E39"/>
    <w:rsid w:val="002C5FA2"/>
    <w:rsid w:val="002C7A02"/>
    <w:rsid w:val="002C7BD4"/>
    <w:rsid w:val="002D0107"/>
    <w:rsid w:val="002D062E"/>
    <w:rsid w:val="002D0D43"/>
    <w:rsid w:val="002D15C2"/>
    <w:rsid w:val="002D2B10"/>
    <w:rsid w:val="002D3842"/>
    <w:rsid w:val="002D386A"/>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1803"/>
    <w:rsid w:val="002E272B"/>
    <w:rsid w:val="002E29F8"/>
    <w:rsid w:val="002E2C52"/>
    <w:rsid w:val="002E342B"/>
    <w:rsid w:val="002E3B81"/>
    <w:rsid w:val="002E3D08"/>
    <w:rsid w:val="002E3E1D"/>
    <w:rsid w:val="002E3EEA"/>
    <w:rsid w:val="002E4D08"/>
    <w:rsid w:val="002E4DA5"/>
    <w:rsid w:val="002E52B8"/>
    <w:rsid w:val="002E5DBF"/>
    <w:rsid w:val="002E5E01"/>
    <w:rsid w:val="002E60F5"/>
    <w:rsid w:val="002E6536"/>
    <w:rsid w:val="002E6687"/>
    <w:rsid w:val="002E69F5"/>
    <w:rsid w:val="002E6CAA"/>
    <w:rsid w:val="002E732D"/>
    <w:rsid w:val="002E73EC"/>
    <w:rsid w:val="002E78B2"/>
    <w:rsid w:val="002F023D"/>
    <w:rsid w:val="002F10EC"/>
    <w:rsid w:val="002F1136"/>
    <w:rsid w:val="002F1231"/>
    <w:rsid w:val="002F1521"/>
    <w:rsid w:val="002F15EE"/>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8DB"/>
    <w:rsid w:val="00301D0A"/>
    <w:rsid w:val="003027B8"/>
    <w:rsid w:val="0030293F"/>
    <w:rsid w:val="00302947"/>
    <w:rsid w:val="00302C50"/>
    <w:rsid w:val="003031C2"/>
    <w:rsid w:val="00303861"/>
    <w:rsid w:val="003049B1"/>
    <w:rsid w:val="00304FFF"/>
    <w:rsid w:val="00305557"/>
    <w:rsid w:val="0030561F"/>
    <w:rsid w:val="00305CA3"/>
    <w:rsid w:val="00306E5C"/>
    <w:rsid w:val="00307C19"/>
    <w:rsid w:val="00310732"/>
    <w:rsid w:val="00310BC9"/>
    <w:rsid w:val="00311762"/>
    <w:rsid w:val="00311E98"/>
    <w:rsid w:val="00312215"/>
    <w:rsid w:val="0031249C"/>
    <w:rsid w:val="003125C3"/>
    <w:rsid w:val="00312896"/>
    <w:rsid w:val="00313EAC"/>
    <w:rsid w:val="003142F4"/>
    <w:rsid w:val="0031454E"/>
    <w:rsid w:val="0031611F"/>
    <w:rsid w:val="00317A33"/>
    <w:rsid w:val="00320339"/>
    <w:rsid w:val="00321214"/>
    <w:rsid w:val="003213D5"/>
    <w:rsid w:val="00323737"/>
    <w:rsid w:val="00323AD6"/>
    <w:rsid w:val="00323F27"/>
    <w:rsid w:val="003242EF"/>
    <w:rsid w:val="00325339"/>
    <w:rsid w:val="003255AA"/>
    <w:rsid w:val="003314B6"/>
    <w:rsid w:val="00331A20"/>
    <w:rsid w:val="00331A23"/>
    <w:rsid w:val="00331E65"/>
    <w:rsid w:val="00333107"/>
    <w:rsid w:val="0033343B"/>
    <w:rsid w:val="0033393C"/>
    <w:rsid w:val="003357EE"/>
    <w:rsid w:val="00337368"/>
    <w:rsid w:val="00337B4D"/>
    <w:rsid w:val="003407A9"/>
    <w:rsid w:val="00340BA3"/>
    <w:rsid w:val="00340BAF"/>
    <w:rsid w:val="00340C2B"/>
    <w:rsid w:val="00340F9A"/>
    <w:rsid w:val="00341018"/>
    <w:rsid w:val="00341723"/>
    <w:rsid w:val="003420D9"/>
    <w:rsid w:val="003423E0"/>
    <w:rsid w:val="0034301A"/>
    <w:rsid w:val="00343D76"/>
    <w:rsid w:val="00344DFD"/>
    <w:rsid w:val="003451D3"/>
    <w:rsid w:val="00345B64"/>
    <w:rsid w:val="00346631"/>
    <w:rsid w:val="00346AAD"/>
    <w:rsid w:val="00346D96"/>
    <w:rsid w:val="0034736A"/>
    <w:rsid w:val="0034747C"/>
    <w:rsid w:val="00347B6C"/>
    <w:rsid w:val="0035151C"/>
    <w:rsid w:val="00352254"/>
    <w:rsid w:val="003522A3"/>
    <w:rsid w:val="00353929"/>
    <w:rsid w:val="00353F9E"/>
    <w:rsid w:val="003540D1"/>
    <w:rsid w:val="003545BF"/>
    <w:rsid w:val="0035586A"/>
    <w:rsid w:val="0035611A"/>
    <w:rsid w:val="00356C3D"/>
    <w:rsid w:val="00360B75"/>
    <w:rsid w:val="0036151C"/>
    <w:rsid w:val="0036177B"/>
    <w:rsid w:val="00361A9B"/>
    <w:rsid w:val="00362CCF"/>
    <w:rsid w:val="003631DB"/>
    <w:rsid w:val="00364524"/>
    <w:rsid w:val="0036513A"/>
    <w:rsid w:val="00365237"/>
    <w:rsid w:val="0036559C"/>
    <w:rsid w:val="0036587E"/>
    <w:rsid w:val="003660CD"/>
    <w:rsid w:val="00366AC2"/>
    <w:rsid w:val="00366B08"/>
    <w:rsid w:val="00367496"/>
    <w:rsid w:val="003678BE"/>
    <w:rsid w:val="003700F8"/>
    <w:rsid w:val="00370949"/>
    <w:rsid w:val="00371CE9"/>
    <w:rsid w:val="0037243B"/>
    <w:rsid w:val="0037251C"/>
    <w:rsid w:val="0037272C"/>
    <w:rsid w:val="00372B9A"/>
    <w:rsid w:val="003731BF"/>
    <w:rsid w:val="00375287"/>
    <w:rsid w:val="00375791"/>
    <w:rsid w:val="00375826"/>
    <w:rsid w:val="00375994"/>
    <w:rsid w:val="00375C59"/>
    <w:rsid w:val="00375E05"/>
    <w:rsid w:val="00376BB7"/>
    <w:rsid w:val="00376EEE"/>
    <w:rsid w:val="00377BA1"/>
    <w:rsid w:val="00377FF0"/>
    <w:rsid w:val="00380616"/>
    <w:rsid w:val="00381022"/>
    <w:rsid w:val="003814B8"/>
    <w:rsid w:val="00382909"/>
    <w:rsid w:val="00382EE1"/>
    <w:rsid w:val="00384258"/>
    <w:rsid w:val="00385131"/>
    <w:rsid w:val="0038620B"/>
    <w:rsid w:val="00387647"/>
    <w:rsid w:val="0038791A"/>
    <w:rsid w:val="00390056"/>
    <w:rsid w:val="0039055C"/>
    <w:rsid w:val="00390718"/>
    <w:rsid w:val="00390767"/>
    <w:rsid w:val="00390883"/>
    <w:rsid w:val="003913D9"/>
    <w:rsid w:val="00391470"/>
    <w:rsid w:val="003920C4"/>
    <w:rsid w:val="00392184"/>
    <w:rsid w:val="00392652"/>
    <w:rsid w:val="00392B41"/>
    <w:rsid w:val="0039456F"/>
    <w:rsid w:val="003945C8"/>
    <w:rsid w:val="0039480D"/>
    <w:rsid w:val="00395446"/>
    <w:rsid w:val="00396725"/>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23F"/>
    <w:rsid w:val="003A71AD"/>
    <w:rsid w:val="003A7D1D"/>
    <w:rsid w:val="003B1688"/>
    <w:rsid w:val="003B1FA4"/>
    <w:rsid w:val="003B1FE6"/>
    <w:rsid w:val="003B3106"/>
    <w:rsid w:val="003B3974"/>
    <w:rsid w:val="003B39E0"/>
    <w:rsid w:val="003B3DAB"/>
    <w:rsid w:val="003B404D"/>
    <w:rsid w:val="003B4B34"/>
    <w:rsid w:val="003B4CDA"/>
    <w:rsid w:val="003B4F2D"/>
    <w:rsid w:val="003B57D5"/>
    <w:rsid w:val="003B5BD9"/>
    <w:rsid w:val="003B64A3"/>
    <w:rsid w:val="003B6DB8"/>
    <w:rsid w:val="003B72B9"/>
    <w:rsid w:val="003C0887"/>
    <w:rsid w:val="003C08AF"/>
    <w:rsid w:val="003C0ABD"/>
    <w:rsid w:val="003C2EDD"/>
    <w:rsid w:val="003C3220"/>
    <w:rsid w:val="003C3A47"/>
    <w:rsid w:val="003C3A79"/>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8CC"/>
    <w:rsid w:val="003D3583"/>
    <w:rsid w:val="003D391E"/>
    <w:rsid w:val="003D3B6F"/>
    <w:rsid w:val="003D4034"/>
    <w:rsid w:val="003D40E8"/>
    <w:rsid w:val="003D455E"/>
    <w:rsid w:val="003D5785"/>
    <w:rsid w:val="003D5A2D"/>
    <w:rsid w:val="003D5A9D"/>
    <w:rsid w:val="003D62C0"/>
    <w:rsid w:val="003D65F6"/>
    <w:rsid w:val="003D6911"/>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EF2"/>
    <w:rsid w:val="003E5F7D"/>
    <w:rsid w:val="003E6520"/>
    <w:rsid w:val="003E67E7"/>
    <w:rsid w:val="003E6B25"/>
    <w:rsid w:val="003E6B3C"/>
    <w:rsid w:val="003E6B95"/>
    <w:rsid w:val="003E70FF"/>
    <w:rsid w:val="003E7F1B"/>
    <w:rsid w:val="003F0B41"/>
    <w:rsid w:val="003F1150"/>
    <w:rsid w:val="003F1E39"/>
    <w:rsid w:val="003F229D"/>
    <w:rsid w:val="003F25F0"/>
    <w:rsid w:val="003F2D5B"/>
    <w:rsid w:val="003F3EB6"/>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4157"/>
    <w:rsid w:val="00404C44"/>
    <w:rsid w:val="00404EE8"/>
    <w:rsid w:val="0040510D"/>
    <w:rsid w:val="0040512D"/>
    <w:rsid w:val="0040602F"/>
    <w:rsid w:val="00406AFB"/>
    <w:rsid w:val="00407382"/>
    <w:rsid w:val="0040791B"/>
    <w:rsid w:val="00411958"/>
    <w:rsid w:val="00411B2A"/>
    <w:rsid w:val="00412973"/>
    <w:rsid w:val="00412D42"/>
    <w:rsid w:val="00412DA4"/>
    <w:rsid w:val="00412EB6"/>
    <w:rsid w:val="0041351F"/>
    <w:rsid w:val="004137C8"/>
    <w:rsid w:val="00413BF9"/>
    <w:rsid w:val="00413C25"/>
    <w:rsid w:val="00415531"/>
    <w:rsid w:val="00416330"/>
    <w:rsid w:val="004176C7"/>
    <w:rsid w:val="00417877"/>
    <w:rsid w:val="00417D9F"/>
    <w:rsid w:val="00420229"/>
    <w:rsid w:val="00420DBA"/>
    <w:rsid w:val="00421311"/>
    <w:rsid w:val="00422E13"/>
    <w:rsid w:val="0042350F"/>
    <w:rsid w:val="00423599"/>
    <w:rsid w:val="0042384C"/>
    <w:rsid w:val="00423893"/>
    <w:rsid w:val="00423BC9"/>
    <w:rsid w:val="004255B4"/>
    <w:rsid w:val="00426766"/>
    <w:rsid w:val="004267D0"/>
    <w:rsid w:val="004279CA"/>
    <w:rsid w:val="00427A82"/>
    <w:rsid w:val="00427EA2"/>
    <w:rsid w:val="00430115"/>
    <w:rsid w:val="00430A4B"/>
    <w:rsid w:val="00431C46"/>
    <w:rsid w:val="004327E6"/>
    <w:rsid w:val="004329DC"/>
    <w:rsid w:val="00432AC6"/>
    <w:rsid w:val="004341C6"/>
    <w:rsid w:val="00434C5E"/>
    <w:rsid w:val="00435765"/>
    <w:rsid w:val="004360B6"/>
    <w:rsid w:val="004362E5"/>
    <w:rsid w:val="00436356"/>
    <w:rsid w:val="00440722"/>
    <w:rsid w:val="004425D9"/>
    <w:rsid w:val="00443244"/>
    <w:rsid w:val="00444AF6"/>
    <w:rsid w:val="0044519D"/>
    <w:rsid w:val="00445544"/>
    <w:rsid w:val="00445C0B"/>
    <w:rsid w:val="00446195"/>
    <w:rsid w:val="00447CD0"/>
    <w:rsid w:val="00447FC2"/>
    <w:rsid w:val="004502F4"/>
    <w:rsid w:val="0045043E"/>
    <w:rsid w:val="004506F4"/>
    <w:rsid w:val="004509D1"/>
    <w:rsid w:val="00450A42"/>
    <w:rsid w:val="00450E98"/>
    <w:rsid w:val="004513A5"/>
    <w:rsid w:val="00451D50"/>
    <w:rsid w:val="00452EC4"/>
    <w:rsid w:val="00453340"/>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6E90"/>
    <w:rsid w:val="00457135"/>
    <w:rsid w:val="0045770D"/>
    <w:rsid w:val="004577A0"/>
    <w:rsid w:val="0045790F"/>
    <w:rsid w:val="00457D63"/>
    <w:rsid w:val="00457E21"/>
    <w:rsid w:val="0046007E"/>
    <w:rsid w:val="0046024B"/>
    <w:rsid w:val="00460E36"/>
    <w:rsid w:val="00461155"/>
    <w:rsid w:val="0046218C"/>
    <w:rsid w:val="004623D4"/>
    <w:rsid w:val="00463944"/>
    <w:rsid w:val="0046512A"/>
    <w:rsid w:val="00465234"/>
    <w:rsid w:val="00465B24"/>
    <w:rsid w:val="00466858"/>
    <w:rsid w:val="00466D0F"/>
    <w:rsid w:val="00467544"/>
    <w:rsid w:val="004676BA"/>
    <w:rsid w:val="0046784C"/>
    <w:rsid w:val="00467ECB"/>
    <w:rsid w:val="004710C3"/>
    <w:rsid w:val="00471459"/>
    <w:rsid w:val="00472274"/>
    <w:rsid w:val="004722D4"/>
    <w:rsid w:val="00472AD0"/>
    <w:rsid w:val="00472D9C"/>
    <w:rsid w:val="00473B60"/>
    <w:rsid w:val="00475AFF"/>
    <w:rsid w:val="00475D30"/>
    <w:rsid w:val="004765F4"/>
    <w:rsid w:val="004766B1"/>
    <w:rsid w:val="00476B4D"/>
    <w:rsid w:val="00476CBC"/>
    <w:rsid w:val="00476E6C"/>
    <w:rsid w:val="00477282"/>
    <w:rsid w:val="00477947"/>
    <w:rsid w:val="00480FA1"/>
    <w:rsid w:val="00481FD7"/>
    <w:rsid w:val="00482DE5"/>
    <w:rsid w:val="00483266"/>
    <w:rsid w:val="0048352E"/>
    <w:rsid w:val="004836A9"/>
    <w:rsid w:val="00483B23"/>
    <w:rsid w:val="004840D7"/>
    <w:rsid w:val="004846F4"/>
    <w:rsid w:val="00485C26"/>
    <w:rsid w:val="00485EC0"/>
    <w:rsid w:val="00486A51"/>
    <w:rsid w:val="004875E1"/>
    <w:rsid w:val="00487B37"/>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95C"/>
    <w:rsid w:val="004A0D1E"/>
    <w:rsid w:val="004A0E66"/>
    <w:rsid w:val="004A0EEC"/>
    <w:rsid w:val="004A130F"/>
    <w:rsid w:val="004A17EF"/>
    <w:rsid w:val="004A1BDA"/>
    <w:rsid w:val="004A22DA"/>
    <w:rsid w:val="004A2700"/>
    <w:rsid w:val="004A36C8"/>
    <w:rsid w:val="004A3721"/>
    <w:rsid w:val="004A3742"/>
    <w:rsid w:val="004A37B8"/>
    <w:rsid w:val="004A3CC2"/>
    <w:rsid w:val="004A3ED3"/>
    <w:rsid w:val="004A47BC"/>
    <w:rsid w:val="004A4AC6"/>
    <w:rsid w:val="004B1199"/>
    <w:rsid w:val="004B16C4"/>
    <w:rsid w:val="004B1867"/>
    <w:rsid w:val="004B2A64"/>
    <w:rsid w:val="004B41DA"/>
    <w:rsid w:val="004B470D"/>
    <w:rsid w:val="004B4764"/>
    <w:rsid w:val="004B4846"/>
    <w:rsid w:val="004B5394"/>
    <w:rsid w:val="004B5BDD"/>
    <w:rsid w:val="004B6E9E"/>
    <w:rsid w:val="004B6F83"/>
    <w:rsid w:val="004B7C29"/>
    <w:rsid w:val="004C06E5"/>
    <w:rsid w:val="004C1B7D"/>
    <w:rsid w:val="004C1E3C"/>
    <w:rsid w:val="004C25F0"/>
    <w:rsid w:val="004C26DD"/>
    <w:rsid w:val="004C2B5D"/>
    <w:rsid w:val="004C2D68"/>
    <w:rsid w:val="004C2F56"/>
    <w:rsid w:val="004C339D"/>
    <w:rsid w:val="004C33E8"/>
    <w:rsid w:val="004C4307"/>
    <w:rsid w:val="004C4309"/>
    <w:rsid w:val="004C49E3"/>
    <w:rsid w:val="004C4E8A"/>
    <w:rsid w:val="004C4F1B"/>
    <w:rsid w:val="004C514A"/>
    <w:rsid w:val="004C645A"/>
    <w:rsid w:val="004C6572"/>
    <w:rsid w:val="004C6D4F"/>
    <w:rsid w:val="004C7541"/>
    <w:rsid w:val="004D1E71"/>
    <w:rsid w:val="004D2CDF"/>
    <w:rsid w:val="004D33CE"/>
    <w:rsid w:val="004D4AAE"/>
    <w:rsid w:val="004D7C86"/>
    <w:rsid w:val="004E0197"/>
    <w:rsid w:val="004E1122"/>
    <w:rsid w:val="004E1409"/>
    <w:rsid w:val="004E1A87"/>
    <w:rsid w:val="004E1BB0"/>
    <w:rsid w:val="004E3030"/>
    <w:rsid w:val="004E3311"/>
    <w:rsid w:val="004E38EC"/>
    <w:rsid w:val="004E3933"/>
    <w:rsid w:val="004E4549"/>
    <w:rsid w:val="004E4C83"/>
    <w:rsid w:val="004E4D53"/>
    <w:rsid w:val="004E4D84"/>
    <w:rsid w:val="004E4EBC"/>
    <w:rsid w:val="004E5104"/>
    <w:rsid w:val="004E5B06"/>
    <w:rsid w:val="004E5FA8"/>
    <w:rsid w:val="004E684C"/>
    <w:rsid w:val="004E6FF1"/>
    <w:rsid w:val="004E76DB"/>
    <w:rsid w:val="004F1F90"/>
    <w:rsid w:val="004F2401"/>
    <w:rsid w:val="004F2A44"/>
    <w:rsid w:val="004F2DAD"/>
    <w:rsid w:val="004F34F7"/>
    <w:rsid w:val="004F55D6"/>
    <w:rsid w:val="004F565A"/>
    <w:rsid w:val="004F571B"/>
    <w:rsid w:val="004F64EB"/>
    <w:rsid w:val="004F7A74"/>
    <w:rsid w:val="00500250"/>
    <w:rsid w:val="00500264"/>
    <w:rsid w:val="00500824"/>
    <w:rsid w:val="00500DAB"/>
    <w:rsid w:val="00501144"/>
    <w:rsid w:val="005013EF"/>
    <w:rsid w:val="005016CC"/>
    <w:rsid w:val="005019E0"/>
    <w:rsid w:val="0050211F"/>
    <w:rsid w:val="005022E7"/>
    <w:rsid w:val="0050243D"/>
    <w:rsid w:val="00502A93"/>
    <w:rsid w:val="00506083"/>
    <w:rsid w:val="005068D6"/>
    <w:rsid w:val="00506B86"/>
    <w:rsid w:val="00506EEC"/>
    <w:rsid w:val="00506FD4"/>
    <w:rsid w:val="005107FF"/>
    <w:rsid w:val="00510CBC"/>
    <w:rsid w:val="0051102D"/>
    <w:rsid w:val="005112A5"/>
    <w:rsid w:val="00511F48"/>
    <w:rsid w:val="00512448"/>
    <w:rsid w:val="0051253A"/>
    <w:rsid w:val="0051266C"/>
    <w:rsid w:val="00513B72"/>
    <w:rsid w:val="00515277"/>
    <w:rsid w:val="005158C2"/>
    <w:rsid w:val="005169DE"/>
    <w:rsid w:val="0051754D"/>
    <w:rsid w:val="0051785D"/>
    <w:rsid w:val="00517913"/>
    <w:rsid w:val="0052005F"/>
    <w:rsid w:val="00520200"/>
    <w:rsid w:val="00520E2D"/>
    <w:rsid w:val="00520F04"/>
    <w:rsid w:val="00521717"/>
    <w:rsid w:val="005224B2"/>
    <w:rsid w:val="00523B23"/>
    <w:rsid w:val="00523DFA"/>
    <w:rsid w:val="005254BC"/>
    <w:rsid w:val="005256FC"/>
    <w:rsid w:val="00526C27"/>
    <w:rsid w:val="00526DFF"/>
    <w:rsid w:val="00527473"/>
    <w:rsid w:val="00527EF9"/>
    <w:rsid w:val="005305FF"/>
    <w:rsid w:val="00530C9B"/>
    <w:rsid w:val="00532334"/>
    <w:rsid w:val="005324AF"/>
    <w:rsid w:val="0053402C"/>
    <w:rsid w:val="00534090"/>
    <w:rsid w:val="00534ABA"/>
    <w:rsid w:val="00535FFF"/>
    <w:rsid w:val="0053616F"/>
    <w:rsid w:val="005368AD"/>
    <w:rsid w:val="005370BC"/>
    <w:rsid w:val="00537B35"/>
    <w:rsid w:val="00537DE7"/>
    <w:rsid w:val="00537EC4"/>
    <w:rsid w:val="00537FE4"/>
    <w:rsid w:val="0054027D"/>
    <w:rsid w:val="00541222"/>
    <w:rsid w:val="00541A8D"/>
    <w:rsid w:val="00544DA0"/>
    <w:rsid w:val="005454BD"/>
    <w:rsid w:val="005457E4"/>
    <w:rsid w:val="00546C49"/>
    <w:rsid w:val="0055010B"/>
    <w:rsid w:val="00550D59"/>
    <w:rsid w:val="0055110D"/>
    <w:rsid w:val="00551F81"/>
    <w:rsid w:val="0055210F"/>
    <w:rsid w:val="00552CD7"/>
    <w:rsid w:val="005533BE"/>
    <w:rsid w:val="00554B30"/>
    <w:rsid w:val="00554FFB"/>
    <w:rsid w:val="005568DE"/>
    <w:rsid w:val="00557C50"/>
    <w:rsid w:val="005606B6"/>
    <w:rsid w:val="005608D6"/>
    <w:rsid w:val="00560F19"/>
    <w:rsid w:val="00561E6B"/>
    <w:rsid w:val="005621D2"/>
    <w:rsid w:val="005621E0"/>
    <w:rsid w:val="00562D90"/>
    <w:rsid w:val="00563317"/>
    <w:rsid w:val="00563A23"/>
    <w:rsid w:val="00563A5A"/>
    <w:rsid w:val="00563C61"/>
    <w:rsid w:val="00563ECB"/>
    <w:rsid w:val="00563F47"/>
    <w:rsid w:val="005640BB"/>
    <w:rsid w:val="00564C23"/>
    <w:rsid w:val="00565406"/>
    <w:rsid w:val="00565570"/>
    <w:rsid w:val="005657DD"/>
    <w:rsid w:val="00565B29"/>
    <w:rsid w:val="005664CC"/>
    <w:rsid w:val="0056664B"/>
    <w:rsid w:val="0056725C"/>
    <w:rsid w:val="00567588"/>
    <w:rsid w:val="00567992"/>
    <w:rsid w:val="00567C3C"/>
    <w:rsid w:val="005702F8"/>
    <w:rsid w:val="00571231"/>
    <w:rsid w:val="00571767"/>
    <w:rsid w:val="00571E44"/>
    <w:rsid w:val="00573E61"/>
    <w:rsid w:val="0057411B"/>
    <w:rsid w:val="00574525"/>
    <w:rsid w:val="00574778"/>
    <w:rsid w:val="0057498F"/>
    <w:rsid w:val="00574DE9"/>
    <w:rsid w:val="00575195"/>
    <w:rsid w:val="00575DF4"/>
    <w:rsid w:val="0057765D"/>
    <w:rsid w:val="005777FC"/>
    <w:rsid w:val="005808EB"/>
    <w:rsid w:val="00580D37"/>
    <w:rsid w:val="00581FA0"/>
    <w:rsid w:val="00582B90"/>
    <w:rsid w:val="00583134"/>
    <w:rsid w:val="005831A7"/>
    <w:rsid w:val="00583321"/>
    <w:rsid w:val="0058341E"/>
    <w:rsid w:val="00583D2E"/>
    <w:rsid w:val="00584F3A"/>
    <w:rsid w:val="005853AB"/>
    <w:rsid w:val="00585748"/>
    <w:rsid w:val="005859C5"/>
    <w:rsid w:val="00585C79"/>
    <w:rsid w:val="00585FD0"/>
    <w:rsid w:val="00586144"/>
    <w:rsid w:val="00587785"/>
    <w:rsid w:val="0058788D"/>
    <w:rsid w:val="00587E29"/>
    <w:rsid w:val="00587FE6"/>
    <w:rsid w:val="0059040D"/>
    <w:rsid w:val="00591698"/>
    <w:rsid w:val="00593B87"/>
    <w:rsid w:val="00593C1C"/>
    <w:rsid w:val="00593E94"/>
    <w:rsid w:val="00594143"/>
    <w:rsid w:val="00594543"/>
    <w:rsid w:val="00594612"/>
    <w:rsid w:val="00595873"/>
    <w:rsid w:val="00595CDD"/>
    <w:rsid w:val="005964BB"/>
    <w:rsid w:val="00596A70"/>
    <w:rsid w:val="00596BD3"/>
    <w:rsid w:val="00596BE7"/>
    <w:rsid w:val="00596C3E"/>
    <w:rsid w:val="005977DD"/>
    <w:rsid w:val="005A04BD"/>
    <w:rsid w:val="005A0A3F"/>
    <w:rsid w:val="005A114F"/>
    <w:rsid w:val="005A1F49"/>
    <w:rsid w:val="005A2364"/>
    <w:rsid w:val="005A2480"/>
    <w:rsid w:val="005A2B2C"/>
    <w:rsid w:val="005A2D6B"/>
    <w:rsid w:val="005A3252"/>
    <w:rsid w:val="005A33F7"/>
    <w:rsid w:val="005A40CF"/>
    <w:rsid w:val="005A4A9C"/>
    <w:rsid w:val="005A4BAE"/>
    <w:rsid w:val="005A4F39"/>
    <w:rsid w:val="005A574D"/>
    <w:rsid w:val="005A5B5C"/>
    <w:rsid w:val="005A6E93"/>
    <w:rsid w:val="005A707A"/>
    <w:rsid w:val="005A7340"/>
    <w:rsid w:val="005A7F93"/>
    <w:rsid w:val="005B07EA"/>
    <w:rsid w:val="005B0B20"/>
    <w:rsid w:val="005B0BD6"/>
    <w:rsid w:val="005B0EFB"/>
    <w:rsid w:val="005B1060"/>
    <w:rsid w:val="005B12B9"/>
    <w:rsid w:val="005B17C1"/>
    <w:rsid w:val="005B3737"/>
    <w:rsid w:val="005B3A42"/>
    <w:rsid w:val="005B5D40"/>
    <w:rsid w:val="005B5EFC"/>
    <w:rsid w:val="005B6412"/>
    <w:rsid w:val="005B6698"/>
    <w:rsid w:val="005B68A7"/>
    <w:rsid w:val="005B6AC3"/>
    <w:rsid w:val="005C055E"/>
    <w:rsid w:val="005C0FA1"/>
    <w:rsid w:val="005C1615"/>
    <w:rsid w:val="005C1D98"/>
    <w:rsid w:val="005C1DA5"/>
    <w:rsid w:val="005C2559"/>
    <w:rsid w:val="005C2873"/>
    <w:rsid w:val="005C34FC"/>
    <w:rsid w:val="005C3B5C"/>
    <w:rsid w:val="005C3C7F"/>
    <w:rsid w:val="005C5143"/>
    <w:rsid w:val="005C5639"/>
    <w:rsid w:val="005C5742"/>
    <w:rsid w:val="005C6CA5"/>
    <w:rsid w:val="005C760E"/>
    <w:rsid w:val="005C7E9E"/>
    <w:rsid w:val="005D18C9"/>
    <w:rsid w:val="005D1B72"/>
    <w:rsid w:val="005D2471"/>
    <w:rsid w:val="005D25A3"/>
    <w:rsid w:val="005D2779"/>
    <w:rsid w:val="005D3242"/>
    <w:rsid w:val="005D610C"/>
    <w:rsid w:val="005D74E7"/>
    <w:rsid w:val="005D7C64"/>
    <w:rsid w:val="005D7F7B"/>
    <w:rsid w:val="005E3BCD"/>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2C1F"/>
    <w:rsid w:val="005F2E44"/>
    <w:rsid w:val="005F3690"/>
    <w:rsid w:val="005F3986"/>
    <w:rsid w:val="005F4C57"/>
    <w:rsid w:val="005F6774"/>
    <w:rsid w:val="005F704D"/>
    <w:rsid w:val="005F79AA"/>
    <w:rsid w:val="0060044B"/>
    <w:rsid w:val="006013D7"/>
    <w:rsid w:val="006014DB"/>
    <w:rsid w:val="00601587"/>
    <w:rsid w:val="00602079"/>
    <w:rsid w:val="006022F3"/>
    <w:rsid w:val="00602579"/>
    <w:rsid w:val="00602BA4"/>
    <w:rsid w:val="00602DA2"/>
    <w:rsid w:val="00602FF4"/>
    <w:rsid w:val="00603228"/>
    <w:rsid w:val="00604ACD"/>
    <w:rsid w:val="00604C15"/>
    <w:rsid w:val="00604DC2"/>
    <w:rsid w:val="006060C4"/>
    <w:rsid w:val="00607C35"/>
    <w:rsid w:val="00611777"/>
    <w:rsid w:val="0061189F"/>
    <w:rsid w:val="0061219B"/>
    <w:rsid w:val="00612D05"/>
    <w:rsid w:val="00613FB6"/>
    <w:rsid w:val="006140C6"/>
    <w:rsid w:val="00614134"/>
    <w:rsid w:val="00614241"/>
    <w:rsid w:val="0061428D"/>
    <w:rsid w:val="00615411"/>
    <w:rsid w:val="0061599E"/>
    <w:rsid w:val="00615AC7"/>
    <w:rsid w:val="006162E6"/>
    <w:rsid w:val="006171A5"/>
    <w:rsid w:val="00620309"/>
    <w:rsid w:val="0062159D"/>
    <w:rsid w:val="00621680"/>
    <w:rsid w:val="00621EC5"/>
    <w:rsid w:val="006223E0"/>
    <w:rsid w:val="006224D0"/>
    <w:rsid w:val="006226A3"/>
    <w:rsid w:val="00622BCE"/>
    <w:rsid w:val="00622E29"/>
    <w:rsid w:val="00623643"/>
    <w:rsid w:val="00624018"/>
    <w:rsid w:val="006240C4"/>
    <w:rsid w:val="00624B3C"/>
    <w:rsid w:val="006252C2"/>
    <w:rsid w:val="00625304"/>
    <w:rsid w:val="0062581B"/>
    <w:rsid w:val="006261F4"/>
    <w:rsid w:val="0063164E"/>
    <w:rsid w:val="0063191D"/>
    <w:rsid w:val="00633488"/>
    <w:rsid w:val="00633581"/>
    <w:rsid w:val="006339AF"/>
    <w:rsid w:val="00633C47"/>
    <w:rsid w:val="006348F7"/>
    <w:rsid w:val="0063512D"/>
    <w:rsid w:val="00635696"/>
    <w:rsid w:val="006358FB"/>
    <w:rsid w:val="00635AE2"/>
    <w:rsid w:val="00635E1E"/>
    <w:rsid w:val="0063677C"/>
    <w:rsid w:val="00636972"/>
    <w:rsid w:val="00636B69"/>
    <w:rsid w:val="00636BC2"/>
    <w:rsid w:val="006404B1"/>
    <w:rsid w:val="006404D1"/>
    <w:rsid w:val="00640F43"/>
    <w:rsid w:val="006412CA"/>
    <w:rsid w:val="006420DA"/>
    <w:rsid w:val="00642A0A"/>
    <w:rsid w:val="00643AC1"/>
    <w:rsid w:val="00643D62"/>
    <w:rsid w:val="00644A5E"/>
    <w:rsid w:val="00644A6C"/>
    <w:rsid w:val="00644D69"/>
    <w:rsid w:val="006457A8"/>
    <w:rsid w:val="00645EA0"/>
    <w:rsid w:val="00645F76"/>
    <w:rsid w:val="00646EB0"/>
    <w:rsid w:val="0064714D"/>
    <w:rsid w:val="0064727D"/>
    <w:rsid w:val="006473CE"/>
    <w:rsid w:val="00647B32"/>
    <w:rsid w:val="00647C27"/>
    <w:rsid w:val="006519E6"/>
    <w:rsid w:val="00651CDE"/>
    <w:rsid w:val="00652326"/>
    <w:rsid w:val="006524F6"/>
    <w:rsid w:val="00652907"/>
    <w:rsid w:val="00652E06"/>
    <w:rsid w:val="00653FC4"/>
    <w:rsid w:val="00654F91"/>
    <w:rsid w:val="00655361"/>
    <w:rsid w:val="00656253"/>
    <w:rsid w:val="00656799"/>
    <w:rsid w:val="00656B77"/>
    <w:rsid w:val="00656E72"/>
    <w:rsid w:val="006578A1"/>
    <w:rsid w:val="0066137B"/>
    <w:rsid w:val="0066174E"/>
    <w:rsid w:val="00661BBB"/>
    <w:rsid w:val="00661E57"/>
    <w:rsid w:val="006629E4"/>
    <w:rsid w:val="0066352E"/>
    <w:rsid w:val="00663783"/>
    <w:rsid w:val="00663E47"/>
    <w:rsid w:val="006644A7"/>
    <w:rsid w:val="00664BDE"/>
    <w:rsid w:val="0066565B"/>
    <w:rsid w:val="00665C44"/>
    <w:rsid w:val="00666284"/>
    <w:rsid w:val="006667F3"/>
    <w:rsid w:val="00667AEA"/>
    <w:rsid w:val="006704FA"/>
    <w:rsid w:val="00670687"/>
    <w:rsid w:val="00670DC5"/>
    <w:rsid w:val="00671652"/>
    <w:rsid w:val="00671FAA"/>
    <w:rsid w:val="00675DA5"/>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8AA"/>
    <w:rsid w:val="00685BCF"/>
    <w:rsid w:val="006871D0"/>
    <w:rsid w:val="0068751F"/>
    <w:rsid w:val="006900D1"/>
    <w:rsid w:val="00690297"/>
    <w:rsid w:val="0069115A"/>
    <w:rsid w:val="006912F1"/>
    <w:rsid w:val="00691387"/>
    <w:rsid w:val="006927F2"/>
    <w:rsid w:val="006931E1"/>
    <w:rsid w:val="00693E3A"/>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AFB"/>
    <w:rsid w:val="006A2E9C"/>
    <w:rsid w:val="006A35E0"/>
    <w:rsid w:val="006A377F"/>
    <w:rsid w:val="006A384A"/>
    <w:rsid w:val="006A3875"/>
    <w:rsid w:val="006A3D40"/>
    <w:rsid w:val="006A561D"/>
    <w:rsid w:val="006A5A0C"/>
    <w:rsid w:val="006A5BA0"/>
    <w:rsid w:val="006A5BB1"/>
    <w:rsid w:val="006A5F88"/>
    <w:rsid w:val="006A7D95"/>
    <w:rsid w:val="006B120D"/>
    <w:rsid w:val="006B13C1"/>
    <w:rsid w:val="006B2CC7"/>
    <w:rsid w:val="006B3AF9"/>
    <w:rsid w:val="006B44C5"/>
    <w:rsid w:val="006B555F"/>
    <w:rsid w:val="006B5A60"/>
    <w:rsid w:val="006B6242"/>
    <w:rsid w:val="006B62B8"/>
    <w:rsid w:val="006B6C7C"/>
    <w:rsid w:val="006B6EA4"/>
    <w:rsid w:val="006B77BB"/>
    <w:rsid w:val="006B7F8F"/>
    <w:rsid w:val="006B7FC5"/>
    <w:rsid w:val="006C055E"/>
    <w:rsid w:val="006C0D13"/>
    <w:rsid w:val="006C187F"/>
    <w:rsid w:val="006C19BC"/>
    <w:rsid w:val="006C19D5"/>
    <w:rsid w:val="006C1B44"/>
    <w:rsid w:val="006C1F77"/>
    <w:rsid w:val="006C2211"/>
    <w:rsid w:val="006C3031"/>
    <w:rsid w:val="006C3607"/>
    <w:rsid w:val="006C3990"/>
    <w:rsid w:val="006C3ED2"/>
    <w:rsid w:val="006C4233"/>
    <w:rsid w:val="006C42E7"/>
    <w:rsid w:val="006C4422"/>
    <w:rsid w:val="006C5CCA"/>
    <w:rsid w:val="006C625F"/>
    <w:rsid w:val="006C78A6"/>
    <w:rsid w:val="006C7AB4"/>
    <w:rsid w:val="006D006B"/>
    <w:rsid w:val="006D105C"/>
    <w:rsid w:val="006D30E7"/>
    <w:rsid w:val="006D48E7"/>
    <w:rsid w:val="006D4947"/>
    <w:rsid w:val="006D5F16"/>
    <w:rsid w:val="006D63AD"/>
    <w:rsid w:val="006D6764"/>
    <w:rsid w:val="006D67D9"/>
    <w:rsid w:val="006D6C93"/>
    <w:rsid w:val="006D7573"/>
    <w:rsid w:val="006E0340"/>
    <w:rsid w:val="006E06F9"/>
    <w:rsid w:val="006E07A9"/>
    <w:rsid w:val="006E0D91"/>
    <w:rsid w:val="006E1706"/>
    <w:rsid w:val="006E3CB2"/>
    <w:rsid w:val="006E3DA8"/>
    <w:rsid w:val="006E5DAA"/>
    <w:rsid w:val="006E7006"/>
    <w:rsid w:val="006F00E7"/>
    <w:rsid w:val="006F0F6E"/>
    <w:rsid w:val="006F1B22"/>
    <w:rsid w:val="006F1BA4"/>
    <w:rsid w:val="006F2259"/>
    <w:rsid w:val="006F23E1"/>
    <w:rsid w:val="006F2F8F"/>
    <w:rsid w:val="006F2FDA"/>
    <w:rsid w:val="006F2FE5"/>
    <w:rsid w:val="006F3460"/>
    <w:rsid w:val="006F34FE"/>
    <w:rsid w:val="006F3615"/>
    <w:rsid w:val="006F3FA3"/>
    <w:rsid w:val="006F48BA"/>
    <w:rsid w:val="006F4AF9"/>
    <w:rsid w:val="006F54EB"/>
    <w:rsid w:val="006F5CC1"/>
    <w:rsid w:val="006F6218"/>
    <w:rsid w:val="006F67A5"/>
    <w:rsid w:val="006F762D"/>
    <w:rsid w:val="00700492"/>
    <w:rsid w:val="007009AC"/>
    <w:rsid w:val="0070167E"/>
    <w:rsid w:val="00701E1B"/>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58E"/>
    <w:rsid w:val="007145C9"/>
    <w:rsid w:val="00714631"/>
    <w:rsid w:val="00714B6E"/>
    <w:rsid w:val="0071512F"/>
    <w:rsid w:val="007169AC"/>
    <w:rsid w:val="007169DD"/>
    <w:rsid w:val="00717679"/>
    <w:rsid w:val="00717B67"/>
    <w:rsid w:val="007206A2"/>
    <w:rsid w:val="00720B38"/>
    <w:rsid w:val="00720CA7"/>
    <w:rsid w:val="0072147B"/>
    <w:rsid w:val="0072181E"/>
    <w:rsid w:val="00722267"/>
    <w:rsid w:val="0072285E"/>
    <w:rsid w:val="00722C62"/>
    <w:rsid w:val="0072321F"/>
    <w:rsid w:val="00723295"/>
    <w:rsid w:val="00723520"/>
    <w:rsid w:val="007238E2"/>
    <w:rsid w:val="007239B4"/>
    <w:rsid w:val="00724446"/>
    <w:rsid w:val="00724584"/>
    <w:rsid w:val="00724AA1"/>
    <w:rsid w:val="00724D39"/>
    <w:rsid w:val="00725A19"/>
    <w:rsid w:val="00726356"/>
    <w:rsid w:val="007268C7"/>
    <w:rsid w:val="00726AAB"/>
    <w:rsid w:val="00727077"/>
    <w:rsid w:val="00730EA6"/>
    <w:rsid w:val="00731C15"/>
    <w:rsid w:val="00732045"/>
    <w:rsid w:val="007322A0"/>
    <w:rsid w:val="00732C1A"/>
    <w:rsid w:val="00733CDC"/>
    <w:rsid w:val="00734B9A"/>
    <w:rsid w:val="00735695"/>
    <w:rsid w:val="007360CB"/>
    <w:rsid w:val="00737566"/>
    <w:rsid w:val="00741BA2"/>
    <w:rsid w:val="00741CF4"/>
    <w:rsid w:val="00741DCC"/>
    <w:rsid w:val="00741DE2"/>
    <w:rsid w:val="007421A1"/>
    <w:rsid w:val="007427FE"/>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5663"/>
    <w:rsid w:val="00756386"/>
    <w:rsid w:val="00756603"/>
    <w:rsid w:val="007575C0"/>
    <w:rsid w:val="00757D2F"/>
    <w:rsid w:val="0076000E"/>
    <w:rsid w:val="00760C00"/>
    <w:rsid w:val="007610E9"/>
    <w:rsid w:val="00761728"/>
    <w:rsid w:val="00761C6C"/>
    <w:rsid w:val="00762B72"/>
    <w:rsid w:val="00763CCB"/>
    <w:rsid w:val="007642B4"/>
    <w:rsid w:val="00764C45"/>
    <w:rsid w:val="00764C7F"/>
    <w:rsid w:val="00766277"/>
    <w:rsid w:val="0076656A"/>
    <w:rsid w:val="00766701"/>
    <w:rsid w:val="00766911"/>
    <w:rsid w:val="00767793"/>
    <w:rsid w:val="007679D8"/>
    <w:rsid w:val="00770803"/>
    <w:rsid w:val="00771319"/>
    <w:rsid w:val="007713E8"/>
    <w:rsid w:val="00771794"/>
    <w:rsid w:val="00771CCF"/>
    <w:rsid w:val="00771F7D"/>
    <w:rsid w:val="00772C3E"/>
    <w:rsid w:val="007736E8"/>
    <w:rsid w:val="00774400"/>
    <w:rsid w:val="00774ACE"/>
    <w:rsid w:val="00775823"/>
    <w:rsid w:val="00775F57"/>
    <w:rsid w:val="00776584"/>
    <w:rsid w:val="007769EF"/>
    <w:rsid w:val="00776D4F"/>
    <w:rsid w:val="00776DDC"/>
    <w:rsid w:val="007770F9"/>
    <w:rsid w:val="00777179"/>
    <w:rsid w:val="00777945"/>
    <w:rsid w:val="00777D40"/>
    <w:rsid w:val="00780B8D"/>
    <w:rsid w:val="00780B8E"/>
    <w:rsid w:val="00781649"/>
    <w:rsid w:val="007823D6"/>
    <w:rsid w:val="0078254E"/>
    <w:rsid w:val="00782628"/>
    <w:rsid w:val="007826AB"/>
    <w:rsid w:val="007840E2"/>
    <w:rsid w:val="0078569F"/>
    <w:rsid w:val="00785803"/>
    <w:rsid w:val="00785EB4"/>
    <w:rsid w:val="0078609A"/>
    <w:rsid w:val="00786F85"/>
    <w:rsid w:val="0078731A"/>
    <w:rsid w:val="00787487"/>
    <w:rsid w:val="007906F1"/>
    <w:rsid w:val="007909CE"/>
    <w:rsid w:val="00790EDA"/>
    <w:rsid w:val="00791349"/>
    <w:rsid w:val="00791D85"/>
    <w:rsid w:val="00791DAF"/>
    <w:rsid w:val="007924CA"/>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2C3"/>
    <w:rsid w:val="007A464F"/>
    <w:rsid w:val="007A6196"/>
    <w:rsid w:val="007A63D5"/>
    <w:rsid w:val="007A689A"/>
    <w:rsid w:val="007A68EA"/>
    <w:rsid w:val="007A6B7D"/>
    <w:rsid w:val="007A7629"/>
    <w:rsid w:val="007B1027"/>
    <w:rsid w:val="007B1691"/>
    <w:rsid w:val="007B174F"/>
    <w:rsid w:val="007B1863"/>
    <w:rsid w:val="007B22E0"/>
    <w:rsid w:val="007B28CA"/>
    <w:rsid w:val="007B358D"/>
    <w:rsid w:val="007B5401"/>
    <w:rsid w:val="007B5FB4"/>
    <w:rsid w:val="007B6B2B"/>
    <w:rsid w:val="007B7949"/>
    <w:rsid w:val="007B7D30"/>
    <w:rsid w:val="007C0FA9"/>
    <w:rsid w:val="007C2413"/>
    <w:rsid w:val="007C25AE"/>
    <w:rsid w:val="007C3152"/>
    <w:rsid w:val="007C333B"/>
    <w:rsid w:val="007C3914"/>
    <w:rsid w:val="007C3CEA"/>
    <w:rsid w:val="007C3D92"/>
    <w:rsid w:val="007C3E98"/>
    <w:rsid w:val="007C5A8F"/>
    <w:rsid w:val="007C5B38"/>
    <w:rsid w:val="007C76E8"/>
    <w:rsid w:val="007D01E6"/>
    <w:rsid w:val="007D035E"/>
    <w:rsid w:val="007D0396"/>
    <w:rsid w:val="007D0644"/>
    <w:rsid w:val="007D1801"/>
    <w:rsid w:val="007D1FE0"/>
    <w:rsid w:val="007D20BB"/>
    <w:rsid w:val="007D261E"/>
    <w:rsid w:val="007D2F61"/>
    <w:rsid w:val="007D3004"/>
    <w:rsid w:val="007D3D0E"/>
    <w:rsid w:val="007D3D33"/>
    <w:rsid w:val="007D41C2"/>
    <w:rsid w:val="007D4F02"/>
    <w:rsid w:val="007D674C"/>
    <w:rsid w:val="007D6B7B"/>
    <w:rsid w:val="007D6CF1"/>
    <w:rsid w:val="007D7131"/>
    <w:rsid w:val="007D7BEC"/>
    <w:rsid w:val="007D7CE3"/>
    <w:rsid w:val="007E051A"/>
    <w:rsid w:val="007E0798"/>
    <w:rsid w:val="007E1B72"/>
    <w:rsid w:val="007E3EE3"/>
    <w:rsid w:val="007E57DE"/>
    <w:rsid w:val="007E5902"/>
    <w:rsid w:val="007E6719"/>
    <w:rsid w:val="007E68ED"/>
    <w:rsid w:val="007E69ED"/>
    <w:rsid w:val="007E7B2D"/>
    <w:rsid w:val="007F0221"/>
    <w:rsid w:val="007F034B"/>
    <w:rsid w:val="007F07B9"/>
    <w:rsid w:val="007F0928"/>
    <w:rsid w:val="007F15CE"/>
    <w:rsid w:val="007F1E88"/>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4114"/>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98C"/>
    <w:rsid w:val="00814AE1"/>
    <w:rsid w:val="00815D31"/>
    <w:rsid w:val="0081601F"/>
    <w:rsid w:val="00816064"/>
    <w:rsid w:val="008174B2"/>
    <w:rsid w:val="00817CFF"/>
    <w:rsid w:val="0082000D"/>
    <w:rsid w:val="0082037E"/>
    <w:rsid w:val="00820C9C"/>
    <w:rsid w:val="00820F55"/>
    <w:rsid w:val="00821572"/>
    <w:rsid w:val="00822310"/>
    <w:rsid w:val="00823794"/>
    <w:rsid w:val="008237F4"/>
    <w:rsid w:val="00823F67"/>
    <w:rsid w:val="00824022"/>
    <w:rsid w:val="0082483A"/>
    <w:rsid w:val="00824A81"/>
    <w:rsid w:val="008257B8"/>
    <w:rsid w:val="008260ED"/>
    <w:rsid w:val="0082699D"/>
    <w:rsid w:val="00826E6B"/>
    <w:rsid w:val="008275FD"/>
    <w:rsid w:val="00830BA1"/>
    <w:rsid w:val="00830EB2"/>
    <w:rsid w:val="00831652"/>
    <w:rsid w:val="0083202E"/>
    <w:rsid w:val="0083304F"/>
    <w:rsid w:val="008334C9"/>
    <w:rsid w:val="00834122"/>
    <w:rsid w:val="008352C5"/>
    <w:rsid w:val="008358A6"/>
    <w:rsid w:val="008359FB"/>
    <w:rsid w:val="00835C56"/>
    <w:rsid w:val="008360FC"/>
    <w:rsid w:val="00836E81"/>
    <w:rsid w:val="008377C1"/>
    <w:rsid w:val="00837C90"/>
    <w:rsid w:val="00837EB1"/>
    <w:rsid w:val="0084042B"/>
    <w:rsid w:val="008409BB"/>
    <w:rsid w:val="00841034"/>
    <w:rsid w:val="0084184A"/>
    <w:rsid w:val="008423F2"/>
    <w:rsid w:val="00842A30"/>
    <w:rsid w:val="00842F71"/>
    <w:rsid w:val="00843179"/>
    <w:rsid w:val="0084386A"/>
    <w:rsid w:val="00843E0E"/>
    <w:rsid w:val="008442EA"/>
    <w:rsid w:val="00844589"/>
    <w:rsid w:val="00844794"/>
    <w:rsid w:val="00844FE7"/>
    <w:rsid w:val="00845103"/>
    <w:rsid w:val="00845969"/>
    <w:rsid w:val="00845F37"/>
    <w:rsid w:val="00845FF5"/>
    <w:rsid w:val="00846001"/>
    <w:rsid w:val="0084615D"/>
    <w:rsid w:val="0084642A"/>
    <w:rsid w:val="008465C4"/>
    <w:rsid w:val="00846710"/>
    <w:rsid w:val="008478ED"/>
    <w:rsid w:val="00847FF7"/>
    <w:rsid w:val="0085087F"/>
    <w:rsid w:val="00851728"/>
    <w:rsid w:val="00851DFF"/>
    <w:rsid w:val="00853084"/>
    <w:rsid w:val="00853142"/>
    <w:rsid w:val="008540A6"/>
    <w:rsid w:val="00854420"/>
    <w:rsid w:val="00854481"/>
    <w:rsid w:val="008555EF"/>
    <w:rsid w:val="00857591"/>
    <w:rsid w:val="00857E88"/>
    <w:rsid w:val="008612DB"/>
    <w:rsid w:val="00861B57"/>
    <w:rsid w:val="00862AC4"/>
    <w:rsid w:val="008633AC"/>
    <w:rsid w:val="008634E3"/>
    <w:rsid w:val="00864627"/>
    <w:rsid w:val="00864635"/>
    <w:rsid w:val="00864678"/>
    <w:rsid w:val="00864C1A"/>
    <w:rsid w:val="00865217"/>
    <w:rsid w:val="008658AA"/>
    <w:rsid w:val="00865CBD"/>
    <w:rsid w:val="00866E37"/>
    <w:rsid w:val="00866F9E"/>
    <w:rsid w:val="008672E2"/>
    <w:rsid w:val="0086793D"/>
    <w:rsid w:val="00867B1C"/>
    <w:rsid w:val="008713D6"/>
    <w:rsid w:val="00871643"/>
    <w:rsid w:val="0087281D"/>
    <w:rsid w:val="008732D8"/>
    <w:rsid w:val="00873377"/>
    <w:rsid w:val="00873577"/>
    <w:rsid w:val="0087409F"/>
    <w:rsid w:val="00874D58"/>
    <w:rsid w:val="008750D2"/>
    <w:rsid w:val="00875AB5"/>
    <w:rsid w:val="00875C91"/>
    <w:rsid w:val="00875F85"/>
    <w:rsid w:val="00876C6B"/>
    <w:rsid w:val="00876DC9"/>
    <w:rsid w:val="00877125"/>
    <w:rsid w:val="008777C2"/>
    <w:rsid w:val="0088063B"/>
    <w:rsid w:val="00881511"/>
    <w:rsid w:val="00882448"/>
    <w:rsid w:val="00882F1D"/>
    <w:rsid w:val="00883A4D"/>
    <w:rsid w:val="00883B21"/>
    <w:rsid w:val="00883F8F"/>
    <w:rsid w:val="00884235"/>
    <w:rsid w:val="00884535"/>
    <w:rsid w:val="00885285"/>
    <w:rsid w:val="00885985"/>
    <w:rsid w:val="00886699"/>
    <w:rsid w:val="0088709A"/>
    <w:rsid w:val="0089199F"/>
    <w:rsid w:val="00891C32"/>
    <w:rsid w:val="00891D7F"/>
    <w:rsid w:val="00892265"/>
    <w:rsid w:val="0089233E"/>
    <w:rsid w:val="0089330E"/>
    <w:rsid w:val="00893A8E"/>
    <w:rsid w:val="00893E27"/>
    <w:rsid w:val="008945F7"/>
    <w:rsid w:val="0089463D"/>
    <w:rsid w:val="0089554F"/>
    <w:rsid w:val="008955E6"/>
    <w:rsid w:val="00895B5F"/>
    <w:rsid w:val="0089637C"/>
    <w:rsid w:val="00896712"/>
    <w:rsid w:val="00896870"/>
    <w:rsid w:val="008969BD"/>
    <w:rsid w:val="008A13BD"/>
    <w:rsid w:val="008A1596"/>
    <w:rsid w:val="008A1EDF"/>
    <w:rsid w:val="008A2695"/>
    <w:rsid w:val="008A2DC9"/>
    <w:rsid w:val="008A2FF1"/>
    <w:rsid w:val="008A32D4"/>
    <w:rsid w:val="008A367F"/>
    <w:rsid w:val="008A37AF"/>
    <w:rsid w:val="008A3D62"/>
    <w:rsid w:val="008A448D"/>
    <w:rsid w:val="008A4A55"/>
    <w:rsid w:val="008A506F"/>
    <w:rsid w:val="008A528A"/>
    <w:rsid w:val="008A5298"/>
    <w:rsid w:val="008A535A"/>
    <w:rsid w:val="008A720F"/>
    <w:rsid w:val="008A7498"/>
    <w:rsid w:val="008A7778"/>
    <w:rsid w:val="008A7C72"/>
    <w:rsid w:val="008B04F2"/>
    <w:rsid w:val="008B0D0E"/>
    <w:rsid w:val="008B12BB"/>
    <w:rsid w:val="008B1411"/>
    <w:rsid w:val="008B17A2"/>
    <w:rsid w:val="008B25F2"/>
    <w:rsid w:val="008B2643"/>
    <w:rsid w:val="008B2FAE"/>
    <w:rsid w:val="008B3317"/>
    <w:rsid w:val="008B414B"/>
    <w:rsid w:val="008B4E0E"/>
    <w:rsid w:val="008B4FB9"/>
    <w:rsid w:val="008B5715"/>
    <w:rsid w:val="008B5A2D"/>
    <w:rsid w:val="008B5BC2"/>
    <w:rsid w:val="008B5E54"/>
    <w:rsid w:val="008B60BB"/>
    <w:rsid w:val="008B6732"/>
    <w:rsid w:val="008B68EC"/>
    <w:rsid w:val="008B6A88"/>
    <w:rsid w:val="008B711E"/>
    <w:rsid w:val="008C042F"/>
    <w:rsid w:val="008C057B"/>
    <w:rsid w:val="008C0CAC"/>
    <w:rsid w:val="008C13B4"/>
    <w:rsid w:val="008C1557"/>
    <w:rsid w:val="008C1B8C"/>
    <w:rsid w:val="008C2306"/>
    <w:rsid w:val="008C26D1"/>
    <w:rsid w:val="008C2B7F"/>
    <w:rsid w:val="008C36AC"/>
    <w:rsid w:val="008C4953"/>
    <w:rsid w:val="008C4E44"/>
    <w:rsid w:val="008C6255"/>
    <w:rsid w:val="008C684B"/>
    <w:rsid w:val="008C6ABD"/>
    <w:rsid w:val="008C6F18"/>
    <w:rsid w:val="008C7685"/>
    <w:rsid w:val="008D007A"/>
    <w:rsid w:val="008D07DE"/>
    <w:rsid w:val="008D0831"/>
    <w:rsid w:val="008D0E40"/>
    <w:rsid w:val="008D1E7F"/>
    <w:rsid w:val="008D2367"/>
    <w:rsid w:val="008D427A"/>
    <w:rsid w:val="008D4DD5"/>
    <w:rsid w:val="008D5657"/>
    <w:rsid w:val="008D6752"/>
    <w:rsid w:val="008D69E7"/>
    <w:rsid w:val="008D6FC1"/>
    <w:rsid w:val="008E0140"/>
    <w:rsid w:val="008E0688"/>
    <w:rsid w:val="008E0BEF"/>
    <w:rsid w:val="008E103C"/>
    <w:rsid w:val="008E266D"/>
    <w:rsid w:val="008E2F0C"/>
    <w:rsid w:val="008E3E23"/>
    <w:rsid w:val="008E547B"/>
    <w:rsid w:val="008E5DF8"/>
    <w:rsid w:val="008F0250"/>
    <w:rsid w:val="008F11F4"/>
    <w:rsid w:val="008F1952"/>
    <w:rsid w:val="008F254D"/>
    <w:rsid w:val="008F310B"/>
    <w:rsid w:val="008F322B"/>
    <w:rsid w:val="008F34CB"/>
    <w:rsid w:val="008F3519"/>
    <w:rsid w:val="008F3AD3"/>
    <w:rsid w:val="008F3CA7"/>
    <w:rsid w:val="008F443F"/>
    <w:rsid w:val="008F5DE5"/>
    <w:rsid w:val="008F5E42"/>
    <w:rsid w:val="008F63B1"/>
    <w:rsid w:val="008F6973"/>
    <w:rsid w:val="008F6E6A"/>
    <w:rsid w:val="008F7AA7"/>
    <w:rsid w:val="008F7CBE"/>
    <w:rsid w:val="008F7D39"/>
    <w:rsid w:val="008F7F94"/>
    <w:rsid w:val="00900947"/>
    <w:rsid w:val="00900EB8"/>
    <w:rsid w:val="00900FBA"/>
    <w:rsid w:val="0090240E"/>
    <w:rsid w:val="00902E5B"/>
    <w:rsid w:val="00903FD9"/>
    <w:rsid w:val="00904CF5"/>
    <w:rsid w:val="00905259"/>
    <w:rsid w:val="0090556C"/>
    <w:rsid w:val="00905633"/>
    <w:rsid w:val="00905EAE"/>
    <w:rsid w:val="009060C4"/>
    <w:rsid w:val="00906C91"/>
    <w:rsid w:val="00906C95"/>
    <w:rsid w:val="00907656"/>
    <w:rsid w:val="00907E47"/>
    <w:rsid w:val="009115EF"/>
    <w:rsid w:val="009116DD"/>
    <w:rsid w:val="00912D1C"/>
    <w:rsid w:val="00913019"/>
    <w:rsid w:val="00913F1E"/>
    <w:rsid w:val="00913FB2"/>
    <w:rsid w:val="009140C4"/>
    <w:rsid w:val="009144A9"/>
    <w:rsid w:val="0091468B"/>
    <w:rsid w:val="0091526F"/>
    <w:rsid w:val="009153D2"/>
    <w:rsid w:val="00916286"/>
    <w:rsid w:val="00916595"/>
    <w:rsid w:val="00916C47"/>
    <w:rsid w:val="009171AD"/>
    <w:rsid w:val="00917569"/>
    <w:rsid w:val="00920174"/>
    <w:rsid w:val="00920989"/>
    <w:rsid w:val="009219D2"/>
    <w:rsid w:val="00921A4E"/>
    <w:rsid w:val="00921E37"/>
    <w:rsid w:val="00922511"/>
    <w:rsid w:val="00922F07"/>
    <w:rsid w:val="00923463"/>
    <w:rsid w:val="00925238"/>
    <w:rsid w:val="00925ACF"/>
    <w:rsid w:val="0092615D"/>
    <w:rsid w:val="00926546"/>
    <w:rsid w:val="009265A1"/>
    <w:rsid w:val="00927700"/>
    <w:rsid w:val="0093036E"/>
    <w:rsid w:val="00931224"/>
    <w:rsid w:val="0093264C"/>
    <w:rsid w:val="009333D3"/>
    <w:rsid w:val="009339B6"/>
    <w:rsid w:val="00933B4C"/>
    <w:rsid w:val="00933DC4"/>
    <w:rsid w:val="0093431B"/>
    <w:rsid w:val="009346D6"/>
    <w:rsid w:val="00934743"/>
    <w:rsid w:val="0093487E"/>
    <w:rsid w:val="00934FFE"/>
    <w:rsid w:val="00936405"/>
    <w:rsid w:val="00936B64"/>
    <w:rsid w:val="009379C4"/>
    <w:rsid w:val="0094041A"/>
    <w:rsid w:val="00940D32"/>
    <w:rsid w:val="0094190D"/>
    <w:rsid w:val="00942354"/>
    <w:rsid w:val="00942681"/>
    <w:rsid w:val="00943A7E"/>
    <w:rsid w:val="00943E42"/>
    <w:rsid w:val="00943E5D"/>
    <w:rsid w:val="00944728"/>
    <w:rsid w:val="009453E8"/>
    <w:rsid w:val="00945664"/>
    <w:rsid w:val="00945AD1"/>
    <w:rsid w:val="00946ECB"/>
    <w:rsid w:val="00947268"/>
    <w:rsid w:val="0094750E"/>
    <w:rsid w:val="00947C94"/>
    <w:rsid w:val="009507C8"/>
    <w:rsid w:val="0095115E"/>
    <w:rsid w:val="0095118A"/>
    <w:rsid w:val="00952468"/>
    <w:rsid w:val="00954767"/>
    <w:rsid w:val="0095487A"/>
    <w:rsid w:val="009548FB"/>
    <w:rsid w:val="0095538B"/>
    <w:rsid w:val="009575B9"/>
    <w:rsid w:val="00957AF7"/>
    <w:rsid w:val="00960ACA"/>
    <w:rsid w:val="00960C4F"/>
    <w:rsid w:val="0096217C"/>
    <w:rsid w:val="00962441"/>
    <w:rsid w:val="00963277"/>
    <w:rsid w:val="00964B53"/>
    <w:rsid w:val="00964C3F"/>
    <w:rsid w:val="00964C6C"/>
    <w:rsid w:val="00965176"/>
    <w:rsid w:val="00965240"/>
    <w:rsid w:val="00965847"/>
    <w:rsid w:val="00965A3E"/>
    <w:rsid w:val="00965C48"/>
    <w:rsid w:val="00966D9D"/>
    <w:rsid w:val="00966E4A"/>
    <w:rsid w:val="00967041"/>
    <w:rsid w:val="00970918"/>
    <w:rsid w:val="0097099E"/>
    <w:rsid w:val="00971761"/>
    <w:rsid w:val="0097216F"/>
    <w:rsid w:val="00972C3B"/>
    <w:rsid w:val="00973057"/>
    <w:rsid w:val="00974D50"/>
    <w:rsid w:val="009751AF"/>
    <w:rsid w:val="00975326"/>
    <w:rsid w:val="00975DEA"/>
    <w:rsid w:val="00977CDF"/>
    <w:rsid w:val="0098043F"/>
    <w:rsid w:val="00981038"/>
    <w:rsid w:val="0098106E"/>
    <w:rsid w:val="00981511"/>
    <w:rsid w:val="00981D1C"/>
    <w:rsid w:val="00981E1C"/>
    <w:rsid w:val="00982118"/>
    <w:rsid w:val="009824E7"/>
    <w:rsid w:val="00982C62"/>
    <w:rsid w:val="00982C91"/>
    <w:rsid w:val="00982F76"/>
    <w:rsid w:val="00982FA3"/>
    <w:rsid w:val="009840FD"/>
    <w:rsid w:val="00984701"/>
    <w:rsid w:val="00984847"/>
    <w:rsid w:val="00984BEC"/>
    <w:rsid w:val="00985EB8"/>
    <w:rsid w:val="00985FB3"/>
    <w:rsid w:val="00986566"/>
    <w:rsid w:val="00986CC1"/>
    <w:rsid w:val="00986F4E"/>
    <w:rsid w:val="00987191"/>
    <w:rsid w:val="00987A5A"/>
    <w:rsid w:val="00987CB4"/>
    <w:rsid w:val="0099097E"/>
    <w:rsid w:val="009921FC"/>
    <w:rsid w:val="0099272B"/>
    <w:rsid w:val="00992A0E"/>
    <w:rsid w:val="0099399E"/>
    <w:rsid w:val="0099413C"/>
    <w:rsid w:val="00994230"/>
    <w:rsid w:val="0099479E"/>
    <w:rsid w:val="009951D8"/>
    <w:rsid w:val="00995355"/>
    <w:rsid w:val="0099586F"/>
    <w:rsid w:val="00996CB5"/>
    <w:rsid w:val="0099719E"/>
    <w:rsid w:val="009A0169"/>
    <w:rsid w:val="009A1B56"/>
    <w:rsid w:val="009A2A8A"/>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1B0E"/>
    <w:rsid w:val="009B2596"/>
    <w:rsid w:val="009B42B6"/>
    <w:rsid w:val="009B42CC"/>
    <w:rsid w:val="009B43D6"/>
    <w:rsid w:val="009B5081"/>
    <w:rsid w:val="009B6985"/>
    <w:rsid w:val="009B69B3"/>
    <w:rsid w:val="009B7011"/>
    <w:rsid w:val="009B71E4"/>
    <w:rsid w:val="009C04EE"/>
    <w:rsid w:val="009C0CD4"/>
    <w:rsid w:val="009C15E7"/>
    <w:rsid w:val="009C17C8"/>
    <w:rsid w:val="009C385B"/>
    <w:rsid w:val="009C3E3C"/>
    <w:rsid w:val="009C4353"/>
    <w:rsid w:val="009C49C2"/>
    <w:rsid w:val="009C4E2D"/>
    <w:rsid w:val="009C62C0"/>
    <w:rsid w:val="009C6A88"/>
    <w:rsid w:val="009C765D"/>
    <w:rsid w:val="009C7ADA"/>
    <w:rsid w:val="009D000A"/>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CA5"/>
    <w:rsid w:val="009D7DE3"/>
    <w:rsid w:val="009E004A"/>
    <w:rsid w:val="009E066B"/>
    <w:rsid w:val="009E1515"/>
    <w:rsid w:val="009E1CFF"/>
    <w:rsid w:val="009E1FEE"/>
    <w:rsid w:val="009E23EA"/>
    <w:rsid w:val="009E2D24"/>
    <w:rsid w:val="009E2EA0"/>
    <w:rsid w:val="009E305F"/>
    <w:rsid w:val="009E36FF"/>
    <w:rsid w:val="009E37D3"/>
    <w:rsid w:val="009E40E7"/>
    <w:rsid w:val="009E5028"/>
    <w:rsid w:val="009E50FB"/>
    <w:rsid w:val="009E5280"/>
    <w:rsid w:val="009E5386"/>
    <w:rsid w:val="009E5DD1"/>
    <w:rsid w:val="009E60AD"/>
    <w:rsid w:val="009E68C8"/>
    <w:rsid w:val="009E6AB5"/>
    <w:rsid w:val="009E6DAB"/>
    <w:rsid w:val="009E6F4B"/>
    <w:rsid w:val="009E703C"/>
    <w:rsid w:val="009E7E4C"/>
    <w:rsid w:val="009F08F5"/>
    <w:rsid w:val="009F0956"/>
    <w:rsid w:val="009F0EE5"/>
    <w:rsid w:val="009F1264"/>
    <w:rsid w:val="009F1D7F"/>
    <w:rsid w:val="009F245B"/>
    <w:rsid w:val="009F25E6"/>
    <w:rsid w:val="009F2BE8"/>
    <w:rsid w:val="009F2F09"/>
    <w:rsid w:val="009F39A7"/>
    <w:rsid w:val="009F40B7"/>
    <w:rsid w:val="009F4188"/>
    <w:rsid w:val="009F4302"/>
    <w:rsid w:val="009F4393"/>
    <w:rsid w:val="009F4BE9"/>
    <w:rsid w:val="009F62D3"/>
    <w:rsid w:val="00A00112"/>
    <w:rsid w:val="00A008B5"/>
    <w:rsid w:val="00A017B4"/>
    <w:rsid w:val="00A01C53"/>
    <w:rsid w:val="00A01D38"/>
    <w:rsid w:val="00A02414"/>
    <w:rsid w:val="00A025B9"/>
    <w:rsid w:val="00A0355C"/>
    <w:rsid w:val="00A03A13"/>
    <w:rsid w:val="00A040CD"/>
    <w:rsid w:val="00A04429"/>
    <w:rsid w:val="00A06446"/>
    <w:rsid w:val="00A06697"/>
    <w:rsid w:val="00A06C40"/>
    <w:rsid w:val="00A10586"/>
    <w:rsid w:val="00A10A48"/>
    <w:rsid w:val="00A110DA"/>
    <w:rsid w:val="00A1132B"/>
    <w:rsid w:val="00A11930"/>
    <w:rsid w:val="00A11B54"/>
    <w:rsid w:val="00A11CDC"/>
    <w:rsid w:val="00A1238C"/>
    <w:rsid w:val="00A1263D"/>
    <w:rsid w:val="00A12AF2"/>
    <w:rsid w:val="00A12D8A"/>
    <w:rsid w:val="00A12E6C"/>
    <w:rsid w:val="00A136D0"/>
    <w:rsid w:val="00A13D1A"/>
    <w:rsid w:val="00A14DC2"/>
    <w:rsid w:val="00A14DD6"/>
    <w:rsid w:val="00A15D5E"/>
    <w:rsid w:val="00A161F8"/>
    <w:rsid w:val="00A169FA"/>
    <w:rsid w:val="00A1766A"/>
    <w:rsid w:val="00A200F4"/>
    <w:rsid w:val="00A206C9"/>
    <w:rsid w:val="00A20C27"/>
    <w:rsid w:val="00A20E7D"/>
    <w:rsid w:val="00A216BC"/>
    <w:rsid w:val="00A23931"/>
    <w:rsid w:val="00A23FA7"/>
    <w:rsid w:val="00A23FD6"/>
    <w:rsid w:val="00A25317"/>
    <w:rsid w:val="00A25706"/>
    <w:rsid w:val="00A25D84"/>
    <w:rsid w:val="00A26029"/>
    <w:rsid w:val="00A262E4"/>
    <w:rsid w:val="00A268EA"/>
    <w:rsid w:val="00A31CE0"/>
    <w:rsid w:val="00A31FA9"/>
    <w:rsid w:val="00A333BF"/>
    <w:rsid w:val="00A33825"/>
    <w:rsid w:val="00A3398F"/>
    <w:rsid w:val="00A35583"/>
    <w:rsid w:val="00A363EF"/>
    <w:rsid w:val="00A36596"/>
    <w:rsid w:val="00A36DFE"/>
    <w:rsid w:val="00A370FD"/>
    <w:rsid w:val="00A3798C"/>
    <w:rsid w:val="00A37DD9"/>
    <w:rsid w:val="00A40ED7"/>
    <w:rsid w:val="00A40F83"/>
    <w:rsid w:val="00A412BA"/>
    <w:rsid w:val="00A41416"/>
    <w:rsid w:val="00A4200D"/>
    <w:rsid w:val="00A424BF"/>
    <w:rsid w:val="00A4258E"/>
    <w:rsid w:val="00A432D1"/>
    <w:rsid w:val="00A43716"/>
    <w:rsid w:val="00A442C5"/>
    <w:rsid w:val="00A44712"/>
    <w:rsid w:val="00A44AF5"/>
    <w:rsid w:val="00A44B8B"/>
    <w:rsid w:val="00A45050"/>
    <w:rsid w:val="00A45EC4"/>
    <w:rsid w:val="00A47212"/>
    <w:rsid w:val="00A474EA"/>
    <w:rsid w:val="00A501B2"/>
    <w:rsid w:val="00A5034A"/>
    <w:rsid w:val="00A50FFA"/>
    <w:rsid w:val="00A539D1"/>
    <w:rsid w:val="00A54DAE"/>
    <w:rsid w:val="00A56D3B"/>
    <w:rsid w:val="00A57450"/>
    <w:rsid w:val="00A57479"/>
    <w:rsid w:val="00A57C08"/>
    <w:rsid w:val="00A600D9"/>
    <w:rsid w:val="00A604CD"/>
    <w:rsid w:val="00A637A0"/>
    <w:rsid w:val="00A63ECD"/>
    <w:rsid w:val="00A64093"/>
    <w:rsid w:val="00A640EB"/>
    <w:rsid w:val="00A64815"/>
    <w:rsid w:val="00A65043"/>
    <w:rsid w:val="00A66DF9"/>
    <w:rsid w:val="00A704E4"/>
    <w:rsid w:val="00A7136A"/>
    <w:rsid w:val="00A71C44"/>
    <w:rsid w:val="00A72296"/>
    <w:rsid w:val="00A7388E"/>
    <w:rsid w:val="00A74544"/>
    <w:rsid w:val="00A74548"/>
    <w:rsid w:val="00A74DF2"/>
    <w:rsid w:val="00A74E4D"/>
    <w:rsid w:val="00A75633"/>
    <w:rsid w:val="00A7592E"/>
    <w:rsid w:val="00A76C1F"/>
    <w:rsid w:val="00A803FC"/>
    <w:rsid w:val="00A8071A"/>
    <w:rsid w:val="00A80DD9"/>
    <w:rsid w:val="00A80FCA"/>
    <w:rsid w:val="00A81CBC"/>
    <w:rsid w:val="00A82506"/>
    <w:rsid w:val="00A837CE"/>
    <w:rsid w:val="00A83DB5"/>
    <w:rsid w:val="00A83FBA"/>
    <w:rsid w:val="00A84636"/>
    <w:rsid w:val="00A84FE1"/>
    <w:rsid w:val="00A85080"/>
    <w:rsid w:val="00A85337"/>
    <w:rsid w:val="00A8626D"/>
    <w:rsid w:val="00A86406"/>
    <w:rsid w:val="00A86853"/>
    <w:rsid w:val="00A86B75"/>
    <w:rsid w:val="00A86E75"/>
    <w:rsid w:val="00A86F33"/>
    <w:rsid w:val="00A87AF0"/>
    <w:rsid w:val="00A9065F"/>
    <w:rsid w:val="00A90B0E"/>
    <w:rsid w:val="00A91AA1"/>
    <w:rsid w:val="00A91C8C"/>
    <w:rsid w:val="00A91F0D"/>
    <w:rsid w:val="00A9235A"/>
    <w:rsid w:val="00A92FF7"/>
    <w:rsid w:val="00A93069"/>
    <w:rsid w:val="00A9468F"/>
    <w:rsid w:val="00A9498D"/>
    <w:rsid w:val="00A95335"/>
    <w:rsid w:val="00A9566B"/>
    <w:rsid w:val="00A9657F"/>
    <w:rsid w:val="00A9797D"/>
    <w:rsid w:val="00AA015F"/>
    <w:rsid w:val="00AA0C3A"/>
    <w:rsid w:val="00AA1723"/>
    <w:rsid w:val="00AA190D"/>
    <w:rsid w:val="00AA1FDD"/>
    <w:rsid w:val="00AA22C3"/>
    <w:rsid w:val="00AA230D"/>
    <w:rsid w:val="00AA4941"/>
    <w:rsid w:val="00AA49E9"/>
    <w:rsid w:val="00AA5475"/>
    <w:rsid w:val="00AA5876"/>
    <w:rsid w:val="00AA6A8A"/>
    <w:rsid w:val="00AA6DD8"/>
    <w:rsid w:val="00AA6FA3"/>
    <w:rsid w:val="00AA70BB"/>
    <w:rsid w:val="00AA757C"/>
    <w:rsid w:val="00AA7F10"/>
    <w:rsid w:val="00AB0391"/>
    <w:rsid w:val="00AB2151"/>
    <w:rsid w:val="00AB2C59"/>
    <w:rsid w:val="00AB2C8A"/>
    <w:rsid w:val="00AB42B6"/>
    <w:rsid w:val="00AB4D67"/>
    <w:rsid w:val="00AB545D"/>
    <w:rsid w:val="00AB54D7"/>
    <w:rsid w:val="00AB57D3"/>
    <w:rsid w:val="00AB6886"/>
    <w:rsid w:val="00AB6AE4"/>
    <w:rsid w:val="00AB6E00"/>
    <w:rsid w:val="00AB6F37"/>
    <w:rsid w:val="00AB769E"/>
    <w:rsid w:val="00AB7D55"/>
    <w:rsid w:val="00AC0681"/>
    <w:rsid w:val="00AC154B"/>
    <w:rsid w:val="00AC1B72"/>
    <w:rsid w:val="00AC26FE"/>
    <w:rsid w:val="00AC350D"/>
    <w:rsid w:val="00AC3568"/>
    <w:rsid w:val="00AC3CF2"/>
    <w:rsid w:val="00AC47EC"/>
    <w:rsid w:val="00AC4E5D"/>
    <w:rsid w:val="00AC6C53"/>
    <w:rsid w:val="00AC6E85"/>
    <w:rsid w:val="00AC7284"/>
    <w:rsid w:val="00AC7CE6"/>
    <w:rsid w:val="00AD0828"/>
    <w:rsid w:val="00AD0B13"/>
    <w:rsid w:val="00AD0E69"/>
    <w:rsid w:val="00AD103D"/>
    <w:rsid w:val="00AD159C"/>
    <w:rsid w:val="00AD17FA"/>
    <w:rsid w:val="00AD19EC"/>
    <w:rsid w:val="00AD2717"/>
    <w:rsid w:val="00AD3DC4"/>
    <w:rsid w:val="00AD4FF4"/>
    <w:rsid w:val="00AD531D"/>
    <w:rsid w:val="00AD600C"/>
    <w:rsid w:val="00AD63D6"/>
    <w:rsid w:val="00AD6CD5"/>
    <w:rsid w:val="00AD733B"/>
    <w:rsid w:val="00AD7CA7"/>
    <w:rsid w:val="00AE0040"/>
    <w:rsid w:val="00AE184D"/>
    <w:rsid w:val="00AE1C03"/>
    <w:rsid w:val="00AE23E3"/>
    <w:rsid w:val="00AE2F65"/>
    <w:rsid w:val="00AE317E"/>
    <w:rsid w:val="00AE35A5"/>
    <w:rsid w:val="00AE4E2A"/>
    <w:rsid w:val="00AE5CF9"/>
    <w:rsid w:val="00AE5DB6"/>
    <w:rsid w:val="00AE6C3C"/>
    <w:rsid w:val="00AE702E"/>
    <w:rsid w:val="00AE73E0"/>
    <w:rsid w:val="00AF03C0"/>
    <w:rsid w:val="00AF166F"/>
    <w:rsid w:val="00AF1C03"/>
    <w:rsid w:val="00AF39AF"/>
    <w:rsid w:val="00AF3E3B"/>
    <w:rsid w:val="00AF3E5A"/>
    <w:rsid w:val="00AF46FE"/>
    <w:rsid w:val="00AF486F"/>
    <w:rsid w:val="00AF548B"/>
    <w:rsid w:val="00AF55E0"/>
    <w:rsid w:val="00AF5666"/>
    <w:rsid w:val="00AF5870"/>
    <w:rsid w:val="00AF6619"/>
    <w:rsid w:val="00AF6CFD"/>
    <w:rsid w:val="00AF7DC1"/>
    <w:rsid w:val="00B000AE"/>
    <w:rsid w:val="00B0040B"/>
    <w:rsid w:val="00B00830"/>
    <w:rsid w:val="00B00AB5"/>
    <w:rsid w:val="00B00CC0"/>
    <w:rsid w:val="00B00F5C"/>
    <w:rsid w:val="00B019C1"/>
    <w:rsid w:val="00B0236E"/>
    <w:rsid w:val="00B02506"/>
    <w:rsid w:val="00B02ACE"/>
    <w:rsid w:val="00B03913"/>
    <w:rsid w:val="00B04CEA"/>
    <w:rsid w:val="00B05607"/>
    <w:rsid w:val="00B05A08"/>
    <w:rsid w:val="00B05F14"/>
    <w:rsid w:val="00B06737"/>
    <w:rsid w:val="00B0784C"/>
    <w:rsid w:val="00B07CE9"/>
    <w:rsid w:val="00B101D5"/>
    <w:rsid w:val="00B10633"/>
    <w:rsid w:val="00B10B08"/>
    <w:rsid w:val="00B11A78"/>
    <w:rsid w:val="00B11CFB"/>
    <w:rsid w:val="00B12111"/>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1736"/>
    <w:rsid w:val="00B218B1"/>
    <w:rsid w:val="00B21A33"/>
    <w:rsid w:val="00B22272"/>
    <w:rsid w:val="00B224AA"/>
    <w:rsid w:val="00B22998"/>
    <w:rsid w:val="00B229FE"/>
    <w:rsid w:val="00B2302B"/>
    <w:rsid w:val="00B24363"/>
    <w:rsid w:val="00B2456E"/>
    <w:rsid w:val="00B24979"/>
    <w:rsid w:val="00B250A5"/>
    <w:rsid w:val="00B25651"/>
    <w:rsid w:val="00B26309"/>
    <w:rsid w:val="00B26937"/>
    <w:rsid w:val="00B30243"/>
    <w:rsid w:val="00B30421"/>
    <w:rsid w:val="00B30DC8"/>
    <w:rsid w:val="00B315BB"/>
    <w:rsid w:val="00B31977"/>
    <w:rsid w:val="00B3235A"/>
    <w:rsid w:val="00B333FE"/>
    <w:rsid w:val="00B3382B"/>
    <w:rsid w:val="00B35094"/>
    <w:rsid w:val="00B350F0"/>
    <w:rsid w:val="00B357AC"/>
    <w:rsid w:val="00B35992"/>
    <w:rsid w:val="00B35E4B"/>
    <w:rsid w:val="00B35FCC"/>
    <w:rsid w:val="00B36518"/>
    <w:rsid w:val="00B378CC"/>
    <w:rsid w:val="00B41615"/>
    <w:rsid w:val="00B41D70"/>
    <w:rsid w:val="00B41FD8"/>
    <w:rsid w:val="00B420DF"/>
    <w:rsid w:val="00B428E2"/>
    <w:rsid w:val="00B42A2C"/>
    <w:rsid w:val="00B42A5C"/>
    <w:rsid w:val="00B42A98"/>
    <w:rsid w:val="00B42C64"/>
    <w:rsid w:val="00B448EF"/>
    <w:rsid w:val="00B47493"/>
    <w:rsid w:val="00B474C8"/>
    <w:rsid w:val="00B474DF"/>
    <w:rsid w:val="00B47915"/>
    <w:rsid w:val="00B50E18"/>
    <w:rsid w:val="00B513A9"/>
    <w:rsid w:val="00B51568"/>
    <w:rsid w:val="00B51610"/>
    <w:rsid w:val="00B5167B"/>
    <w:rsid w:val="00B520E3"/>
    <w:rsid w:val="00B52336"/>
    <w:rsid w:val="00B5388C"/>
    <w:rsid w:val="00B550B7"/>
    <w:rsid w:val="00B55CED"/>
    <w:rsid w:val="00B55D57"/>
    <w:rsid w:val="00B55E9D"/>
    <w:rsid w:val="00B55F80"/>
    <w:rsid w:val="00B56480"/>
    <w:rsid w:val="00B565D6"/>
    <w:rsid w:val="00B576A4"/>
    <w:rsid w:val="00B57998"/>
    <w:rsid w:val="00B57CD0"/>
    <w:rsid w:val="00B57DA9"/>
    <w:rsid w:val="00B60177"/>
    <w:rsid w:val="00B60639"/>
    <w:rsid w:val="00B6308E"/>
    <w:rsid w:val="00B63D58"/>
    <w:rsid w:val="00B64E8A"/>
    <w:rsid w:val="00B65588"/>
    <w:rsid w:val="00B658D1"/>
    <w:rsid w:val="00B66064"/>
    <w:rsid w:val="00B66995"/>
    <w:rsid w:val="00B671A1"/>
    <w:rsid w:val="00B675A6"/>
    <w:rsid w:val="00B6794D"/>
    <w:rsid w:val="00B67B55"/>
    <w:rsid w:val="00B67C6C"/>
    <w:rsid w:val="00B70C61"/>
    <w:rsid w:val="00B70E5A"/>
    <w:rsid w:val="00B7220D"/>
    <w:rsid w:val="00B749B6"/>
    <w:rsid w:val="00B7509A"/>
    <w:rsid w:val="00B7613E"/>
    <w:rsid w:val="00B766C1"/>
    <w:rsid w:val="00B76966"/>
    <w:rsid w:val="00B76B96"/>
    <w:rsid w:val="00B76EFB"/>
    <w:rsid w:val="00B77129"/>
    <w:rsid w:val="00B77C37"/>
    <w:rsid w:val="00B807BF"/>
    <w:rsid w:val="00B809B1"/>
    <w:rsid w:val="00B82543"/>
    <w:rsid w:val="00B82998"/>
    <w:rsid w:val="00B834B0"/>
    <w:rsid w:val="00B837F6"/>
    <w:rsid w:val="00B83DAE"/>
    <w:rsid w:val="00B84FB4"/>
    <w:rsid w:val="00B86F2A"/>
    <w:rsid w:val="00B8756E"/>
    <w:rsid w:val="00B87DF9"/>
    <w:rsid w:val="00B91951"/>
    <w:rsid w:val="00B91A58"/>
    <w:rsid w:val="00B91EAD"/>
    <w:rsid w:val="00B920B9"/>
    <w:rsid w:val="00B930D2"/>
    <w:rsid w:val="00B937CD"/>
    <w:rsid w:val="00B938BC"/>
    <w:rsid w:val="00B93997"/>
    <w:rsid w:val="00B93C98"/>
    <w:rsid w:val="00B976BB"/>
    <w:rsid w:val="00BA01A7"/>
    <w:rsid w:val="00BA0224"/>
    <w:rsid w:val="00BA05C8"/>
    <w:rsid w:val="00BA09AA"/>
    <w:rsid w:val="00BA0AD5"/>
    <w:rsid w:val="00BA0CA0"/>
    <w:rsid w:val="00BA0E3C"/>
    <w:rsid w:val="00BA1F74"/>
    <w:rsid w:val="00BA1FE7"/>
    <w:rsid w:val="00BA2B1D"/>
    <w:rsid w:val="00BA3D14"/>
    <w:rsid w:val="00BA435A"/>
    <w:rsid w:val="00BA54BA"/>
    <w:rsid w:val="00BA5603"/>
    <w:rsid w:val="00BA56D9"/>
    <w:rsid w:val="00BA6194"/>
    <w:rsid w:val="00BA62C6"/>
    <w:rsid w:val="00BA7EEE"/>
    <w:rsid w:val="00BB2008"/>
    <w:rsid w:val="00BB29DF"/>
    <w:rsid w:val="00BB2CFC"/>
    <w:rsid w:val="00BB2E17"/>
    <w:rsid w:val="00BB34DC"/>
    <w:rsid w:val="00BB35D0"/>
    <w:rsid w:val="00BB3AC4"/>
    <w:rsid w:val="00BB4999"/>
    <w:rsid w:val="00BB4BCD"/>
    <w:rsid w:val="00BB52EB"/>
    <w:rsid w:val="00BB56C7"/>
    <w:rsid w:val="00BB5B62"/>
    <w:rsid w:val="00BB6502"/>
    <w:rsid w:val="00BB6BCD"/>
    <w:rsid w:val="00BB70F9"/>
    <w:rsid w:val="00BB7C9B"/>
    <w:rsid w:val="00BC1527"/>
    <w:rsid w:val="00BC2306"/>
    <w:rsid w:val="00BC2F31"/>
    <w:rsid w:val="00BC3305"/>
    <w:rsid w:val="00BC3CF2"/>
    <w:rsid w:val="00BC4036"/>
    <w:rsid w:val="00BC4F0A"/>
    <w:rsid w:val="00BC509F"/>
    <w:rsid w:val="00BC51D2"/>
    <w:rsid w:val="00BC64BE"/>
    <w:rsid w:val="00BC7155"/>
    <w:rsid w:val="00BC7550"/>
    <w:rsid w:val="00BD0B72"/>
    <w:rsid w:val="00BD110D"/>
    <w:rsid w:val="00BD2668"/>
    <w:rsid w:val="00BD3924"/>
    <w:rsid w:val="00BD450F"/>
    <w:rsid w:val="00BD4512"/>
    <w:rsid w:val="00BD52AA"/>
    <w:rsid w:val="00BE1061"/>
    <w:rsid w:val="00BE1321"/>
    <w:rsid w:val="00BE2893"/>
    <w:rsid w:val="00BE2EB4"/>
    <w:rsid w:val="00BE2F5A"/>
    <w:rsid w:val="00BE37D3"/>
    <w:rsid w:val="00BE522A"/>
    <w:rsid w:val="00BE57B5"/>
    <w:rsid w:val="00BE7A7C"/>
    <w:rsid w:val="00BF0A44"/>
    <w:rsid w:val="00BF0CEC"/>
    <w:rsid w:val="00BF1A44"/>
    <w:rsid w:val="00BF1EDF"/>
    <w:rsid w:val="00BF3EA1"/>
    <w:rsid w:val="00BF487A"/>
    <w:rsid w:val="00BF4D3D"/>
    <w:rsid w:val="00BF5B8C"/>
    <w:rsid w:val="00BF66B7"/>
    <w:rsid w:val="00BF6A68"/>
    <w:rsid w:val="00BF6FC6"/>
    <w:rsid w:val="00BF7152"/>
    <w:rsid w:val="00BF73F0"/>
    <w:rsid w:val="00BF75B1"/>
    <w:rsid w:val="00BF75C9"/>
    <w:rsid w:val="00BF7BD3"/>
    <w:rsid w:val="00C00352"/>
    <w:rsid w:val="00C007CE"/>
    <w:rsid w:val="00C00A22"/>
    <w:rsid w:val="00C00F18"/>
    <w:rsid w:val="00C01D39"/>
    <w:rsid w:val="00C0200C"/>
    <w:rsid w:val="00C020A8"/>
    <w:rsid w:val="00C034A4"/>
    <w:rsid w:val="00C03DD0"/>
    <w:rsid w:val="00C03F81"/>
    <w:rsid w:val="00C04445"/>
    <w:rsid w:val="00C04705"/>
    <w:rsid w:val="00C04A7F"/>
    <w:rsid w:val="00C04E2B"/>
    <w:rsid w:val="00C051AA"/>
    <w:rsid w:val="00C060A0"/>
    <w:rsid w:val="00C07187"/>
    <w:rsid w:val="00C075C9"/>
    <w:rsid w:val="00C07FAD"/>
    <w:rsid w:val="00C106C4"/>
    <w:rsid w:val="00C10E01"/>
    <w:rsid w:val="00C111EA"/>
    <w:rsid w:val="00C119AD"/>
    <w:rsid w:val="00C1228D"/>
    <w:rsid w:val="00C13FED"/>
    <w:rsid w:val="00C14E7D"/>
    <w:rsid w:val="00C15722"/>
    <w:rsid w:val="00C16897"/>
    <w:rsid w:val="00C200C9"/>
    <w:rsid w:val="00C218FD"/>
    <w:rsid w:val="00C21D8E"/>
    <w:rsid w:val="00C22525"/>
    <w:rsid w:val="00C23DBB"/>
    <w:rsid w:val="00C23FE1"/>
    <w:rsid w:val="00C2410D"/>
    <w:rsid w:val="00C24BAF"/>
    <w:rsid w:val="00C25F8B"/>
    <w:rsid w:val="00C25FB5"/>
    <w:rsid w:val="00C265C0"/>
    <w:rsid w:val="00C266FC"/>
    <w:rsid w:val="00C26B9E"/>
    <w:rsid w:val="00C272EF"/>
    <w:rsid w:val="00C2732B"/>
    <w:rsid w:val="00C2753F"/>
    <w:rsid w:val="00C276A8"/>
    <w:rsid w:val="00C27975"/>
    <w:rsid w:val="00C300BC"/>
    <w:rsid w:val="00C318F7"/>
    <w:rsid w:val="00C319D2"/>
    <w:rsid w:val="00C31F85"/>
    <w:rsid w:val="00C32534"/>
    <w:rsid w:val="00C326EE"/>
    <w:rsid w:val="00C32951"/>
    <w:rsid w:val="00C32C02"/>
    <w:rsid w:val="00C33235"/>
    <w:rsid w:val="00C33677"/>
    <w:rsid w:val="00C34137"/>
    <w:rsid w:val="00C3476B"/>
    <w:rsid w:val="00C35240"/>
    <w:rsid w:val="00C368B3"/>
    <w:rsid w:val="00C36F07"/>
    <w:rsid w:val="00C37214"/>
    <w:rsid w:val="00C372E8"/>
    <w:rsid w:val="00C409DC"/>
    <w:rsid w:val="00C40B1B"/>
    <w:rsid w:val="00C40E88"/>
    <w:rsid w:val="00C416A3"/>
    <w:rsid w:val="00C41785"/>
    <w:rsid w:val="00C41FC1"/>
    <w:rsid w:val="00C434C2"/>
    <w:rsid w:val="00C43940"/>
    <w:rsid w:val="00C44342"/>
    <w:rsid w:val="00C44694"/>
    <w:rsid w:val="00C44744"/>
    <w:rsid w:val="00C457C1"/>
    <w:rsid w:val="00C46625"/>
    <w:rsid w:val="00C46870"/>
    <w:rsid w:val="00C47501"/>
    <w:rsid w:val="00C47545"/>
    <w:rsid w:val="00C47593"/>
    <w:rsid w:val="00C47748"/>
    <w:rsid w:val="00C5044B"/>
    <w:rsid w:val="00C506BD"/>
    <w:rsid w:val="00C50E55"/>
    <w:rsid w:val="00C51426"/>
    <w:rsid w:val="00C51622"/>
    <w:rsid w:val="00C51FB3"/>
    <w:rsid w:val="00C5223C"/>
    <w:rsid w:val="00C52A35"/>
    <w:rsid w:val="00C53213"/>
    <w:rsid w:val="00C53917"/>
    <w:rsid w:val="00C541DE"/>
    <w:rsid w:val="00C54C11"/>
    <w:rsid w:val="00C54C67"/>
    <w:rsid w:val="00C54E65"/>
    <w:rsid w:val="00C56324"/>
    <w:rsid w:val="00C5653B"/>
    <w:rsid w:val="00C565A3"/>
    <w:rsid w:val="00C577F7"/>
    <w:rsid w:val="00C60667"/>
    <w:rsid w:val="00C61AB9"/>
    <w:rsid w:val="00C61F84"/>
    <w:rsid w:val="00C62FF7"/>
    <w:rsid w:val="00C63135"/>
    <w:rsid w:val="00C637DC"/>
    <w:rsid w:val="00C63EE8"/>
    <w:rsid w:val="00C6432E"/>
    <w:rsid w:val="00C65718"/>
    <w:rsid w:val="00C65C81"/>
    <w:rsid w:val="00C666DE"/>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7B8"/>
    <w:rsid w:val="00C76906"/>
    <w:rsid w:val="00C76B7C"/>
    <w:rsid w:val="00C76CC7"/>
    <w:rsid w:val="00C76F81"/>
    <w:rsid w:val="00C776A4"/>
    <w:rsid w:val="00C77800"/>
    <w:rsid w:val="00C800DD"/>
    <w:rsid w:val="00C80920"/>
    <w:rsid w:val="00C80B03"/>
    <w:rsid w:val="00C8243F"/>
    <w:rsid w:val="00C8289B"/>
    <w:rsid w:val="00C82D54"/>
    <w:rsid w:val="00C82F3B"/>
    <w:rsid w:val="00C837C4"/>
    <w:rsid w:val="00C83829"/>
    <w:rsid w:val="00C83EDD"/>
    <w:rsid w:val="00C84BF1"/>
    <w:rsid w:val="00C84CA2"/>
    <w:rsid w:val="00C85A36"/>
    <w:rsid w:val="00C85CD1"/>
    <w:rsid w:val="00C86C56"/>
    <w:rsid w:val="00C8773E"/>
    <w:rsid w:val="00C87EDA"/>
    <w:rsid w:val="00C90601"/>
    <w:rsid w:val="00C90D16"/>
    <w:rsid w:val="00C9116A"/>
    <w:rsid w:val="00C9265D"/>
    <w:rsid w:val="00C92824"/>
    <w:rsid w:val="00C937BA"/>
    <w:rsid w:val="00C949FC"/>
    <w:rsid w:val="00C960CF"/>
    <w:rsid w:val="00C96672"/>
    <w:rsid w:val="00C96678"/>
    <w:rsid w:val="00C96772"/>
    <w:rsid w:val="00C96CFA"/>
    <w:rsid w:val="00C96E5A"/>
    <w:rsid w:val="00C96EB5"/>
    <w:rsid w:val="00C97913"/>
    <w:rsid w:val="00CA0257"/>
    <w:rsid w:val="00CA0917"/>
    <w:rsid w:val="00CA102B"/>
    <w:rsid w:val="00CA283D"/>
    <w:rsid w:val="00CA29D1"/>
    <w:rsid w:val="00CA2DD6"/>
    <w:rsid w:val="00CA3247"/>
    <w:rsid w:val="00CA3752"/>
    <w:rsid w:val="00CA3999"/>
    <w:rsid w:val="00CA39C0"/>
    <w:rsid w:val="00CA5AD3"/>
    <w:rsid w:val="00CA62DD"/>
    <w:rsid w:val="00CA69BA"/>
    <w:rsid w:val="00CA7DE6"/>
    <w:rsid w:val="00CB0339"/>
    <w:rsid w:val="00CB110E"/>
    <w:rsid w:val="00CB11F8"/>
    <w:rsid w:val="00CB225B"/>
    <w:rsid w:val="00CB2EF5"/>
    <w:rsid w:val="00CB33E4"/>
    <w:rsid w:val="00CB33FB"/>
    <w:rsid w:val="00CB3C51"/>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110F"/>
    <w:rsid w:val="00CC11B8"/>
    <w:rsid w:val="00CC1AF9"/>
    <w:rsid w:val="00CC20E0"/>
    <w:rsid w:val="00CC2818"/>
    <w:rsid w:val="00CC2F7A"/>
    <w:rsid w:val="00CC3A70"/>
    <w:rsid w:val="00CC4033"/>
    <w:rsid w:val="00CC40B8"/>
    <w:rsid w:val="00CC5444"/>
    <w:rsid w:val="00CC5631"/>
    <w:rsid w:val="00CC62A6"/>
    <w:rsid w:val="00CC676C"/>
    <w:rsid w:val="00CC7A11"/>
    <w:rsid w:val="00CD04A8"/>
    <w:rsid w:val="00CD051B"/>
    <w:rsid w:val="00CD1DB1"/>
    <w:rsid w:val="00CD22B5"/>
    <w:rsid w:val="00CD22F4"/>
    <w:rsid w:val="00CD25E1"/>
    <w:rsid w:val="00CD367C"/>
    <w:rsid w:val="00CD454A"/>
    <w:rsid w:val="00CD4F54"/>
    <w:rsid w:val="00CD4FFE"/>
    <w:rsid w:val="00CD57FA"/>
    <w:rsid w:val="00CD5A6E"/>
    <w:rsid w:val="00CD711F"/>
    <w:rsid w:val="00CD74A7"/>
    <w:rsid w:val="00CD79B2"/>
    <w:rsid w:val="00CE157C"/>
    <w:rsid w:val="00CE1AF6"/>
    <w:rsid w:val="00CE2298"/>
    <w:rsid w:val="00CE3064"/>
    <w:rsid w:val="00CE39E4"/>
    <w:rsid w:val="00CE4282"/>
    <w:rsid w:val="00CE54E1"/>
    <w:rsid w:val="00CE55B6"/>
    <w:rsid w:val="00CE5856"/>
    <w:rsid w:val="00CE5BDE"/>
    <w:rsid w:val="00CE6A6D"/>
    <w:rsid w:val="00CE774C"/>
    <w:rsid w:val="00CF012E"/>
    <w:rsid w:val="00CF032D"/>
    <w:rsid w:val="00CF04D4"/>
    <w:rsid w:val="00CF0B4C"/>
    <w:rsid w:val="00CF1680"/>
    <w:rsid w:val="00CF1BD7"/>
    <w:rsid w:val="00CF21A5"/>
    <w:rsid w:val="00CF24AB"/>
    <w:rsid w:val="00CF2518"/>
    <w:rsid w:val="00CF2DDE"/>
    <w:rsid w:val="00CF344A"/>
    <w:rsid w:val="00CF39A0"/>
    <w:rsid w:val="00CF3D1C"/>
    <w:rsid w:val="00CF4713"/>
    <w:rsid w:val="00CF4B12"/>
    <w:rsid w:val="00CF58FE"/>
    <w:rsid w:val="00CF5EBE"/>
    <w:rsid w:val="00CF783B"/>
    <w:rsid w:val="00CF7D97"/>
    <w:rsid w:val="00CF7EEC"/>
    <w:rsid w:val="00D001C2"/>
    <w:rsid w:val="00D00779"/>
    <w:rsid w:val="00D009D8"/>
    <w:rsid w:val="00D012E1"/>
    <w:rsid w:val="00D01318"/>
    <w:rsid w:val="00D01665"/>
    <w:rsid w:val="00D01D1E"/>
    <w:rsid w:val="00D01DD6"/>
    <w:rsid w:val="00D02580"/>
    <w:rsid w:val="00D03BF7"/>
    <w:rsid w:val="00D03F1E"/>
    <w:rsid w:val="00D0428E"/>
    <w:rsid w:val="00D04426"/>
    <w:rsid w:val="00D0482F"/>
    <w:rsid w:val="00D04A33"/>
    <w:rsid w:val="00D05892"/>
    <w:rsid w:val="00D06824"/>
    <w:rsid w:val="00D06C03"/>
    <w:rsid w:val="00D1037A"/>
    <w:rsid w:val="00D10D09"/>
    <w:rsid w:val="00D1163E"/>
    <w:rsid w:val="00D12362"/>
    <w:rsid w:val="00D12A4F"/>
    <w:rsid w:val="00D14C15"/>
    <w:rsid w:val="00D15CB3"/>
    <w:rsid w:val="00D15F51"/>
    <w:rsid w:val="00D16ED5"/>
    <w:rsid w:val="00D202B1"/>
    <w:rsid w:val="00D20662"/>
    <w:rsid w:val="00D21291"/>
    <w:rsid w:val="00D21C8A"/>
    <w:rsid w:val="00D2297E"/>
    <w:rsid w:val="00D22DE5"/>
    <w:rsid w:val="00D233BD"/>
    <w:rsid w:val="00D233D7"/>
    <w:rsid w:val="00D23CBB"/>
    <w:rsid w:val="00D25806"/>
    <w:rsid w:val="00D25E9D"/>
    <w:rsid w:val="00D25F1C"/>
    <w:rsid w:val="00D26DE6"/>
    <w:rsid w:val="00D26EE7"/>
    <w:rsid w:val="00D27B1E"/>
    <w:rsid w:val="00D30718"/>
    <w:rsid w:val="00D322FB"/>
    <w:rsid w:val="00D32475"/>
    <w:rsid w:val="00D32EF4"/>
    <w:rsid w:val="00D33F81"/>
    <w:rsid w:val="00D34850"/>
    <w:rsid w:val="00D35060"/>
    <w:rsid w:val="00D369D4"/>
    <w:rsid w:val="00D36AD7"/>
    <w:rsid w:val="00D373E9"/>
    <w:rsid w:val="00D37C61"/>
    <w:rsid w:val="00D403FF"/>
    <w:rsid w:val="00D404C4"/>
    <w:rsid w:val="00D40C02"/>
    <w:rsid w:val="00D40CE9"/>
    <w:rsid w:val="00D42115"/>
    <w:rsid w:val="00D42EFD"/>
    <w:rsid w:val="00D457D1"/>
    <w:rsid w:val="00D458AA"/>
    <w:rsid w:val="00D46338"/>
    <w:rsid w:val="00D46BA2"/>
    <w:rsid w:val="00D47234"/>
    <w:rsid w:val="00D47281"/>
    <w:rsid w:val="00D47581"/>
    <w:rsid w:val="00D50295"/>
    <w:rsid w:val="00D5069A"/>
    <w:rsid w:val="00D50E43"/>
    <w:rsid w:val="00D51469"/>
    <w:rsid w:val="00D52B45"/>
    <w:rsid w:val="00D530EB"/>
    <w:rsid w:val="00D53393"/>
    <w:rsid w:val="00D535B6"/>
    <w:rsid w:val="00D55235"/>
    <w:rsid w:val="00D55D78"/>
    <w:rsid w:val="00D56916"/>
    <w:rsid w:val="00D572B2"/>
    <w:rsid w:val="00D57F53"/>
    <w:rsid w:val="00D60CAB"/>
    <w:rsid w:val="00D610FD"/>
    <w:rsid w:val="00D612AF"/>
    <w:rsid w:val="00D619F3"/>
    <w:rsid w:val="00D62A5B"/>
    <w:rsid w:val="00D62B43"/>
    <w:rsid w:val="00D62ECD"/>
    <w:rsid w:val="00D63748"/>
    <w:rsid w:val="00D639F0"/>
    <w:rsid w:val="00D63C1B"/>
    <w:rsid w:val="00D63D76"/>
    <w:rsid w:val="00D64BFF"/>
    <w:rsid w:val="00D64DE1"/>
    <w:rsid w:val="00D64E3F"/>
    <w:rsid w:val="00D653D0"/>
    <w:rsid w:val="00D6692A"/>
    <w:rsid w:val="00D66E55"/>
    <w:rsid w:val="00D674E9"/>
    <w:rsid w:val="00D6799A"/>
    <w:rsid w:val="00D7009C"/>
    <w:rsid w:val="00D70F17"/>
    <w:rsid w:val="00D712DA"/>
    <w:rsid w:val="00D719EF"/>
    <w:rsid w:val="00D72327"/>
    <w:rsid w:val="00D727E0"/>
    <w:rsid w:val="00D72B87"/>
    <w:rsid w:val="00D72C72"/>
    <w:rsid w:val="00D74160"/>
    <w:rsid w:val="00D75D22"/>
    <w:rsid w:val="00D75DA5"/>
    <w:rsid w:val="00D76C58"/>
    <w:rsid w:val="00D76CF2"/>
    <w:rsid w:val="00D76E7C"/>
    <w:rsid w:val="00D80B40"/>
    <w:rsid w:val="00D8155B"/>
    <w:rsid w:val="00D816D5"/>
    <w:rsid w:val="00D81E79"/>
    <w:rsid w:val="00D81FEA"/>
    <w:rsid w:val="00D825A5"/>
    <w:rsid w:val="00D825B7"/>
    <w:rsid w:val="00D8290E"/>
    <w:rsid w:val="00D82AD1"/>
    <w:rsid w:val="00D82E6E"/>
    <w:rsid w:val="00D83040"/>
    <w:rsid w:val="00D8323B"/>
    <w:rsid w:val="00D83489"/>
    <w:rsid w:val="00D83D13"/>
    <w:rsid w:val="00D841AC"/>
    <w:rsid w:val="00D8589D"/>
    <w:rsid w:val="00D85A81"/>
    <w:rsid w:val="00D86466"/>
    <w:rsid w:val="00D86997"/>
    <w:rsid w:val="00D870E8"/>
    <w:rsid w:val="00D87423"/>
    <w:rsid w:val="00D87452"/>
    <w:rsid w:val="00D87485"/>
    <w:rsid w:val="00D907CB"/>
    <w:rsid w:val="00D91BF2"/>
    <w:rsid w:val="00D93322"/>
    <w:rsid w:val="00D93C1C"/>
    <w:rsid w:val="00D94026"/>
    <w:rsid w:val="00D94120"/>
    <w:rsid w:val="00D951DD"/>
    <w:rsid w:val="00D952ED"/>
    <w:rsid w:val="00D957FA"/>
    <w:rsid w:val="00D9664C"/>
    <w:rsid w:val="00D97404"/>
    <w:rsid w:val="00D975A3"/>
    <w:rsid w:val="00D979D0"/>
    <w:rsid w:val="00DA08CA"/>
    <w:rsid w:val="00DA0F37"/>
    <w:rsid w:val="00DA101A"/>
    <w:rsid w:val="00DA122C"/>
    <w:rsid w:val="00DA1A06"/>
    <w:rsid w:val="00DA2FD5"/>
    <w:rsid w:val="00DA4115"/>
    <w:rsid w:val="00DA4838"/>
    <w:rsid w:val="00DA4989"/>
    <w:rsid w:val="00DA5721"/>
    <w:rsid w:val="00DA6173"/>
    <w:rsid w:val="00DA7477"/>
    <w:rsid w:val="00DA7573"/>
    <w:rsid w:val="00DA7BD4"/>
    <w:rsid w:val="00DB0191"/>
    <w:rsid w:val="00DB0359"/>
    <w:rsid w:val="00DB0EF6"/>
    <w:rsid w:val="00DB0F8A"/>
    <w:rsid w:val="00DB26A8"/>
    <w:rsid w:val="00DB27CF"/>
    <w:rsid w:val="00DB324C"/>
    <w:rsid w:val="00DB3FD3"/>
    <w:rsid w:val="00DB5F2A"/>
    <w:rsid w:val="00DB6A2B"/>
    <w:rsid w:val="00DB6F45"/>
    <w:rsid w:val="00DB72B7"/>
    <w:rsid w:val="00DB7546"/>
    <w:rsid w:val="00DB782D"/>
    <w:rsid w:val="00DC0624"/>
    <w:rsid w:val="00DC0FC3"/>
    <w:rsid w:val="00DC1A58"/>
    <w:rsid w:val="00DC1AC0"/>
    <w:rsid w:val="00DC1CDD"/>
    <w:rsid w:val="00DC1D8E"/>
    <w:rsid w:val="00DC20C3"/>
    <w:rsid w:val="00DC227A"/>
    <w:rsid w:val="00DC2360"/>
    <w:rsid w:val="00DC26E4"/>
    <w:rsid w:val="00DC2BAE"/>
    <w:rsid w:val="00DC2CEE"/>
    <w:rsid w:val="00DC3257"/>
    <w:rsid w:val="00DC3279"/>
    <w:rsid w:val="00DC3BF1"/>
    <w:rsid w:val="00DC3CFC"/>
    <w:rsid w:val="00DC4D1D"/>
    <w:rsid w:val="00DC4D87"/>
    <w:rsid w:val="00DC54EB"/>
    <w:rsid w:val="00DC580A"/>
    <w:rsid w:val="00DC5B50"/>
    <w:rsid w:val="00DC66BC"/>
    <w:rsid w:val="00DC727F"/>
    <w:rsid w:val="00DC7E78"/>
    <w:rsid w:val="00DD0493"/>
    <w:rsid w:val="00DD0924"/>
    <w:rsid w:val="00DD0CBF"/>
    <w:rsid w:val="00DD1071"/>
    <w:rsid w:val="00DD12FD"/>
    <w:rsid w:val="00DD1576"/>
    <w:rsid w:val="00DD1D31"/>
    <w:rsid w:val="00DD2893"/>
    <w:rsid w:val="00DD4717"/>
    <w:rsid w:val="00DD4F74"/>
    <w:rsid w:val="00DD531F"/>
    <w:rsid w:val="00DD556C"/>
    <w:rsid w:val="00DD5737"/>
    <w:rsid w:val="00DD5E81"/>
    <w:rsid w:val="00DD6C46"/>
    <w:rsid w:val="00DD6C7A"/>
    <w:rsid w:val="00DD6F44"/>
    <w:rsid w:val="00DD7CCA"/>
    <w:rsid w:val="00DE0BDE"/>
    <w:rsid w:val="00DE10CF"/>
    <w:rsid w:val="00DE1270"/>
    <w:rsid w:val="00DE1E1E"/>
    <w:rsid w:val="00DE223E"/>
    <w:rsid w:val="00DE2D33"/>
    <w:rsid w:val="00DE34EB"/>
    <w:rsid w:val="00DE3592"/>
    <w:rsid w:val="00DE3E78"/>
    <w:rsid w:val="00DE41F8"/>
    <w:rsid w:val="00DE4B9D"/>
    <w:rsid w:val="00DE50EA"/>
    <w:rsid w:val="00DE545C"/>
    <w:rsid w:val="00DE5C9F"/>
    <w:rsid w:val="00DE734E"/>
    <w:rsid w:val="00DE7887"/>
    <w:rsid w:val="00DE7BF8"/>
    <w:rsid w:val="00DF0DC3"/>
    <w:rsid w:val="00DF14F9"/>
    <w:rsid w:val="00DF1C2D"/>
    <w:rsid w:val="00DF1FAE"/>
    <w:rsid w:val="00DF2AD9"/>
    <w:rsid w:val="00DF54D0"/>
    <w:rsid w:val="00DF580C"/>
    <w:rsid w:val="00DF5C1A"/>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1024A"/>
    <w:rsid w:val="00E10B17"/>
    <w:rsid w:val="00E10B67"/>
    <w:rsid w:val="00E12742"/>
    <w:rsid w:val="00E12AB9"/>
    <w:rsid w:val="00E12B67"/>
    <w:rsid w:val="00E141D3"/>
    <w:rsid w:val="00E14941"/>
    <w:rsid w:val="00E1526B"/>
    <w:rsid w:val="00E1534B"/>
    <w:rsid w:val="00E15408"/>
    <w:rsid w:val="00E15743"/>
    <w:rsid w:val="00E15C52"/>
    <w:rsid w:val="00E15EDA"/>
    <w:rsid w:val="00E15F0B"/>
    <w:rsid w:val="00E160E8"/>
    <w:rsid w:val="00E16199"/>
    <w:rsid w:val="00E16311"/>
    <w:rsid w:val="00E1702C"/>
    <w:rsid w:val="00E20CC5"/>
    <w:rsid w:val="00E21ACA"/>
    <w:rsid w:val="00E22B80"/>
    <w:rsid w:val="00E22C0E"/>
    <w:rsid w:val="00E22CFF"/>
    <w:rsid w:val="00E231CD"/>
    <w:rsid w:val="00E231E1"/>
    <w:rsid w:val="00E23888"/>
    <w:rsid w:val="00E23B9C"/>
    <w:rsid w:val="00E23CE3"/>
    <w:rsid w:val="00E23CF7"/>
    <w:rsid w:val="00E23E76"/>
    <w:rsid w:val="00E249DB"/>
    <w:rsid w:val="00E253A3"/>
    <w:rsid w:val="00E25402"/>
    <w:rsid w:val="00E259B0"/>
    <w:rsid w:val="00E25AF8"/>
    <w:rsid w:val="00E26AEC"/>
    <w:rsid w:val="00E2757B"/>
    <w:rsid w:val="00E276EE"/>
    <w:rsid w:val="00E2792D"/>
    <w:rsid w:val="00E30828"/>
    <w:rsid w:val="00E30B37"/>
    <w:rsid w:val="00E3109C"/>
    <w:rsid w:val="00E311D1"/>
    <w:rsid w:val="00E31C2D"/>
    <w:rsid w:val="00E32432"/>
    <w:rsid w:val="00E33B1E"/>
    <w:rsid w:val="00E34277"/>
    <w:rsid w:val="00E3621B"/>
    <w:rsid w:val="00E36F43"/>
    <w:rsid w:val="00E37F0C"/>
    <w:rsid w:val="00E40ADF"/>
    <w:rsid w:val="00E418E3"/>
    <w:rsid w:val="00E423DE"/>
    <w:rsid w:val="00E42F07"/>
    <w:rsid w:val="00E4370F"/>
    <w:rsid w:val="00E4441D"/>
    <w:rsid w:val="00E453AB"/>
    <w:rsid w:val="00E462E6"/>
    <w:rsid w:val="00E463A0"/>
    <w:rsid w:val="00E47839"/>
    <w:rsid w:val="00E51CDE"/>
    <w:rsid w:val="00E5210B"/>
    <w:rsid w:val="00E53631"/>
    <w:rsid w:val="00E5388F"/>
    <w:rsid w:val="00E54239"/>
    <w:rsid w:val="00E54272"/>
    <w:rsid w:val="00E542BC"/>
    <w:rsid w:val="00E54521"/>
    <w:rsid w:val="00E54617"/>
    <w:rsid w:val="00E5484B"/>
    <w:rsid w:val="00E56023"/>
    <w:rsid w:val="00E56D6E"/>
    <w:rsid w:val="00E56FEF"/>
    <w:rsid w:val="00E577F9"/>
    <w:rsid w:val="00E57FB5"/>
    <w:rsid w:val="00E60F14"/>
    <w:rsid w:val="00E61B23"/>
    <w:rsid w:val="00E625BE"/>
    <w:rsid w:val="00E6284B"/>
    <w:rsid w:val="00E62D07"/>
    <w:rsid w:val="00E62DF6"/>
    <w:rsid w:val="00E63A22"/>
    <w:rsid w:val="00E63B8F"/>
    <w:rsid w:val="00E646B5"/>
    <w:rsid w:val="00E65427"/>
    <w:rsid w:val="00E6543F"/>
    <w:rsid w:val="00E661C0"/>
    <w:rsid w:val="00E663F5"/>
    <w:rsid w:val="00E66E97"/>
    <w:rsid w:val="00E70BD6"/>
    <w:rsid w:val="00E71305"/>
    <w:rsid w:val="00E72383"/>
    <w:rsid w:val="00E724D2"/>
    <w:rsid w:val="00E72D9F"/>
    <w:rsid w:val="00E73C41"/>
    <w:rsid w:val="00E74933"/>
    <w:rsid w:val="00E74EDC"/>
    <w:rsid w:val="00E7549D"/>
    <w:rsid w:val="00E75737"/>
    <w:rsid w:val="00E75875"/>
    <w:rsid w:val="00E75886"/>
    <w:rsid w:val="00E75B05"/>
    <w:rsid w:val="00E75D6E"/>
    <w:rsid w:val="00E76007"/>
    <w:rsid w:val="00E76181"/>
    <w:rsid w:val="00E770F2"/>
    <w:rsid w:val="00E77EAC"/>
    <w:rsid w:val="00E81069"/>
    <w:rsid w:val="00E817AD"/>
    <w:rsid w:val="00E817EF"/>
    <w:rsid w:val="00E8184F"/>
    <w:rsid w:val="00E828D5"/>
    <w:rsid w:val="00E82D81"/>
    <w:rsid w:val="00E83259"/>
    <w:rsid w:val="00E839BE"/>
    <w:rsid w:val="00E83CAC"/>
    <w:rsid w:val="00E84C89"/>
    <w:rsid w:val="00E85E56"/>
    <w:rsid w:val="00E860DD"/>
    <w:rsid w:val="00E8713D"/>
    <w:rsid w:val="00E875AA"/>
    <w:rsid w:val="00E90329"/>
    <w:rsid w:val="00E910D5"/>
    <w:rsid w:val="00E922C4"/>
    <w:rsid w:val="00E943AE"/>
    <w:rsid w:val="00E947B0"/>
    <w:rsid w:val="00E9491F"/>
    <w:rsid w:val="00E95D82"/>
    <w:rsid w:val="00E95F21"/>
    <w:rsid w:val="00E96273"/>
    <w:rsid w:val="00E96E97"/>
    <w:rsid w:val="00E97D49"/>
    <w:rsid w:val="00EA0251"/>
    <w:rsid w:val="00EA1065"/>
    <w:rsid w:val="00EA1434"/>
    <w:rsid w:val="00EA3C3E"/>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31A3"/>
    <w:rsid w:val="00EB325B"/>
    <w:rsid w:val="00EB3E22"/>
    <w:rsid w:val="00EB693B"/>
    <w:rsid w:val="00EB7BA9"/>
    <w:rsid w:val="00EB7D75"/>
    <w:rsid w:val="00EC0B20"/>
    <w:rsid w:val="00EC0EE7"/>
    <w:rsid w:val="00EC1C3A"/>
    <w:rsid w:val="00EC1F51"/>
    <w:rsid w:val="00EC2B1D"/>
    <w:rsid w:val="00EC4233"/>
    <w:rsid w:val="00EC4544"/>
    <w:rsid w:val="00EC4A85"/>
    <w:rsid w:val="00EC57B2"/>
    <w:rsid w:val="00EC58F4"/>
    <w:rsid w:val="00EC650B"/>
    <w:rsid w:val="00EC7808"/>
    <w:rsid w:val="00EC7BFA"/>
    <w:rsid w:val="00ED042E"/>
    <w:rsid w:val="00ED1295"/>
    <w:rsid w:val="00ED2725"/>
    <w:rsid w:val="00ED34D1"/>
    <w:rsid w:val="00ED367F"/>
    <w:rsid w:val="00ED4206"/>
    <w:rsid w:val="00ED58A2"/>
    <w:rsid w:val="00ED58C3"/>
    <w:rsid w:val="00ED5C71"/>
    <w:rsid w:val="00ED5EEE"/>
    <w:rsid w:val="00ED667C"/>
    <w:rsid w:val="00ED74DB"/>
    <w:rsid w:val="00ED7966"/>
    <w:rsid w:val="00EE01CC"/>
    <w:rsid w:val="00EE04EE"/>
    <w:rsid w:val="00EE1760"/>
    <w:rsid w:val="00EE287D"/>
    <w:rsid w:val="00EE3B32"/>
    <w:rsid w:val="00EE3CFF"/>
    <w:rsid w:val="00EE3F39"/>
    <w:rsid w:val="00EE414C"/>
    <w:rsid w:val="00EE44FE"/>
    <w:rsid w:val="00EE5406"/>
    <w:rsid w:val="00EE5EF8"/>
    <w:rsid w:val="00EE6964"/>
    <w:rsid w:val="00EE6A1D"/>
    <w:rsid w:val="00EE6D18"/>
    <w:rsid w:val="00EE7E7A"/>
    <w:rsid w:val="00EF1230"/>
    <w:rsid w:val="00EF223B"/>
    <w:rsid w:val="00EF29DE"/>
    <w:rsid w:val="00EF3978"/>
    <w:rsid w:val="00EF3AAC"/>
    <w:rsid w:val="00EF4D42"/>
    <w:rsid w:val="00EF4FD1"/>
    <w:rsid w:val="00EF5318"/>
    <w:rsid w:val="00EF708A"/>
    <w:rsid w:val="00EF72C3"/>
    <w:rsid w:val="00EF79CE"/>
    <w:rsid w:val="00F00152"/>
    <w:rsid w:val="00F00352"/>
    <w:rsid w:val="00F00B1B"/>
    <w:rsid w:val="00F00E37"/>
    <w:rsid w:val="00F010EE"/>
    <w:rsid w:val="00F01383"/>
    <w:rsid w:val="00F0167D"/>
    <w:rsid w:val="00F0177A"/>
    <w:rsid w:val="00F019D5"/>
    <w:rsid w:val="00F02500"/>
    <w:rsid w:val="00F032E2"/>
    <w:rsid w:val="00F037E3"/>
    <w:rsid w:val="00F03FF2"/>
    <w:rsid w:val="00F04F9E"/>
    <w:rsid w:val="00F06A47"/>
    <w:rsid w:val="00F06E0B"/>
    <w:rsid w:val="00F0717F"/>
    <w:rsid w:val="00F0747A"/>
    <w:rsid w:val="00F07849"/>
    <w:rsid w:val="00F07882"/>
    <w:rsid w:val="00F07883"/>
    <w:rsid w:val="00F10177"/>
    <w:rsid w:val="00F10D83"/>
    <w:rsid w:val="00F1196B"/>
    <w:rsid w:val="00F11A6A"/>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E5C"/>
    <w:rsid w:val="00F27EF5"/>
    <w:rsid w:val="00F27FDB"/>
    <w:rsid w:val="00F30251"/>
    <w:rsid w:val="00F305CC"/>
    <w:rsid w:val="00F3179A"/>
    <w:rsid w:val="00F31D54"/>
    <w:rsid w:val="00F32357"/>
    <w:rsid w:val="00F32C70"/>
    <w:rsid w:val="00F34E02"/>
    <w:rsid w:val="00F3549E"/>
    <w:rsid w:val="00F365A7"/>
    <w:rsid w:val="00F3681C"/>
    <w:rsid w:val="00F3769D"/>
    <w:rsid w:val="00F404F4"/>
    <w:rsid w:val="00F4143E"/>
    <w:rsid w:val="00F41CC5"/>
    <w:rsid w:val="00F41D25"/>
    <w:rsid w:val="00F42307"/>
    <w:rsid w:val="00F423C2"/>
    <w:rsid w:val="00F433F8"/>
    <w:rsid w:val="00F433FE"/>
    <w:rsid w:val="00F435CE"/>
    <w:rsid w:val="00F43627"/>
    <w:rsid w:val="00F43781"/>
    <w:rsid w:val="00F4463C"/>
    <w:rsid w:val="00F473A5"/>
    <w:rsid w:val="00F473F3"/>
    <w:rsid w:val="00F474B8"/>
    <w:rsid w:val="00F478CA"/>
    <w:rsid w:val="00F47CE2"/>
    <w:rsid w:val="00F501F3"/>
    <w:rsid w:val="00F50A98"/>
    <w:rsid w:val="00F50E5F"/>
    <w:rsid w:val="00F51460"/>
    <w:rsid w:val="00F51667"/>
    <w:rsid w:val="00F521DC"/>
    <w:rsid w:val="00F53199"/>
    <w:rsid w:val="00F541A1"/>
    <w:rsid w:val="00F54B09"/>
    <w:rsid w:val="00F54BEA"/>
    <w:rsid w:val="00F54E8A"/>
    <w:rsid w:val="00F559A8"/>
    <w:rsid w:val="00F55C21"/>
    <w:rsid w:val="00F55E5F"/>
    <w:rsid w:val="00F55F6D"/>
    <w:rsid w:val="00F5736B"/>
    <w:rsid w:val="00F57880"/>
    <w:rsid w:val="00F608AB"/>
    <w:rsid w:val="00F60BE7"/>
    <w:rsid w:val="00F6159C"/>
    <w:rsid w:val="00F61714"/>
    <w:rsid w:val="00F6238F"/>
    <w:rsid w:val="00F63E59"/>
    <w:rsid w:val="00F64BE0"/>
    <w:rsid w:val="00F65B68"/>
    <w:rsid w:val="00F67846"/>
    <w:rsid w:val="00F67B42"/>
    <w:rsid w:val="00F70B72"/>
    <w:rsid w:val="00F70DEF"/>
    <w:rsid w:val="00F70EA3"/>
    <w:rsid w:val="00F71398"/>
    <w:rsid w:val="00F7294C"/>
    <w:rsid w:val="00F72C5F"/>
    <w:rsid w:val="00F73549"/>
    <w:rsid w:val="00F75782"/>
    <w:rsid w:val="00F80C1D"/>
    <w:rsid w:val="00F81130"/>
    <w:rsid w:val="00F818F7"/>
    <w:rsid w:val="00F81C5F"/>
    <w:rsid w:val="00F8325D"/>
    <w:rsid w:val="00F832A9"/>
    <w:rsid w:val="00F832B0"/>
    <w:rsid w:val="00F83307"/>
    <w:rsid w:val="00F833A5"/>
    <w:rsid w:val="00F844D3"/>
    <w:rsid w:val="00F84629"/>
    <w:rsid w:val="00F84B71"/>
    <w:rsid w:val="00F84F0E"/>
    <w:rsid w:val="00F8519E"/>
    <w:rsid w:val="00F85FF5"/>
    <w:rsid w:val="00F86BB4"/>
    <w:rsid w:val="00F870F5"/>
    <w:rsid w:val="00F902D2"/>
    <w:rsid w:val="00F90B12"/>
    <w:rsid w:val="00F90CBD"/>
    <w:rsid w:val="00F9109E"/>
    <w:rsid w:val="00F9177E"/>
    <w:rsid w:val="00F91E4F"/>
    <w:rsid w:val="00F91FDF"/>
    <w:rsid w:val="00F92AA1"/>
    <w:rsid w:val="00F92FDC"/>
    <w:rsid w:val="00F931D2"/>
    <w:rsid w:val="00F93431"/>
    <w:rsid w:val="00F93A4A"/>
    <w:rsid w:val="00F93D27"/>
    <w:rsid w:val="00F95DD6"/>
    <w:rsid w:val="00F96370"/>
    <w:rsid w:val="00F97940"/>
    <w:rsid w:val="00F97BA3"/>
    <w:rsid w:val="00F97EA2"/>
    <w:rsid w:val="00F97F0D"/>
    <w:rsid w:val="00FA0B0A"/>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6980"/>
    <w:rsid w:val="00FA6CDF"/>
    <w:rsid w:val="00FA7192"/>
    <w:rsid w:val="00FA7699"/>
    <w:rsid w:val="00FA7BB5"/>
    <w:rsid w:val="00FA7C85"/>
    <w:rsid w:val="00FB12D8"/>
    <w:rsid w:val="00FB176A"/>
    <w:rsid w:val="00FB1CDC"/>
    <w:rsid w:val="00FB238A"/>
    <w:rsid w:val="00FB2446"/>
    <w:rsid w:val="00FB2C81"/>
    <w:rsid w:val="00FB3BC4"/>
    <w:rsid w:val="00FB3F9C"/>
    <w:rsid w:val="00FB3FDE"/>
    <w:rsid w:val="00FB4676"/>
    <w:rsid w:val="00FB5552"/>
    <w:rsid w:val="00FB5789"/>
    <w:rsid w:val="00FB5F3A"/>
    <w:rsid w:val="00FB6382"/>
    <w:rsid w:val="00FB6AA9"/>
    <w:rsid w:val="00FB6AD4"/>
    <w:rsid w:val="00FB7F22"/>
    <w:rsid w:val="00FC00F3"/>
    <w:rsid w:val="00FC080C"/>
    <w:rsid w:val="00FC0A33"/>
    <w:rsid w:val="00FC1416"/>
    <w:rsid w:val="00FC14B2"/>
    <w:rsid w:val="00FC1823"/>
    <w:rsid w:val="00FC2198"/>
    <w:rsid w:val="00FC26A4"/>
    <w:rsid w:val="00FC2C93"/>
    <w:rsid w:val="00FC325A"/>
    <w:rsid w:val="00FC33ED"/>
    <w:rsid w:val="00FC43AD"/>
    <w:rsid w:val="00FC5876"/>
    <w:rsid w:val="00FC62F5"/>
    <w:rsid w:val="00FC731E"/>
    <w:rsid w:val="00FD035A"/>
    <w:rsid w:val="00FD19F1"/>
    <w:rsid w:val="00FD1A7E"/>
    <w:rsid w:val="00FD2CC3"/>
    <w:rsid w:val="00FD31BF"/>
    <w:rsid w:val="00FD3CC7"/>
    <w:rsid w:val="00FD4148"/>
    <w:rsid w:val="00FD4D5B"/>
    <w:rsid w:val="00FD6453"/>
    <w:rsid w:val="00FD67FD"/>
    <w:rsid w:val="00FD7CB2"/>
    <w:rsid w:val="00FD7D46"/>
    <w:rsid w:val="00FD7D8B"/>
    <w:rsid w:val="00FD7EE4"/>
    <w:rsid w:val="00FE0491"/>
    <w:rsid w:val="00FE0AF2"/>
    <w:rsid w:val="00FE1C47"/>
    <w:rsid w:val="00FE22DD"/>
    <w:rsid w:val="00FE2CFB"/>
    <w:rsid w:val="00FE4A60"/>
    <w:rsid w:val="00FE54E0"/>
    <w:rsid w:val="00FE55F0"/>
    <w:rsid w:val="00FE6331"/>
    <w:rsid w:val="00FE685B"/>
    <w:rsid w:val="00FE6C12"/>
    <w:rsid w:val="00FE7894"/>
    <w:rsid w:val="00FF01FA"/>
    <w:rsid w:val="00FF21B5"/>
    <w:rsid w:val="00FF21C3"/>
    <w:rsid w:val="00FF2A11"/>
    <w:rsid w:val="00FF2AA0"/>
    <w:rsid w:val="00FF3F6C"/>
    <w:rsid w:val="00FF4603"/>
    <w:rsid w:val="00FF4AA5"/>
    <w:rsid w:val="00FF4B07"/>
    <w:rsid w:val="00FF4BFC"/>
    <w:rsid w:val="00FF4C11"/>
    <w:rsid w:val="00FF56B9"/>
    <w:rsid w:val="00FF57E8"/>
    <w:rsid w:val="00FF58C0"/>
    <w:rsid w:val="00FF5948"/>
    <w:rsid w:val="00FF6B71"/>
    <w:rsid w:val="00FF6EDF"/>
    <w:rsid w:val="00FF6EEA"/>
    <w:rsid w:val="00FF77DF"/>
    <w:rsid w:val="00FF7ABB"/>
    <w:rsid w:val="00FF7B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544175"/>
  <w14:defaultImageDpi w14:val="330"/>
  <w15:docId w15:val="{33CE8EFF-EC83-4169-BB0C-5AD5D576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555EF"/>
    <w:pPr>
      <w:spacing w:before="120" w:after="120" w:line="280" w:lineRule="atLeast"/>
      <w:jc w:val="both"/>
    </w:pPr>
    <w:rPr>
      <w:rFonts w:ascii="Calibri" w:eastAsiaTheme="minorEastAsia" w:hAnsi="Calibri"/>
      <w:lang w:eastAsia="en-NZ"/>
    </w:rPr>
  </w:style>
  <w:style w:type="paragraph" w:styleId="Heading1">
    <w:name w:val="heading 1"/>
    <w:basedOn w:val="Normal"/>
    <w:next w:val="BodyText"/>
    <w:link w:val="Heading1Char"/>
    <w:qFormat/>
    <w:rsid w:val="00585FD0"/>
    <w:pPr>
      <w:keepNext/>
      <w:tabs>
        <w:tab w:val="left" w:pos="851"/>
      </w:tabs>
      <w:spacing w:before="0" w:after="360" w:line="600" w:lineRule="atLeast"/>
      <w:jc w:val="left"/>
      <w:outlineLvl w:val="0"/>
    </w:pPr>
    <w:rPr>
      <w:rFonts w:ascii="Georgia" w:eastAsiaTheme="majorEastAsia" w:hAnsi="Georgia" w:cstheme="majorBidi"/>
      <w:b/>
      <w:bCs/>
      <w:color w:val="1B556B"/>
      <w:sz w:val="48"/>
      <w:szCs w:val="28"/>
    </w:rPr>
  </w:style>
  <w:style w:type="paragraph" w:styleId="Heading2">
    <w:name w:val="heading 2"/>
    <w:basedOn w:val="Normal"/>
    <w:next w:val="BodyText"/>
    <w:link w:val="Heading2Char"/>
    <w:qFormat/>
    <w:rsid w:val="0066352E"/>
    <w:pPr>
      <w:keepNext/>
      <w:tabs>
        <w:tab w:val="left" w:pos="851"/>
      </w:tabs>
      <w:spacing w:before="360" w:after="0" w:line="440" w:lineRule="exact"/>
      <w:jc w:val="lef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qFormat/>
    <w:rsid w:val="009A2A8A"/>
    <w:pPr>
      <w:keepNext/>
      <w:tabs>
        <w:tab w:val="left" w:pos="851"/>
      </w:tabs>
      <w:spacing w:before="360" w:after="0" w:line="360" w:lineRule="exac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9F1D7F"/>
    <w:pPr>
      <w:outlineLvl w:val="3"/>
    </w:pPr>
    <w:rPr>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rFonts w:eastAsiaTheme="majorEastAsia" w:cstheme="majorBidi"/>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eastAsia="Times New Roman" w:hAnsi="Times New Roman" w:cs="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eastAsia="Times New Roman" w:hAnsi="Times New Roman" w:cs="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eastAsia="Times New Roman" w:hAnsi="Times New Roman" w:cs="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eastAsia="Times New Roman" w:hAnsi="Arial" w:cs="Times New Roman"/>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5FD0"/>
    <w:rPr>
      <w:rFonts w:ascii="Georgia" w:eastAsiaTheme="majorEastAsia" w:hAnsi="Georgia" w:cstheme="majorBidi"/>
      <w:b/>
      <w:bCs/>
      <w:color w:val="1B556B"/>
      <w:sz w:val="48"/>
      <w:szCs w:val="28"/>
      <w:lang w:eastAsia="en-NZ"/>
    </w:rPr>
  </w:style>
  <w:style w:type="character" w:customStyle="1" w:styleId="Heading2Char">
    <w:name w:val="Heading 2 Char"/>
    <w:basedOn w:val="DefaultParagraphFont"/>
    <w:link w:val="Heading2"/>
    <w:rsid w:val="0066352E"/>
    <w:rPr>
      <w:rFonts w:ascii="Georgia" w:eastAsiaTheme="majorEastAsia" w:hAnsi="Georgia" w:cstheme="majorBidi"/>
      <w:b/>
      <w:bCs/>
      <w:color w:val="1B556B"/>
      <w:sz w:val="36"/>
      <w:szCs w:val="26"/>
      <w:lang w:eastAsia="en-NZ"/>
    </w:rPr>
  </w:style>
  <w:style w:type="character" w:customStyle="1" w:styleId="Heading3Char">
    <w:name w:val="Heading 3 Char"/>
    <w:basedOn w:val="DefaultParagraphFont"/>
    <w:link w:val="Heading3"/>
    <w:rsid w:val="009A2A8A"/>
    <w:rPr>
      <w:rFonts w:ascii="Georgia" w:eastAsiaTheme="majorEastAsia" w:hAnsi="Georgia" w:cstheme="majorBidi"/>
      <w:b/>
      <w:bCs/>
      <w:sz w:val="28"/>
      <w:lang w:eastAsia="en-NZ"/>
    </w:rPr>
  </w:style>
  <w:style w:type="character" w:customStyle="1" w:styleId="Heading4Char">
    <w:name w:val="Heading 4 Char"/>
    <w:basedOn w:val="DefaultParagraphFont"/>
    <w:link w:val="Heading4"/>
    <w:rsid w:val="009F1D7F"/>
    <w:rPr>
      <w:rFonts w:ascii="Georgia" w:eastAsiaTheme="majorEastAsia" w:hAnsi="Georgia" w:cstheme="majorBidi"/>
      <w:b/>
      <w:bCs/>
      <w:sz w:val="24"/>
      <w:lang w:eastAsia="en-NZ"/>
    </w:rPr>
  </w:style>
  <w:style w:type="character" w:customStyle="1" w:styleId="Heading5Char">
    <w:name w:val="Heading 5 Char"/>
    <w:basedOn w:val="DefaultParagraphFont"/>
    <w:link w:val="Heading5"/>
    <w:rsid w:val="008B68EC"/>
    <w:rPr>
      <w:rFonts w:ascii="Calibri" w:eastAsiaTheme="majorEastAsia" w:hAnsi="Calibri" w:cstheme="majorBidi"/>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basedOn w:val="DefaultParagraphFont"/>
    <w:link w:val="BodyText"/>
    <w:rsid w:val="00EA64B4"/>
    <w:rPr>
      <w:rFonts w:ascii="Calibri" w:eastAsiaTheme="minorEastAsia" w:hAnsi="Calibri"/>
      <w:lang w:eastAsia="en-NZ"/>
    </w:rPr>
  </w:style>
  <w:style w:type="table" w:styleId="TableGrid">
    <w:name w:val="Table Grid"/>
    <w:basedOn w:val="TableNormal"/>
    <w:uiPriority w:val="59"/>
    <w:rsid w:val="00EA64B4"/>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basedOn w:val="DefaultParagraphFont"/>
    <w:link w:val="Header"/>
    <w:semiHidden/>
    <w:rsid w:val="00F03FF2"/>
    <w:rPr>
      <w:rFonts w:ascii="Arial" w:eastAsiaTheme="minorEastAsia" w:hAnsi="Arial"/>
      <w:sz w:val="16"/>
      <w:lang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basedOn w:val="DefaultParagraphFont"/>
    <w:link w:val="Quote"/>
    <w:uiPriority w:val="1"/>
    <w:rsid w:val="00684D9B"/>
    <w:rPr>
      <w:rFonts w:ascii="Calibri" w:eastAsiaTheme="minorEastAsia" w:hAnsi="Calibri"/>
      <w:sz w:val="20"/>
      <w:lang w:eastAsia="en-NZ"/>
    </w:rPr>
  </w:style>
  <w:style w:type="paragraph" w:customStyle="1" w:styleId="Bullet">
    <w:name w:val="Bullet"/>
    <w:basedOn w:val="Normal"/>
    <w:link w:val="BulletChar"/>
    <w:qFormat/>
    <w:rsid w:val="000A109B"/>
    <w:pPr>
      <w:numPr>
        <w:numId w:val="34"/>
      </w:numPr>
      <w:tabs>
        <w:tab w:val="left" w:pos="397"/>
      </w:tabs>
      <w:spacing w:before="0"/>
      <w:jc w:val="left"/>
    </w:pPr>
    <w:rPr>
      <w:rFonts w:eastAsia="Times New Roman" w:cs="Times New Roman"/>
      <w:szCs w:val="20"/>
    </w:rPr>
  </w:style>
  <w:style w:type="paragraph" w:customStyle="1" w:styleId="Heading">
    <w:name w:val="Heading"/>
    <w:basedOn w:val="Heading1"/>
    <w:next w:val="Normal"/>
    <w:uiPriority w:val="3"/>
    <w:rsid w:val="00F06E0B"/>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basedOn w:val="DefaultParagraphFont"/>
    <w:link w:val="Footer"/>
    <w:semiHidden/>
    <w:rsid w:val="00F03FF2"/>
    <w:rPr>
      <w:rFonts w:ascii="Calibri" w:eastAsiaTheme="minorEastAsia" w:hAnsi="Calibri"/>
      <w:lang w:eastAsia="en-NZ"/>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basedOn w:val="DefaultParagraphFont"/>
    <w:link w:val="FootnoteText"/>
    <w:uiPriority w:val="99"/>
    <w:rsid w:val="00BE2893"/>
    <w:rPr>
      <w:rFonts w:ascii="Calibri" w:eastAsiaTheme="minorEastAsia"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1"/>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4A3CC2"/>
    <w:pPr>
      <w:spacing w:line="360" w:lineRule="auto"/>
      <w:jc w:val="center"/>
    </w:pPr>
    <w:rPr>
      <w:rFonts w:ascii="Georgia" w:hAnsi="Georgia"/>
      <w:b/>
      <w:color w:val="1B556B"/>
      <w:sz w:val="56"/>
    </w:rPr>
  </w:style>
  <w:style w:type="character" w:customStyle="1" w:styleId="TitleChar">
    <w:name w:val="Title Char"/>
    <w:basedOn w:val="DefaultParagraphFont"/>
    <w:link w:val="Title"/>
    <w:uiPriority w:val="2"/>
    <w:rsid w:val="004A3CC2"/>
    <w:rPr>
      <w:rFonts w:ascii="Georgia" w:eastAsiaTheme="minorEastAsia" w:hAnsi="Georgia"/>
      <w:b/>
      <w:color w:val="1B556B"/>
      <w:sz w:val="56"/>
      <w:lang w:eastAsia="en-NZ"/>
    </w:rPr>
  </w:style>
  <w:style w:type="paragraph" w:styleId="Subtitle">
    <w:name w:val="Subtitle"/>
    <w:basedOn w:val="Title"/>
    <w:link w:val="SubtitleChar"/>
    <w:uiPriority w:val="2"/>
    <w:rsid w:val="004A3CC2"/>
    <w:pPr>
      <w:spacing w:before="600" w:line="240" w:lineRule="auto"/>
    </w:pPr>
    <w:rPr>
      <w:sz w:val="36"/>
      <w:szCs w:val="36"/>
    </w:rPr>
  </w:style>
  <w:style w:type="character" w:customStyle="1" w:styleId="SubtitleChar">
    <w:name w:val="Subtitle Char"/>
    <w:basedOn w:val="DefaultParagraphFont"/>
    <w:link w:val="Subtitle"/>
    <w:uiPriority w:val="2"/>
    <w:rsid w:val="004A3CC2"/>
    <w:rPr>
      <w:rFonts w:ascii="Georgia" w:eastAsiaTheme="minorEastAsia" w:hAnsi="Georgia"/>
      <w:b/>
      <w:color w:val="1B556B"/>
      <w:sz w:val="36"/>
      <w:szCs w:val="36"/>
      <w:lang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2"/>
    <w:rsid w:val="00EA64B4"/>
    <w:pPr>
      <w:tabs>
        <w:tab w:val="right" w:pos="7938"/>
        <w:tab w:val="right" w:pos="8505"/>
      </w:tabs>
      <w:jc w:val="left"/>
    </w:pPr>
    <w:rPr>
      <w:sz w:val="16"/>
    </w:rPr>
  </w:style>
  <w:style w:type="paragraph" w:customStyle="1" w:styleId="Footereven">
    <w:name w:val="Footer even"/>
    <w:basedOn w:val="Normal"/>
    <w:uiPriority w:val="2"/>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basedOn w:val="DefaultParagraphFont"/>
    <w:link w:val="EndnoteText"/>
    <w:uiPriority w:val="99"/>
    <w:semiHidden/>
    <w:rsid w:val="00EA64B4"/>
    <w:rPr>
      <w:rFonts w:ascii="Calibri" w:eastAsiaTheme="minorEastAsia"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basedOn w:val="DefaultParagraphFont"/>
    <w:link w:val="CommentSubject"/>
    <w:uiPriority w:val="99"/>
    <w:semiHidden/>
    <w:rsid w:val="00AB54D7"/>
    <w:rPr>
      <w:rFonts w:ascii="Calibri" w:eastAsiaTheme="minorEastAsia"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basedOn w:val="DefaultParagraphFont"/>
    <w:link w:val="BalloonText"/>
    <w:semiHidden/>
    <w:rsid w:val="00EA64B4"/>
    <w:rPr>
      <w:rFonts w:ascii="Tahoma" w:eastAsiaTheme="minorEastAsia"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pPr>
      <w:spacing w:after="0" w:line="240" w:lineRule="auto"/>
    </w:pPr>
    <w:tblPr>
      <w:tblStyleRowBandSize w:val="1"/>
      <w:tblStyleColBandSize w:val="1"/>
      <w:tblBorders>
        <w:top w:val="single" w:sz="8"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single" w:sz="8" w:space="0" w:color="52A8C7" w:themeColor="accent2" w:themeTint="BF"/>
      </w:tblBorders>
    </w:tblPr>
    <w:tblStylePr w:type="firstRow">
      <w:pPr>
        <w:spacing w:before="0" w:after="0" w:line="240" w:lineRule="auto"/>
      </w:pPr>
      <w:rPr>
        <w:b/>
        <w:bCs/>
        <w:color w:val="FFFFFF" w:themeColor="background1"/>
      </w:rPr>
      <w:tblPr/>
      <w:tcPr>
        <w:tcBorders>
          <w:top w:val="single" w:sz="8"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nil"/>
          <w:insideV w:val="nil"/>
        </w:tcBorders>
        <w:shd w:val="clear" w:color="auto" w:fill="32809C" w:themeFill="accent2"/>
      </w:tcPr>
    </w:tblStylePr>
    <w:tblStylePr w:type="lastRow">
      <w:pPr>
        <w:spacing w:before="0" w:after="0" w:line="240" w:lineRule="auto"/>
      </w:pPr>
      <w:rPr>
        <w:b/>
        <w:bCs/>
      </w:rPr>
      <w:tblPr/>
      <w:tcPr>
        <w:tcBorders>
          <w:top w:val="double" w:sz="6"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E2EC" w:themeFill="accent2" w:themeFillTint="3F"/>
      </w:tcPr>
    </w:tblStylePr>
    <w:tblStylePr w:type="band1Horz">
      <w:tblPr/>
      <w:tcPr>
        <w:tcBorders>
          <w:insideH w:val="nil"/>
          <w:insideV w:val="nil"/>
        </w:tcBorders>
        <w:shd w:val="clear" w:color="auto" w:fill="C5E2EC" w:themeFill="accent2"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tblBorders>
    </w:tblPr>
    <w:tblStylePr w:type="firstRow">
      <w:pPr>
        <w:spacing w:before="0" w:after="0" w:line="240" w:lineRule="auto"/>
      </w:pPr>
      <w:rPr>
        <w:b/>
        <w:bCs/>
        <w:color w:val="FFFFFF" w:themeColor="background1"/>
      </w:rPr>
      <w:tblPr/>
      <w:tcPr>
        <w:shd w:val="clear" w:color="auto" w:fill="6FC7B7" w:themeFill="accent5"/>
      </w:tcPr>
    </w:tblStylePr>
    <w:tblStylePr w:type="lastRow">
      <w:pPr>
        <w:spacing w:before="0" w:after="0" w:line="240" w:lineRule="auto"/>
      </w:pPr>
      <w:rPr>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tcBorders>
      </w:tcPr>
    </w:tblStylePr>
    <w:tblStylePr w:type="firstCol">
      <w:rPr>
        <w:b/>
        <w:bCs/>
      </w:rPr>
    </w:tblStylePr>
    <w:tblStylePr w:type="lastCol">
      <w:rPr>
        <w:b/>
        <w:bCs/>
      </w:r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style>
  <w:style w:type="table" w:styleId="LightGrid-Accent5">
    <w:name w:val="Light Grid Accent 5"/>
    <w:basedOn w:val="TableNormal"/>
    <w:uiPriority w:val="62"/>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insideH w:val="single" w:sz="8" w:space="0" w:color="6FC7B7" w:themeColor="accent5"/>
        <w:insideV w:val="single" w:sz="8" w:space="0" w:color="6FC7B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18" w:space="0" w:color="6FC7B7" w:themeColor="accent5"/>
          <w:right w:val="single" w:sz="8" w:space="0" w:color="6FC7B7" w:themeColor="accent5"/>
          <w:insideH w:val="nil"/>
          <w:insideV w:val="single" w:sz="8" w:space="0" w:color="6FC7B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insideH w:val="nil"/>
          <w:insideV w:val="single" w:sz="8" w:space="0" w:color="6FC7B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shd w:val="clear" w:color="auto" w:fill="DBF1ED" w:themeFill="accent5" w:themeFillTint="3F"/>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shd w:val="clear" w:color="auto" w:fill="DBF1ED" w:themeFill="accent5" w:themeFillTint="3F"/>
      </w:tcPr>
    </w:tblStylePr>
    <w:tblStylePr w:type="band2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tcPr>
    </w:tblStylePr>
  </w:style>
  <w:style w:type="table" w:customStyle="1" w:styleId="LightGrid-Accent11">
    <w:name w:val="Light Grid - Accent 11"/>
    <w:basedOn w:val="TableNormal"/>
    <w:uiPriority w:val="62"/>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insideH w:val="single" w:sz="8" w:space="0" w:color="1C556C" w:themeColor="accent1"/>
        <w:insideV w:val="single" w:sz="8" w:space="0" w:color="1C556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18" w:space="0" w:color="1C556C" w:themeColor="accent1"/>
          <w:right w:val="single" w:sz="8" w:space="0" w:color="1C556C" w:themeColor="accent1"/>
          <w:insideH w:val="nil"/>
          <w:insideV w:val="single" w:sz="8" w:space="0" w:color="1C55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insideH w:val="nil"/>
          <w:insideV w:val="single" w:sz="8" w:space="0" w:color="1C55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shd w:val="clear" w:color="auto" w:fill="B5DCEC" w:themeFill="accent1" w:themeFillTint="3F"/>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shd w:val="clear" w:color="auto" w:fill="B5DCEC" w:themeFill="accent1" w:themeFillTint="3F"/>
      </w:tcPr>
    </w:tblStylePr>
    <w:tblStylePr w:type="band2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tcPr>
    </w:tblStylePr>
  </w:style>
  <w:style w:type="table" w:customStyle="1" w:styleId="LightShading-Accent11">
    <w:name w:val="Light Shading - Accent 11"/>
    <w:basedOn w:val="TableNormal"/>
    <w:uiPriority w:val="60"/>
    <w:rsid w:val="00EA64B4"/>
    <w:pPr>
      <w:spacing w:after="0" w:line="240" w:lineRule="auto"/>
    </w:pPr>
    <w:rPr>
      <w:color w:val="153F50" w:themeColor="accent1" w:themeShade="BF"/>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customStyle="1" w:styleId="LightList-Accent11">
    <w:name w:val="Light List - Accent 11"/>
    <w:basedOn w:val="TableNormal"/>
    <w:uiPriority w:val="61"/>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tblBorders>
    </w:tblPr>
    <w:tblStylePr w:type="firstRow">
      <w:pPr>
        <w:spacing w:before="0" w:after="0" w:line="240" w:lineRule="auto"/>
      </w:pPr>
      <w:rPr>
        <w:b/>
        <w:bCs/>
        <w:color w:val="FFFFFF" w:themeColor="background1"/>
      </w:rPr>
      <w:tblPr/>
      <w:tcPr>
        <w:shd w:val="clear" w:color="auto" w:fill="1C556C" w:themeFill="accent1"/>
      </w:tcPr>
    </w:tblStylePr>
    <w:tblStylePr w:type="lastRow">
      <w:pPr>
        <w:spacing w:before="0" w:after="0" w:line="240" w:lineRule="auto"/>
      </w:pPr>
      <w:rPr>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tcBorders>
      </w:tcPr>
    </w:tblStylePr>
    <w:tblStylePr w:type="firstCol">
      <w:rPr>
        <w:b/>
        <w:bCs/>
      </w:rPr>
    </w:tblStylePr>
    <w:tblStylePr w:type="lastCol">
      <w:rPr>
        <w:b/>
        <w:bCs/>
      </w:r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style>
  <w:style w:type="character" w:styleId="CommentReference">
    <w:name w:val="annotation reference"/>
    <w:basedOn w:val="DefaultParagraphFont"/>
    <w:uiPriority w:val="99"/>
    <w:semiHidden/>
    <w:rsid w:val="00EA64B4"/>
    <w:rPr>
      <w:sz w:val="16"/>
      <w:szCs w:val="16"/>
    </w:rPr>
  </w:style>
  <w:style w:type="paragraph" w:styleId="Revision">
    <w:name w:val="Revision"/>
    <w:hidden/>
    <w:uiPriority w:val="99"/>
    <w:semiHidden/>
    <w:rsid w:val="0080531E"/>
    <w:pPr>
      <w:spacing w:after="0" w:line="240" w:lineRule="auto"/>
    </w:pPr>
    <w:rPr>
      <w:rFonts w:ascii="Times New Roman" w:eastAsia="Times New Roman" w:hAnsi="Times New Roman" w:cs="Times New Roman"/>
      <w:szCs w:val="20"/>
    </w:rPr>
  </w:style>
  <w:style w:type="character" w:styleId="Strong">
    <w:name w:val="Strong"/>
    <w:basedOn w:val="DefaultParagraphFont"/>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basedOn w:val="DefaultParagraphFont"/>
    <w:uiPriority w:val="99"/>
    <w:semiHidden/>
    <w:unhideWhenUsed/>
    <w:rsid w:val="00EA64B4"/>
    <w:rPr>
      <w:vertAlign w:val="superscript"/>
    </w:rPr>
  </w:style>
  <w:style w:type="character" w:styleId="FollowedHyperlink">
    <w:name w:val="FollowedHyperlink"/>
    <w:basedOn w:val="DefaultParagraphFont"/>
    <w:uiPriority w:val="99"/>
    <w:semiHidden/>
    <w:rsid w:val="00EA64B4"/>
    <w:rPr>
      <w:color w:val="800080" w:themeColor="followedHyperlink"/>
      <w:u w:val="none"/>
    </w:rPr>
  </w:style>
  <w:style w:type="paragraph" w:customStyle="1" w:styleId="BoxBullet0">
    <w:name w:val="Box Bullet"/>
    <w:basedOn w:val="Normal"/>
    <w:semiHidden/>
    <w:rsid w:val="008B5E54"/>
    <w:pPr>
      <w:pBdr>
        <w:top w:val="single" w:sz="6" w:space="15" w:color="auto"/>
        <w:left w:val="single" w:sz="6" w:space="15" w:color="auto"/>
        <w:bottom w:val="single" w:sz="6" w:space="15" w:color="auto"/>
        <w:right w:val="single" w:sz="6" w:space="15" w:color="auto"/>
      </w:pBdr>
      <w:tabs>
        <w:tab w:val="num" w:pos="851"/>
      </w:tabs>
      <w:spacing w:after="0" w:line="240" w:lineRule="auto"/>
      <w:ind w:left="851" w:right="284" w:hanging="567"/>
      <w:jc w:val="left"/>
    </w:pPr>
    <w:rPr>
      <w:rFonts w:ascii="Arial" w:eastAsia="Times New Roman" w:hAnsi="Arial" w:cs="Times New Roman"/>
      <w:sz w:val="20"/>
      <w:szCs w:val="20"/>
      <w:lang w:eastAsia="en-GB"/>
    </w:rPr>
  </w:style>
  <w:style w:type="paragraph" w:customStyle="1" w:styleId="BoxHeading">
    <w:name w:val="BoxHeading"/>
    <w:basedOn w:val="Normal"/>
    <w:next w:val="Normal"/>
    <w:semiHidden/>
    <w:rsid w:val="008B5E54"/>
    <w:pPr>
      <w:pBdr>
        <w:top w:val="single" w:sz="6" w:space="15" w:color="auto"/>
        <w:left w:val="single" w:sz="6" w:space="15" w:color="auto"/>
        <w:bottom w:val="single" w:sz="6" w:space="15" w:color="auto"/>
        <w:right w:val="single" w:sz="6" w:space="15" w:color="auto"/>
      </w:pBdr>
      <w:spacing w:before="0" w:after="240" w:line="240" w:lineRule="auto"/>
      <w:ind w:left="284" w:right="284"/>
    </w:pPr>
    <w:rPr>
      <w:rFonts w:ascii="Arial" w:eastAsia="Times New Roman" w:hAnsi="Arial" w:cs="Times New Roman"/>
      <w:b/>
      <w:szCs w:val="20"/>
      <w:lang w:eastAsia="en-GB"/>
    </w:rPr>
  </w:style>
  <w:style w:type="character" w:customStyle="1" w:styleId="Heading6Char">
    <w:name w:val="Heading 6 Char"/>
    <w:basedOn w:val="DefaultParagraphFont"/>
    <w:link w:val="Heading6"/>
    <w:semiHidden/>
    <w:rsid w:val="00EA64B4"/>
    <w:rPr>
      <w:rFonts w:ascii="Times New Roman" w:eastAsia="Times New Roman" w:hAnsi="Times New Roman" w:cs="Times New Roman"/>
      <w:b/>
      <w:szCs w:val="20"/>
      <w:lang w:val="en-AU"/>
    </w:rPr>
  </w:style>
  <w:style w:type="character" w:customStyle="1" w:styleId="Heading7Char">
    <w:name w:val="Heading 7 Char"/>
    <w:basedOn w:val="DefaultParagraphFont"/>
    <w:link w:val="Heading7"/>
    <w:semiHidden/>
    <w:rsid w:val="00EA64B4"/>
    <w:rPr>
      <w:rFonts w:ascii="Times New Roman" w:eastAsia="Times New Roman" w:hAnsi="Times New Roman" w:cs="Times New Roman"/>
      <w:szCs w:val="20"/>
      <w:lang w:val="en-AU"/>
    </w:rPr>
  </w:style>
  <w:style w:type="character" w:customStyle="1" w:styleId="Heading8Char">
    <w:name w:val="Heading 8 Char"/>
    <w:basedOn w:val="DefaultParagraphFont"/>
    <w:link w:val="Heading8"/>
    <w:semiHidden/>
    <w:rsid w:val="00EA64B4"/>
    <w:rPr>
      <w:rFonts w:ascii="Times New Roman" w:eastAsia="Times New Roman" w:hAnsi="Times New Roman" w:cs="Times New Roman"/>
      <w:i/>
      <w:szCs w:val="20"/>
      <w:lang w:val="en-AU"/>
    </w:rPr>
  </w:style>
  <w:style w:type="character" w:customStyle="1" w:styleId="Heading9Char">
    <w:name w:val="Heading 9 Char"/>
    <w:basedOn w:val="DefaultParagraphFont"/>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eastAsia="Times New Roman" w:hAnsi="Arial" w:cs="Times New Roman"/>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eastAsia="Times New Roman" w:hAnsi="Times New Roman" w:cs="Times New Roman"/>
      <w:b/>
      <w:bCs/>
      <w:color w:val="1C556C" w:themeColor="accent1"/>
      <w:sz w:val="18"/>
      <w:szCs w:val="18"/>
      <w:lang w:eastAsia="en-US"/>
    </w:rPr>
  </w:style>
  <w:style w:type="character" w:customStyle="1" w:styleId="BulletChar">
    <w:name w:val="Bullet Char"/>
    <w:basedOn w:val="DefaultParagraphFont"/>
    <w:link w:val="Bullet"/>
    <w:locked/>
    <w:rsid w:val="000A109B"/>
    <w:rPr>
      <w:rFonts w:ascii="Calibri" w:eastAsia="Times New Roman" w:hAnsi="Calibri" w:cs="Times New Roman"/>
      <w:szCs w:val="20"/>
      <w:lang w:eastAsia="en-NZ"/>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themeColor="background1"/>
    </w:rPr>
  </w:style>
  <w:style w:type="table" w:styleId="LightShading-Accent1">
    <w:name w:val="Light Shading Accent 1"/>
    <w:basedOn w:val="TableNormal"/>
    <w:uiPriority w:val="60"/>
    <w:rsid w:val="00E05569"/>
    <w:pPr>
      <w:spacing w:after="0" w:line="240" w:lineRule="auto"/>
    </w:pPr>
    <w:rPr>
      <w:rFonts w:eastAsiaTheme="minorEastAsia"/>
      <w:color w:val="153F50" w:themeColor="accent1" w:themeShade="BF"/>
      <w:lang w:val="en-US"/>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styleId="LightList-Accent3">
    <w:name w:val="Light List Accent 3"/>
    <w:basedOn w:val="TableNormal"/>
    <w:uiPriority w:val="61"/>
    <w:rsid w:val="00416330"/>
    <w:pPr>
      <w:spacing w:after="0" w:line="240" w:lineRule="auto"/>
    </w:pPr>
    <w:rPr>
      <w:rFonts w:eastAsiaTheme="minorEastAsia"/>
      <w:lang w:val="en-US"/>
    </w:rPr>
    <w:tblPr>
      <w:tblStyleRowBandSize w:val="1"/>
      <w:tblStyleColBandSize w:val="1"/>
      <w:tblBorders>
        <w:top w:val="single" w:sz="8" w:space="0" w:color="D5EBE8" w:themeColor="accent3"/>
        <w:left w:val="single" w:sz="8" w:space="0" w:color="D5EBE8" w:themeColor="accent3"/>
        <w:bottom w:val="single" w:sz="8" w:space="0" w:color="D5EBE8" w:themeColor="accent3"/>
        <w:right w:val="single" w:sz="8" w:space="0" w:color="D5EBE8" w:themeColor="accent3"/>
      </w:tblBorders>
    </w:tblPr>
    <w:tblStylePr w:type="firstRow">
      <w:pPr>
        <w:spacing w:before="0" w:after="0" w:line="240" w:lineRule="auto"/>
      </w:pPr>
      <w:rPr>
        <w:b/>
        <w:bCs/>
        <w:color w:val="FFFFFF" w:themeColor="background1"/>
      </w:rPr>
      <w:tblPr/>
      <w:tcPr>
        <w:shd w:val="clear" w:color="auto" w:fill="D5EBE8" w:themeFill="accent3"/>
      </w:tcPr>
    </w:tblStylePr>
    <w:tblStylePr w:type="lastRow">
      <w:pPr>
        <w:spacing w:before="0" w:after="0" w:line="240" w:lineRule="auto"/>
      </w:pPr>
      <w:rPr>
        <w:b/>
        <w:bCs/>
      </w:rPr>
      <w:tblPr/>
      <w:tcPr>
        <w:tcBorders>
          <w:top w:val="double" w:sz="6" w:space="0" w:color="D5EBE8" w:themeColor="accent3"/>
          <w:left w:val="single" w:sz="8" w:space="0" w:color="D5EBE8" w:themeColor="accent3"/>
          <w:bottom w:val="single" w:sz="8" w:space="0" w:color="D5EBE8" w:themeColor="accent3"/>
          <w:right w:val="single" w:sz="8" w:space="0" w:color="D5EBE8" w:themeColor="accent3"/>
        </w:tcBorders>
      </w:tcPr>
    </w:tblStylePr>
    <w:tblStylePr w:type="firstCol">
      <w:rPr>
        <w:b/>
        <w:bCs/>
      </w:rPr>
    </w:tblStylePr>
    <w:tblStylePr w:type="lastCol">
      <w:rPr>
        <w:b/>
        <w:bCs/>
      </w:rPr>
    </w:tblStylePr>
    <w:tblStylePr w:type="band1Vert">
      <w:tblPr/>
      <w:tcPr>
        <w:tcBorders>
          <w:top w:val="single" w:sz="8" w:space="0" w:color="D5EBE8" w:themeColor="accent3"/>
          <w:left w:val="single" w:sz="8" w:space="0" w:color="D5EBE8" w:themeColor="accent3"/>
          <w:bottom w:val="single" w:sz="8" w:space="0" w:color="D5EBE8" w:themeColor="accent3"/>
          <w:right w:val="single" w:sz="8" w:space="0" w:color="D5EBE8" w:themeColor="accent3"/>
        </w:tcBorders>
      </w:tcPr>
    </w:tblStylePr>
    <w:tblStylePr w:type="band1Horz">
      <w:tblPr/>
      <w:tcPr>
        <w:tcBorders>
          <w:top w:val="single" w:sz="8" w:space="0" w:color="D5EBE8" w:themeColor="accent3"/>
          <w:left w:val="single" w:sz="8" w:space="0" w:color="D5EBE8" w:themeColor="accent3"/>
          <w:bottom w:val="single" w:sz="8" w:space="0" w:color="D5EBE8" w:themeColor="accent3"/>
          <w:right w:val="single" w:sz="8" w:space="0" w:color="D5EBE8" w:themeColor="accent3"/>
        </w:tcBorders>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semiHidden/>
    <w:rsid w:val="00C15722"/>
    <w:pPr>
      <w:numPr>
        <w:numId w:val="3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9F1D7F"/>
    <w:pPr>
      <w:keepNext/>
      <w:spacing w:before="240" w:after="0"/>
    </w:pPr>
    <w:rPr>
      <w:rFonts w:eastAsia="Times New Roman"/>
      <w:b/>
      <w:color w:val="1B556B"/>
      <w:sz w:val="22"/>
    </w:rPr>
  </w:style>
  <w:style w:type="numbering" w:customStyle="1" w:styleId="Style3">
    <w:name w:val="Style3"/>
    <w:uiPriority w:val="99"/>
    <w:rsid w:val="008B5A2D"/>
    <w:pPr>
      <w:numPr>
        <w:numId w:val="33"/>
      </w:numPr>
    </w:pPr>
  </w:style>
  <w:style w:type="paragraph" w:customStyle="1" w:styleId="Boxtext">
    <w:name w:val="Box text"/>
    <w:basedOn w:val="Normal"/>
    <w:uiPriority w:val="1"/>
    <w:qFormat/>
    <w:rsid w:val="00DB6A2B"/>
    <w:pPr>
      <w:spacing w:line="260" w:lineRule="atLeast"/>
      <w:ind w:left="284" w:right="284"/>
      <w:jc w:val="left"/>
    </w:pPr>
    <w:rPr>
      <w:color w:val="1B556B"/>
      <w:sz w:val="20"/>
    </w:rPr>
  </w:style>
  <w:style w:type="paragraph" w:customStyle="1" w:styleId="Boxbullet">
    <w:name w:val="Box bullet"/>
    <w:basedOn w:val="Boxtext"/>
    <w:uiPriority w:val="1"/>
    <w:qFormat/>
    <w:rsid w:val="005D3242"/>
    <w:pPr>
      <w:numPr>
        <w:numId w:val="2"/>
      </w:numPr>
      <w:tabs>
        <w:tab w:val="left" w:pos="680"/>
      </w:tabs>
      <w:spacing w:before="0"/>
      <w:ind w:left="681" w:hanging="397"/>
    </w:pPr>
    <w:rPr>
      <w:rFonts w:cs="Times New Roman"/>
      <w:szCs w:val="20"/>
    </w:rPr>
  </w:style>
  <w:style w:type="paragraph" w:customStyle="1" w:styleId="Boxheading0">
    <w:name w:val="Box heading"/>
    <w:basedOn w:val="Boxtext"/>
    <w:next w:val="Boxtext"/>
    <w:uiPriority w:val="1"/>
    <w:qFormat/>
    <w:rsid w:val="00DB6A2B"/>
    <w:pPr>
      <w:keepNext/>
      <w:spacing w:before="240" w:after="0"/>
    </w:pPr>
    <w:rPr>
      <w:rFonts w:cs="Times New Roman"/>
      <w:b/>
      <w:sz w:val="22"/>
      <w:szCs w:val="20"/>
    </w:rPr>
  </w:style>
  <w:style w:type="paragraph" w:customStyle="1" w:styleId="Boxsub-bullet">
    <w:name w:val="Box sub-bullet"/>
    <w:basedOn w:val="Boxtext"/>
    <w:uiPriority w:val="1"/>
    <w:qFormat/>
    <w:rsid w:val="00DB6A2B"/>
    <w:pPr>
      <w:numPr>
        <w:numId w:val="36"/>
      </w:numPr>
      <w:spacing w:before="0"/>
    </w:pPr>
    <w:rPr>
      <w:rFonts w:cs="Times New Roman"/>
      <w:szCs w:val="20"/>
    </w:rPr>
  </w:style>
  <w:style w:type="paragraph" w:customStyle="1" w:styleId="Greensub-bullet-casestudytables">
    <w:name w:val="Green sub-bullet - case study tables"/>
    <w:basedOn w:val="Greentext-casestudytables"/>
    <w:uiPriority w:val="1"/>
    <w:semiHidden/>
    <w:qFormat/>
    <w:rsid w:val="00C15722"/>
    <w:pPr>
      <w:numPr>
        <w:numId w:val="37"/>
      </w:numPr>
      <w:spacing w:before="0"/>
      <w:ind w:left="1077" w:hanging="397"/>
    </w:pPr>
  </w:style>
  <w:style w:type="character" w:styleId="UnresolvedMention">
    <w:name w:val="Unresolved Mention"/>
    <w:basedOn w:val="DefaultParagraphFont"/>
    <w:uiPriority w:val="99"/>
    <w:semiHidden/>
    <w:unhideWhenUsed/>
    <w:rsid w:val="00563317"/>
    <w:rPr>
      <w:color w:val="605E5C"/>
      <w:shd w:val="clear" w:color="auto" w:fill="E1DFDD"/>
    </w:rPr>
  </w:style>
  <w:style w:type="paragraph" w:styleId="CommentText">
    <w:name w:val="annotation text"/>
    <w:basedOn w:val="Normal"/>
    <w:link w:val="CommentTextChar"/>
    <w:uiPriority w:val="99"/>
    <w:semiHidden/>
    <w:rsid w:val="00456E90"/>
    <w:pPr>
      <w:spacing w:line="240" w:lineRule="auto"/>
    </w:pPr>
    <w:rPr>
      <w:sz w:val="20"/>
      <w:szCs w:val="20"/>
    </w:rPr>
  </w:style>
  <w:style w:type="character" w:customStyle="1" w:styleId="CommentTextChar">
    <w:name w:val="Comment Text Char"/>
    <w:basedOn w:val="DefaultParagraphFont"/>
    <w:link w:val="CommentText"/>
    <w:uiPriority w:val="99"/>
    <w:semiHidden/>
    <w:rsid w:val="00456E90"/>
    <w:rPr>
      <w:rFonts w:ascii="Calibri" w:eastAsiaTheme="minorEastAsia" w:hAnsi="Calibri"/>
      <w:sz w:val="20"/>
      <w:szCs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claimantfunding@mfe.govt.nz"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nvironment.govt.nz/publications/waitangi-tribunal-national-fresh-water-and-geothermal-resources-inquiry-wai-2358-stages-1-and-2-retrospective-claimant-funding-application-for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environment.govt.nz/publications/waitangi-tribunal-national-fresh-water-and-geothermal-resources-inquiry-wai-2358-stages-1-and-2-retrospective-claimant-funding-application-for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nvironment.govt.nz" TargetMode="Externa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s://environment.govt.nz/assets/publications/freshwater-policy/Claimant-funding-policy-stage-3-Wai-2358.pdf" TargetMode="External"/><Relationship Id="rId1" Type="http://schemas.openxmlformats.org/officeDocument/2006/relationships/hyperlink" Target="https://www.justice.govt.nz/assets/Documents/Publications/Interim-Common-Claimant-Funding-Polic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fE\Templates\MfE%20Publication%20template.dotx" TargetMode="External"/></Relationships>
</file>

<file path=word/theme/theme1.xml><?xml version="1.0" encoding="utf-8"?>
<a:theme xmlns:a="http://schemas.openxmlformats.org/drawingml/2006/main" name="MF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3" ma:contentTypeDescription="Create a new document." ma:contentTypeScope="" ma:versionID="47b9c67e5e6210622ccaa916b2908ca0">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08f77810071e8ffec9d412bc41246377"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Email_x0020_Table xmlns="4a94300e-a927-4b92-9d3a-682523035cb6" xsi:nil="true"/>
    <MTS_x0020_ID xmlns="4a94300e-a927-4b92-9d3a-682523035cb6"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ECM-1122293896-87157</_dlc_DocId>
    <_dlc_DocIdUrl xmlns="58a6f171-52cb-4404-b47d-af1c8daf8fd1">
      <Url>https://ministryforenvironment.sharepoint.com/sites/ECM-ER-Comms/_layouts/15/DocIdRedir.aspx?ID=ECM-1122293896-87157</Url>
      <Description>ECM-1122293896-87157</Description>
    </_dlc_DocIdUrl>
    <lcf76f155ced4ddcb4097134ff3c332f xmlns="4a94300e-a927-4b92-9d3a-682523035cb6">
      <Terms xmlns="http://schemas.microsoft.com/office/infopath/2007/PartnerControls"/>
    </lcf76f155ced4ddcb4097134ff3c332f>
    <TaxCatchAll xmlns="58a6f171-52cb-4404-b47d-af1c8daf8fd1" xsi:nil="true"/>
  </documentManagement>
</p:properties>
</file>

<file path=customXml/itemProps1.xml><?xml version="1.0" encoding="utf-8"?>
<ds:datastoreItem xmlns:ds="http://schemas.openxmlformats.org/officeDocument/2006/customXml" ds:itemID="{D27907E1-733D-40A2-9501-D22B1B74D9CB}">
  <ds:schemaRefs>
    <ds:schemaRef ds:uri="http://schemas.openxmlformats.org/officeDocument/2006/bibliography"/>
  </ds:schemaRefs>
</ds:datastoreItem>
</file>

<file path=customXml/itemProps2.xml><?xml version="1.0" encoding="utf-8"?>
<ds:datastoreItem xmlns:ds="http://schemas.openxmlformats.org/officeDocument/2006/customXml" ds:itemID="{4D0CDAC4-0417-4665-BFBD-38D6177B7AAE}">
  <ds:schemaRefs>
    <ds:schemaRef ds:uri="http://schemas.microsoft.com/sharepoint/v3/contenttype/forms"/>
  </ds:schemaRefs>
</ds:datastoreItem>
</file>

<file path=customXml/itemProps3.xml><?xml version="1.0" encoding="utf-8"?>
<ds:datastoreItem xmlns:ds="http://schemas.openxmlformats.org/officeDocument/2006/customXml" ds:itemID="{E915373F-630C-45C1-9D1D-0033FB98D60B}">
  <ds:schemaRefs>
    <ds:schemaRef ds:uri="http://schemas.microsoft.com/sharepoint/events"/>
  </ds:schemaRefs>
</ds:datastoreItem>
</file>

<file path=customXml/itemProps4.xml><?xml version="1.0" encoding="utf-8"?>
<ds:datastoreItem xmlns:ds="http://schemas.openxmlformats.org/officeDocument/2006/customXml" ds:itemID="{7E59834F-087D-4EFC-917F-13D523202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ABE385-CC81-41C6-A3F2-1BC9449571F7}">
  <ds:schemaRefs>
    <ds:schemaRef ds:uri="http://schemas.microsoft.com/office/2006/metadata/properties"/>
    <ds:schemaRef ds:uri="http://schemas.microsoft.com/office/infopath/2007/PartnerControls"/>
    <ds:schemaRef ds:uri="4a94300e-a927-4b92-9d3a-682523035cb6"/>
    <ds:schemaRef ds:uri="http://schemas.microsoft.com/sharepoint/v3"/>
    <ds:schemaRef ds:uri="http://schemas.microsoft.com/sharepoint/v4"/>
    <ds:schemaRef ds:uri="58a6f171-52cb-4404-b47d-af1c8daf8fd1"/>
  </ds:schemaRefs>
</ds:datastoreItem>
</file>

<file path=docProps/app.xml><?xml version="1.0" encoding="utf-8"?>
<Properties xmlns="http://schemas.openxmlformats.org/officeDocument/2006/extended-properties" xmlns:vt="http://schemas.openxmlformats.org/officeDocument/2006/docPropsVTypes">
  <Template>MfE Publication template</Template>
  <TotalTime>0</TotalTime>
  <Pages>8</Pages>
  <Words>1845</Words>
  <Characters>10521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PatelAa</dc:creator>
  <cp:lastModifiedBy>Aakash Patel</cp:lastModifiedBy>
  <cp:revision>2</cp:revision>
  <dcterms:created xsi:type="dcterms:W3CDTF">2024-11-28T17:28:00Z</dcterms:created>
  <dcterms:modified xsi:type="dcterms:W3CDTF">2024-11-28T17:28:00Z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0x010100EA5FB0BEBF7DE54D9F252D8A06C053F7</vt:lpwstr>
  </property>
  <property fmtid="{D5CDD505-2E9C-101B-9397-08002B2CF9AE}" pid="3" name="_dlc_DocIdItemGuid">
    <vt:lpwstr>39aab402-9d19-4500-9174-d32c27980075</vt:lpwstr>
  </property>
  <property fmtid="{D5CDD505-2E9C-101B-9397-08002B2CF9AE}" pid="4" name="MSIP_Label_52dda6cc-d61d-4fd2-bf18-9b3017d931cc_Enabled">
    <vt:lpwstr>true</vt:lpwstr>
  </property>
  <property fmtid="{D5CDD505-2E9C-101B-9397-08002B2CF9AE}" pid="5" name="MSIP_Label_52dda6cc-d61d-4fd2-bf18-9b3017d931cc_SetDate">
    <vt:lpwstr>2022-01-16T22:14:40Z</vt:lpwstr>
  </property>
  <property fmtid="{D5CDD505-2E9C-101B-9397-08002B2CF9AE}" pid="6" name="MSIP_Label_52dda6cc-d61d-4fd2-bf18-9b3017d931cc_Method">
    <vt:lpwstr>Privileged</vt:lpwstr>
  </property>
  <property fmtid="{D5CDD505-2E9C-101B-9397-08002B2CF9AE}" pid="7" name="MSIP_Label_52dda6cc-d61d-4fd2-bf18-9b3017d931cc_Name">
    <vt:lpwstr>[UNCLASSIFIED]</vt:lpwstr>
  </property>
  <property fmtid="{D5CDD505-2E9C-101B-9397-08002B2CF9AE}" pid="8" name="MSIP_Label_52dda6cc-d61d-4fd2-bf18-9b3017d931cc_SiteId">
    <vt:lpwstr>761dd003-d4ff-4049-8a72-8549b20fcbb1</vt:lpwstr>
  </property>
  <property fmtid="{D5CDD505-2E9C-101B-9397-08002B2CF9AE}" pid="9" name="MSIP_Label_52dda6cc-d61d-4fd2-bf18-9b3017d931cc_ActionId">
    <vt:lpwstr>9adb5016-2886-4e41-9a13-e62dbe13137f</vt:lpwstr>
  </property>
  <property fmtid="{D5CDD505-2E9C-101B-9397-08002B2CF9AE}" pid="10" name="MSIP_Label_52dda6cc-d61d-4fd2-bf18-9b3017d931cc_ContentBits">
    <vt:lpwstr>0</vt:lpwstr>
  </property>
  <property fmtid="{D5CDD505-2E9C-101B-9397-08002B2CF9AE}" pid="11" name="MediaServiceImageTags">
    <vt:lpwstr/>
  </property>
</Properties>
</file>